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gevo-20260331x10q.htm"/>
        <w:bookmarkStart w:id="1" w:name="ksgevo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zsyn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513741de_9d41_4ed7_b0c9_efe3608b09d6"/>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AND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001-35073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qPUNPK7Ck2GdXcJOtXHWQ_2_2"/>
      <w:bookmarkStart w:id="4" w:name="Tc_x7Lwo-4mckS98CTAqxVZrg_2_0"/>
      <w:bookmarkStart w:id="5" w:name="_2546df90_7b40_4ff2_b8a3_71e1f1150cff"/>
      <w:bookmarkStart w:id="6" w:name="Tc_-qPUNPK7Ck2GdXcJOtXHWQ_2_2"/>
      <w:bookmarkStart w:id="7" w:name="Tc_x7Lwo-4mckS98CTAqxVZrg_2_0"/>
      <w:bookmarkStart w:id="8" w:name="_2546df90_7b40_4ff2_b8a3_71e1f1150cff"/>
      <w:bookmarkEnd w:id="6"/>
      <w:bookmarkEnd w:id="7"/>
      <w:bookmarkEnd w:id="8"/>
    </w:p>
    <w:tbl>
      <w:tblPr>
        <w:tblW w:w="4518" w:type="dxa"/>
        <w:jc w:val="left"/>
        <w:tblInd w:w="0" w:type="dxa"/>
        <w:tblLayout w:type="fixed"/>
        <w:tblCellMar>
          <w:top w:w="0" w:type="dxa"/>
          <w:left w:w="0" w:type="dxa"/>
          <w:bottom w:w="0" w:type="dxa"/>
          <w:right w:w="0" w:type="dxa"/>
        </w:tblCellMar>
      </w:tblPr>
      <w:tblGrid>
        <w:gridCol w:w="2581"/>
        <w:gridCol w:w="28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38935" cy="175260"/>
                      <wp:effectExtent l="0" t="0" r="0" b="0"/>
                      <wp:wrapNone/>
                      <wp:docPr id="1" name="Frame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81610" cy="175260"/>
                      <wp:effectExtent l="0" t="0" r="0" b="0"/>
                      <wp:wrapNone/>
                      <wp:docPr id="2" name="Frame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86" w:type="dxa"/>
            <w:tcBorders/>
            <w:vAlign w:val="center"/>
          </w:tcPr>
          <w:p>
            <w:pPr>
              <w:pStyle w:val="TableContents"/>
              <w:bidi w:val="0"/>
              <w:spacing w:before="0" w:after="0"/>
              <w:ind w:left="0" w:right="0" w:hanging="0"/>
              <w:jc w:val="left"/>
              <w:rPr/>
            </w:pPr>
            <w:r>
              <w:rPr/>
              <w:t>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87-0747704</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286" w:type="dxa"/>
            <w:tcBorders/>
            <w:vAlign w:val="center"/>
          </w:tcPr>
          <w:p>
            <w:pPr>
              <w:pStyle w:val="TableContents"/>
              <w:bidi w:val="0"/>
              <w:spacing w:before="0" w:after="24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 w:name="Tc_5pK66eg2U0G6taKiYpRhSg_2_2"/>
      <w:bookmarkStart w:id="10" w:name="Tc_FSG-nOXOlUGP6teaPMG9JA_2_0"/>
      <w:bookmarkStart w:id="11" w:name="Tc_4J7rslfvYk2xk8l4SLnbhQ_1_0"/>
      <w:bookmarkStart w:id="12" w:name="_480dcf84_8648_49b4_9ac4_507218ea7a4f"/>
      <w:bookmarkStart w:id="13" w:name="Tc_5pK66eg2U0G6taKiYpRhSg_2_2"/>
      <w:bookmarkStart w:id="14" w:name="Tc_FSG-nOXOlUGP6teaPMG9JA_2_0"/>
      <w:bookmarkStart w:id="15" w:name="Tc_4J7rslfvYk2xk8l4SLnbhQ_1_0"/>
      <w:bookmarkStart w:id="16" w:name="_480dcf84_8648_49b4_9ac4_507218ea7a4f"/>
      <w:bookmarkEnd w:id="13"/>
      <w:bookmarkEnd w:id="14"/>
      <w:bookmarkEnd w:id="15"/>
      <w:bookmarkEnd w:id="16"/>
    </w:p>
    <w:tbl>
      <w:tblPr>
        <w:tblW w:w="4623" w:type="dxa"/>
        <w:jc w:val="left"/>
        <w:tblInd w:w="0" w:type="dxa"/>
        <w:tblLayout w:type="fixed"/>
        <w:tblCellMar>
          <w:top w:w="0" w:type="dxa"/>
          <w:left w:w="0" w:type="dxa"/>
          <w:bottom w:w="0" w:type="dxa"/>
          <w:right w:w="0" w:type="dxa"/>
        </w:tblCellMar>
      </w:tblPr>
      <w:tblGrid>
        <w:gridCol w:w="3301"/>
        <w:gridCol w:w="28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96135" cy="175260"/>
                      <wp:effectExtent l="0" t="0" r="0" b="0"/>
                      <wp:wrapNone/>
                      <wp:docPr id="4" name="Frame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1610" cy="175260"/>
                      <wp:effectExtent l="0" t="0" r="0" b="0"/>
                      <wp:wrapNone/>
                      <wp:docPr id="5" name="Frame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6" name="Frame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345 Inverness Drive South,</w:t>
              <w:br/>
              <w:t>Building C, Suite 310</w:t>
              <w:br/>
              <w:t>Englewood, CO</w:t>
            </w:r>
          </w:p>
        </w:tc>
        <w:tc>
          <w:tcPr>
            <w:tcW w:w="286" w:type="dxa"/>
            <w:tcBorders/>
            <w:vAlign w:val="center"/>
          </w:tcPr>
          <w:p>
            <w:pPr>
              <w:pStyle w:val="TableContents"/>
              <w:bidi w:val="0"/>
              <w:spacing w:before="0" w:after="0"/>
              <w:ind w:left="0" w:right="0" w:hanging="0"/>
              <w:jc w:val="left"/>
              <w:rPr/>
            </w:pPr>
            <w:r>
              <w:rPr/>
              <w:t>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80112</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(303) 858-8358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4H_jBZERikiqN8UB_s6u3Q_1_4"/>
      <w:bookmarkStart w:id="18" w:name="Tc_zSa_8qbQLUe08BbH_MOOKA_1_2"/>
      <w:bookmarkStart w:id="19" w:name="Tc_FvoqGp6pkUib06oI2RPN_A_1_0"/>
      <w:bookmarkStart w:id="20" w:name="_77b96a2c_1cc3_4128_b0bb_4e2e37c10090"/>
      <w:bookmarkStart w:id="21" w:name="Tc_4H_jBZERikiqN8UB_s6u3Q_1_4"/>
      <w:bookmarkStart w:id="22" w:name="Tc_zSa_8qbQLUe08BbH_MOOKA_1_2"/>
      <w:bookmarkStart w:id="23" w:name="Tc_FvoqGp6pkUib06oI2RPN_A_1_0"/>
      <w:bookmarkStart w:id="24" w:name="_77b96a2c_1cc3_4128_b0bb_4e2e37c10090"/>
      <w:bookmarkEnd w:id="21"/>
      <w:bookmarkEnd w:id="22"/>
      <w:bookmarkEnd w:id="23"/>
      <w:bookmarkEnd w:id="24"/>
    </w:p>
    <w:tbl>
      <w:tblPr>
        <w:tblW w:w="9710" w:type="dxa"/>
        <w:jc w:val="left"/>
        <w:tblInd w:w="0" w:type="dxa"/>
        <w:tblLayout w:type="fixed"/>
        <w:tblCellMar>
          <w:top w:w="0" w:type="dxa"/>
          <w:left w:w="0" w:type="dxa"/>
          <w:bottom w:w="0" w:type="dxa"/>
          <w:right w:w="0" w:type="dxa"/>
        </w:tblCellMar>
      </w:tblPr>
      <w:tblGrid>
        <w:gridCol w:w="3496"/>
        <w:gridCol w:w="346"/>
        <w:gridCol w:w="1501"/>
        <w:gridCol w:w="346"/>
        <w:gridCol w:w="4021"/>
      </w:tblGrid>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15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GEVO</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40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540"/>
        <w:jc w:val="left"/>
        <w:rPr/>
      </w:pPr>
      <w:r>
        <w:rPr/>
        <w:t>​</w:t>
      </w:r>
    </w:p>
    <w:p>
      <w:pPr>
        <w:pStyle w:val="TextBody"/>
        <w:bidi w:val="0"/>
        <w:spacing w:before="0" w:after="0"/>
        <w:ind w:left="15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240"/>
        <w:ind w:left="150" w:right="0" w:firstLine="36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dsXQQCd-N0maBDVogYY2Nw_2_2"/>
      <w:bookmarkStart w:id="26" w:name="Tc_qQBzz7CwY02L1aPCW6g5Og_1_2"/>
      <w:bookmarkStart w:id="27" w:name="Tc_Oqvpz-WRmEeyr-su96XuZA_1_1"/>
      <w:bookmarkStart w:id="28" w:name="Tc_BScuRY7Ku0CqLYxk1K_fig_0_3"/>
      <w:bookmarkStart w:id="29" w:name="Tc_WcFTkM37ZEiVoRtg3WmX0w_0_2"/>
      <w:bookmarkStart w:id="30" w:name="Tc_hY1piRLI0kmVxmAnZNWaSA_0_1"/>
      <w:bookmarkStart w:id="31" w:name="Tc_7TcwBV2LvU6uDdGTtihh3g_0_0"/>
      <w:bookmarkStart w:id="32" w:name="_c97b7adc_7f84_4ae4_ace0_a37bf3a966ab"/>
      <w:bookmarkStart w:id="33" w:name="Tc_dsXQQCd-N0maBDVogYY2Nw_2_2"/>
      <w:bookmarkStart w:id="34" w:name="Tc_qQBzz7CwY02L1aPCW6g5Og_1_2"/>
      <w:bookmarkStart w:id="35" w:name="Tc_Oqvpz-WRmEeyr-su96XuZA_1_1"/>
      <w:bookmarkStart w:id="36" w:name="Tc_BScuRY7Ku0CqLYxk1K_fig_0_3"/>
      <w:bookmarkStart w:id="37" w:name="Tc_WcFTkM37ZEiVoRtg3WmX0w_0_2"/>
      <w:bookmarkStart w:id="38" w:name="Tc_hY1piRLI0kmVxmAnZNWaSA_0_1"/>
      <w:bookmarkStart w:id="39" w:name="Tc_7TcwBV2LvU6uDdGTtihh3g_0_0"/>
      <w:bookmarkStart w:id="40" w:name="_c97b7adc_7f84_4ae4_ace0_a37bf3a966ab"/>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547"/>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As of May 6, 2026, 243,411,329 shares of the registrant’s common stock were outstanding.</w:t>
      </w:r>
    </w:p>
    <w:p>
      <w:pPr>
        <w:pStyle w:val="TextBody"/>
        <w:pBdr>
          <w:top w:val="single" w:sz="8" w:space="1" w:color="000000"/>
          <w:bottom w:val="single" w:sz="24" w:space="1" w:color="000000"/>
        </w:pBdr>
        <w:bidi w:val="0"/>
        <w:spacing w:before="0" w:after="240"/>
        <w:ind w:left="0" w:right="0" w:firstLine="540"/>
        <w:jc w:val="left"/>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50b6d9cf_c685_4af2_a53c_c7e573df7754"/>
      <w:bookmarkEnd w:id="4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853"/>
        <w:gridCol w:w="541"/>
      </w:tblGrid>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645820">
              <w:r>
                <w:rPr>
                  <w:rStyle w:val="InternetLink"/>
                  <w:rFonts w:ascii="Times New Roman;Times;serif" w:hAnsi="Times New Roman;Times;serif"/>
                  <w:b/>
                  <w:i w:val="false"/>
                  <w:caps w:val="false"/>
                  <w:smallCaps w:val="false"/>
                  <w:sz w:val="20"/>
                </w:rPr>
                <w:t>PART I. FINANCIAL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BALANCESHEETS_963619">
              <w:r>
                <w:rPr>
                  <w:rStyle w:val="InternetLink"/>
                  <w:rFonts w:ascii="Times New Roman;Times;serif" w:hAnsi="Times New Roman;Times;serif"/>
                  <w:b w:val="false"/>
                  <w:i w:val="false"/>
                  <w:caps w:val="false"/>
                  <w:smallCaps w:val="false"/>
                  <w:sz w:val="20"/>
                </w:rPr>
                <w:t xml:space="preserve">Condensed Consolidated Balance Sheets as of March 31, 2026 (unaudited) and December 31, 2025 </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OPERATIONS_79993">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Condensed Consolidated Statements of Stockholders’ Equity for the three months ended March 31, 2026 and 2025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ASHFLOWS_224163">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a1NatureofBusinessFinancialConditionandB">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81509">
              <w:r>
                <w:rPr>
                  <w:rStyle w:val="InternetLink"/>
                  <w:rFonts w:ascii="Times New Roman;Times;serif" w:hAnsi="Times New Roman;Times;serif"/>
                  <w:b/>
                  <w:i w:val="false"/>
                  <w:caps w:val="false"/>
                  <w:smallCaps w:val="false"/>
                  <w:sz w:val="20"/>
                </w:rPr>
                <w:t>PART II. OTHER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SIGNATURES_446651">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PARTIFINANCIALINFORMATION_645820"/>
      <w:bookmarkStart w:id="44" w:name="_20dc4851_9dd0_4e6f_9144_a67d1b1f3c36"/>
      <w:bookmarkEnd w:id="43"/>
      <w:bookmarkEnd w:id="44"/>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5" w:name="Item1FinancialStatements_375279"/>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46" w:name="CONSOLIDATEDBALANCESHEETS_963619"/>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6CtbzWcRoEuNaAVpbMcm2Q_40_5"/>
      <w:bookmarkStart w:id="48" w:name="Tc_wNEewtvtbkqI6Z6bsH41Ww_40_2"/>
      <w:bookmarkStart w:id="49" w:name="Tc_Jv-4-zu-cEOv7SafrsW6ZQ_40_0"/>
      <w:bookmarkStart w:id="50" w:name="Tc_RvHzxVhKykG73q2d4ak9Dw_39_0"/>
      <w:bookmarkStart w:id="51" w:name="Tc_t2KyeGh0iUqU3aXazZ9nmQ_38_0"/>
      <w:bookmarkStart w:id="52" w:name="Tc_I4G_2O1YRU6OcB_wr7qX9A_37_0"/>
      <w:bookmarkStart w:id="53" w:name="Tc_Gp30cXDuz0upch8aHOgUsA_36_0"/>
      <w:bookmarkStart w:id="54" w:name="Tc_L9MXQGNdC0aZ003f95o9rA_35_0"/>
      <w:bookmarkStart w:id="55" w:name="Tc_qtH_cE9d80y3DeOrbY-Z_w_33_0"/>
      <w:bookmarkStart w:id="56" w:name="Tc_MfYF8UbefEOkml7ZdM1odQ_31_0"/>
      <w:bookmarkStart w:id="57" w:name="Tc_HsLokk6AjUKQb7rpGiRiOQ_30_0"/>
      <w:bookmarkStart w:id="58" w:name="Tc_-g2f1IM1aE2ejYEALPZG5w_29_0"/>
      <w:bookmarkStart w:id="59" w:name="Tc_c4YHRrglQkuEmcKM7v5OIQ_28_0"/>
      <w:bookmarkStart w:id="60" w:name="Tc_ncwEndUfmU-bKnHZ_tbgUA_27_0"/>
      <w:bookmarkStart w:id="61" w:name="Tc_vqB-Mh0D00uypD3UQrcQrw_26_0"/>
      <w:bookmarkStart w:id="62" w:name="Tc_XjS-HyT5aES9DJnJNvfwuQ_25_3"/>
      <w:bookmarkStart w:id="63" w:name="Tc_abrp_btAEEmsIafTnVJRcg_25_0"/>
      <w:bookmarkStart w:id="64" w:name="Tc_28LylrRRWEmih_iSt3Mzvw_24_0"/>
      <w:bookmarkStart w:id="65" w:name="Tc_Kq3xBqn-rkmaOgJ3Ay3b9Q_23_0"/>
      <w:bookmarkStart w:id="66" w:name="Tc_SLImKwSaCE2GV1pz-1z43w_22_0"/>
      <w:bookmarkStart w:id="67" w:name="Tc__GPqJ_1_IEGyQ5k9_t4W9Q_21_3"/>
      <w:bookmarkStart w:id="68" w:name="Tc_AtqH2Xl0YE2RHg-Meu0dCA_21_0"/>
      <w:bookmarkStart w:id="69" w:name="Tc_KghTvaG_ak-A6GWUjZY-0g_20_5"/>
      <w:bookmarkStart w:id="70" w:name="Tc_pAJImy-8skSc7IwXUbGX2g_20_2"/>
      <w:bookmarkStart w:id="71" w:name="Tc_k7QxNKzb5UWhsOG3USAhLw_20_0"/>
      <w:bookmarkStart w:id="72" w:name="Tc_khCflhnrQkCqVUAwa-PTaA_19_0"/>
      <w:bookmarkStart w:id="73" w:name="Tc__PuQki4oZ0uJvqFHLo5Cvg_18_0"/>
      <w:bookmarkStart w:id="74" w:name="Tc_hLYwkqWxYkCwxxyNy7Eqdw_17_5"/>
      <w:bookmarkStart w:id="75" w:name="Tc_Ieg8Ap08cUSsEr_twZ-nJQ_17_2"/>
      <w:bookmarkStart w:id="76" w:name="Tc_bVgHa4QjfkKEenjV9ga_mg_17_0"/>
      <w:bookmarkStart w:id="77" w:name="Tc_VqxGCFLoRUOU-EouVkPlAA_16_0"/>
      <w:bookmarkStart w:id="78" w:name="Tc_kvSRa-SLI0Ktp_d2gv-Bjw_15_0"/>
      <w:bookmarkStart w:id="79" w:name="Tc_PsmD3aMWmU6KGfkr-OXn3g_14_0"/>
      <w:bookmarkStart w:id="80" w:name="Tc_vVeFADh9ZkiyFaYEo7PYLg_13_0"/>
      <w:bookmarkStart w:id="81" w:name="Tc_jO0QLYsfek-tQ_ITxDUTyw_12_0"/>
      <w:bookmarkStart w:id="82" w:name="Tc_90MilOrI70e0Z6BLrmZN0g_11_3"/>
      <w:bookmarkStart w:id="83" w:name="Tc_U46QXCfpRUWWjs2ZXJSf4A_11_0"/>
      <w:bookmarkStart w:id="84" w:name="Tc_OMTv8Lwe7EyE--bebLB6qQ_10_0"/>
      <w:bookmarkStart w:id="85" w:name="Tc_DtVf86crg0WhYArBa7tL2w_9_0"/>
      <w:bookmarkStart w:id="86" w:name="Tc_NKmwU3NYVUCBNysLwrrqMg_8_0"/>
      <w:bookmarkStart w:id="87" w:name="Tc_baHY5RRC8EOT1Suqpq94Rg_7_0"/>
      <w:bookmarkStart w:id="88" w:name="Tc_A2PvEipQ9U-MlYtAvB0M5Q_6_0"/>
      <w:bookmarkStart w:id="89" w:name="Tc_j479R2rXlEy9wVgRaj8T6Q_5_3"/>
      <w:bookmarkStart w:id="90" w:name="Tc_tGNPMLzzN0G0_PyPd82V1w_5_0"/>
      <w:bookmarkStart w:id="91" w:name="Tc_973lXYiJDU-NcqtyqsUq7g_4_5"/>
      <w:bookmarkStart w:id="92" w:name="Tc_APlCmUl4_Uu3pShJTsH1Yw_4_2"/>
      <w:bookmarkStart w:id="93" w:name="Tc_Kcccl_y2UkyA-V1IFSijlQ_4_0"/>
      <w:bookmarkStart w:id="94" w:name="Tc_J6lDpu55HUaMchP-BOoPvw_3_0"/>
      <w:bookmarkStart w:id="95" w:name="Tc_e0V19kTMkkeY6nB3cKRQIA_2_0"/>
      <w:bookmarkStart w:id="96" w:name="Tc_LRaateiZo0esZ_hoxVPCeg_1_5"/>
      <w:bookmarkStart w:id="97" w:name="Tc_lH9hIPSvdkiw72BM2qB6aQ_1_2"/>
      <w:bookmarkStart w:id="98" w:name="_6d2b83b6_d1c6_4dea_8e24_6b7c1a1e72df"/>
      <w:bookmarkStart w:id="99" w:name="Tc_6CtbzWcRoEuNaAVpbMcm2Q_40_5"/>
      <w:bookmarkStart w:id="100" w:name="Tc_wNEewtvtbkqI6Z6bsH41Ww_40_2"/>
      <w:bookmarkStart w:id="101" w:name="Tc_Jv-4-zu-cEOv7SafrsW6ZQ_40_0"/>
      <w:bookmarkStart w:id="102" w:name="Tc_RvHzxVhKykG73q2d4ak9Dw_39_0"/>
      <w:bookmarkStart w:id="103" w:name="Tc_t2KyeGh0iUqU3aXazZ9nmQ_38_0"/>
      <w:bookmarkStart w:id="104" w:name="Tc_I4G_2O1YRU6OcB_wr7qX9A_37_0"/>
      <w:bookmarkStart w:id="105" w:name="Tc_Gp30cXDuz0upch8aHOgUsA_36_0"/>
      <w:bookmarkStart w:id="106" w:name="Tc_L9MXQGNdC0aZ003f95o9rA_35_0"/>
      <w:bookmarkStart w:id="107" w:name="Tc_qtH_cE9d80y3DeOrbY-Z_w_33_0"/>
      <w:bookmarkStart w:id="108" w:name="Tc_MfYF8UbefEOkml7ZdM1odQ_31_0"/>
      <w:bookmarkStart w:id="109" w:name="Tc_HsLokk6AjUKQb7rpGiRiOQ_30_0"/>
      <w:bookmarkStart w:id="110" w:name="Tc_-g2f1IM1aE2ejYEALPZG5w_29_0"/>
      <w:bookmarkStart w:id="111" w:name="Tc_c4YHRrglQkuEmcKM7v5OIQ_28_0"/>
      <w:bookmarkStart w:id="112" w:name="Tc_ncwEndUfmU-bKnHZ_tbgUA_27_0"/>
      <w:bookmarkStart w:id="113" w:name="Tc_vqB-Mh0D00uypD3UQrcQrw_26_0"/>
      <w:bookmarkStart w:id="114" w:name="Tc_XjS-HyT5aES9DJnJNvfwuQ_25_3"/>
      <w:bookmarkStart w:id="115" w:name="Tc_abrp_btAEEmsIafTnVJRcg_25_0"/>
      <w:bookmarkStart w:id="116" w:name="Tc_28LylrRRWEmih_iSt3Mzvw_24_0"/>
      <w:bookmarkStart w:id="117" w:name="Tc_Kq3xBqn-rkmaOgJ3Ay3b9Q_23_0"/>
      <w:bookmarkStart w:id="118" w:name="Tc_SLImKwSaCE2GV1pz-1z43w_22_0"/>
      <w:bookmarkStart w:id="119" w:name="Tc__GPqJ_1_IEGyQ5k9_t4W9Q_21_3"/>
      <w:bookmarkStart w:id="120" w:name="Tc_AtqH2Xl0YE2RHg-Meu0dCA_21_0"/>
      <w:bookmarkStart w:id="121" w:name="Tc_KghTvaG_ak-A6GWUjZY-0g_20_5"/>
      <w:bookmarkStart w:id="122" w:name="Tc_pAJImy-8skSc7IwXUbGX2g_20_2"/>
      <w:bookmarkStart w:id="123" w:name="Tc_k7QxNKzb5UWhsOG3USAhLw_20_0"/>
      <w:bookmarkStart w:id="124" w:name="Tc_khCflhnrQkCqVUAwa-PTaA_19_0"/>
      <w:bookmarkStart w:id="125" w:name="Tc__PuQki4oZ0uJvqFHLo5Cvg_18_0"/>
      <w:bookmarkStart w:id="126" w:name="Tc_hLYwkqWxYkCwxxyNy7Eqdw_17_5"/>
      <w:bookmarkStart w:id="127" w:name="Tc_Ieg8Ap08cUSsEr_twZ-nJQ_17_2"/>
      <w:bookmarkStart w:id="128" w:name="Tc_bVgHa4QjfkKEenjV9ga_mg_17_0"/>
      <w:bookmarkStart w:id="129" w:name="Tc_VqxGCFLoRUOU-EouVkPlAA_16_0"/>
      <w:bookmarkStart w:id="130" w:name="Tc_kvSRa-SLI0Ktp_d2gv-Bjw_15_0"/>
      <w:bookmarkStart w:id="131" w:name="Tc_PsmD3aMWmU6KGfkr-OXn3g_14_0"/>
      <w:bookmarkStart w:id="132" w:name="Tc_vVeFADh9ZkiyFaYEo7PYLg_13_0"/>
      <w:bookmarkStart w:id="133" w:name="Tc_jO0QLYsfek-tQ_ITxDUTyw_12_0"/>
      <w:bookmarkStart w:id="134" w:name="Tc_90MilOrI70e0Z6BLrmZN0g_11_3"/>
      <w:bookmarkStart w:id="135" w:name="Tc_U46QXCfpRUWWjs2ZXJSf4A_11_0"/>
      <w:bookmarkStart w:id="136" w:name="Tc_OMTv8Lwe7EyE--bebLB6qQ_10_0"/>
      <w:bookmarkStart w:id="137" w:name="Tc_DtVf86crg0WhYArBa7tL2w_9_0"/>
      <w:bookmarkStart w:id="138" w:name="Tc_NKmwU3NYVUCBNysLwrrqMg_8_0"/>
      <w:bookmarkStart w:id="139" w:name="Tc_baHY5RRC8EOT1Suqpq94Rg_7_0"/>
      <w:bookmarkStart w:id="140" w:name="Tc_A2PvEipQ9U-MlYtAvB0M5Q_6_0"/>
      <w:bookmarkStart w:id="141" w:name="Tc_j479R2rXlEy9wVgRaj8T6Q_5_3"/>
      <w:bookmarkStart w:id="142" w:name="Tc_tGNPMLzzN0G0_PyPd82V1w_5_0"/>
      <w:bookmarkStart w:id="143" w:name="Tc_973lXYiJDU-NcqtyqsUq7g_4_5"/>
      <w:bookmarkStart w:id="144" w:name="Tc_APlCmUl4_Uu3pShJTsH1Yw_4_2"/>
      <w:bookmarkStart w:id="145" w:name="Tc_Kcccl_y2UkyA-V1IFSijlQ_4_0"/>
      <w:bookmarkStart w:id="146" w:name="Tc_J6lDpu55HUaMchP-BOoPvw_3_0"/>
      <w:bookmarkStart w:id="147" w:name="Tc_e0V19kTMkkeY6nB3cKRQIA_2_0"/>
      <w:bookmarkStart w:id="148" w:name="Tc_LRaateiZo0esZ_hoxVPCeg_1_5"/>
      <w:bookmarkStart w:id="149" w:name="Tc_lH9hIPSvdkiw72BM2qB6aQ_1_2"/>
      <w:bookmarkStart w:id="150" w:name="_6d2b83b6_d1c6_4dea_8e24_6b7c1a1e72df"/>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6597"/>
        <w:gridCol w:w="346"/>
        <w:gridCol w:w="232"/>
        <w:gridCol w:w="1029"/>
        <w:gridCol w:w="346"/>
        <w:gridCol w:w="277"/>
        <w:gridCol w:w="1224"/>
        <w:gridCol w:w="154"/>
      </w:tblGrid>
      <w:tr>
        <w:trPr/>
        <w:tc>
          <w:tcPr>
            <w:tcW w:w="6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189095" cy="175260"/>
                      <wp:effectExtent l="0" t="0" r="0" b="0"/>
                      <wp:wrapNone/>
                      <wp:docPr id="7" name="Frame7"/>
                      <a:graphic xmlns:a="http://schemas.openxmlformats.org/drawingml/2006/main">
                        <a:graphicData uri="http://schemas.microsoft.com/office/word/2010/wordprocessingShape">
                          <wps:wsp>
                            <wps:cNvSpPr txBox="1"/>
                            <wps:spPr>
                              <a:xfrm>
                                <a:off x="0" y="0"/>
                                <a:ext cx="418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7320" cy="175260"/>
                      <wp:effectExtent l="0" t="0" r="0" b="0"/>
                      <wp:wrapNone/>
                      <wp:docPr id="9" name="Frame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3415" cy="175260"/>
                      <wp:effectExtent l="0" t="0" r="0" b="0"/>
                      <wp:wrapNone/>
                      <wp:docPr id="10" name="Frame10"/>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75895" cy="175260"/>
                      <wp:effectExtent l="0" t="0" r="0" b="0"/>
                      <wp:wrapNone/>
                      <wp:docPr id="12" name="Frame1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77240" cy="175260"/>
                      <wp:effectExtent l="0" t="0" r="0" b="0"/>
                      <wp:wrapNone/>
                      <wp:docPr id="13" name="Frame13"/>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7790" cy="175260"/>
                      <wp:effectExtent l="0" t="0" r="0" b="0"/>
                      <wp:wrapNone/>
                      <wp:docPr id="14" name="Frame1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78,902</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81,163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28,770</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9,736</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21,590</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19,076</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5,638</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115,866</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143,404</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358,170</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353,577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7,006</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right-of-use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right-of-use assets</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60,081</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43,558</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43,558</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72,494</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73,987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653,503</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718,929</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25,941</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36,508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clean fuel production tax credits</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41,115</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26,892</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78,585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Bonds payable, net</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64,247</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166,751</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100,503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retirement obligation</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198,803</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247,760</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6,954</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4,832</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500,000,000 shares authorized; 243,073,561 and 242,464,470 shares issued and outstanding at March 31,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1,300,931</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1,298,064</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(855,616)</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(834,152)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447,746</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466,337</w:t>
            </w:r>
          </w:p>
        </w:tc>
        <w:tc>
          <w:tcPr>
            <w:tcW w:w="154" w:type="dxa"/>
            <w:tcBorders/>
            <w:vAlign w:val="center"/>
          </w:tcPr>
          <w:p>
            <w:pPr>
              <w:pStyle w:val="TableContents"/>
              <w:bidi w:val="0"/>
              <w:spacing w:before="0" w:after="0"/>
              <w:ind w:left="0" w:right="0" w:hanging="0"/>
              <w:jc w:val="left"/>
              <w:rPr/>
            </w:pPr>
            <w:r>
              <w:rPr/>
              <w:t>​</w:t>
            </w:r>
          </w:p>
        </w:tc>
      </w:tr>
      <w:tr>
        <w:trPr/>
        <w:tc>
          <w:tcPr>
            <w:tcW w:w="65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653,503</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718,929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1" w:name="_0f08ab4f_c705_499b_981e_e409c9f59a5d"/>
      <w:bookmarkEnd w:id="15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152" w:name="CONSOLIDATEDSTATEMENTSOFOPERATIONS_79993"/>
      <w:bookmarkEnd w:id="152"/>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3" w:name="Tc_vF21cEqKukqTQa1F0s0_cg_25_0"/>
      <w:bookmarkStart w:id="154" w:name="Tc_ThhAXwFLAUKdEV_daFV53g_24_5"/>
      <w:bookmarkStart w:id="155" w:name="Tc_5nBF3rivi0W6IQasj2cY5w_24_2"/>
      <w:bookmarkStart w:id="156" w:name="Tc_SygvStOMYkKVTNnhrQmuyw_24_0"/>
      <w:bookmarkStart w:id="157" w:name="Tc_48-a6qISA0mbf-KC3eRsZQ_22_5"/>
      <w:bookmarkStart w:id="158" w:name="Tc_QStvG1bsaUGgK0NWNtSY0A_22_2"/>
      <w:bookmarkStart w:id="159" w:name="Tc_WDhkz3RG80GntmjZPwOnAg_22_0"/>
      <w:bookmarkStart w:id="160" w:name="Tc_1naEZVPAREiGIcA9KC1_0w_21_0"/>
      <w:bookmarkStart w:id="161" w:name="Tc_n0lE1Mwl_kaaLro2hltamw_20_0"/>
      <w:bookmarkStart w:id="162" w:name="Tc_2RwIfThim0meT0sSEFYR8w_19_0"/>
      <w:bookmarkStart w:id="163" w:name="Tc_BwY7ZLXVPk6Zyce2juC5mQ_18_0"/>
      <w:bookmarkStart w:id="164" w:name="Tc_8o6YJKTDFUS1Doznot1OUg_17_0"/>
      <w:bookmarkStart w:id="165" w:name="Tc_RL6OJq3Atka8U4cdjbJAmg_16_6"/>
      <w:bookmarkStart w:id="166" w:name="Tc_VDFcy8nL-E-q_pb8KprEAg_16_0"/>
      <w:bookmarkStart w:id="167" w:name="Tc_ovLY2IqQt0iW0E-KDmyNjA_15_0"/>
      <w:bookmarkStart w:id="168" w:name="Tc_BVTyvHNMPU6AG8tZTsONQw_14_0"/>
      <w:bookmarkStart w:id="169" w:name="Tc_ZmX5CP0wIUulU2W8gYqi4A_13_0"/>
      <w:bookmarkStart w:id="170" w:name="Tc_e-oJVM2VakCl-eb0bnllwg_12_0"/>
      <w:bookmarkStart w:id="171" w:name="Tc_-WfziHzhMESAHgXLc5ycfw_11_3"/>
      <w:bookmarkStart w:id="172" w:name="Tc_8Y_2VI5vJEORM-NxVLonug_11_0"/>
      <w:bookmarkStart w:id="173" w:name="Tc_dkXAgxNxWE6D-5Mnsz-ifg_10_3"/>
      <w:bookmarkStart w:id="174" w:name="Tc_54ybtGmaSESG_Yvlc6bS_g_10_0"/>
      <w:bookmarkStart w:id="175" w:name="Tc_Q8scZk87BkWt9O1TC363Qw_9_0"/>
      <w:bookmarkStart w:id="176" w:name="Tc_KhpRpyBHPU2D_8mR-qznLg_8_0"/>
      <w:bookmarkStart w:id="177" w:name="Tc_NPsjOo2QYUOLr388qV-_XA_7_0"/>
      <w:bookmarkStart w:id="178" w:name="Tc_UuPlO6K_Y0Wcd0DD7CIDPQ_6_0"/>
      <w:bookmarkStart w:id="179" w:name="Tc_y1r_90DLNUKltzscO-6imw_5_0"/>
      <w:bookmarkStart w:id="180" w:name="Tc_3WFx3NiOdkWSHAY8lU6Seg_4_0"/>
      <w:bookmarkStart w:id="181" w:name="Tc_bRExTXDl4EmlaUMqaTpU-Q_3_5"/>
      <w:bookmarkStart w:id="182" w:name="Tc_9pNYL6sIUkOyDTIxx7QXQw_3_2"/>
      <w:bookmarkStart w:id="183" w:name="Tc_P7PveFzKyESqSJcBfsM9_A_3_0"/>
      <w:bookmarkStart w:id="184" w:name="Tc_0iKTVaunmU64mepD4Z1bQA_2_5"/>
      <w:bookmarkStart w:id="185" w:name="Tc_J3z763npFkiYATSA1X1ipw_2_2"/>
      <w:bookmarkStart w:id="186" w:name="Tc_p6oWndJprEG0N-n5_1VvZQ_1_2"/>
      <w:bookmarkStart w:id="187" w:name="_1c0bdacb_143d_4cae_82a0_fcb38a31f497"/>
      <w:bookmarkStart w:id="188" w:name="_fef9d5dc_bf25_4aea_a74a_17295800f9cc"/>
      <w:bookmarkStart w:id="189" w:name="Tc_vF21cEqKukqTQa1F0s0_cg_25_0"/>
      <w:bookmarkStart w:id="190" w:name="Tc_ThhAXwFLAUKdEV_daFV53g_24_5"/>
      <w:bookmarkStart w:id="191" w:name="Tc_5nBF3rivi0W6IQasj2cY5w_24_2"/>
      <w:bookmarkStart w:id="192" w:name="Tc_SygvStOMYkKVTNnhrQmuyw_24_0"/>
      <w:bookmarkStart w:id="193" w:name="Tc_48-a6qISA0mbf-KC3eRsZQ_22_5"/>
      <w:bookmarkStart w:id="194" w:name="Tc_QStvG1bsaUGgK0NWNtSY0A_22_2"/>
      <w:bookmarkStart w:id="195" w:name="Tc_WDhkz3RG80GntmjZPwOnAg_22_0"/>
      <w:bookmarkStart w:id="196" w:name="Tc_1naEZVPAREiGIcA9KC1_0w_21_0"/>
      <w:bookmarkStart w:id="197" w:name="Tc_n0lE1Mwl_kaaLro2hltamw_20_0"/>
      <w:bookmarkStart w:id="198" w:name="Tc_2RwIfThim0meT0sSEFYR8w_19_0"/>
      <w:bookmarkStart w:id="199" w:name="Tc_BwY7ZLXVPk6Zyce2juC5mQ_18_0"/>
      <w:bookmarkStart w:id="200" w:name="Tc_8o6YJKTDFUS1Doznot1OUg_17_0"/>
      <w:bookmarkStart w:id="201" w:name="Tc_RL6OJq3Atka8U4cdjbJAmg_16_6"/>
      <w:bookmarkStart w:id="202" w:name="Tc_VDFcy8nL-E-q_pb8KprEAg_16_0"/>
      <w:bookmarkStart w:id="203" w:name="Tc_ovLY2IqQt0iW0E-KDmyNjA_15_0"/>
      <w:bookmarkStart w:id="204" w:name="Tc_BVTyvHNMPU6AG8tZTsONQw_14_0"/>
      <w:bookmarkStart w:id="205" w:name="Tc_ZmX5CP0wIUulU2W8gYqi4A_13_0"/>
      <w:bookmarkStart w:id="206" w:name="Tc_e-oJVM2VakCl-eb0bnllwg_12_0"/>
      <w:bookmarkStart w:id="207" w:name="Tc_-WfziHzhMESAHgXLc5ycfw_11_3"/>
      <w:bookmarkStart w:id="208" w:name="Tc_8Y_2VI5vJEORM-NxVLonug_11_0"/>
      <w:bookmarkStart w:id="209" w:name="Tc_dkXAgxNxWE6D-5Mnsz-ifg_10_3"/>
      <w:bookmarkStart w:id="210" w:name="Tc_54ybtGmaSESG_Yvlc6bS_g_10_0"/>
      <w:bookmarkStart w:id="211" w:name="Tc_Q8scZk87BkWt9O1TC363Qw_9_0"/>
      <w:bookmarkStart w:id="212" w:name="Tc_KhpRpyBHPU2D_8mR-qznLg_8_0"/>
      <w:bookmarkStart w:id="213" w:name="Tc_NPsjOo2QYUOLr388qV-_XA_7_0"/>
      <w:bookmarkStart w:id="214" w:name="Tc_UuPlO6K_Y0Wcd0DD7CIDPQ_6_0"/>
      <w:bookmarkStart w:id="215" w:name="Tc_y1r_90DLNUKltzscO-6imw_5_0"/>
      <w:bookmarkStart w:id="216" w:name="Tc_3WFx3NiOdkWSHAY8lU6Seg_4_0"/>
      <w:bookmarkStart w:id="217" w:name="Tc_bRExTXDl4EmlaUMqaTpU-Q_3_5"/>
      <w:bookmarkStart w:id="218" w:name="Tc_9pNYL6sIUkOyDTIxx7QXQw_3_2"/>
      <w:bookmarkStart w:id="219" w:name="Tc_P7PveFzKyESqSJcBfsM9_A_3_0"/>
      <w:bookmarkStart w:id="220" w:name="Tc_0iKTVaunmU64mepD4Z1bQA_2_5"/>
      <w:bookmarkStart w:id="221" w:name="Tc_J3z763npFkiYATSA1X1ipw_2_2"/>
      <w:bookmarkStart w:id="222" w:name="Tc_p6oWndJprEG0N-n5_1VvZQ_1_2"/>
      <w:bookmarkStart w:id="223" w:name="_1c0bdacb_143d_4cae_82a0_fcb38a31f497"/>
      <w:bookmarkStart w:id="224" w:name="_fef9d5dc_bf25_4aea_a74a_17295800f9cc"/>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tbl>
      <w:tblPr>
        <w:tblW w:w="9668" w:type="dxa"/>
        <w:jc w:val="left"/>
        <w:tblInd w:w="0" w:type="dxa"/>
        <w:tblLayout w:type="fixed"/>
        <w:tblCellMar>
          <w:top w:w="0" w:type="dxa"/>
          <w:left w:w="0" w:type="dxa"/>
          <w:bottom w:w="0" w:type="dxa"/>
          <w:right w:w="0" w:type="dxa"/>
        </w:tblCellMar>
      </w:tblPr>
      <w:tblGrid>
        <w:gridCol w:w="5881"/>
        <w:gridCol w:w="346"/>
        <w:gridCol w:w="211"/>
        <w:gridCol w:w="1141"/>
        <w:gridCol w:w="346"/>
        <w:gridCol w:w="211"/>
        <w:gridCol w:w="1141"/>
        <w:gridCol w:w="391"/>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734435" cy="175260"/>
                      <wp:effectExtent l="0" t="0" r="0" b="0"/>
                      <wp:wrapNone/>
                      <wp:docPr id="15" name="Frame15"/>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24535" cy="175260"/>
                      <wp:effectExtent l="0" t="0" r="0" b="0"/>
                      <wp:wrapNone/>
                      <wp:docPr id="18" name="Frame1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1" name="Frame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8285" cy="175260"/>
                      <wp:effectExtent l="0" t="0" r="0" b="0"/>
                      <wp:wrapNone/>
                      <wp:docPr id="22" name="Frame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0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91" w:type="dxa"/>
            <w:tcBorders/>
            <w:vAlign w:val="center"/>
          </w:tcPr>
          <w:p>
            <w:pPr>
              <w:pStyle w:val="TableContents"/>
              <w:bidi w:val="0"/>
              <w:spacing w:before="0" w:after="1"/>
              <w:ind w:left="0" w:right="0" w:hanging="0"/>
              <w:jc w:val="left"/>
              <w:rPr/>
            </w:pPr>
            <w:r>
              <w:rPr/>
              <w:t>  ​ ​ ​</w:t>
            </w:r>
          </w:p>
        </w:tc>
      </w:tr>
      <w:tr>
        <w:trPr/>
        <w:tc>
          <w:tcPr>
            <w:tcW w:w="5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42,948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5,622</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11,084</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4,438</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47,846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49,248</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bonds</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(16,453)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(21,351)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(21,773)</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 attributable to redeemable non-controlling interest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attributed to Gevo, Inc.</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(21,697)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(21,728)</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9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 and diluted</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236,837,191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232,027,993</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5" w:name="_62a63971_232f_460d_a6bb_b36010b8e37b"/>
      <w:bookmarkEnd w:id="225"/>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226" w:name="CONSOLIDATEDSTATEMENTSOFSTOCKHOLDERSEQUI"/>
      <w:bookmarkEnd w:id="226"/>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amounts)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27" w:name="Tc_cQOA6wZj5kW4G3lQEQrToQ_22_16"/>
      <w:bookmarkStart w:id="228" w:name="Tc_7FVvIOlpIUWM88fVNXnNxA_22_13"/>
      <w:bookmarkStart w:id="229" w:name="Tc_KEoceZ5ejEu71x_cGy9cOQ_22_10"/>
      <w:bookmarkStart w:id="230" w:name="Tc_CTf8s3gyd0GtFBBPnJDI_Q_22_7"/>
      <w:bookmarkStart w:id="231" w:name="Tc_AOZoUX8Cf0esyF4htLM3KA_22_4"/>
      <w:bookmarkStart w:id="232" w:name="Tc_ajNEQf42_06B7ohe5PcYCg_22_0"/>
      <w:bookmarkStart w:id="233" w:name="Tc_edKSeFZxjkaBCRkAXnwp2A_21_8"/>
      <w:bookmarkStart w:id="234" w:name="Tc_ekIcmmuwskCM5qqvhFj02w_21_5"/>
      <w:bookmarkStart w:id="235" w:name="Tc_TQ5zfGLGhkCPjUEMdf1Y7g_21_2"/>
      <w:bookmarkStart w:id="236" w:name="Tc_TGZk7SXBrki0uJ63xkdCCA_21_0"/>
      <w:bookmarkStart w:id="237" w:name="Tc_HAOjLDiumE2ox236nQHv0w_20_17"/>
      <w:bookmarkStart w:id="238" w:name="Tc_Yj0NhF9FVkOdt_Xl9ZKkMw_20_11"/>
      <w:bookmarkStart w:id="239" w:name="Tc_L18SW6vEHUWts5qA6fi7CA_20_0"/>
      <w:bookmarkStart w:id="240" w:name="Tc_NrXy51Sd1karxRjQd3-GIg_19_17"/>
      <w:bookmarkStart w:id="241" w:name="Tc_EOr3JcbNo0-Y0cAfUl3x4w_19_14"/>
      <w:bookmarkStart w:id="242" w:name="Tc_-RnWMlnLbUqkPjyqicxVFA_19_11"/>
      <w:bookmarkStart w:id="243" w:name="Tc_wEOZSv6250qzf963W-uBRw_19_0"/>
      <w:bookmarkStart w:id="244" w:name="Tc_oF2Z3EZEEk-iKzsz1f2f5w_18_17"/>
      <w:bookmarkStart w:id="245" w:name="Tc_PM2Fy9BiBEm7w0f39hCx9Q_18_11"/>
      <w:bookmarkStart w:id="246" w:name="Tc_kexM83zq_E6WniglK1booQ_18_5"/>
      <w:bookmarkStart w:id="247" w:name="Tc_K3RhHJPSEU67fJxt2RVcXA_18_2"/>
      <w:bookmarkStart w:id="248" w:name="Tc_fyTOzP1qz0OvGu4U4eqk7Q_18_0"/>
      <w:bookmarkStart w:id="249" w:name="Tc_H9oncozsEkOX1MgtuXoYjQ_17_14"/>
      <w:bookmarkStart w:id="250" w:name="Tc_kmjBuWkVMUOCvD2mSyxBHw_17_11"/>
      <w:bookmarkStart w:id="251" w:name="Tc_FEXCVhO36EqcBRe1kBtJZw_17_8"/>
      <w:bookmarkStart w:id="252" w:name="Tc_1PLI_TMFp0m2EofA4GIhyg_17_5"/>
      <w:bookmarkStart w:id="253" w:name="Tc_Rn7X-ZAnqkWaKaroIXoeZQ_17_2"/>
      <w:bookmarkStart w:id="254" w:name="Tc_cw1KvFDmjkaO0p-KbU29UA_17_0"/>
      <w:bookmarkStart w:id="255" w:name="Tc_38WTlBYP2Uaz0DEKSwCgsA_16_17"/>
      <w:bookmarkStart w:id="256" w:name="Tc_T9WP3D2dl0ilqeN3-2U64Q_16_16"/>
      <w:bookmarkStart w:id="257" w:name="Tc_unxTHkTDaEuDstpeqNk0vA_16_13"/>
      <w:bookmarkStart w:id="258" w:name="Tc_uX1p_0PCKUeEGL9t05FpTw_16_10"/>
      <w:bookmarkStart w:id="259" w:name="Tc_XRATJz8X80-z_kkgi3F3IQ_16_7"/>
      <w:bookmarkStart w:id="260" w:name="Tc_yfPYd-ARzEy2xieX4Z0SSQ_16_4"/>
      <w:bookmarkStart w:id="261" w:name="Tc_9T4sb-fXekixZA-drwHuiw_16_0"/>
      <w:bookmarkStart w:id="262" w:name="Tc_7xdVZQYhPkGhxCVG4hQUNw_14_16"/>
      <w:bookmarkStart w:id="263" w:name="Tc_rFt4-1bWlUeAE9PaD6BrTg_14_13"/>
      <w:bookmarkStart w:id="264" w:name="Tc_8nhytab1xU6PddIs5pmGRg_14_10"/>
      <w:bookmarkStart w:id="265" w:name="Tc_ukELaPOS2Umk9LC7-HIpPQ_14_7"/>
      <w:bookmarkStart w:id="266" w:name="Tc_HIh5AePLSkyguZteJie9Zw_14_4"/>
      <w:bookmarkStart w:id="267" w:name="Tc_Ab-5F350gEiB-W2pg60Yyw_14_0"/>
      <w:bookmarkStart w:id="268" w:name="Tc_t0hTJIN4bUioOltv6t5Lyg_13_8"/>
      <w:bookmarkStart w:id="269" w:name="Tc_1GSu7-enVEOwFa56Fj-Z1A_13_5"/>
      <w:bookmarkStart w:id="270" w:name="Tc_Sys9aqatMUSXJ6OT6TjC9g_13_2"/>
      <w:bookmarkStart w:id="271" w:name="Tc_f0f785XbFEur-3S_rYbmlg_13_0"/>
      <w:bookmarkStart w:id="272" w:name="Tc_EkPHRQRV90upCE2bGyxeew_12_8"/>
      <w:bookmarkStart w:id="273" w:name="Tc_C-R39PYrd0qHl5wI_iecMg_12_5"/>
      <w:bookmarkStart w:id="274" w:name="Tc_RpDq9SK4l0Gv-m2BnN9Ygg_12_2"/>
      <w:bookmarkStart w:id="275" w:name="Tc_xS2XqGKekEWUSVSksdt3kA_12_0"/>
      <w:bookmarkStart w:id="276" w:name="Tc_nFLPtxNk0UeoRo3LmLI6fQ_11_17"/>
      <w:bookmarkStart w:id="277" w:name="Tc_biCPBWYl0E2xMwnDlB0Mhg_11_11"/>
      <w:bookmarkStart w:id="278" w:name="Tc_UrElzIohdE-a3cptf2quBw_11_0"/>
      <w:bookmarkStart w:id="279" w:name="Tc_OdPokDjvK0204o29zpvSYA_10_17"/>
      <w:bookmarkStart w:id="280" w:name="Tc_sGV5OIkHhkmvPVm3Snhh-Q_10_11"/>
      <w:bookmarkStart w:id="281" w:name="Tc_S3HwRhD9Nk660qnT1KykRA_10_0"/>
      <w:bookmarkStart w:id="282" w:name="Tc_3SpTSwqAD0-OH9FfXZgwQA_9_17"/>
      <w:bookmarkStart w:id="283" w:name="Tc_awsACeTfn0-dpqM8QFStqg_9_11"/>
      <w:bookmarkStart w:id="284" w:name="Tc_Lu1nqtNkhki7qP7zG1dwIA_9_0"/>
      <w:bookmarkStart w:id="285" w:name="Tc_td_NYw3_DUaYPCK2abLytg_8_17"/>
      <w:bookmarkStart w:id="286" w:name="Tc_G1cFFUqPakyWhnjXOkpfug_8_11"/>
      <w:bookmarkStart w:id="287" w:name="Tc_lS-gbb4Ge0K-1V7b2lmXTA_8_5"/>
      <w:bookmarkStart w:id="288" w:name="Tc_e9MN7rkNvk-eARV6azeM-w_8_2"/>
      <w:bookmarkStart w:id="289" w:name="Tc_cEFl9rkfAkGfrK3Efycp2g_8_0"/>
      <w:bookmarkStart w:id="290" w:name="Tc_LMfwHphn-E6JTp0t24I-Uw_7_14"/>
      <w:bookmarkStart w:id="291" w:name="Tc_G2gOnEyyUEW5yX6Tuy6egw_7_11"/>
      <w:bookmarkStart w:id="292" w:name="Tc_6I7EKPTgdEq2UYz9FnKwKw_7_8"/>
      <w:bookmarkStart w:id="293" w:name="Tc_Rap9sl8_90SP5ShYB246Gw_7_5"/>
      <w:bookmarkStart w:id="294" w:name="Tc_UobtfvIlv0-WsrrTJfdw3w_7_2"/>
      <w:bookmarkStart w:id="295" w:name="Tc_DgT4HWJ_802AbBGWyEWp3w_7_0"/>
      <w:bookmarkStart w:id="296" w:name="Tc_dMSMIL0KwEOqPeEQ0FeODQ_6_13"/>
      <w:bookmarkStart w:id="297" w:name="Tc_yfz9i24n7EeBdp6LwMgxEQ_6_10"/>
      <w:bookmarkStart w:id="298" w:name="Tc_MG5_AbJnl06jnPRgChkeIg_6_7"/>
      <w:bookmarkStart w:id="299" w:name="Tc_-O8jbEgwW0W3gWGCY8_Hqw_6_4"/>
      <w:bookmarkStart w:id="300" w:name="Tc_aYRssQnJqkKWYgMQWK_aYA_6_0"/>
      <w:bookmarkStart w:id="301" w:name="Tc_wukdYEW7A02G6MWAKYkX8A_5_16"/>
      <w:bookmarkStart w:id="302" w:name="Tc_XiywOth6Yk6Q53XUZL05dg_5_13"/>
      <w:bookmarkStart w:id="303" w:name="Tc__Ci01PkZMkaju9N2Q71ihg_5_10"/>
      <w:bookmarkStart w:id="304" w:name="Tc_uEsl9YPdXkadJnR2AQJvaA_5_7"/>
      <w:bookmarkStart w:id="305" w:name="Tc_kp4Y0ulp3Eeok4wWlBhJOQ_5_4"/>
      <w:bookmarkStart w:id="306" w:name="Tc_JWD2ZPhW7UCx9oaAP1Amiw_5_2"/>
      <w:bookmarkStart w:id="307" w:name="Tc_GKjHIjQEeUygY-_3dDaSUQ_4_16"/>
      <w:bookmarkStart w:id="308" w:name="Tc_MuQdzOmQ90Wn6-lg1ZKe1g_4_13"/>
      <w:bookmarkStart w:id="309" w:name="Tc_WFwAQDjkuUOVuGGyI16ZFQ_4_10"/>
      <w:bookmarkStart w:id="310" w:name="Tc_nhL5Zmgoskqnp00AqRFj3w_4_7"/>
      <w:bookmarkStart w:id="311" w:name="Tc_MVAwJRt81EWTcWfH6gGmJw_4_2"/>
      <w:bookmarkStart w:id="312" w:name="Tc_3BeTO8_iy0yQGCLiQ3ckwQ_3_16"/>
      <w:bookmarkStart w:id="313" w:name="Tc_99ciH94xP0CLUkj4IHuIuA_2_16"/>
      <w:bookmarkStart w:id="314" w:name="Tc_RaAWoKFCq0KjV0UDfBzwqw_2_2"/>
      <w:bookmarkStart w:id="315" w:name="Tc_EIDPHOduVEeH9TzifLt1Ag_1_2"/>
      <w:bookmarkStart w:id="316" w:name="_78a4a9cb_369d_4c93_8519_a53b39122f97"/>
      <w:bookmarkStart w:id="317" w:name="Tc_cQOA6wZj5kW4G3lQEQrToQ_22_16"/>
      <w:bookmarkStart w:id="318" w:name="Tc_7FVvIOlpIUWM88fVNXnNxA_22_13"/>
      <w:bookmarkStart w:id="319" w:name="Tc_KEoceZ5ejEu71x_cGy9cOQ_22_10"/>
      <w:bookmarkStart w:id="320" w:name="Tc_CTf8s3gyd0GtFBBPnJDI_Q_22_7"/>
      <w:bookmarkStart w:id="321" w:name="Tc_AOZoUX8Cf0esyF4htLM3KA_22_4"/>
      <w:bookmarkStart w:id="322" w:name="Tc_ajNEQf42_06B7ohe5PcYCg_22_0"/>
      <w:bookmarkStart w:id="323" w:name="Tc_edKSeFZxjkaBCRkAXnwp2A_21_8"/>
      <w:bookmarkStart w:id="324" w:name="Tc_ekIcmmuwskCM5qqvhFj02w_21_5"/>
      <w:bookmarkStart w:id="325" w:name="Tc_TQ5zfGLGhkCPjUEMdf1Y7g_21_2"/>
      <w:bookmarkStart w:id="326" w:name="Tc_TGZk7SXBrki0uJ63xkdCCA_21_0"/>
      <w:bookmarkStart w:id="327" w:name="Tc_HAOjLDiumE2ox236nQHv0w_20_17"/>
      <w:bookmarkStart w:id="328" w:name="Tc_Yj0NhF9FVkOdt_Xl9ZKkMw_20_11"/>
      <w:bookmarkStart w:id="329" w:name="Tc_L18SW6vEHUWts5qA6fi7CA_20_0"/>
      <w:bookmarkStart w:id="330" w:name="Tc_NrXy51Sd1karxRjQd3-GIg_19_17"/>
      <w:bookmarkStart w:id="331" w:name="Tc_EOr3JcbNo0-Y0cAfUl3x4w_19_14"/>
      <w:bookmarkStart w:id="332" w:name="Tc_-RnWMlnLbUqkPjyqicxVFA_19_11"/>
      <w:bookmarkStart w:id="333" w:name="Tc_wEOZSv6250qzf963W-uBRw_19_0"/>
      <w:bookmarkStart w:id="334" w:name="Tc_oF2Z3EZEEk-iKzsz1f2f5w_18_17"/>
      <w:bookmarkStart w:id="335" w:name="Tc_PM2Fy9BiBEm7w0f39hCx9Q_18_11"/>
      <w:bookmarkStart w:id="336" w:name="Tc_kexM83zq_E6WniglK1booQ_18_5"/>
      <w:bookmarkStart w:id="337" w:name="Tc_K3RhHJPSEU67fJxt2RVcXA_18_2"/>
      <w:bookmarkStart w:id="338" w:name="Tc_fyTOzP1qz0OvGu4U4eqk7Q_18_0"/>
      <w:bookmarkStart w:id="339" w:name="Tc_H9oncozsEkOX1MgtuXoYjQ_17_14"/>
      <w:bookmarkStart w:id="340" w:name="Tc_kmjBuWkVMUOCvD2mSyxBHw_17_11"/>
      <w:bookmarkStart w:id="341" w:name="Tc_FEXCVhO36EqcBRe1kBtJZw_17_8"/>
      <w:bookmarkStart w:id="342" w:name="Tc_1PLI_TMFp0m2EofA4GIhyg_17_5"/>
      <w:bookmarkStart w:id="343" w:name="Tc_Rn7X-ZAnqkWaKaroIXoeZQ_17_2"/>
      <w:bookmarkStart w:id="344" w:name="Tc_cw1KvFDmjkaO0p-KbU29UA_17_0"/>
      <w:bookmarkStart w:id="345" w:name="Tc_38WTlBYP2Uaz0DEKSwCgsA_16_17"/>
      <w:bookmarkStart w:id="346" w:name="Tc_T9WP3D2dl0ilqeN3-2U64Q_16_16"/>
      <w:bookmarkStart w:id="347" w:name="Tc_unxTHkTDaEuDstpeqNk0vA_16_13"/>
      <w:bookmarkStart w:id="348" w:name="Tc_uX1p_0PCKUeEGL9t05FpTw_16_10"/>
      <w:bookmarkStart w:id="349" w:name="Tc_XRATJz8X80-z_kkgi3F3IQ_16_7"/>
      <w:bookmarkStart w:id="350" w:name="Tc_yfPYd-ARzEy2xieX4Z0SSQ_16_4"/>
      <w:bookmarkStart w:id="351" w:name="Tc_9T4sb-fXekixZA-drwHuiw_16_0"/>
      <w:bookmarkStart w:id="352" w:name="Tc_7xdVZQYhPkGhxCVG4hQUNw_14_16"/>
      <w:bookmarkStart w:id="353" w:name="Tc_rFt4-1bWlUeAE9PaD6BrTg_14_13"/>
      <w:bookmarkStart w:id="354" w:name="Tc_8nhytab1xU6PddIs5pmGRg_14_10"/>
      <w:bookmarkStart w:id="355" w:name="Tc_ukELaPOS2Umk9LC7-HIpPQ_14_7"/>
      <w:bookmarkStart w:id="356" w:name="Tc_HIh5AePLSkyguZteJie9Zw_14_4"/>
      <w:bookmarkStart w:id="357" w:name="Tc_Ab-5F350gEiB-W2pg60Yyw_14_0"/>
      <w:bookmarkStart w:id="358" w:name="Tc_t0hTJIN4bUioOltv6t5Lyg_13_8"/>
      <w:bookmarkStart w:id="359" w:name="Tc_1GSu7-enVEOwFa56Fj-Z1A_13_5"/>
      <w:bookmarkStart w:id="360" w:name="Tc_Sys9aqatMUSXJ6OT6TjC9g_13_2"/>
      <w:bookmarkStart w:id="361" w:name="Tc_f0f785XbFEur-3S_rYbmlg_13_0"/>
      <w:bookmarkStart w:id="362" w:name="Tc_EkPHRQRV90upCE2bGyxeew_12_8"/>
      <w:bookmarkStart w:id="363" w:name="Tc_C-R39PYrd0qHl5wI_iecMg_12_5"/>
      <w:bookmarkStart w:id="364" w:name="Tc_RpDq9SK4l0Gv-m2BnN9Ygg_12_2"/>
      <w:bookmarkStart w:id="365" w:name="Tc_xS2XqGKekEWUSVSksdt3kA_12_0"/>
      <w:bookmarkStart w:id="366" w:name="Tc_nFLPtxNk0UeoRo3LmLI6fQ_11_17"/>
      <w:bookmarkStart w:id="367" w:name="Tc_biCPBWYl0E2xMwnDlB0Mhg_11_11"/>
      <w:bookmarkStart w:id="368" w:name="Tc_UrElzIohdE-a3cptf2quBw_11_0"/>
      <w:bookmarkStart w:id="369" w:name="Tc_OdPokDjvK0204o29zpvSYA_10_17"/>
      <w:bookmarkStart w:id="370" w:name="Tc_sGV5OIkHhkmvPVm3Snhh-Q_10_11"/>
      <w:bookmarkStart w:id="371" w:name="Tc_S3HwRhD9Nk660qnT1KykRA_10_0"/>
      <w:bookmarkStart w:id="372" w:name="Tc_3SpTSwqAD0-OH9FfXZgwQA_9_17"/>
      <w:bookmarkStart w:id="373" w:name="Tc_awsACeTfn0-dpqM8QFStqg_9_11"/>
      <w:bookmarkStart w:id="374" w:name="Tc_Lu1nqtNkhki7qP7zG1dwIA_9_0"/>
      <w:bookmarkStart w:id="375" w:name="Tc_td_NYw3_DUaYPCK2abLytg_8_17"/>
      <w:bookmarkStart w:id="376" w:name="Tc_G1cFFUqPakyWhnjXOkpfug_8_11"/>
      <w:bookmarkStart w:id="377" w:name="Tc_lS-gbb4Ge0K-1V7b2lmXTA_8_5"/>
      <w:bookmarkStart w:id="378" w:name="Tc_e9MN7rkNvk-eARV6azeM-w_8_2"/>
      <w:bookmarkStart w:id="379" w:name="Tc_cEFl9rkfAkGfrK3Efycp2g_8_0"/>
      <w:bookmarkStart w:id="380" w:name="Tc_LMfwHphn-E6JTp0t24I-Uw_7_14"/>
      <w:bookmarkStart w:id="381" w:name="Tc_G2gOnEyyUEW5yX6Tuy6egw_7_11"/>
      <w:bookmarkStart w:id="382" w:name="Tc_6I7EKPTgdEq2UYz9FnKwKw_7_8"/>
      <w:bookmarkStart w:id="383" w:name="Tc_Rap9sl8_90SP5ShYB246Gw_7_5"/>
      <w:bookmarkStart w:id="384" w:name="Tc_UobtfvIlv0-WsrrTJfdw3w_7_2"/>
      <w:bookmarkStart w:id="385" w:name="Tc_DgT4HWJ_802AbBGWyEWp3w_7_0"/>
      <w:bookmarkStart w:id="386" w:name="Tc_dMSMIL0KwEOqPeEQ0FeODQ_6_13"/>
      <w:bookmarkStart w:id="387" w:name="Tc_yfz9i24n7EeBdp6LwMgxEQ_6_10"/>
      <w:bookmarkStart w:id="388" w:name="Tc_MG5_AbJnl06jnPRgChkeIg_6_7"/>
      <w:bookmarkStart w:id="389" w:name="Tc_-O8jbEgwW0W3gWGCY8_Hqw_6_4"/>
      <w:bookmarkStart w:id="390" w:name="Tc_aYRssQnJqkKWYgMQWK_aYA_6_0"/>
      <w:bookmarkStart w:id="391" w:name="Tc_wukdYEW7A02G6MWAKYkX8A_5_16"/>
      <w:bookmarkStart w:id="392" w:name="Tc_XiywOth6Yk6Q53XUZL05dg_5_13"/>
      <w:bookmarkStart w:id="393" w:name="Tc__Ci01PkZMkaju9N2Q71ihg_5_10"/>
      <w:bookmarkStart w:id="394" w:name="Tc_uEsl9YPdXkadJnR2AQJvaA_5_7"/>
      <w:bookmarkStart w:id="395" w:name="Tc_kp4Y0ulp3Eeok4wWlBhJOQ_5_4"/>
      <w:bookmarkStart w:id="396" w:name="Tc_JWD2ZPhW7UCx9oaAP1Amiw_5_2"/>
      <w:bookmarkStart w:id="397" w:name="Tc_GKjHIjQEeUygY-_3dDaSUQ_4_16"/>
      <w:bookmarkStart w:id="398" w:name="Tc_MuQdzOmQ90Wn6-lg1ZKe1g_4_13"/>
      <w:bookmarkStart w:id="399" w:name="Tc_WFwAQDjkuUOVuGGyI16ZFQ_4_10"/>
      <w:bookmarkStart w:id="400" w:name="Tc_nhL5Zmgoskqnp00AqRFj3w_4_7"/>
      <w:bookmarkStart w:id="401" w:name="Tc_MVAwJRt81EWTcWfH6gGmJw_4_2"/>
      <w:bookmarkStart w:id="402" w:name="Tc_3BeTO8_iy0yQGCLiQ3ckwQ_3_16"/>
      <w:bookmarkStart w:id="403" w:name="Tc_99ciH94xP0CLUkj4IHuIuA_2_16"/>
      <w:bookmarkStart w:id="404" w:name="Tc_RaAWoKFCq0KjV0UDfBzwqw_2_2"/>
      <w:bookmarkStart w:id="405" w:name="Tc_EIDPHOduVEeH9TzifLt1Ag_1_2"/>
      <w:bookmarkStart w:id="406" w:name="_78a4a9cb_369d_4c93_8519_a53b39122f97"/>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tbl>
      <w:tblPr>
        <w:tblW w:w="10205" w:type="dxa"/>
        <w:jc w:val="left"/>
        <w:tblInd w:w="0" w:type="dxa"/>
        <w:tblLayout w:type="fixed"/>
        <w:tblCellMar>
          <w:top w:w="0" w:type="dxa"/>
          <w:left w:w="0" w:type="dxa"/>
          <w:bottom w:w="0" w:type="dxa"/>
          <w:right w:w="0" w:type="dxa"/>
        </w:tblCellMar>
      </w:tblPr>
      <w:tblGrid>
        <w:gridCol w:w="2102"/>
        <w:gridCol w:w="346"/>
        <w:gridCol w:w="1006"/>
        <w:gridCol w:w="346"/>
        <w:gridCol w:w="196"/>
        <w:gridCol w:w="511"/>
        <w:gridCol w:w="346"/>
        <w:gridCol w:w="236"/>
        <w:gridCol w:w="995"/>
        <w:gridCol w:w="346"/>
        <w:gridCol w:w="226"/>
        <w:gridCol w:w="870"/>
        <w:gridCol w:w="109"/>
        <w:gridCol w:w="231"/>
        <w:gridCol w:w="819"/>
        <w:gridCol w:w="146"/>
        <w:gridCol w:w="347"/>
        <w:gridCol w:w="1027"/>
      </w:tblGrid>
      <w:tr>
        <w:trPr/>
        <w:tc>
          <w:tcPr>
            <w:tcW w:w="2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4770" cy="175260"/>
                      <wp:effectExtent l="0" t="0" r="0" b="0"/>
                      <wp:wrapNone/>
                      <wp:docPr id="23" name="Frame23"/>
                      <a:graphic xmlns:a="http://schemas.openxmlformats.org/drawingml/2006/main">
                        <a:graphicData uri="http://schemas.microsoft.com/office/word/2010/wordprocessingShape">
                          <wps:wsp>
                            <wps:cNvSpPr txBox="1"/>
                            <wps:spPr>
                              <a:xfrm>
                                <a:off x="0" y="0"/>
                                <a:ext cx="1334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38810" cy="175260"/>
                      <wp:effectExtent l="0" t="0" r="0" b="0"/>
                      <wp:wrapNone/>
                      <wp:docPr id="25" name="Frame2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24485" cy="175260"/>
                      <wp:effectExtent l="0" t="0" r="0" b="0"/>
                      <wp:wrapNone/>
                      <wp:docPr id="28" name="Frame2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9860" cy="175260"/>
                      <wp:effectExtent l="0" t="0" r="0" b="0"/>
                      <wp:wrapNone/>
                      <wp:docPr id="30" name="Frame3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31825" cy="175260"/>
                      <wp:effectExtent l="0" t="0" r="0" b="0"/>
                      <wp:wrapNone/>
                      <wp:docPr id="31" name="Frame31"/>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52450" cy="175260"/>
                      <wp:effectExtent l="0" t="0" r="0" b="0"/>
                      <wp:wrapNone/>
                      <wp:docPr id="34" name="Frame34"/>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6685" cy="175260"/>
                      <wp:effectExtent l="0" t="0" r="0" b="0"/>
                      <wp:wrapNone/>
                      <wp:docPr id="36" name="Frame3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20065" cy="175260"/>
                      <wp:effectExtent l="0" t="0" r="0" b="0"/>
                      <wp:wrapNone/>
                      <wp:docPr id="37" name="Frame37"/>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2710" cy="175260"/>
                      <wp:effectExtent l="0" t="0" r="0" b="0"/>
                      <wp:wrapNone/>
                      <wp:docPr id="38" name="Frame3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20345" cy="175260"/>
                      <wp:effectExtent l="0" t="0" r="0" b="0"/>
                      <wp:wrapNone/>
                      <wp:docPr id="39" name="Frame3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52145" cy="175260"/>
                      <wp:effectExtent l="0" t="0" r="0" b="0"/>
                      <wp:wrapNone/>
                      <wp:docPr id="40" name="Frame40"/>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757"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2026 and 2025</w:t>
            </w:r>
          </w:p>
        </w:tc>
      </w:tr>
      <w:tr>
        <w:trPr/>
        <w:tc>
          <w:tcPr>
            <w:tcW w:w="21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237"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c>
          <w:tcPr>
            <w:tcW w:w="146" w:type="dxa"/>
            <w:tcBorders/>
            <w:vAlign w:val="center"/>
          </w:tcPr>
          <w:p>
            <w:pPr>
              <w:pStyle w:val="TableContents"/>
              <w:bidi w:val="0"/>
              <w:spacing w:before="0" w:after="1"/>
              <w:ind w:left="0" w:right="0" w:hanging="0"/>
              <w:jc w:val="center"/>
              <w:rPr/>
            </w:pPr>
            <w:r>
              <w:rPr/>
              <w:t>​</w:t>
            </w:r>
          </w:p>
        </w:tc>
        <w:tc>
          <w:tcPr>
            <w:tcW w:w="13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Mezzanine Equity</w:t>
            </w:r>
          </w:p>
        </w:tc>
      </w:tr>
      <w:tr>
        <w:trPr/>
        <w:tc>
          <w:tcPr>
            <w:tcW w:w="21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6" w:type="dxa"/>
            <w:tcBorders/>
            <w:vAlign w:val="center"/>
          </w:tcPr>
          <w:p>
            <w:pPr>
              <w:pStyle w:val="TableContents"/>
              <w:bidi w:val="0"/>
              <w:spacing w:before="0" w:after="1"/>
              <w:ind w:left="0" w:right="0" w:hanging="0"/>
              <w:jc w:val="center"/>
              <w:rPr/>
            </w:pPr>
            <w:r>
              <w:rPr/>
              <w:t>​</w:t>
            </w:r>
          </w:p>
        </w:tc>
        <w:tc>
          <w:tcPr>
            <w:tcW w:w="9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87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pPr>
            <w:r>
              <w:rPr/>
              <w:t>​</w:t>
            </w:r>
          </w:p>
        </w:tc>
        <w:tc>
          <w:tcPr>
            <w:tcW w:w="819"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3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r>
      <w:tr>
        <w:trPr/>
        <w:tc>
          <w:tcPr>
            <w:tcW w:w="21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1"/>
              <w:ind w:left="0" w:right="0" w:hanging="0"/>
              <w:jc w:val="center"/>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46" w:type="dxa"/>
            <w:tcBorders/>
            <w:vAlign w:val="center"/>
          </w:tcPr>
          <w:p>
            <w:pPr>
              <w:pStyle w:val="TableContents"/>
              <w:bidi w:val="0"/>
              <w:spacing w:before="0" w:after="1"/>
              <w:ind w:left="0" w:right="0" w:hanging="0"/>
              <w:jc w:val="center"/>
              <w:rPr/>
            </w:pPr>
            <w:r>
              <w:rPr/>
              <w:t> </w:t>
            </w:r>
          </w:p>
        </w:tc>
        <w:tc>
          <w:tcPr>
            <w:tcW w:w="13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r>
      <w:tr>
        <w:trPr/>
        <w:tc>
          <w:tcPr>
            <w:tcW w:w="21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center"/>
              <w:rPr/>
            </w:pPr>
            <w:r>
              <w:rPr/>
              <w:t>​</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46" w:type="dxa"/>
            <w:tcBorders/>
            <w:vAlign w:val="center"/>
          </w:tcPr>
          <w:p>
            <w:pPr>
              <w:pStyle w:val="TableContents"/>
              <w:bidi w:val="0"/>
              <w:spacing w:before="0" w:after="1"/>
              <w:ind w:left="0" w:right="0" w:hanging="0"/>
              <w:jc w:val="left"/>
              <w:rPr/>
            </w:pPr>
            <w:r>
              <w:rPr/>
              <w:t>​</w:t>
            </w:r>
          </w:p>
        </w:tc>
        <w:tc>
          <w:tcPr>
            <w:tcW w:w="13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r>
      <w:tr>
        <w:trPr/>
        <w:tc>
          <w:tcPr>
            <w:tcW w:w="210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December 31, 2025</w:t>
            </w:r>
          </w:p>
        </w:tc>
        <w:tc>
          <w:tcPr>
            <w:tcW w:w="346" w:type="dxa"/>
            <w:tcBorders/>
            <w:shd w:fill="CCEEFF" w:val="clear"/>
            <w:vAlign w:val="center"/>
          </w:tcPr>
          <w:p>
            <w:pPr>
              <w:pStyle w:val="TableContents"/>
              <w:bidi w:val="0"/>
              <w:spacing w:before="0" w:after="1"/>
              <w:ind w:left="0" w:right="0" w:hanging="0"/>
              <w:jc w:val="left"/>
              <w:rPr/>
            </w:pPr>
            <w:r>
              <w:rPr/>
              <w:t>  ​ ​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242,464,470</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2,425</w:t>
            </w:r>
          </w:p>
        </w:tc>
        <w:tc>
          <w:tcPr>
            <w:tcW w:w="346" w:type="dxa"/>
            <w:tcBorders/>
            <w:shd w:fill="CCEEFF" w:val="clear"/>
            <w:vAlign w:val="center"/>
          </w:tcPr>
          <w:p>
            <w:pPr>
              <w:pStyle w:val="TableContents"/>
              <w:bidi w:val="0"/>
              <w:spacing w:before="0" w:after="1"/>
              <w:ind w:left="0" w:right="0" w:hanging="0"/>
              <w:jc w:val="left"/>
              <w:rPr/>
            </w:pPr>
            <w:r>
              <w:rPr/>
              <w:t>  ​ ​ ​</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1,298,064</w:t>
            </w:r>
          </w:p>
        </w:tc>
        <w:tc>
          <w:tcPr>
            <w:tcW w:w="346" w:type="dxa"/>
            <w:tcBorders/>
            <w:shd w:fill="CCEEFF" w:val="clear"/>
            <w:vAlign w:val="center"/>
          </w:tcPr>
          <w:p>
            <w:pPr>
              <w:pStyle w:val="TableContents"/>
              <w:bidi w:val="0"/>
              <w:spacing w:before="0" w:after="1"/>
              <w:ind w:left="0" w:right="0" w:hanging="0"/>
              <w:jc w:val="left"/>
              <w:rPr/>
            </w:pPr>
            <w:r>
              <w:rPr/>
              <w:t>  ​ ​ ​</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(834,152)</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466,337</w:t>
            </w:r>
          </w:p>
        </w:tc>
        <w:tc>
          <w:tcPr>
            <w:tcW w:w="1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4,832</w:t>
            </w:r>
          </w:p>
        </w:tc>
      </w:tr>
      <w:tr>
        <w:trPr/>
        <w:tc>
          <w:tcPr>
            <w:tcW w:w="21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redeemable non-controlling interest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9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81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2,009</w:t>
            </w:r>
          </w:p>
        </w:tc>
      </w:tr>
      <w:tr>
        <w:trPr/>
        <w:tc>
          <w:tcPr>
            <w:tcW w:w="21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2,103</w:t>
            </w:r>
          </w:p>
        </w:tc>
        <w:tc>
          <w:tcPr>
            <w:tcW w:w="1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awards and related share issuances, net</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701,555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99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 </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1,069</w:t>
            </w:r>
          </w:p>
        </w:tc>
        <w:tc>
          <w:tcPr>
            <w:tcW w:w="1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pPr>
            <w:r>
              <w:rPr/>
              <w:t>—</w:t>
            </w:r>
          </w:p>
        </w:tc>
      </w:tr>
      <w:tr>
        <w:trPr/>
        <w:tc>
          <w:tcPr>
            <w:tcW w:w="21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135,921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w:t>
            </w:r>
          </w:p>
        </w:tc>
        <w:tc>
          <w:tcPr>
            <w:tcW w:w="1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withheld to settle employee tax obligations</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(228,385)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99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w:t>
            </w:r>
          </w:p>
        </w:tc>
        <w:tc>
          <w:tcPr>
            <w:tcW w:w="1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pPr>
            <w:r>
              <w:rPr/>
              <w:t>—</w:t>
            </w:r>
          </w:p>
        </w:tc>
      </w:tr>
      <w:tr>
        <w:trPr/>
        <w:tc>
          <w:tcPr>
            <w:tcW w:w="21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redemption value of redeemable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99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w:t>
            </w:r>
          </w:p>
        </w:tc>
        <w:tc>
          <w:tcPr>
            <w:tcW w:w="1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w:t>
            </w:r>
          </w:p>
        </w:tc>
      </w:tr>
      <w:tr>
        <w:trPr/>
        <w:tc>
          <w:tcPr>
            <w:tcW w:w="21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(21,697)</w:t>
            </w:r>
          </w:p>
        </w:tc>
        <w:tc>
          <w:tcPr>
            <w:tcW w:w="109" w:type="dxa"/>
            <w:tcBorders/>
            <w:vAlign w:val="center"/>
          </w:tcPr>
          <w:p>
            <w:pPr>
              <w:pStyle w:val="TableContents"/>
              <w:bidi w:val="0"/>
              <w:spacing w:before="0" w:after="1"/>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(21,697)</w:t>
            </w:r>
          </w:p>
        </w:tc>
        <w:tc>
          <w:tcPr>
            <w:tcW w:w="146" w:type="dxa"/>
            <w:tcBorders/>
            <w:vAlign w:val="center"/>
          </w:tcPr>
          <w:p>
            <w:pPr>
              <w:pStyle w:val="TableContents"/>
              <w:bidi w:val="0"/>
              <w:spacing w:before="0" w:after="1"/>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w:t>
            </w:r>
          </w:p>
        </w:tc>
      </w:tr>
      <w:tr>
        <w:trPr/>
        <w:tc>
          <w:tcPr>
            <w:tcW w:w="210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243,073,561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2,431</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1,300,931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(855,616)</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447,746</w:t>
            </w:r>
          </w:p>
        </w:tc>
        <w:tc>
          <w:tcPr>
            <w:tcW w:w="146" w:type="dxa"/>
            <w:tcBorders/>
            <w:shd w:fill="CCEEFF" w:val="clear"/>
            <w:vAlign w:val="center"/>
          </w:tcPr>
          <w:p>
            <w:pPr>
              <w:pStyle w:val="TableContents"/>
              <w:bidi w:val="0"/>
              <w:spacing w:before="0" w:after="1"/>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6,954</w:t>
            </w:r>
          </w:p>
        </w:tc>
      </w:tr>
      <w:tr>
        <w:trPr/>
        <w:tc>
          <w:tcPr>
            <w:tcW w:w="21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9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left"/>
              <w:rPr/>
            </w:pPr>
            <w:r>
              <w:rPr/>
              <w:t>​</w:t>
            </w:r>
          </w:p>
        </w:tc>
      </w:tr>
      <w:tr>
        <w:trPr/>
        <w:tc>
          <w:tcPr>
            <w:tcW w:w="210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December 31, 2024</w:t>
            </w:r>
          </w:p>
        </w:tc>
        <w:tc>
          <w:tcPr>
            <w:tcW w:w="346" w:type="dxa"/>
            <w:tcBorders/>
            <w:shd w:fill="CCEEFF" w:val="clear"/>
            <w:vAlign w:val="center"/>
          </w:tcPr>
          <w:p>
            <w:pPr>
              <w:pStyle w:val="TableContents"/>
              <w:bidi w:val="0"/>
              <w:spacing w:before="0" w:after="1"/>
              <w:ind w:left="0" w:right="0" w:hanging="0"/>
              <w:jc w:val="left"/>
              <w:rPr/>
            </w:pPr>
            <w:r>
              <w:rPr/>
              <w:t>  ​ ​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239,176,293</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2,392</w:t>
            </w:r>
          </w:p>
        </w:tc>
        <w:tc>
          <w:tcPr>
            <w:tcW w:w="346" w:type="dxa"/>
            <w:tcBorders/>
            <w:shd w:fill="CCEEFF" w:val="clear"/>
            <w:vAlign w:val="center"/>
          </w:tcPr>
          <w:p>
            <w:pPr>
              <w:pStyle w:val="TableContents"/>
              <w:bidi w:val="0"/>
              <w:spacing w:before="0" w:after="1"/>
              <w:ind w:left="0" w:right="0" w:hanging="0"/>
              <w:jc w:val="left"/>
              <w:rPr/>
            </w:pPr>
            <w:r>
              <w:rPr/>
              <w:t>  ​ ​ ​</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1,287,333</w:t>
            </w:r>
          </w:p>
        </w:tc>
        <w:tc>
          <w:tcPr>
            <w:tcW w:w="346" w:type="dxa"/>
            <w:tcBorders/>
            <w:shd w:fill="CCEEFF" w:val="clear"/>
            <w:vAlign w:val="center"/>
          </w:tcPr>
          <w:p>
            <w:pPr>
              <w:pStyle w:val="TableContents"/>
              <w:bidi w:val="0"/>
              <w:spacing w:before="0" w:after="1"/>
              <w:ind w:left="0" w:right="0" w:hanging="0"/>
              <w:jc w:val="left"/>
              <w:rPr/>
            </w:pPr>
            <w:r>
              <w:rPr/>
              <w:t>  ​ ​ ​</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(800,237)</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489,488</w:t>
            </w:r>
          </w:p>
        </w:tc>
        <w:tc>
          <w:tcPr>
            <w:tcW w:w="1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redeemable non-controlling interest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9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21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1,898</w:t>
            </w:r>
          </w:p>
        </w:tc>
        <w:tc>
          <w:tcPr>
            <w:tcW w:w="1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awards and related share issuances, net</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227,270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99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 </w:t>
            </w:r>
          </w:p>
        </w:tc>
        <w:tc>
          <w:tcPr>
            <w:tcW w:w="81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pPr>
            <w:r>
              <w:rPr/>
              <w:t>—</w:t>
            </w:r>
          </w:p>
        </w:tc>
      </w:tr>
      <w:tr>
        <w:trPr/>
        <w:tc>
          <w:tcPr>
            <w:tcW w:w="21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159,432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w:t>
            </w:r>
          </w:p>
        </w:tc>
        <w:tc>
          <w:tcPr>
            <w:tcW w:w="1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(21,728)</w:t>
            </w:r>
          </w:p>
        </w:tc>
        <w:tc>
          <w:tcPr>
            <w:tcW w:w="109" w:type="dxa"/>
            <w:tcBorders/>
            <w:vAlign w:val="center"/>
          </w:tcPr>
          <w:p>
            <w:pPr>
              <w:pStyle w:val="TableContents"/>
              <w:bidi w:val="0"/>
              <w:spacing w:before="0" w:after="1"/>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(21,728)</w:t>
            </w:r>
          </w:p>
        </w:tc>
        <w:tc>
          <w:tcPr>
            <w:tcW w:w="1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210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239,562,995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2,396</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1,289,406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(821,965)</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469,837</w:t>
            </w:r>
          </w:p>
        </w:tc>
        <w:tc>
          <w:tcPr>
            <w:tcW w:w="146" w:type="dxa"/>
            <w:tcBorders/>
            <w:shd w:fill="CCEEFF" w:val="clear"/>
            <w:vAlign w:val="center"/>
          </w:tcPr>
          <w:p>
            <w:pPr>
              <w:pStyle w:val="TableContents"/>
              <w:bidi w:val="0"/>
              <w:spacing w:before="0" w:after="1"/>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4,955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407" w:name="_f40a59fb_1dca_49a6_94d0_671d01198324"/>
      <w:bookmarkEnd w:id="407"/>
      <w:r>
        <w:rPr>
          <w:rFonts w:ascii="Times New Roman;Times;serif" w:hAnsi="Times New Roman;Times;serif"/>
          <w:b/>
          <w:sz w:val="20"/>
        </w:rPr>
        <w:t>GEVO, INC.</w:t>
      </w:r>
    </w:p>
    <w:p>
      <w:pPr>
        <w:pStyle w:val="TextBody"/>
        <w:bidi w:val="0"/>
        <w:spacing w:lineRule="atLeast" w:line="200" w:before="0" w:after="0"/>
        <w:ind w:left="0" w:right="0" w:hanging="0"/>
        <w:jc w:val="center"/>
        <w:rPr>
          <w:rFonts w:ascii="Times New Roman;Times;serif" w:hAnsi="Times New Roman;Times;serif"/>
          <w:b/>
          <w:sz w:val="20"/>
        </w:rPr>
      </w:pPr>
      <w:bookmarkStart w:id="408" w:name="CONSOLIDATEDSTATEMENTSOFCASHFLOWS_224163"/>
      <w:bookmarkEnd w:id="408"/>
      <w:r>
        <w:rPr>
          <w:rFonts w:ascii="Times New Roman;Times;serif" w:hAnsi="Times New Roman;Times;serif"/>
          <w:b/>
          <w:sz w:val="20"/>
        </w:rPr>
        <w:t>CONDENSED CONSOLIDATED STATEMENTS OF CASH FLOWS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Normal"/>
        <w:bidi w:val="0"/>
        <w:spacing w:before="0" w:after="0"/>
        <w:jc w:val="left"/>
        <w:rPr>
          <w:sz w:val="4"/>
          <w:szCs w:val="4"/>
        </w:rPr>
      </w:pPr>
      <w:r>
        <w:rPr>
          <w:sz w:val="4"/>
          <w:szCs w:val="4"/>
        </w:rPr>
      </w:r>
      <w:bookmarkStart w:id="409" w:name="Tc_Bog3aMQXv0eLHOf7yAw7nQ_40_5"/>
      <w:bookmarkStart w:id="410" w:name="Tc_SJ2vvO_XFUKBkqDwNW7_vQ_40_2"/>
      <w:bookmarkStart w:id="411" w:name="Tc_QgyLAzJ8M06cCrcyDrWdMg_40_0"/>
      <w:bookmarkStart w:id="412" w:name="Tc_VWf33JmQMUimvxs2tylgTg_39_0"/>
      <w:bookmarkStart w:id="413" w:name="Tc_U7XetRtsRkmPk3-TnjafIA_38_0"/>
      <w:bookmarkStart w:id="414" w:name="Tc_Ua_3uj3fUUOqC0bC4pMEJw_37_0"/>
      <w:bookmarkStart w:id="415" w:name="Tc_FuM_9QcSe0yEeemRJE9FQw_36_6"/>
      <w:bookmarkStart w:id="416" w:name="Tc_0sQxXtridkGpsid7vmxRIQ_36_0"/>
      <w:bookmarkStart w:id="417" w:name="Tc_PobLIQS_uEOMFkiwlK4gEQ_35_0"/>
      <w:bookmarkStart w:id="418" w:name="Tc_R1Z6wzJt4U2sXcUfNxsjkA_34_0"/>
      <w:bookmarkStart w:id="419" w:name="Tc_uFR6i22wk0eNuQ6grfYbwQ_33_6"/>
      <w:bookmarkStart w:id="420" w:name="Tc_-eFatRFHjUeaOG4VKxIJAQ_33_0"/>
      <w:bookmarkStart w:id="421" w:name="Tc_2Bm9y7YjLkCQ-yiJkI3aMQ_32_3"/>
      <w:bookmarkStart w:id="422" w:name="Tc_J6W4g4n-K0WDwxoXxWJ79w_32_0"/>
      <w:bookmarkStart w:id="423" w:name="Tc_FhnrBzy96k-y1p004vsN9Q_31_0"/>
      <w:bookmarkStart w:id="424" w:name="Tc_jwKjdrX_uEK0s-5DZe83lQ_30_0"/>
      <w:bookmarkStart w:id="425" w:name="Tc_TBfcQYfSaEWypvvjybrFww_29_6"/>
      <w:bookmarkStart w:id="426" w:name="Tc_H3Khu1BIvUmw4tw8nEjl7Q_29_0"/>
      <w:bookmarkStart w:id="427" w:name="Tc_lCUZJPCIbUOE-OO7DpQZKw_28_0"/>
      <w:bookmarkStart w:id="428" w:name="Tc_VJJQiL-T7EqLqzJHfumGbg_27_0"/>
      <w:bookmarkStart w:id="429" w:name="Tc_XhscF_phMUKP2l26Df9ehQ_26_6"/>
      <w:bookmarkStart w:id="430" w:name="Tc_HGbJU26piEaTJFJInUyaLg_26_0"/>
      <w:bookmarkStart w:id="431" w:name="Tc_fXVBl83CNE-YDvBhq7660Q_25_3"/>
      <w:bookmarkStart w:id="432" w:name="Tc__aJICIC-Rkug-SVFE8tB8g_25_0"/>
      <w:bookmarkStart w:id="433" w:name="Tc_jNwaKA6Wzk6brWsGU_8naw_24_0"/>
      <w:bookmarkStart w:id="434" w:name="Tc_ZhVMB5hObEOhpGcXNdtm0A_23_0"/>
      <w:bookmarkStart w:id="435" w:name="Tc_1FTV2LIdC0i3AZvUeBeTzA_22_0"/>
      <w:bookmarkStart w:id="436" w:name="Tc_LQcu0N5PWUyR6hyT6MDFXw_21_6"/>
      <w:bookmarkStart w:id="437" w:name="Tc_BN-0oE1qWUWqn4Fi2Imr1Q_21_0"/>
      <w:bookmarkStart w:id="438" w:name="Tc_6AGYIJ2AUEi3BoxraEV7yg_20_0"/>
      <w:bookmarkStart w:id="439" w:name="Tc__PEu-oDEK0W9NAiB-G5fVw_19_0"/>
      <w:bookmarkStart w:id="440" w:name="Tc_3Gt2Ljin5kqVWZXTiaagKg_18_0"/>
      <w:bookmarkStart w:id="441" w:name="Tc_tUql36MTwEqMw_nwMAm1hA_17_0"/>
      <w:bookmarkStart w:id="442" w:name="Tc_gLHskdJBm0CnCNA02dWvvQ_16_0"/>
      <w:bookmarkStart w:id="443" w:name="Tc_W6DJF6lKhEaFD3lA3iUCmg_15_0"/>
      <w:bookmarkStart w:id="444" w:name="Tc_RjoXsqPuN0ClY8qiNpkoEg_14_0"/>
      <w:bookmarkStart w:id="445" w:name="Tc__d-N-Bo2LkeLNBPAYihYJw_13_6"/>
      <w:bookmarkStart w:id="446" w:name="Tc_9x_k6RkEvEe68b5cx70rGg_13_3"/>
      <w:bookmarkStart w:id="447" w:name="Tc_rZOcqZou_Eydy60iklo9NA_13_0"/>
      <w:bookmarkStart w:id="448" w:name="Tc_JSgg5_QoQ0qUeYyFFH_SHg_12_0"/>
      <w:bookmarkStart w:id="449" w:name="Tc_GD1ySIBhqEqfWxLrB1DTRQ_11_6"/>
      <w:bookmarkStart w:id="450" w:name="Tc_jEW5pSTFk0eOoRtEs_7uwg_11_0"/>
      <w:bookmarkStart w:id="451" w:name="Tc_CXaHTqk8BEir8AfiyWN-1A_10_0"/>
      <w:bookmarkStart w:id="452" w:name="Tc_j5CHQi1hGEawWMVjisuRwQ_9_0"/>
      <w:bookmarkStart w:id="453" w:name="Tc_ueTwdnN1PUyvMZiSUNifyg_8_0"/>
      <w:bookmarkStart w:id="454" w:name="Tc_ytU4sjIiEkun20EU446MIg_7_6"/>
      <w:bookmarkStart w:id="455" w:name="Tc_EzDHT2HoZ0CO27WIAvj9QA_7_0"/>
      <w:bookmarkStart w:id="456" w:name="Tc_UXwSoJEuQ0ukUMzM_E8juA_6_6"/>
      <w:bookmarkStart w:id="457" w:name="Tc_IEmvBBu0WkqocG3SxNLN8A_6_0"/>
      <w:bookmarkStart w:id="458" w:name="Tc_qaDe6ELxm0WEqfOvaSVFEw_5_0"/>
      <w:bookmarkStart w:id="459" w:name="Tc_L08J-hMcx0qChFKxmlJwpw_4_5"/>
      <w:bookmarkStart w:id="460" w:name="Tc_Zs2s2yAFvkC1jCuGtt2odA_4_2"/>
      <w:bookmarkStart w:id="461" w:name="Tc_8VugBR_P-0SEYos-SgvtPg_4_0"/>
      <w:bookmarkStart w:id="462" w:name="Tc_8v18wiC7MU-m9vjKzoJVXw_3_0"/>
      <w:bookmarkStart w:id="463" w:name="Tc_OvNCuQVGxUmTGfhnRPjUlg_2_5"/>
      <w:bookmarkStart w:id="464" w:name="Tc_y_kaCA3oU0Sh1Aezo_4DyQ_2_2"/>
      <w:bookmarkStart w:id="465" w:name="Tc_lXWZNMYOB0K5whX9MmcDVQ_1_2"/>
      <w:bookmarkStart w:id="466" w:name="_75ea06c2_783f_429f_b903_71e05484714d"/>
      <w:bookmarkStart w:id="467" w:name="Tc_Bog3aMQXv0eLHOf7yAw7nQ_40_5"/>
      <w:bookmarkStart w:id="468" w:name="Tc_SJ2vvO_XFUKBkqDwNW7_vQ_40_2"/>
      <w:bookmarkStart w:id="469" w:name="Tc_QgyLAzJ8M06cCrcyDrWdMg_40_0"/>
      <w:bookmarkStart w:id="470" w:name="Tc_VWf33JmQMUimvxs2tylgTg_39_0"/>
      <w:bookmarkStart w:id="471" w:name="Tc_U7XetRtsRkmPk3-TnjafIA_38_0"/>
      <w:bookmarkStart w:id="472" w:name="Tc_Ua_3uj3fUUOqC0bC4pMEJw_37_0"/>
      <w:bookmarkStart w:id="473" w:name="Tc_FuM_9QcSe0yEeemRJE9FQw_36_6"/>
      <w:bookmarkStart w:id="474" w:name="Tc_0sQxXtridkGpsid7vmxRIQ_36_0"/>
      <w:bookmarkStart w:id="475" w:name="Tc_PobLIQS_uEOMFkiwlK4gEQ_35_0"/>
      <w:bookmarkStart w:id="476" w:name="Tc_R1Z6wzJt4U2sXcUfNxsjkA_34_0"/>
      <w:bookmarkStart w:id="477" w:name="Tc_uFR6i22wk0eNuQ6grfYbwQ_33_6"/>
      <w:bookmarkStart w:id="478" w:name="Tc_-eFatRFHjUeaOG4VKxIJAQ_33_0"/>
      <w:bookmarkStart w:id="479" w:name="Tc_2Bm9y7YjLkCQ-yiJkI3aMQ_32_3"/>
      <w:bookmarkStart w:id="480" w:name="Tc_J6W4g4n-K0WDwxoXxWJ79w_32_0"/>
      <w:bookmarkStart w:id="481" w:name="Tc_FhnrBzy96k-y1p004vsN9Q_31_0"/>
      <w:bookmarkStart w:id="482" w:name="Tc_jwKjdrX_uEK0s-5DZe83lQ_30_0"/>
      <w:bookmarkStart w:id="483" w:name="Tc_TBfcQYfSaEWypvvjybrFww_29_6"/>
      <w:bookmarkStart w:id="484" w:name="Tc_H3Khu1BIvUmw4tw8nEjl7Q_29_0"/>
      <w:bookmarkStart w:id="485" w:name="Tc_lCUZJPCIbUOE-OO7DpQZKw_28_0"/>
      <w:bookmarkStart w:id="486" w:name="Tc_VJJQiL-T7EqLqzJHfumGbg_27_0"/>
      <w:bookmarkStart w:id="487" w:name="Tc_XhscF_phMUKP2l26Df9ehQ_26_6"/>
      <w:bookmarkStart w:id="488" w:name="Tc_HGbJU26piEaTJFJInUyaLg_26_0"/>
      <w:bookmarkStart w:id="489" w:name="Tc_fXVBl83CNE-YDvBhq7660Q_25_3"/>
      <w:bookmarkStart w:id="490" w:name="Tc__aJICIC-Rkug-SVFE8tB8g_25_0"/>
      <w:bookmarkStart w:id="491" w:name="Tc_jNwaKA6Wzk6brWsGU_8naw_24_0"/>
      <w:bookmarkStart w:id="492" w:name="Tc_ZhVMB5hObEOhpGcXNdtm0A_23_0"/>
      <w:bookmarkStart w:id="493" w:name="Tc_1FTV2LIdC0i3AZvUeBeTzA_22_0"/>
      <w:bookmarkStart w:id="494" w:name="Tc_LQcu0N5PWUyR6hyT6MDFXw_21_6"/>
      <w:bookmarkStart w:id="495" w:name="Tc_BN-0oE1qWUWqn4Fi2Imr1Q_21_0"/>
      <w:bookmarkStart w:id="496" w:name="Tc_6AGYIJ2AUEi3BoxraEV7yg_20_0"/>
      <w:bookmarkStart w:id="497" w:name="Tc__PEu-oDEK0W9NAiB-G5fVw_19_0"/>
      <w:bookmarkStart w:id="498" w:name="Tc_3Gt2Ljin5kqVWZXTiaagKg_18_0"/>
      <w:bookmarkStart w:id="499" w:name="Tc_tUql36MTwEqMw_nwMAm1hA_17_0"/>
      <w:bookmarkStart w:id="500" w:name="Tc_gLHskdJBm0CnCNA02dWvvQ_16_0"/>
      <w:bookmarkStart w:id="501" w:name="Tc_W6DJF6lKhEaFD3lA3iUCmg_15_0"/>
      <w:bookmarkStart w:id="502" w:name="Tc_RjoXsqPuN0ClY8qiNpkoEg_14_0"/>
      <w:bookmarkStart w:id="503" w:name="Tc__d-N-Bo2LkeLNBPAYihYJw_13_6"/>
      <w:bookmarkStart w:id="504" w:name="Tc_9x_k6RkEvEe68b5cx70rGg_13_3"/>
      <w:bookmarkStart w:id="505" w:name="Tc_rZOcqZou_Eydy60iklo9NA_13_0"/>
      <w:bookmarkStart w:id="506" w:name="Tc_JSgg5_QoQ0qUeYyFFH_SHg_12_0"/>
      <w:bookmarkStart w:id="507" w:name="Tc_GD1ySIBhqEqfWxLrB1DTRQ_11_6"/>
      <w:bookmarkStart w:id="508" w:name="Tc_jEW5pSTFk0eOoRtEs_7uwg_11_0"/>
      <w:bookmarkStart w:id="509" w:name="Tc_CXaHTqk8BEir8AfiyWN-1A_10_0"/>
      <w:bookmarkStart w:id="510" w:name="Tc_j5CHQi1hGEawWMVjisuRwQ_9_0"/>
      <w:bookmarkStart w:id="511" w:name="Tc_ueTwdnN1PUyvMZiSUNifyg_8_0"/>
      <w:bookmarkStart w:id="512" w:name="Tc_ytU4sjIiEkun20EU446MIg_7_6"/>
      <w:bookmarkStart w:id="513" w:name="Tc_EzDHT2HoZ0CO27WIAvj9QA_7_0"/>
      <w:bookmarkStart w:id="514" w:name="Tc_UXwSoJEuQ0ukUMzM_E8juA_6_6"/>
      <w:bookmarkStart w:id="515" w:name="Tc_IEmvBBu0WkqocG3SxNLN8A_6_0"/>
      <w:bookmarkStart w:id="516" w:name="Tc_qaDe6ELxm0WEqfOvaSVFEw_5_0"/>
      <w:bookmarkStart w:id="517" w:name="Tc_L08J-hMcx0qChFKxmlJwpw_4_5"/>
      <w:bookmarkStart w:id="518" w:name="Tc_Zs2s2yAFvkC1jCuGtt2odA_4_2"/>
      <w:bookmarkStart w:id="519" w:name="Tc_8VugBR_P-0SEYos-SgvtPg_4_0"/>
      <w:bookmarkStart w:id="520" w:name="Tc_8v18wiC7MU-m9vjKzoJVXw_3_0"/>
      <w:bookmarkStart w:id="521" w:name="Tc_OvNCuQVGxUmTGfhnRPjUlg_2_5"/>
      <w:bookmarkStart w:id="522" w:name="Tc_y_kaCA3oU0Sh1Aezo_4DyQ_2_2"/>
      <w:bookmarkStart w:id="523" w:name="Tc_lXWZNMYOB0K5whX9MmcDVQ_1_2"/>
      <w:bookmarkStart w:id="524" w:name="_75ea06c2_783f_429f_b903_71e05484714d"/>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tbl>
      <w:tblPr>
        <w:tblW w:w="8887" w:type="dxa"/>
        <w:jc w:val="left"/>
        <w:tblInd w:w="0" w:type="dxa"/>
        <w:tblLayout w:type="fixed"/>
        <w:tblCellMar>
          <w:top w:w="0" w:type="dxa"/>
          <w:left w:w="0" w:type="dxa"/>
          <w:bottom w:w="0" w:type="dxa"/>
          <w:right w:w="0" w:type="dxa"/>
        </w:tblCellMar>
      </w:tblPr>
      <w:tblGrid>
        <w:gridCol w:w="6031"/>
        <w:gridCol w:w="346"/>
        <w:gridCol w:w="211"/>
        <w:gridCol w:w="796"/>
        <w:gridCol w:w="346"/>
        <w:gridCol w:w="211"/>
        <w:gridCol w:w="94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829685" cy="175260"/>
                      <wp:effectExtent l="0" t="0" r="0" b="0"/>
                      <wp:wrapNone/>
                      <wp:docPr id="41" name="Frame41"/>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05460" cy="175260"/>
                      <wp:effectExtent l="0" t="0" r="0" b="0"/>
                      <wp:wrapNone/>
                      <wp:docPr id="44" name="Frame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00710" cy="175260"/>
                      <wp:effectExtent l="0" t="0" r="0" b="0"/>
                      <wp:wrapNone/>
                      <wp:docPr id="47" name="Frame4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March 31, </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loss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(21,351)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(21,773)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Loss on disposal of property and equipment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extinguishment of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1,898</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5,622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 in fair value of derivative instruments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(2,732)</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Production tax credits generated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(16,953)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deferred financing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178</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Write-off of deferred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non-cash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471</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 net of effects of acquisition: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receivable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(4,355)</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 deposits and other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(2,264)</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 accrued expenses and non-current liabilities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Clean fuel production tax credit proceeds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used in operating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(21,140)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(24,048)</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Acquisitions of property, plant and equipment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(5,834)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Acquisition of Red Trail Energy,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(198,461)</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Issuance of note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(204,295)</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Financing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Redemption of bonds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(68,155)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Term loan proceeds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105,000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Payment of debt issuance costs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(5,480)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Non-controlling interest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Payment of prepayment penalty on redemption of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the exercise of stock options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Payment of finance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 to cover employee tax withholding on equity vesting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(used in) provided by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104,242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decrease in cash and cash equivalents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(38,037)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(124,101)</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259,033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cash equivalents and restricted cash at end of period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78,902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134,932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(Continued)</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25" w:name="Tc_waf04qpYNECf9H4sOopYJg_6_5"/>
      <w:bookmarkStart w:id="526" w:name="Tc_HlbgeqQg5EekNdYkbSsT4Q_6_2"/>
      <w:bookmarkStart w:id="527" w:name="Tc_nH2LU09KKEqczm8vOvhE-w_6_0"/>
      <w:bookmarkStart w:id="528" w:name="Tc_q1UfulBPpku7uw9P4deEJA_5_3"/>
      <w:bookmarkStart w:id="529" w:name="Tc_XYcFOzLsCke8oxh3USEpbQ_5_0"/>
      <w:bookmarkStart w:id="530" w:name="Tc_uiK2-k16dEuw1U31SfzBKQ_4_3"/>
      <w:bookmarkStart w:id="531" w:name="Tc_RW2Cz5rQf0WD4bpAjcr1yw_4_0"/>
      <w:bookmarkStart w:id="532" w:name="Tc_tSR4NxSFlUKkuObnUXr04w_3_5"/>
      <w:bookmarkStart w:id="533" w:name="Tc_p1bd0-Ocv024xSyiv7inzA_3_2"/>
      <w:bookmarkStart w:id="534" w:name="Tc_1F4wAg_9zE2FiCnkzxJ85Q_3_0"/>
      <w:bookmarkStart w:id="535" w:name="Tc_VnM-M8s2ok6Y_sjqTS84vw_2_5"/>
      <w:bookmarkStart w:id="536" w:name="Tc_ZysiV_-awkOBOJYX1WhkYw_2_2"/>
      <w:bookmarkStart w:id="537" w:name="Tc_yvtfMec2AEK8XO5Ft1C8ZQ_2_0"/>
      <w:bookmarkStart w:id="538" w:name="Tc_dOjgTysnBESHX_XHlcJt4w_1_2"/>
      <w:bookmarkStart w:id="539" w:name="_a9c348a3_a5d0_4d9f_8481_89902312bf21"/>
      <w:bookmarkStart w:id="540" w:name="Tc_waf04qpYNECf9H4sOopYJg_6_5"/>
      <w:bookmarkStart w:id="541" w:name="Tc_HlbgeqQg5EekNdYkbSsT4Q_6_2"/>
      <w:bookmarkStart w:id="542" w:name="Tc_nH2LU09KKEqczm8vOvhE-w_6_0"/>
      <w:bookmarkStart w:id="543" w:name="Tc_q1UfulBPpku7uw9P4deEJA_5_3"/>
      <w:bookmarkStart w:id="544" w:name="Tc_XYcFOzLsCke8oxh3USEpbQ_5_0"/>
      <w:bookmarkStart w:id="545" w:name="Tc_uiK2-k16dEuw1U31SfzBKQ_4_3"/>
      <w:bookmarkStart w:id="546" w:name="Tc_RW2Cz5rQf0WD4bpAjcr1yw_4_0"/>
      <w:bookmarkStart w:id="547" w:name="Tc_tSR4NxSFlUKkuObnUXr04w_3_5"/>
      <w:bookmarkStart w:id="548" w:name="Tc_p1bd0-Ocv024xSyiv7inzA_3_2"/>
      <w:bookmarkStart w:id="549" w:name="Tc_1F4wAg_9zE2FiCnkzxJ85Q_3_0"/>
      <w:bookmarkStart w:id="550" w:name="Tc_VnM-M8s2ok6Y_sjqTS84vw_2_5"/>
      <w:bookmarkStart w:id="551" w:name="Tc_ZysiV_-awkOBOJYX1WhkYw_2_2"/>
      <w:bookmarkStart w:id="552" w:name="Tc_yvtfMec2AEK8XO5Ft1C8ZQ_2_0"/>
      <w:bookmarkStart w:id="553" w:name="Tc_dOjgTysnBESHX_XHlcJt4w_1_2"/>
      <w:bookmarkStart w:id="554" w:name="_a9c348a3_a5d0_4d9f_8481_89902312bf21"/>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tbl>
      <w:tblPr>
        <w:tblW w:w="6787" w:type="dxa"/>
        <w:jc w:val="left"/>
        <w:tblInd w:w="0" w:type="dxa"/>
        <w:tblLayout w:type="fixed"/>
        <w:tblCellMar>
          <w:top w:w="0" w:type="dxa"/>
          <w:left w:w="0" w:type="dxa"/>
          <w:bottom w:w="0" w:type="dxa"/>
          <w:right w:w="0" w:type="dxa"/>
        </w:tblCellMar>
      </w:tblPr>
      <w:tblGrid>
        <w:gridCol w:w="4111"/>
        <w:gridCol w:w="346"/>
        <w:gridCol w:w="211"/>
        <w:gridCol w:w="676"/>
        <w:gridCol w:w="346"/>
        <w:gridCol w:w="211"/>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610485" cy="175260"/>
                      <wp:effectExtent l="0" t="0" r="0" b="0"/>
                      <wp:wrapNone/>
                      <wp:docPr id="48" name="Frame48"/>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9260" cy="175260"/>
                      <wp:effectExtent l="0" t="0" r="0" b="0"/>
                      <wp:wrapNone/>
                      <wp:docPr id="51" name="Frame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62610" cy="175260"/>
                      <wp:effectExtent l="0" t="0" r="0" b="0"/>
                      <wp:wrapNone/>
                      <wp:docPr id="54" name="Frame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March 31, </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Schedule of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65,288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 (current)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68,155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78,902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134,932</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5" w:name="Tc_dBm1yMqgpkSUIgCO1Yr-Ow_8_5"/>
      <w:bookmarkStart w:id="556" w:name="Tc_DX_Re1SQXEGRn_-6SznKdw_8_2"/>
      <w:bookmarkStart w:id="557" w:name="Tc_agB8CJOWfE-qBOKJ7LmcAg_8_0"/>
      <w:bookmarkStart w:id="558" w:name="Tc_mOtLUzra7EyknNDtSIdR9Q_7_6"/>
      <w:bookmarkStart w:id="559" w:name="Tc_5hYsQtKWXEyMF6ui589yUw_7_5"/>
      <w:bookmarkStart w:id="560" w:name="Tc_sObWbRyJmk2lF2v2Z0kEKw_7_2"/>
      <w:bookmarkStart w:id="561" w:name="Tc_l4lR7fReCkieJ1xfEWcTIg_7_0"/>
      <w:bookmarkStart w:id="562" w:name="Tc_uwQOukA2DUWuRdwNHbBOyw_6_6"/>
      <w:bookmarkStart w:id="563" w:name="Tc_Wr8iZxZ71Em36sdStNIaBA_6_5"/>
      <w:bookmarkStart w:id="564" w:name="Tc_-R6q8YOtqEiQ1tiiTRyqPQ_6_2"/>
      <w:bookmarkStart w:id="565" w:name="Tc_nHGf_zZOd0aaEabnbcRulg_6_0"/>
      <w:bookmarkStart w:id="566" w:name="Tc_Lwh8QyPzN0iblOHGlCV3Eg_5_5"/>
      <w:bookmarkStart w:id="567" w:name="Tc_u6teAJqn2UW_98dCK2Xolw_5_2"/>
      <w:bookmarkStart w:id="568" w:name="Tc_tJOKnDBo5UGAXDYIR6rVQw_5_0"/>
      <w:bookmarkStart w:id="569" w:name="Tc_nDN2vg_DL0y62BXxCy8DVQ_4_6"/>
      <w:bookmarkStart w:id="570" w:name="Tc_0FF9avQqekiBoohTlnUGWw_4_5"/>
      <w:bookmarkStart w:id="571" w:name="Tc_0jucaUa2mES_w0FbPL7ULw_4_2"/>
      <w:bookmarkStart w:id="572" w:name="Tc_0aWZTVhKhUSkoEMUT3FVIA_4_0"/>
      <w:bookmarkStart w:id="573" w:name="Tc_6N32YBaW9k-XTrlo1MHRYA_3_5"/>
      <w:bookmarkStart w:id="574" w:name="Tc_szCb0cIDK0yDzrlwCWjNMw_3_2"/>
      <w:bookmarkStart w:id="575" w:name="Tc_UBqvcFrA-0mholCP9QvPyA_3_0"/>
      <w:bookmarkStart w:id="576" w:name="Tc_L13zSt6-SUW1sU8xmeYCbg_2_5"/>
      <w:bookmarkStart w:id="577" w:name="Tc_dVGy43Wp5UGLZbIpY7GZuQ_2_2"/>
      <w:bookmarkStart w:id="578" w:name="Tc_C3h4Tn_7CkORVy5G42vIHA_2_0"/>
      <w:bookmarkStart w:id="579" w:name="Tc_rnciFP4j4k2jktdo-erndw_1_2"/>
      <w:bookmarkStart w:id="580" w:name="_848ee656_dc8b_440b_bd65_52abb7af0673"/>
      <w:bookmarkStart w:id="581" w:name="Tc_dBm1yMqgpkSUIgCO1Yr-Ow_8_5"/>
      <w:bookmarkStart w:id="582" w:name="Tc_DX_Re1SQXEGRn_-6SznKdw_8_2"/>
      <w:bookmarkStart w:id="583" w:name="Tc_agB8CJOWfE-qBOKJ7LmcAg_8_0"/>
      <w:bookmarkStart w:id="584" w:name="Tc_mOtLUzra7EyknNDtSIdR9Q_7_6"/>
      <w:bookmarkStart w:id="585" w:name="Tc_5hYsQtKWXEyMF6ui589yUw_7_5"/>
      <w:bookmarkStart w:id="586" w:name="Tc_sObWbRyJmk2lF2v2Z0kEKw_7_2"/>
      <w:bookmarkStart w:id="587" w:name="Tc_l4lR7fReCkieJ1xfEWcTIg_7_0"/>
      <w:bookmarkStart w:id="588" w:name="Tc_uwQOukA2DUWuRdwNHbBOyw_6_6"/>
      <w:bookmarkStart w:id="589" w:name="Tc_Wr8iZxZ71Em36sdStNIaBA_6_5"/>
      <w:bookmarkStart w:id="590" w:name="Tc_-R6q8YOtqEiQ1tiiTRyqPQ_6_2"/>
      <w:bookmarkStart w:id="591" w:name="Tc_nHGf_zZOd0aaEabnbcRulg_6_0"/>
      <w:bookmarkStart w:id="592" w:name="Tc_Lwh8QyPzN0iblOHGlCV3Eg_5_5"/>
      <w:bookmarkStart w:id="593" w:name="Tc_u6teAJqn2UW_98dCK2Xolw_5_2"/>
      <w:bookmarkStart w:id="594" w:name="Tc_tJOKnDBo5UGAXDYIR6rVQw_5_0"/>
      <w:bookmarkStart w:id="595" w:name="Tc_nDN2vg_DL0y62BXxCy8DVQ_4_6"/>
      <w:bookmarkStart w:id="596" w:name="Tc_0FF9avQqekiBoohTlnUGWw_4_5"/>
      <w:bookmarkStart w:id="597" w:name="Tc_0jucaUa2mES_w0FbPL7ULw_4_2"/>
      <w:bookmarkStart w:id="598" w:name="Tc_0aWZTVhKhUSkoEMUT3FVIA_4_0"/>
      <w:bookmarkStart w:id="599" w:name="Tc_6N32YBaW9k-XTrlo1MHRYA_3_5"/>
      <w:bookmarkStart w:id="600" w:name="Tc_szCb0cIDK0yDzrlwCWjNMw_3_2"/>
      <w:bookmarkStart w:id="601" w:name="Tc_UBqvcFrA-0mholCP9QvPyA_3_0"/>
      <w:bookmarkStart w:id="602" w:name="Tc_L13zSt6-SUW1sU8xmeYCbg_2_5"/>
      <w:bookmarkStart w:id="603" w:name="Tc_dVGy43Wp5UGLZbIpY7GZuQ_2_2"/>
      <w:bookmarkStart w:id="604" w:name="Tc_C3h4Tn_7CkORVy5G42vIHA_2_0"/>
      <w:bookmarkStart w:id="605" w:name="Tc_rnciFP4j4k2jktdo-erndw_1_2"/>
      <w:bookmarkStart w:id="606" w:name="_848ee656_dc8b_440b_bd65_52abb7af0673"/>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tbl>
      <w:tblPr>
        <w:tblW w:w="9228" w:type="dxa"/>
        <w:jc w:val="left"/>
        <w:tblInd w:w="0" w:type="dxa"/>
        <w:tblLayout w:type="fixed"/>
        <w:tblCellMar>
          <w:top w:w="0" w:type="dxa"/>
          <w:left w:w="0" w:type="dxa"/>
          <w:bottom w:w="0" w:type="dxa"/>
          <w:right w:w="0" w:type="dxa"/>
        </w:tblCellMar>
      </w:tblPr>
      <w:tblGrid>
        <w:gridCol w:w="6481"/>
        <w:gridCol w:w="346"/>
        <w:gridCol w:w="248"/>
        <w:gridCol w:w="672"/>
        <w:gridCol w:w="407"/>
        <w:gridCol w:w="248"/>
        <w:gridCol w:w="672"/>
        <w:gridCol w:w="154"/>
      </w:tblGrid>
      <w:tr>
        <w:trPr/>
        <w:tc>
          <w:tcPr>
            <w:tcW w:w="6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115435" cy="175260"/>
                      <wp:effectExtent l="0" t="0" r="0" b="0"/>
                      <wp:wrapNone/>
                      <wp:docPr id="55" name="Frame55"/>
                      <a:graphic xmlns:a="http://schemas.openxmlformats.org/drawingml/2006/main">
                        <a:graphicData uri="http://schemas.microsoft.com/office/word/2010/wordprocessingShape">
                          <wps:wsp>
                            <wps:cNvSpPr txBox="1"/>
                            <wps:spPr>
                              <a:xfrm>
                                <a:off x="0" y="0"/>
                                <a:ext cx="411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7480" cy="175260"/>
                      <wp:effectExtent l="0" t="0" r="0" b="0"/>
                      <wp:wrapNone/>
                      <wp:docPr id="57" name="Frame5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26720" cy="175260"/>
                      <wp:effectExtent l="0" t="0" r="0" b="0"/>
                      <wp:wrapNone/>
                      <wp:docPr id="58" name="Frame58"/>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58445" cy="175260"/>
                      <wp:effectExtent l="0" t="0" r="0" b="0"/>
                      <wp:wrapNone/>
                      <wp:docPr id="59" name="Frame59"/>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7480" cy="175260"/>
                      <wp:effectExtent l="0" t="0" r="0" b="0"/>
                      <wp:wrapNone/>
                      <wp:docPr id="60" name="Frame6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26720" cy="175260"/>
                      <wp:effectExtent l="0" t="0" r="0" b="0"/>
                      <wp:wrapNone/>
                      <wp:docPr id="61" name="Frame61"/>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7790" cy="175260"/>
                      <wp:effectExtent l="0" t="0" r="0" b="0"/>
                      <wp:wrapNone/>
                      <wp:docPr id="62" name="Frame6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March 31, </w:t>
            </w:r>
          </w:p>
        </w:tc>
        <w:tc>
          <w:tcPr>
            <w:tcW w:w="154" w:type="dxa"/>
            <w:tcBorders/>
            <w:vAlign w:val="center"/>
          </w:tcPr>
          <w:p>
            <w:pPr>
              <w:pStyle w:val="TableContents"/>
              <w:bidi w:val="0"/>
              <w:spacing w:before="0" w:after="1"/>
              <w:ind w:left="0" w:right="0" w:hanging="0"/>
              <w:jc w:val="center"/>
              <w:rPr/>
            </w:pPr>
            <w:r>
              <w:rPr/>
              <w:t>​</w:t>
            </w:r>
          </w:p>
        </w:tc>
      </w:tr>
      <w:tr>
        <w:trPr/>
        <w:tc>
          <w:tcPr>
            <w:tcW w:w="648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Supplemental disclosures of cash and non-cash investing and financing transactions</w:t>
            </w:r>
          </w:p>
        </w:tc>
        <w:tc>
          <w:tcPr>
            <w:tcW w:w="346" w:type="dxa"/>
            <w:tcBorders/>
            <w:vAlign w:val="center"/>
          </w:tcPr>
          <w:p>
            <w:pPr>
              <w:pStyle w:val="TableContents"/>
              <w:bidi w:val="0"/>
              <w:spacing w:before="0" w:after="1"/>
              <w:ind w:left="0" w:right="0" w:hanging="0"/>
              <w:jc w:val="center"/>
              <w:rPr/>
            </w:pPr>
            <w:r>
              <w:rPr/>
              <w:t>​</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407" w:type="dxa"/>
            <w:tcBorders/>
            <w:vAlign w:val="center"/>
          </w:tcPr>
          <w:p>
            <w:pPr>
              <w:pStyle w:val="TableContents"/>
              <w:bidi w:val="0"/>
              <w:spacing w:before="0" w:after="1"/>
              <w:ind w:left="0" w:right="0" w:hanging="0"/>
              <w:jc w:val="center"/>
              <w:rPr/>
            </w:pPr>
            <w:r>
              <w:rPr/>
              <w:t>  ​ ​ ​</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154" w:type="dxa"/>
            <w:tcBorders/>
            <w:vAlign w:val="center"/>
          </w:tcPr>
          <w:p>
            <w:pPr>
              <w:pStyle w:val="TableContents"/>
              <w:bidi w:val="0"/>
              <w:spacing w:before="0" w:after="1"/>
              <w:ind w:left="0" w:right="0" w:hanging="0"/>
              <w:jc w:val="center"/>
              <w:rPr/>
            </w:pPr>
            <w:r>
              <w:rPr/>
              <w:t>​</w:t>
            </w:r>
          </w:p>
        </w:tc>
      </w:tr>
      <w:tr>
        <w:trPr/>
        <w:tc>
          <w:tcPr>
            <w:tcW w:w="648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paid for interest, net of amounts capitalized</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6,768</w:t>
            </w:r>
          </w:p>
        </w:tc>
        <w:tc>
          <w:tcPr>
            <w:tcW w:w="407"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2,013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48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Capitalized interest included in property, plant and equipment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148</w:t>
            </w:r>
          </w:p>
        </w:tc>
        <w:tc>
          <w:tcPr>
            <w:tcW w:w="407"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48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Non-cash purchase of property, plant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5,714</w:t>
            </w:r>
          </w:p>
        </w:tc>
        <w:tc>
          <w:tcPr>
            <w:tcW w:w="407"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5,767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48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Right-of-use asset purchased with operating lease</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1,123</w:t>
            </w:r>
          </w:p>
        </w:tc>
        <w:tc>
          <w:tcPr>
            <w:tcW w:w="407"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48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Redeemable non-controlling interest issued for payment of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2,009</w:t>
            </w:r>
          </w:p>
        </w:tc>
        <w:tc>
          <w:tcPr>
            <w:tcW w:w="407"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48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Retirement benefits funded with common stock</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1,069</w:t>
            </w:r>
          </w:p>
        </w:tc>
        <w:tc>
          <w:tcPr>
            <w:tcW w:w="407"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758</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firstLine="360"/>
        <w:jc w:val="center"/>
        <w:rPr/>
      </w:pPr>
      <w:r>
        <w:rPr/>
        <w:t>​</w:t>
      </w:r>
    </w:p>
    <w:p>
      <w:pPr>
        <w:pStyle w:val="TextBody"/>
        <w:bidi w:val="0"/>
        <w:spacing w:lineRule="atLeast" w:line="142"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07" w:name="a1NatureofBusinessFinancialConditionandB"/>
      <w:bookmarkStart w:id="608" w:name="a1NatureofBusinessFinancialConditionandB"/>
      <w:bookmarkEnd w:id="608"/>
    </w:p>
    <w:tbl>
      <w:tblPr>
        <w:tblW w:w="5942" w:type="dxa"/>
        <w:jc w:val="left"/>
        <w:tblInd w:w="0" w:type="dxa"/>
        <w:tblLayout w:type="fixed"/>
        <w:tblCellMar>
          <w:top w:w="0" w:type="dxa"/>
          <w:left w:w="0" w:type="dxa"/>
          <w:bottom w:w="0" w:type="dxa"/>
          <w:right w:w="0" w:type="dxa"/>
        </w:tblCellMar>
      </w:tblPr>
      <w:tblGrid>
        <w:gridCol w:w="271"/>
        <w:gridCol w:w="56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56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Business, Financial Condition and Basis of Presentation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Nature of business.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Inc. (Nasdaq: GEVO) (“Gevo”, “we”, “us”, “our”, or the “Company,” which, unless otherwise indicated, refers to Gevo, Inc. and its subsidiaries), a Delaware corporation founded in 2005, is a growth-oriented, carbon abatement company with the mission of providing solutions for greenhouse gas (“GHG”) emissions and energy diversification for those sectors of the transportation industry that are not amenable to electrification or hydrogen.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is focused on transforming renewable energy and carbon derived from photosynthesis into energy-dense liquid, drop-in and cost-effective hydrocarbon fuels such as jet fuel. The Company’s technology and development activities are intended to enable additional domestic energy production, support the construction of new manufacturing facilities, create employment opportunities, expand agricultural markets, and contribute to broader economic growth.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key asset is its low-carbon ethanol production facility in North Dakota (“Gevo North Dakota” or “GevoND”) which has an annual production capacity of approximately 70 million gallons. The facility is integrated with a Class VI permitted carbon capture and sequestration (“CCS”) well capable of injecting approximately 170,000 metric tons of carbon dioxide (“CO₂”) per year, with additional pore space available to support future carbon capture expansion of up to one million metric tons per year. We view this asset as a strategic growth platform.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also operates a renewable natural gas (“RNG”) facility in Northwest Iowa (“NW Iowa RNG”). NW Iowa RNG produces RNG from dairy cow manure, which is supplied by three local dairies. Animal manure can be digested anaerobically by microorganisms to produce biogas, which is then upgraded to pipeline quality gas. </w:t>
      </w:r>
      <w:r>
        <w:rPr>
          <w:rFonts w:ascii="Times New Roman;Times;serif" w:hAnsi="Times New Roman;Times;serif"/>
          <w:color w:val="212529"/>
          <w:sz w:val="20"/>
          <w:shd w:fill="FFFFFF" w:val="clear"/>
        </w:rPr>
        <w:t>In 2024, we completed an expansion of the RNG business to increase its annual expected output from</w:t>
      </w:r>
      <w:r>
        <w:rPr>
          <w:rFonts w:ascii="Times New Roman;Times;serif" w:hAnsi="Times New Roman;Times;serif"/>
          <w:sz w:val="20"/>
        </w:rPr>
        <w:t xml:space="preserve"> 355,000 million British thermal units (“MMBtu”) to 400,000 MMBtu. We sell our RNG into the California market through an agreement with BP Canada Energy Marketing Corp. and BP Products North America Inc. (collectively, “BP”). In addition, we generate and sell Low Carbon Fuel Standard (“LCFS”) credits, and D3 Renewable Identification Numbers (“RINs”) (collectively, “environmental attributes”).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U.S. generally accepted accounting principles (“GAAP”) along with the instructions to Form 10-Q and Article 10 of Regulation S-X. Accordingly, they do not include the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for the three months ended March 31, 2026, and are not necessarily indicative of the results to be expected for the full year. The Company had no components of other comprehensive income (loss) for the three months ended March 31, 2026 and 2025. Accordingly, net loss equals comprehensive loss for the periods presented.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2025</w:t>
      </w:r>
      <w:r>
        <w:rPr>
          <w:rFonts w:ascii="Times New Roman;Times;serif" w:hAnsi="Times New Roman;Times;serif"/>
          <w:i/>
          <w:sz w:val="20"/>
        </w:rPr>
        <w:t xml:space="preserve">. </w:t>
      </w:r>
      <w:r>
        <w:rPr>
          <w:rFonts w:ascii="Times New Roman;Times;serif" w:hAnsi="Times New Roman;Times;serif"/>
          <w:sz w:val="20"/>
        </w:rPr>
        <w:t>The financial statements at March 31, 2026, have been derived from the audited financial statements as of that date. For further information, refer to our audited financial statements and notes thereto included for the year ended December 31, 2025 (the “2025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Use of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liabilities, revenues, expenses, and related disclosures. These estimates and assumptions are inherently subject to uncertainty, and actual results could differ from these estimates. Significant areas requiring estimates and assumptions include, but are not limited to, the determination of useful lives of property, plant and equipment, inventory, asset retirement obligations, the recognition of revenue, the valuation of business combinations and the fair value of clean fuel production tax credits (“PTC”). Management regularly reviews our estimates based on the most current available information. Changes in facts and circumstances may result in revised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Business Combinations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accounts for its business combinations in accordance with the provisions of Financial Accounting Standards Board (“FASB”) Accounting Standards Codification (“ASC”) Topic 805-10, Business Combinations ("ASC 805-10"). ASC 805-10 mandates the use of the purchase method of accounting for all business combinations. Under this method, assets acquired and liabilities assumed are recorded at their respective fair values as of the acquisition date. For transactions meeting the definition of business combinations, the Company evaluates the recognition of goodwill. Goodwill represents the excess of the purchase price over the fair value of the identifiable tangible and intangible assets acquired, and liabilities assumed, in a business combination. ASC 805-10 further stipulates criteria that intangible assets acquired in a business combination must meet in order to be recognized and reported separately from goodwill. Acquisition-related costs, including transaction fees, are recognized separately from the business combination and expensed as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determination of the fair value of net assets acquired, including the allocation of fair value to identifiable assets and liabilities, is based on established valuation techniques. Fair value is defined as the price that would be received to sell an asset or paid to transfer a liability in an orderly transaction between market participants at the measurement date. In the context of purchase accounting, determining fair value often requires significant judgments and estimates by management, including the selection of appropriate valuation methodologies, estimates of future revenues, costs, cash flows, discount rates, and the identification of comparable companies. The estimated fair values of assets acquired and liabilities assumed are based on management's judgment, supplemented by the expertise of third-party valuation specialists engaged to assist in determining fair value. The allocation of fair value to the identifiable assets and liabilities is based on available information at the acquisition date and assumptions deemed reasonable by management. However, changes in facts and circumstances may result in adjustments to the initial fair value estimates during the measurement period, which may not exceed one year from the acquisition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Tax Credit Recognition and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accounts for tax credits associated with the U.S. federal clean fuel production incentives under Section 45Z of the Internal Revenue Code in accordance with IAS 20 - Accounting for Government Grants and Disclosure of Government Assistance. These credits, as they are generated are recorded based on the eligible PTC rate per gallon, the emission factor based on the carbon intensity score and are adjusted to their estimated fair value. The credits are recognized as a nonmonetary asset in intangible assets and a reduction to cost of goods sold (“COGS”), reflecting their role in offsetting the production costs of low-carbon fuels.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the integration of the ethanol operating facility in the first quarter of 2025, the Company has incorporated commodity-based derivative transactions, specifically corn futures contracts, into its hedging strategy to manage its exposure to commodity price fluctuations. This strategy aims to protect cash flows associated with the increased exposure to commodity price volatility arising from its GevoND operations, which include corn-based production and procurement activities. These derivative contracts are intended to economically hedge the Company’s cash flow exposure to changes in corn prices, which directly impact the cost of raw materials used in production.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does not apply hedge accounting to these instruments under ASC 815, Derivatives and Hedging. As such, all derivative instruments are recorded at fair value on the Condensed Consolidated Balance Sheets, and changes in the fair value of these instruments are recognized in earnings in the period in which they occur. Gains and losses resulting from changes in the fair value of corn derivative contracts are included in the cost of goods sold in the Company’s Condensed Consolidated Statement of Operations, as they directly relate to the Company’s inventory procurement and production activities. If the fair value of the derivative contract is in an asset position, it is included in Prepaid and other current assets, and if the fair value of the derivative contract is in a liability position it is included in Accounts payable and accrued liabilities on the Company’s Condensed Consolidated Balance Sheets. These instruments may introduce volatility in earnings from period to period due to timing differences between derivative settlement and the related exposure. The Company does not use derivative instruments for speculative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Asset Retirement Obligation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an asset retirement obligation (“ARO”) is recognized in the period in which it is incurred, provided that a reasonable estimate of fair value can be made. The Company’s ARO is primarily related to commitments to restore or decommission property subject to operating leases associated with its GevoND and RNG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ARO related to CO₂ sequestration activities includes obligations such as plugging injection wells, site closure, and post-closure monitoring in accordance with regulatory requirements and industry standards to ensure long-term CO₂ containment and mitigate the risk of leakage. The capitalized ARO costs included in property, plant, and equipment are depreciated over the shorter of the useful life of the related asset or the term of the associated lease. ARO liabilities are accreted over time using the credit-adjusted risk-free rate applied at initial recognition and recorded in operations expense on the Condensed</w:t>
      </w:r>
      <w:r>
        <w:rPr>
          <w:rFonts w:ascii="Times New Roman;Times;serif" w:hAnsi="Times New Roman;Times;serif"/>
          <w:sz w:val="20"/>
          <w:shd w:fill="FFFFFF" w:val="clear"/>
        </w:rPr>
        <w:t xml:space="preserve"> Consolidated Statement of Operations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capitalized ARO costs included in property, plant, and equipment are depreciated over the shorter of the useful life of the related asset or the term of the associated lease. ARO liabilities are accreted over time using the credit-adjusted risk-free rate applied at initial recognition and recorded in operations expense on the Condensed</w:t>
      </w:r>
      <w:r>
        <w:rPr>
          <w:rFonts w:ascii="Times New Roman;Times;serif" w:hAnsi="Times New Roman;Times;serif"/>
          <w:sz w:val="20"/>
          <w:shd w:fill="FFFFFF" w:val="clear"/>
        </w:rPr>
        <w:t xml:space="preserve"> Consolidated Statement of Operations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for Redeemable Non-Controlling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2025, Gevo Intermediate HoldCo, LLC (“HoldCo”), a wholly owned subsidiary of Gevo entered into a membership subscription agreement with Orion Infrastructure Capital (“OIC”), a U.S.-based private investment firm, pursuant to which OIC purchased equity units in HoldCo. The membership subscription agreement includes put and call options (the "Put/Call Option") related to the non-controlling interest. Specifically, the Company has the right to exercise a call option to purchase all outstanding units, and OIC holds a put option requiring the Company to purchase the outstanding units at fair value. These options are exercisable for a period of three years (the "Option Period") following the date that all indebtedness under the related credit agreement with an affiliate of OIC has been paid.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applicable accounting guidance, an equity instrument that is redeemable for cash or other assets must be classified outside of permanent equity if it is redeemable (a) at a fixed or determinable price on a fixed or determinable date, (b) at the option of the holder, or (c) upon the occurrence of an event not solely within the control of the issuer. As a result of the Put/Call Option feature, the Company has classified the non-controlling interest as redeemable and reported it within temporary equity on the Condensed Consolidated Balance Sheets, initially at its fair value as of the acquisition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redeemable non-controlling interest is adjusted each reporting period to reflect income (or loss) attributable to the redeemable non-controlling interest, as well as any applicable distributions. A measurement period adjustment, if necessary, is made to adjust the redeemable non-controlling interest to the higher of its redemption value (fair value) or carrying value as of each reporting date. These fair value adjustments are recognized through equity and are not reflected in the Company's Consolidated Statements of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earnings per share calculations, the Company adjusts net income attributable to the Company for the measurement period adjustment to the extent the redemption value exceeds the fair value of the redeemable non-controlling interest on a cumulative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Issued, Not Yet Adopted Accounting Pronouncements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Income Statement Disclosures. </w:t>
      </w:r>
      <w:r>
        <w:rPr>
          <w:rFonts w:ascii="Times New Roman;Times;serif" w:hAnsi="Times New Roman;Times;serif"/>
          <w:sz w:val="20"/>
        </w:rPr>
        <w:t>In November 2024, the FASB issued Accounting Standards Update (“ASU”) No. 2024-03, Income Statement—Reporting Comprehensive Income—Expense Disaggregation Disclosures (Subtopic 220-40) ("ASU 2024-03"). ASU 2024-03 will require companies to disaggregate, within the notes to the financial statements, certain expenses presented on the face of the financial statements to enhance transparency and help investors better understand an entity's performance. 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is currently evaluating the impact of the adoption of ASU 2024-03 on the Company’s financial statement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Internal Use Software. </w:t>
      </w:r>
      <w:r>
        <w:rPr>
          <w:rFonts w:ascii="Times New Roman;Times;serif" w:hAnsi="Times New Roman;Times;serif"/>
          <w:sz w:val="20"/>
        </w:rPr>
        <w:t>In September 2025, the FASB issued ASU No. 2025-06, Intangibles - Goodwill and Other - Internal-Use Software (Subtopic 350-40): Targeted Improvements to the Accounting for Internal-Use Software ("ASU 2025-06"). ASU 2025-06 amends certain aspects of the accounting and disclosure of software costs. ASU 2025-06, which can be applied prospectively, retrospectively, or with a modified transition approach, is effective for annual reporting period beginning after December 15, 2027 and interim periods within those annual reporting periods. Early adoption is permitted. The Company is currently evaluating the impact that the adoption of this standard will have on its consolidated financial statements and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Adopted Accounting Pronouncements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December 2023, the FASB issued ASU 2023-09, "Income Taxes (Topic 740): Improvements to Income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The Company adopted ASU 2023-09 retrospectively in the fourth quarter of 2025. We modified the disclosures related to our rate reconciliation and the details of our cash taxes paid included in Note 18, Income taxes. </w:t>
      </w:r>
    </w:p>
    <w:tbl>
      <w:tblPr>
        <w:tblW w:w="2372" w:type="dxa"/>
        <w:jc w:val="left"/>
        <w:tblInd w:w="0" w:type="dxa"/>
        <w:tblLayout w:type="fixed"/>
        <w:tblCellMar>
          <w:top w:w="0" w:type="dxa"/>
          <w:left w:w="0" w:type="dxa"/>
          <w:bottom w:w="0" w:type="dxa"/>
          <w:right w:w="0" w:type="dxa"/>
        </w:tblCellMar>
      </w:tblPr>
      <w:tblGrid>
        <w:gridCol w:w="271"/>
        <w:gridCol w:w="210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21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Business Combinations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completed the acquisition of substantially all of the assets and certain liabilities of Red Trail Energy, LLC (“Red Trail Energy”) on January 31, 2025. The assets and liabilities acquired in connection with the Red Trail Energy acquisition were recorded at their respective fair values as of the acquisition date in accordance with ASC 805. The Company has finalized the purchase accounting for the acquisition. The acquired operations are included in the Company’s Gevo North Dakota segment. </w:t>
      </w:r>
    </w:p>
    <w:p>
      <w:pPr>
        <w:pStyle w:val="TextBody"/>
        <w:bidi w:val="0"/>
        <w:spacing w:before="0" w:after="240"/>
        <w:ind w:left="0" w:right="0" w:firstLine="360"/>
        <w:jc w:val="left"/>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Pro Forma Financial Information</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pro forma financial information (in thousands) presented in the following table was computed by combining the historical financial information of Gevo along with the effects from business combination accounting and the associated debt resulting from this acquisition as if the companies were combined on January 1, 2025. This information is presented for informational purposes only and is not necessarily indicative of the operating results that would have occurred if the acquisition had been consummated as of that date. This information should not be used as a predictive measure of our future financial position, results of operations, or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bookmarkStart w:id="609" w:name="Tc_t_8WEopS8Emki9JD62dnYw_4_0"/>
      <w:bookmarkStart w:id="610" w:name="Tc_a3v5ZofwIUOX_dWq9ivjtA_3_6"/>
      <w:bookmarkStart w:id="611" w:name="Tc_ljELWDxkikCJJDIGGfA_zA_3_3"/>
      <w:bookmarkStart w:id="612" w:name="Tc_aCfe-E_cEkOLeQa-_Y4HdQ_3_0"/>
      <w:bookmarkStart w:id="613" w:name="Tc_-Kje1ql5yEaxX7hqFj4pMw_2_6"/>
      <w:bookmarkStart w:id="614" w:name="Tc_kuSjZGw5t0KPpqDpszElhA_2_3"/>
      <w:bookmarkStart w:id="615" w:name="Tc_WxjbWWXs50axjLqlqnCrGw_1_3"/>
      <w:bookmarkEnd w:id="609"/>
      <w:bookmarkEnd w:id="610"/>
      <w:bookmarkEnd w:id="611"/>
      <w:bookmarkEnd w:id="612"/>
      <w:bookmarkEnd w:id="613"/>
      <w:bookmarkEnd w:id="614"/>
      <w:bookmarkEnd w:id="615"/>
      <w:r>
        <w:rPr/>
        <w:t>​</w:t>
      </w:r>
    </w:p>
    <w:tbl>
      <w:tblPr>
        <w:tblW w:w="4849" w:type="dxa"/>
        <w:jc w:val="left"/>
        <w:tblInd w:w="0" w:type="dxa"/>
        <w:tblLayout w:type="fixed"/>
        <w:tblCellMar>
          <w:top w:w="0" w:type="dxa"/>
          <w:left w:w="0" w:type="dxa"/>
          <w:bottom w:w="0" w:type="dxa"/>
          <w:right w:w="0" w:type="dxa"/>
        </w:tblCellMar>
      </w:tblPr>
      <w:tblGrid>
        <w:gridCol w:w="1321"/>
        <w:gridCol w:w="346"/>
        <w:gridCol w:w="346"/>
        <w:gridCol w:w="243"/>
        <w:gridCol w:w="917"/>
        <w:gridCol w:w="125"/>
        <w:gridCol w:w="243"/>
        <w:gridCol w:w="917"/>
        <w:gridCol w:w="39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838835" cy="175260"/>
                      <wp:effectExtent l="0" t="0" r="0" b="0"/>
                      <wp:wrapNone/>
                      <wp:docPr id="63" name="Frame63"/>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54305" cy="175260"/>
                      <wp:effectExtent l="0" t="0" r="0" b="0"/>
                      <wp:wrapNone/>
                      <wp:docPr id="66" name="Frame66"/>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82295" cy="175260"/>
                      <wp:effectExtent l="0" t="0" r="0" b="0"/>
                      <wp:wrapNone/>
                      <wp:docPr id="67" name="Frame6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9375" cy="175260"/>
                      <wp:effectExtent l="0" t="0" r="0" b="0"/>
                      <wp:wrapNone/>
                      <wp:docPr id="68" name="Frame68"/>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54305" cy="175260"/>
                      <wp:effectExtent l="0" t="0" r="0" b="0"/>
                      <wp:wrapNone/>
                      <wp:docPr id="69" name="Frame6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82295" cy="175260"/>
                      <wp:effectExtent l="0" t="0" r="0" b="0"/>
                      <wp:wrapNone/>
                      <wp:docPr id="70" name="Frame7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48285" cy="175260"/>
                      <wp:effectExtent l="0" t="0" r="0" b="0"/>
                      <wp:wrapNone/>
                      <wp:docPr id="71" name="Frame7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91" w:type="dxa"/>
            <w:tcBorders/>
            <w:vAlign w:val="center"/>
          </w:tcPr>
          <w:p>
            <w:pPr>
              <w:pStyle w:val="TableContents"/>
              <w:bidi w:val="0"/>
              <w:spacing w:before="0" w:after="1"/>
              <w:ind w:left="0" w:right="0" w:hanging="0"/>
              <w:jc w:val="center"/>
              <w:rPr/>
            </w:pPr>
            <w:r>
              <w:rPr/>
              <w:t>  ​ ​ ​</w:t>
            </w:r>
          </w:p>
        </w:tc>
      </w:tr>
      <w:tr>
        <w:trPr/>
        <w:tc>
          <w:tcPr>
            <w:tcW w:w="13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5" w:type="dxa"/>
            <w:tcBorders/>
            <w:vAlign w:val="center"/>
          </w:tcPr>
          <w:p>
            <w:pPr>
              <w:pStyle w:val="TableContents"/>
              <w:bidi w:val="0"/>
              <w:spacing w:before="0" w:after="1"/>
              <w:ind w:left="0" w:right="0" w:hanging="0"/>
              <w:jc w:val="center"/>
              <w:rPr/>
            </w:pPr>
            <w:r>
              <w:rPr/>
              <w:t>​</w:t>
            </w:r>
          </w:p>
        </w:tc>
        <w:tc>
          <w:tcPr>
            <w:tcW w:w="1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42,948</w:t>
            </w:r>
          </w:p>
        </w:tc>
        <w:tc>
          <w:tcPr>
            <w:tcW w:w="125"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43,648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(21,351)</w:t>
            </w:r>
          </w:p>
        </w:tc>
        <w:tc>
          <w:tcPr>
            <w:tcW w:w="125"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(20,574)</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240" w:after="240"/>
        <w:ind w:left="0" w:right="0" w:firstLine="360"/>
        <w:jc w:val="left"/>
        <w:rPr/>
      </w:pPr>
      <w:r>
        <w:rPr/>
        <w:t>​</w:t>
      </w:r>
    </w:p>
    <w:p>
      <w:pPr>
        <w:pStyle w:val="TextBody"/>
        <w:bidi w:val="0"/>
        <w:spacing w:before="0" w:after="240"/>
        <w:ind w:left="0" w:right="0" w:firstLine="360"/>
        <w:jc w:val="left"/>
        <w:rPr/>
      </w:pPr>
      <w:r>
        <w:rPr/>
        <w:t>​</w:t>
      </w:r>
    </w:p>
    <w:p>
      <w:pPr>
        <w:pStyle w:val="TextBody"/>
        <w:pBdr/>
        <w:bidi w:val="0"/>
        <w:spacing w:before="0" w:after="240"/>
        <w:ind w:left="0" w:right="0" w:hanging="450"/>
        <w:jc w:val="left"/>
        <w:rPr>
          <w:rFonts w:ascii="Times New Roman;Times;serif" w:hAnsi="Times New Roman;Times;serif"/>
          <w:b/>
          <w:sz w:val="20"/>
        </w:rPr>
      </w:pPr>
      <w:r>
        <w:rPr>
          <w:rFonts w:ascii="Times New Roman;Times;serif" w:hAnsi="Times New Roman;Times;serif"/>
          <w:b/>
          <w:sz w:val="20"/>
        </w:rPr>
        <w:t>3. Tax Credit Recognition and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U.S. federal government has introduced tax incentives to promote the production of low-carbon fuels and reduce GHG emissions, enhance energy security, and support the rural agricultural economy.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Effective January 1, 2025, the Inflation Reduction Act (the “IRA”) replaced Section 6426 of the Internal Revenue Code with Section 45Z, providing Clean Fuel Production Credits (“CFPCs”) for the years 2025 through 2027. This was further updated and extended on July 4, 2025, under the One Big Beautiful Bill Act (the “OBBBA”) extending the credit through 2029. Producers of liquid transportation fuels, including synthetic aviation fuel (“SAF”), are eligible to qualify for up to $1 per gallon, while producers of non-SAF transportation fuels could claim an amount exceeding $1 per gallon for significant carbon intensity (“CI”) reductions, with the credit amount indexed annually for inflation.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generates clean fuel production credits under Section 45Z of the Internal Revenue Code in connection with qualifying production at its GevoND and RNG facilities. These credits are recognized as they are generated and are recorded as a reduction to cost of production with a corresponding intangible asset. The Company monetizes these credits through transfer agreements with third parties. For credits that have been sold under transfer agreements and for which cash consideration has been received but the credits have not yet been formally transferred for tax purposes, the Company records a contract liability representing its obligation to transfer such credits in accordance with applicable tax filing requirements. For the three months ended March 31, 2026, the Company generated and recognized $17.0 million in CFPCs, which were recorded as a reduction to Cost of production and a nonmonetary asset recorded within Intangible assets, net. During the three months ended March 31, 2026, the Company received $7.5 million for CFPCs, which were generated in 2025. Upon the filing of the 2025 federal tax return for Gevo Intermediate Holdco, LLC, $52 million of CFPCs were transferred to the buyers of the CFPCs, which resulted in the sale of the CFPC intangible asset of $48.6 million for CFPCs generated in 2025. Accordingly, the related deferred production tax credit was released and as of March 31, 2026, there was no deferred production tax credits recorded.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the Company entered into multiple tax credit transfer agreements pursuant to which it agreed to sell and transfer CFPCs generated from qualifying ethanol production. Under these agreements, the Company sells CFPCs to financial institutions at agreed-upon prices, with credits transferred in accordance with contractual terms and applicable tax filing requirements. Certain agreements include provisions such as volume commitments, optional additional purchases, and customary delivery performance requirements, including potential under-delivery fees and rights of first refusal. During the three months ended March 31, 2026, no under delivery fees were paid by the Company, and the financial institutions did not exercise their rights of first refusal.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ability to generate and transfer CFPCs is dependent on qualifying production volumes, compliance with applicable tax laws and regulations, and satisfaction of the conditions set forth in the applicable transfer agreements. Changes in regulatory guidance, production levels, or counterparty performance could affect the amount and timing of tax credits transferred.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5567" w:type="dxa"/>
        <w:jc w:val="left"/>
        <w:tblInd w:w="0" w:type="dxa"/>
        <w:tblLayout w:type="fixed"/>
        <w:tblCellMar>
          <w:top w:w="0" w:type="dxa"/>
          <w:left w:w="0" w:type="dxa"/>
          <w:bottom w:w="0" w:type="dxa"/>
          <w:right w:w="0" w:type="dxa"/>
        </w:tblCellMar>
      </w:tblPr>
      <w:tblGrid>
        <w:gridCol w:w="271"/>
        <w:gridCol w:w="52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5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Revenues from Contracts with Customers and Other Revenue</w:t>
            </w:r>
          </w:p>
        </w:tc>
      </w:tr>
    </w:tbl>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Ethanol and Related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recognizes revenue from sales of ethanol and co-products at the point in time when the performance obligations in the Company's contracts with customers are met, which is when the customer obtains control of such products and typically occurs upon shipment (depending on the terms of the underlying contracts). Revenue is measured as the amount of consideration expected to be received in exchange for transferring goods or providing services. In some instances, the Company enters into contracts with customers that contain multiple performance obligations to deliver specified volumes of co-products over a contractual period of less than 12 months. In such instances, the Company allocates the transaction price to each performance obligation identified in the contract based on relative standalone selling prices and recognizes the related revenue when control of each individual product is transferred to the customer in satisfaction of the corresponding performance obligation.</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RNG Revenue</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The Company’s RNG revenues relate to the sale of RNG produced at the NW Iowa RNG facility under long-term contracts with customers. Revenue is recognized at a point in time when the Company transfers the product to its customer. The customer obtains control of the product upon RNG delivery into a gas pipeline system. The Company generally has multiple performance obligations in our arrangements with customers. The Company’s performance obligation related to the sales of RNG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All material contracts have payment terms of between one to three months and there are no return or refund rights.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Environmental Attribute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environmental attribute revenue represents </w:t>
      </w:r>
      <w:r>
        <w:rPr>
          <w:rFonts w:ascii="Times New Roman;Times;serif" w:hAnsi="Times New Roman;Times;serif"/>
          <w:sz w:val="20"/>
          <w:shd w:fill="FFFFFF" w:val="clear"/>
        </w:rPr>
        <w:t>the sale of RNG related environmental attributes produced at the NW Iowa RNG facility and the generation of carbon dioxide removal credits (“CORCs”) at GevoND. The title and control for the environmental attributes are transferred to the customer subsequent to the issuance of such attributes by the relevant regulatory agency. The CORCs also are subject to a third-party confirmation under Puro.Earth standards that support the sale of the qualifying attributes into the voluntary carbon market. The Company generally has multiple performance obligations in our arrangements with customers. The Company’s performance obligations related to the sales of environmental attributes are satisfied at a point in time upon delivery to the customer. Revenue is measured as the amount of consideration the Company expects to receive in exchange for transferring the environmental attributes. There is no variable consideration present in the Company’s performance obligations. Consideration for each transaction is based upon either quoted market prices at the time of delivery or fixed prices per the contract terms. All material contracts have payment terms of between one to three months and there are no return or refund rights.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Other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revenue includes hydrocarbon revenue and licensing, development, and software services revenue. </w:t>
      </w:r>
      <w:r>
        <w:rPr>
          <w:rFonts w:ascii="Times New Roman;Times;serif" w:hAnsi="Times New Roman;Times;serif"/>
          <w:sz w:val="20"/>
          <w:shd w:fill="FFFFFF" w:val="clear"/>
        </w:rPr>
        <w:t>The Company generates hydrocarbon revenue from the sale of renewable low-carbon intensity products, including isooctane and SAF blendstocks. Revenue is recognized at the point in time when control transfers to the customer, generally upon shipment under free-on-board shipping terms. L</w:t>
      </w:r>
      <w:r>
        <w:rPr>
          <w:rFonts w:ascii="Times New Roman;Times;serif" w:hAnsi="Times New Roman;Times;serif"/>
          <w:sz w:val="20"/>
        </w:rPr>
        <w:t>icensing revenue is primarily derived from agreements granting rights to intellectual property developed by the Company and is recognized when control of the intellectual property transfers to the customer and any related performance obligations are satisfied. Software and services revenue consist of subscription and support services provided to customers of the Verity’s digital platforms and is recognized over time as services are performed.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616" w:name="Tc_kxL6yR9bdE-Vq3ry4mz4xg_8_6"/>
      <w:bookmarkStart w:id="617" w:name="Tc_w44BFqj7oUKNX5pLW9YUFw_8_3"/>
      <w:bookmarkStart w:id="618" w:name="Tc_BHPVCX4pOEaT1r7iyWcALw_8_0"/>
      <w:bookmarkStart w:id="619" w:name="Tc_yzmlD0jQSkWO5jkg9P_8PQ_7_0"/>
      <w:bookmarkStart w:id="620" w:name="Tc_ZsXA1CHL0E--hM_lZrv_Dw_6_0"/>
      <w:bookmarkStart w:id="621" w:name="Tc_N0mn0QMP_Euw4zlA6ArNHw_5_0"/>
      <w:bookmarkStart w:id="622" w:name="Tc_EEktJuRFnUucSOtT5AqDSA_4_0"/>
      <w:bookmarkStart w:id="623" w:name="Tc_OaYcenr3mkyMGYpCuQmokg_3_6"/>
      <w:bookmarkStart w:id="624" w:name="Tc_SwoTBUUJ_k2sriHy5arRZA_3_3"/>
      <w:bookmarkStart w:id="625" w:name="Tc_Zmkz_MentUCVRi2FkH3SOw_3_0"/>
      <w:bookmarkStart w:id="626" w:name="Tc_unTFfWSkKEiOLK9vYcCq3w_2_6"/>
      <w:bookmarkStart w:id="627" w:name="Tc_wm0xPKzf70iU1x_6nMe63g_2_3"/>
      <w:bookmarkStart w:id="628" w:name="Tc_tCnKWawHt0mPRMzBZPA3-Q_2_0"/>
      <w:bookmarkStart w:id="629" w:name="Tc_KHysbAozakSx05UeDcwmnA_1_3"/>
      <w:bookmarkStart w:id="630" w:name="_14deeea8_748c_4709_bb39_2e84d7f8d00f"/>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r>
        <w:rPr>
          <w:rFonts w:ascii="Times New Roman;Times;serif" w:hAnsi="Times New Roman;Times;serif"/>
          <w:sz w:val="20"/>
        </w:rPr>
        <w:t>The following table displays the Company’s revenue by major source based on product type (in thousands):</w:t>
      </w:r>
    </w:p>
    <w:tbl>
      <w:tblPr>
        <w:tblW w:w="5435" w:type="dxa"/>
        <w:jc w:val="left"/>
        <w:tblInd w:w="0" w:type="dxa"/>
        <w:tblLayout w:type="fixed"/>
        <w:tblCellMar>
          <w:top w:w="0" w:type="dxa"/>
          <w:left w:w="0" w:type="dxa"/>
          <w:bottom w:w="0" w:type="dxa"/>
          <w:right w:w="0" w:type="dxa"/>
        </w:tblCellMar>
      </w:tblPr>
      <w:tblGrid>
        <w:gridCol w:w="2146"/>
        <w:gridCol w:w="346"/>
        <w:gridCol w:w="109"/>
        <w:gridCol w:w="243"/>
        <w:gridCol w:w="779"/>
        <w:gridCol w:w="399"/>
        <w:gridCol w:w="243"/>
        <w:gridCol w:w="779"/>
        <w:gridCol w:w="39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62710" cy="175260"/>
                      <wp:effectExtent l="0" t="0" r="0" b="0"/>
                      <wp:wrapNone/>
                      <wp:docPr id="72" name="Frame72"/>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4305" cy="175260"/>
                      <wp:effectExtent l="0" t="0" r="0" b="0"/>
                      <wp:wrapNone/>
                      <wp:docPr id="75" name="Frame75"/>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4665" cy="175260"/>
                      <wp:effectExtent l="0" t="0" r="0" b="0"/>
                      <wp:wrapNone/>
                      <wp:docPr id="76" name="Frame76"/>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53365" cy="175260"/>
                      <wp:effectExtent l="0" t="0" r="0" b="0"/>
                      <wp:wrapNone/>
                      <wp:docPr id="77" name="Frame77"/>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4305" cy="175260"/>
                      <wp:effectExtent l="0" t="0" r="0" b="0"/>
                      <wp:wrapNone/>
                      <wp:docPr id="78" name="Frame7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4665" cy="175260"/>
                      <wp:effectExtent l="0" t="0" r="0" b="0"/>
                      <wp:wrapNone/>
                      <wp:docPr id="79" name="Frame79"/>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48285" cy="175260"/>
                      <wp:effectExtent l="0" t="0" r="0" b="0"/>
                      <wp:wrapNone/>
                      <wp:docPr id="80" name="Frame8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91" w:type="dxa"/>
            <w:tcBorders/>
            <w:vAlign w:val="center"/>
          </w:tcPr>
          <w:p>
            <w:pPr>
              <w:pStyle w:val="TableContents"/>
              <w:bidi w:val="0"/>
              <w:spacing w:before="0" w:after="1"/>
              <w:ind w:left="0" w:right="0" w:hanging="0"/>
              <w:jc w:val="center"/>
              <w:rPr/>
            </w:pPr>
            <w:r>
              <w:rPr/>
              <w:t>  ​ ​ ​</w:t>
            </w:r>
          </w:p>
        </w:tc>
      </w:tr>
      <w:tr>
        <w:trPr/>
        <w:tc>
          <w:tcPr>
            <w:tcW w:w="21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Major Goods/Service Line</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9"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Ethanol</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28,618</w:t>
            </w:r>
          </w:p>
        </w:tc>
        <w:tc>
          <w:tcPr>
            <w:tcW w:w="39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17,245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Ethanol related products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9,313</w:t>
            </w:r>
          </w:p>
        </w:tc>
        <w:tc>
          <w:tcPr>
            <w:tcW w:w="39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5,569</w:t>
            </w:r>
          </w:p>
        </w:tc>
        <w:tc>
          <w:tcPr>
            <w:tcW w:w="391" w:type="dxa"/>
            <w:tcBorders/>
            <w:vAlign w:val="center"/>
          </w:tcPr>
          <w:p>
            <w:pPr>
              <w:pStyle w:val="TableContents"/>
              <w:bidi w:val="0"/>
              <w:spacing w:before="0" w:after="1"/>
              <w:ind w:left="0" w:right="0" w:hanging="0"/>
              <w:jc w:val="lef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4,121</w:t>
            </w:r>
          </w:p>
        </w:tc>
        <w:tc>
          <w:tcPr>
            <w:tcW w:w="39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w:t>
            </w:r>
          </w:p>
        </w:tc>
        <w:tc>
          <w:tcPr>
            <w:tcW w:w="399"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91" w:type="dxa"/>
            <w:tcBorders/>
            <w:vAlign w:val="center"/>
          </w:tcPr>
          <w:p>
            <w:pPr>
              <w:pStyle w:val="TableContents"/>
              <w:bidi w:val="0"/>
              <w:spacing w:before="0" w:after="1"/>
              <w:ind w:left="0" w:right="0" w:hanging="0"/>
              <w:jc w:val="lef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399"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42,948</w:t>
            </w:r>
          </w:p>
        </w:tc>
        <w:tc>
          <w:tcPr>
            <w:tcW w:w="399"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29,109</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Contract Assets, Contract Liabilities, and Trade Receivables. </w:t>
      </w:r>
      <w:r>
        <w:rPr>
          <w:rFonts w:ascii="Times New Roman;Times;serif" w:hAnsi="Times New Roman;Times;serif"/>
          <w:sz w:val="20"/>
        </w:rPr>
        <w:t>As of March 31, 2026 and 2025, there were no contract assets or liabilities as all customer amounts owed to the Company are unconditional and the Company does not receive payment in advance for its products. Accordingly, amounts owed by customers are included in “Trade accounts receivable, net” on the Company’s Condensed Consolidated Balance Sheets. In addition, due to the nature of the Company’s contracts, there are no costs incurred or to be paid in the future that qualify for asset recognition as a cost to fulfill or obtain a contract. No allowance for credit losses was recorded for three months ended March 31, 2026 and 2025.</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31" w:name="Tc_CfBX690DP06FqwTSa3u6Ew_6_0"/>
      <w:bookmarkStart w:id="632" w:name="Tc_R1VQuI4CX0yNGeEpIYqbzw_5_0"/>
      <w:bookmarkStart w:id="633" w:name="Tc_JSay22B7V0u4jAyvDmDs5w_4_0"/>
      <w:bookmarkStart w:id="634" w:name="Tc_DaNr0xuRF0SatcJUxOOexw_3_4"/>
      <w:bookmarkStart w:id="635" w:name="Tc_dB1Wbho0uEiFnN4v8lSFJA_3_0"/>
      <w:bookmarkStart w:id="636" w:name="Tc_IYSmlTZj0kux1AkcyWtgkQ_2_6"/>
      <w:bookmarkStart w:id="637" w:name="Tc_3VhpdEW_sEiRE_2_iEyBVg_2_3"/>
      <w:bookmarkStart w:id="638" w:name="Tc_lvRPW8nzJ0S-dqYqVDUV9Q_1_3"/>
      <w:bookmarkStart w:id="639" w:name="Tc_Q_FKU28ZbkSeJvU6j0GL3w_5_5"/>
      <w:bookmarkStart w:id="640" w:name="Tc_Nvzo14FAAk6eNmreAXt5uw_5_2"/>
      <w:bookmarkStart w:id="641" w:name="Tc_jZ4kXXq2dEinjbupQ5p3IQ_5_0"/>
      <w:bookmarkStart w:id="642" w:name="Tc_dzFDwEndVkaLAyaM04LZ5Q_4_0"/>
      <w:bookmarkStart w:id="643" w:name="Tc_vlro9ZWWoEaAwoV2IT07qg_3_5"/>
      <w:bookmarkStart w:id="644" w:name="Tc_JhCA1HP_RU2e9We2QkQXdg_3_2"/>
      <w:bookmarkStart w:id="645" w:name="Tc_uxzkKbeu6kiCDW4vLEEQlg_3_0"/>
      <w:bookmarkStart w:id="646" w:name="Tc_n__WDeT1W0S06FoRNQNSDA_2_5"/>
      <w:bookmarkStart w:id="647" w:name="Tc_BKCVyzDY_EC2q1JMniYwpw_2_2"/>
      <w:bookmarkStart w:id="648" w:name="Tc_qUSLDzP63kKnEsMHjzvssQ_1_2"/>
      <w:bookmarkStart w:id="649" w:name="_a9338548_b010_4c5c_ba08_4c4c7ea6eeed"/>
      <w:bookmarkStart w:id="650" w:name="_c4f05e0f_83ec_4a96_899e_51c525181789"/>
      <w:bookmarkStart w:id="651" w:name="Tc_CfBX690DP06FqwTSa3u6Ew_6_0"/>
      <w:bookmarkStart w:id="652" w:name="Tc_R1VQuI4CX0yNGeEpIYqbzw_5_0"/>
      <w:bookmarkStart w:id="653" w:name="Tc_JSay22B7V0u4jAyvDmDs5w_4_0"/>
      <w:bookmarkStart w:id="654" w:name="Tc_DaNr0xuRF0SatcJUxOOexw_3_4"/>
      <w:bookmarkStart w:id="655" w:name="Tc_dB1Wbho0uEiFnN4v8lSFJA_3_0"/>
      <w:bookmarkStart w:id="656" w:name="Tc_IYSmlTZj0kux1AkcyWtgkQ_2_6"/>
      <w:bookmarkStart w:id="657" w:name="Tc_3VhpdEW_sEiRE_2_iEyBVg_2_3"/>
      <w:bookmarkStart w:id="658" w:name="Tc_lvRPW8nzJ0S-dqYqVDUV9Q_1_3"/>
      <w:bookmarkStart w:id="659" w:name="Tc_Q_FKU28ZbkSeJvU6j0GL3w_5_5"/>
      <w:bookmarkStart w:id="660" w:name="Tc_Nvzo14FAAk6eNmreAXt5uw_5_2"/>
      <w:bookmarkStart w:id="661" w:name="Tc_jZ4kXXq2dEinjbupQ5p3IQ_5_0"/>
      <w:bookmarkStart w:id="662" w:name="Tc_dzFDwEndVkaLAyaM04LZ5Q_4_0"/>
      <w:bookmarkStart w:id="663" w:name="Tc_vlro9ZWWoEaAwoV2IT07qg_3_5"/>
      <w:bookmarkStart w:id="664" w:name="Tc_JhCA1HP_RU2e9We2QkQXdg_3_2"/>
      <w:bookmarkStart w:id="665" w:name="Tc_uxzkKbeu6kiCDW4vLEEQlg_3_0"/>
      <w:bookmarkStart w:id="666" w:name="Tc_n__WDeT1W0S06FoRNQNSDA_2_5"/>
      <w:bookmarkStart w:id="667" w:name="Tc_BKCVyzDY_EC2q1JMniYwpw_2_2"/>
      <w:bookmarkStart w:id="668" w:name="Tc_qUSLDzP63kKnEsMHjzvssQ_1_2"/>
      <w:bookmarkStart w:id="669" w:name="_a9338548_b010_4c5c_ba08_4c4c7ea6eeed"/>
      <w:bookmarkStart w:id="670" w:name="_c4f05e0f_83ec_4a96_899e_51c525181789"/>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tbl>
      <w:tblPr>
        <w:tblW w:w="2012" w:type="dxa"/>
        <w:jc w:val="left"/>
        <w:tblInd w:w="0" w:type="dxa"/>
        <w:tblLayout w:type="fixed"/>
        <w:tblCellMar>
          <w:top w:w="0" w:type="dxa"/>
          <w:left w:w="0" w:type="dxa"/>
          <w:bottom w:w="0" w:type="dxa"/>
          <w:right w:w="0" w:type="dxa"/>
        </w:tblCellMar>
      </w:tblPr>
      <w:tblGrid>
        <w:gridCol w:w="271"/>
        <w:gridCol w:w="174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17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Loss per Share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net income (loss) per share is calculated by dividing income (loss) by the weighted average number of common shares outstanding for the respective periods. Diluted income (loss) per share is calculated using the diluted weighted average number of common shares outstanding, which includes the effect of potentially dilutive securities. These potentially dilutive securities for this calculation consist of unexercised warrants, stock options and unvested restricted stock awards, all of which are measured using the treasury stock method. Potentially dilutive securities are not considered to be dilutive in periods in which a net loss is reported. See Note 17, Stock-Based Compensation, for discussion of our stock options and restricted stock awards and Note 21, Stockholders’ Equity, for discussion of our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and diluted net loss per share is calculated as follows (net loss in thousands):</w:t>
      </w:r>
    </w:p>
    <w:tbl>
      <w:tblPr>
        <w:tblW w:w="7403" w:type="dxa"/>
        <w:jc w:val="left"/>
        <w:tblInd w:w="0" w:type="dxa"/>
        <w:tblLayout w:type="fixed"/>
        <w:tblCellMar>
          <w:top w:w="0" w:type="dxa"/>
          <w:left w:w="0" w:type="dxa"/>
          <w:bottom w:w="0" w:type="dxa"/>
          <w:right w:w="0" w:type="dxa"/>
        </w:tblCellMar>
      </w:tblPr>
      <w:tblGrid>
        <w:gridCol w:w="3616"/>
        <w:gridCol w:w="346"/>
        <w:gridCol w:w="211"/>
        <w:gridCol w:w="1141"/>
        <w:gridCol w:w="346"/>
        <w:gridCol w:w="211"/>
        <w:gridCol w:w="1141"/>
        <w:gridCol w:w="391"/>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296160" cy="175260"/>
                      <wp:effectExtent l="0" t="0" r="0" b="0"/>
                      <wp:wrapNone/>
                      <wp:docPr id="81" name="Frame81"/>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24535" cy="175260"/>
                      <wp:effectExtent l="0" t="0" r="0" b="0"/>
                      <wp:wrapNone/>
                      <wp:docPr id="84" name="Frame8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24535" cy="175260"/>
                      <wp:effectExtent l="0" t="0" r="0" b="0"/>
                      <wp:wrapNone/>
                      <wp:docPr id="87" name="Frame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48285" cy="175260"/>
                      <wp:effectExtent l="0" t="0" r="0" b="0"/>
                      <wp:wrapNone/>
                      <wp:docPr id="88" name="Frame8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0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91" w:type="dxa"/>
            <w:tcBorders/>
            <w:vAlign w:val="center"/>
          </w:tcPr>
          <w:p>
            <w:pPr>
              <w:pStyle w:val="TableContents"/>
              <w:bidi w:val="0"/>
              <w:spacing w:before="0" w:after="1"/>
              <w:ind w:left="0" w:right="0" w:hanging="0"/>
              <w:jc w:val="center"/>
              <w:rPr/>
            </w:pPr>
            <w:r>
              <w:rPr/>
              <w:t>  ​ ​ ​</w:t>
            </w:r>
          </w:p>
        </w:tc>
      </w:tr>
      <w:tr>
        <w:trPr/>
        <w:tc>
          <w:tcPr>
            <w:tcW w:w="3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(21,728)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236,837,191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232,027,993</w:t>
            </w:r>
          </w:p>
        </w:tc>
        <w:tc>
          <w:tcPr>
            <w:tcW w:w="391" w:type="dxa"/>
            <w:tcBorders/>
            <w:vAlign w:val="center"/>
          </w:tcPr>
          <w:p>
            <w:pPr>
              <w:pStyle w:val="TableContents"/>
              <w:bidi w:val="0"/>
              <w:spacing w:before="0" w:after="1"/>
              <w:ind w:left="0" w:right="0" w:hanging="0"/>
              <w:jc w:val="left"/>
              <w:rPr/>
            </w:pPr>
            <w:r>
              <w:rPr/>
              <w:t>​</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months ended March 31, 2026 and 2025, potentially dilutive securities excluded from the calculation of diluted weighted average shares outstanding because they were anti-dilutive are as follows:</w:t>
      </w:r>
    </w:p>
    <w:p>
      <w:pPr>
        <w:pStyle w:val="TextBody"/>
        <w:bidi w:val="0"/>
        <w:spacing w:before="0" w:after="0"/>
        <w:ind w:left="0" w:right="0" w:hanging="0"/>
        <w:jc w:val="left"/>
        <w:rPr/>
      </w:pPr>
      <w:r>
        <w:rPr/>
        <w:t>​</w:t>
      </w:r>
    </w:p>
    <w:tbl>
      <w:tblPr>
        <w:tblW w:w="5747" w:type="dxa"/>
        <w:jc w:val="left"/>
        <w:tblInd w:w="0" w:type="dxa"/>
        <w:tblLayout w:type="fixed"/>
        <w:tblCellMar>
          <w:top w:w="0" w:type="dxa"/>
          <w:left w:w="0" w:type="dxa"/>
          <w:bottom w:w="0" w:type="dxa"/>
          <w:right w:w="0" w:type="dxa"/>
        </w:tblCellMar>
      </w:tblPr>
      <w:tblGrid>
        <w:gridCol w:w="2761"/>
        <w:gridCol w:w="346"/>
        <w:gridCol w:w="109"/>
        <w:gridCol w:w="109"/>
        <w:gridCol w:w="931"/>
        <w:gridCol w:w="346"/>
        <w:gridCol w:w="109"/>
        <w:gridCol w:w="103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753235" cy="175260"/>
                      <wp:effectExtent l="0" t="0" r="0" b="0"/>
                      <wp:wrapNone/>
                      <wp:docPr id="89" name="Frame8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91185" cy="175260"/>
                      <wp:effectExtent l="0" t="0" r="0" b="0"/>
                      <wp:wrapNone/>
                      <wp:docPr id="93" name="Frame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57860" cy="175260"/>
                      <wp:effectExtent l="0" t="0" r="0" b="0"/>
                      <wp:wrapNone/>
                      <wp:docPr id="96" name="Frame9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253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2,648</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3,847,656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2,121,777</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 awards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3,965,714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4,082,996</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7,813,369</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6,207,422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1742" w:type="dxa"/>
        <w:jc w:val="left"/>
        <w:tblInd w:w="0" w:type="dxa"/>
        <w:tblLayout w:type="fixed"/>
        <w:tblCellMar>
          <w:top w:w="0" w:type="dxa"/>
          <w:left w:w="0" w:type="dxa"/>
          <w:bottom w:w="0" w:type="dxa"/>
          <w:right w:w="0" w:type="dxa"/>
        </w:tblCellMar>
      </w:tblPr>
      <w:tblGrid>
        <w:gridCol w:w="271"/>
        <w:gridCol w:w="14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14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February 6, 2026, as a result of the redemption of the Remarketed Bonds and the Series 2025A Bonds with the proceeds from the OIC Term Loan Amendment, the Company’s restricted cash balances of $35.8 million were released. The restricted cash that was released consisted of $28.8 million held as collateral for a letter of credit to provide financing support for the Company’s Remarketed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Bonds, (the “Bond Letter of Credit”), which supported the development and construction of NW Iowa RNG, and reserve accounts totaling $7.0 million for debt service reserves and an operating and maintenance reserves related to the Series 2025A Bonds. See Note 16, Debt, for additional information on the Remarketed Bonds, the Series 2025A Bonds and OIC Term Loan Amendment.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2026 and 2025, the Company recorded interest income on the restricted cash balances of $0.1 million and $0.7 million, respectively. The interest income is included in “Interest and investment income” in the Condensed Consolidated Statements of Operations.</w:t>
      </w:r>
    </w:p>
    <w:p>
      <w:pPr>
        <w:pStyle w:val="Normal"/>
        <w:bidi w:val="0"/>
        <w:spacing w:before="0" w:after="0"/>
        <w:jc w:val="left"/>
        <w:rPr>
          <w:sz w:val="4"/>
          <w:szCs w:val="4"/>
        </w:rPr>
      </w:pPr>
      <w:r>
        <w:rPr>
          <w:sz w:val="4"/>
          <w:szCs w:val="4"/>
        </w:rPr>
      </w:r>
      <w:bookmarkStart w:id="671" w:name="Tc_9sGrXwsOSku-O-uagXTCGQ_7_5"/>
      <w:bookmarkStart w:id="672" w:name="Tc_DybjGexJBUqFn5BQqAY0-w_7_2"/>
      <w:bookmarkStart w:id="673" w:name="Tc_S_L-ceXE2USf-sWx5jiE1Q_7_0"/>
      <w:bookmarkStart w:id="674" w:name="Tc_CT4Bc14-T0-jEMntxI9ovw_6_0"/>
      <w:bookmarkStart w:id="675" w:name="Tc_SRLVz3AQUkG6WtdqsCYWHQ_5_0"/>
      <w:bookmarkStart w:id="676" w:name="Tc_h9QK-3jHREOLEMOHIxS5QQ_4_0"/>
      <w:bookmarkStart w:id="677" w:name="Tc_QWptBm_zZEujewlYMKYmyA_3_5"/>
      <w:bookmarkStart w:id="678" w:name="Tc_l4cADe4rSkuTEOcM4nfrHA_3_2"/>
      <w:bookmarkStart w:id="679" w:name="Tc_YozmBNll-UeD02Zy1M3CVg_3_0"/>
      <w:bookmarkStart w:id="680" w:name="Tc_quMJH8oVMUW7t9XGAtx8Cw_2_5"/>
      <w:bookmarkStart w:id="681" w:name="Tc_KTYD2htVaUq1KP-lB0k6fg_2_2"/>
      <w:bookmarkStart w:id="682" w:name="_6fb8556f_31c7_4c47_b4ca_86220d3ecdf7"/>
      <w:bookmarkStart w:id="683" w:name="Tc_9sGrXwsOSku-O-uagXTCGQ_7_5"/>
      <w:bookmarkStart w:id="684" w:name="Tc_DybjGexJBUqFn5BQqAY0-w_7_2"/>
      <w:bookmarkStart w:id="685" w:name="Tc_S_L-ceXE2USf-sWx5jiE1Q_7_0"/>
      <w:bookmarkStart w:id="686" w:name="Tc_CT4Bc14-T0-jEMntxI9ovw_6_0"/>
      <w:bookmarkStart w:id="687" w:name="Tc_SRLVz3AQUkG6WtdqsCYWHQ_5_0"/>
      <w:bookmarkStart w:id="688" w:name="Tc_h9QK-3jHREOLEMOHIxS5QQ_4_0"/>
      <w:bookmarkStart w:id="689" w:name="Tc_QWptBm_zZEujewlYMKYmyA_3_5"/>
      <w:bookmarkStart w:id="690" w:name="Tc_l4cADe4rSkuTEOcM4nfrHA_3_2"/>
      <w:bookmarkStart w:id="691" w:name="Tc_YozmBNll-UeD02Zy1M3CVg_3_0"/>
      <w:bookmarkStart w:id="692" w:name="Tc_quMJH8oVMUW7t9XGAtx8Cw_2_5"/>
      <w:bookmarkStart w:id="693" w:name="Tc_KTYD2htVaUq1KP-lB0k6fg_2_2"/>
      <w:bookmarkStart w:id="694" w:name="_6fb8556f_31c7_4c47_b4ca_86220d3ecdf7"/>
      <w:bookmarkEnd w:id="683"/>
      <w:bookmarkEnd w:id="684"/>
      <w:bookmarkEnd w:id="685"/>
      <w:bookmarkEnd w:id="686"/>
      <w:bookmarkEnd w:id="687"/>
      <w:bookmarkEnd w:id="688"/>
      <w:bookmarkEnd w:id="689"/>
      <w:bookmarkEnd w:id="690"/>
      <w:bookmarkEnd w:id="691"/>
      <w:bookmarkEnd w:id="692"/>
      <w:bookmarkEnd w:id="693"/>
      <w:bookmarkEnd w:id="694"/>
    </w:p>
    <w:tbl>
      <w:tblPr>
        <w:tblW w:w="4142" w:type="dxa"/>
        <w:jc w:val="left"/>
        <w:tblInd w:w="0" w:type="dxa"/>
        <w:tblLayout w:type="fixed"/>
        <w:tblCellMar>
          <w:top w:w="0" w:type="dxa"/>
          <w:left w:w="0" w:type="dxa"/>
          <w:bottom w:w="0" w:type="dxa"/>
          <w:right w:w="0" w:type="dxa"/>
        </w:tblCellMar>
      </w:tblPr>
      <w:tblGrid>
        <w:gridCol w:w="271"/>
        <w:gridCol w:w="38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38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Prepaid Expenses and Other Current Assets </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prepaid and other current assets (in thousands) as of:</w:t>
      </w:r>
    </w:p>
    <w:tbl>
      <w:tblPr>
        <w:tblW w:w="7776" w:type="dxa"/>
        <w:jc w:val="left"/>
        <w:tblInd w:w="0" w:type="dxa"/>
        <w:tblLayout w:type="fixed"/>
        <w:tblCellMar>
          <w:top w:w="0" w:type="dxa"/>
          <w:left w:w="0" w:type="dxa"/>
          <w:bottom w:w="0" w:type="dxa"/>
          <w:right w:w="0" w:type="dxa"/>
        </w:tblCellMar>
      </w:tblPr>
      <w:tblGrid>
        <w:gridCol w:w="3931"/>
        <w:gridCol w:w="346"/>
        <w:gridCol w:w="340"/>
        <w:gridCol w:w="921"/>
        <w:gridCol w:w="346"/>
        <w:gridCol w:w="405"/>
        <w:gridCol w:w="1096"/>
        <w:gridCol w:w="391"/>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496185" cy="175260"/>
                      <wp:effectExtent l="0" t="0" r="0" b="0"/>
                      <wp:wrapNone/>
                      <wp:docPr id="97" name="Frame97"/>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5900" cy="175260"/>
                      <wp:effectExtent l="0" t="0" r="0" b="0"/>
                      <wp:wrapNone/>
                      <wp:docPr id="99" name="Frame99"/>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84835" cy="175260"/>
                      <wp:effectExtent l="0" t="0" r="0" b="0"/>
                      <wp:wrapNone/>
                      <wp:docPr id="100" name="Frame100"/>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57175" cy="175260"/>
                      <wp:effectExtent l="0" t="0" r="0" b="0"/>
                      <wp:wrapNone/>
                      <wp:docPr id="102" name="Frame102"/>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5960" cy="175260"/>
                      <wp:effectExtent l="0" t="0" r="0" b="0"/>
                      <wp:wrapNone/>
                      <wp:docPr id="103" name="Frame10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8285" cy="175260"/>
                      <wp:effectExtent l="0" t="0" r="0" b="0"/>
                      <wp:wrapNone/>
                      <wp:docPr id="104" name="Frame10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0"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  ​ ​ ​</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91" w:type="dxa"/>
            <w:tcBorders/>
            <w:vAlign w:val="center"/>
          </w:tcPr>
          <w:p>
            <w:pPr>
              <w:pStyle w:val="TableContents"/>
              <w:bidi w:val="0"/>
              <w:spacing w:before="0" w:after="1"/>
              <w:ind w:left="0" w:right="0" w:hanging="0"/>
              <w:jc w:val="center"/>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Notes receivable - current </w:t>
            </w:r>
          </w:p>
        </w:tc>
        <w:tc>
          <w:tcPr>
            <w:tcW w:w="34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w:t>
            </w:r>
          </w:p>
        </w:tc>
        <w:tc>
          <w:tcPr>
            <w:tcW w:w="391" w:type="dxa"/>
            <w:tcBorders/>
            <w:vAlign w:val="center"/>
          </w:tcPr>
          <w:p>
            <w:pPr>
              <w:pStyle w:val="TableContents"/>
              <w:bidi w:val="0"/>
              <w:spacing w:before="0" w:after="1"/>
              <w:ind w:left="0" w:right="0" w:hanging="0"/>
              <w:jc w:val="lef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w:t>
            </w:r>
          </w:p>
        </w:tc>
        <w:tc>
          <w:tcPr>
            <w:tcW w:w="391" w:type="dxa"/>
            <w:tcBorders/>
            <w:vAlign w:val="center"/>
          </w:tcPr>
          <w:p>
            <w:pPr>
              <w:pStyle w:val="TableContents"/>
              <w:bidi w:val="0"/>
              <w:spacing w:before="0" w:after="1"/>
              <w:ind w:left="0" w:right="0" w:hanging="0"/>
              <w:jc w:val="lef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5,638</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6,001</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4697" w:type="dxa"/>
        <w:jc w:val="left"/>
        <w:tblInd w:w="0" w:type="dxa"/>
        <w:tblLayout w:type="fixed"/>
        <w:tblCellMar>
          <w:top w:w="0" w:type="dxa"/>
          <w:left w:w="0" w:type="dxa"/>
          <w:bottom w:w="0" w:type="dxa"/>
          <w:right w:w="0" w:type="dxa"/>
        </w:tblCellMar>
      </w:tblPr>
      <w:tblGrid>
        <w:gridCol w:w="271"/>
        <w:gridCol w:w="442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44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Leases, Right-of-Use Assets and Related Liabilities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party to an operating lease for the Company’s office and research facility in Englewood, Colorado, which expires in January 2029. On March 30, 2026, the Company signed an operating lease agreement for adjacent space in the same building. The lease for the adjacent space expires in July 2030. The Company also has an operating lease for additional office space in Albuquerque, New Mexico, which expires in 2026. The Company’s primary office facility lease contains an option to extend the lease which is not included in the length of the term as management does not reasonably expect to exercise. The additional office space lease does not contain an option to extend.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Company’s sale of Agri-Energy, LLC, in October 2025, the Company entered into a </w:t>
      </w:r>
      <w:r>
        <w:rPr>
          <w:rFonts w:ascii="Times New Roman;Times;serif" w:hAnsi="Times New Roman;Times;serif"/>
          <w:b w:val="false"/>
          <w:i w:val="false"/>
          <w:caps w:val="false"/>
          <w:smallCaps w:val="false"/>
          <w:sz w:val="20"/>
        </w:rPr>
        <w:t>30-year</w:t>
      </w:r>
      <w:r>
        <w:rPr>
          <w:rFonts w:ascii="Times New Roman;Times;serif" w:hAnsi="Times New Roman;Times;serif"/>
          <w:sz w:val="20"/>
        </w:rPr>
        <w:t xml:space="preserve"> ground lease with the buyer to provide the Company access to assets retained at the Agri-Energy facility in Luverne, Minnesota for the potential future production of isobutanol at that facility. The lease payments total $1.00 for the entire </w:t>
      </w:r>
      <w:r>
        <w:rPr>
          <w:rFonts w:ascii="Times New Roman;Times;serif" w:hAnsi="Times New Roman;Times;serif"/>
          <w:b w:val="false"/>
          <w:i w:val="false"/>
          <w:caps w:val="false"/>
          <w:smallCaps w:val="false"/>
          <w:sz w:val="20"/>
        </w:rPr>
        <w:t>30-year</w:t>
      </w:r>
      <w:r>
        <w:rPr>
          <w:rFonts w:ascii="Times New Roman;Times;serif" w:hAnsi="Times New Roman;Times;serif"/>
          <w:sz w:val="20"/>
        </w:rPr>
        <w:t xml:space="preserve"> period. There are two options to renew the lease, each for an additional </w:t>
      </w:r>
      <w:r>
        <w:rPr>
          <w:rFonts w:ascii="Times New Roman;Times;serif" w:hAnsi="Times New Roman;Times;serif"/>
          <w:b w:val="false"/>
          <w:i w:val="false"/>
          <w:caps w:val="false"/>
          <w:smallCaps w:val="false"/>
          <w:sz w:val="20"/>
        </w:rPr>
        <w:t>20-year</w:t>
      </w:r>
      <w:r>
        <w:rPr>
          <w:rFonts w:ascii="Times New Roman;Times;serif" w:hAnsi="Times New Roman;Times;serif"/>
          <w:sz w:val="20"/>
        </w:rPr>
        <w:t xml:space="preserve"> period, which the Company expects to exercise. In addition, the Company has the right to terminate the lease at any time and for any reason with 12 months’ notice to the lessor.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Company’s acquisition of substantially all the assets and certain liabilities of Red Trail Energy in January 2025, the Company assumed rail car lease agreements used to transport dried distillers grains, all of which are classified as operating leases.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four finance leases for land and one for a processing facility. The land leases are related to our renewable natural gas operations at NW Iowa RNG. The Company leases land from dairy farmers on which it has built three anaerobic digesters, and a gas upgrade facility to condition raw biogas from cow manure provided by the farmers. These leases expire at various dates between 2031 and 2050.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the Company entered into a four-year finance lease for a wheel loader at our Gevo North Dakota location. The lease expires in 2029.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accounts for lease components separately from non-lease components for the Company’s dairy lease asset class. The total consideration in the lease agreement is allocated to the lease and non-lease components based on their relative standalone selling prices. These leases contain options to extend the leases, which management reasonably expects to exercise and are included in the length of the terms.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695" w:name="Tc_Lg1wbe9vzUKoE-lVTwhbvQ_12_5"/>
      <w:bookmarkStart w:id="696" w:name="Tc_FY3zAHf-6UyklBQUw963xg_12_2"/>
      <w:bookmarkStart w:id="697" w:name="Tc_nt8EyNK9JEW_qAITNirVcw_12_0"/>
      <w:bookmarkStart w:id="698" w:name="Tc_2bEm-GkKiUq5XHeSDJZKNA_11_0"/>
      <w:bookmarkStart w:id="699" w:name="Tc_20SOVHbtF0mB-0yRVzgltQ_10_0"/>
      <w:bookmarkStart w:id="700" w:name="Tc_LKmEIfs8Uky_GcVKveey8Q_9_0"/>
      <w:bookmarkStart w:id="701" w:name="Tc__NYlUo1Q20KFOJAK3-iARw_8_0"/>
      <w:bookmarkStart w:id="702" w:name="Tc_U8YRy-CackiY05KXRKfY6A_7_3"/>
      <w:bookmarkStart w:id="703" w:name="Tc_TKBIvZG9pU6iiAug76SJ_Q_7_0"/>
      <w:bookmarkStart w:id="704" w:name="Tc_X44rkmZ6l0GAG3gugKPPwQ_6_0"/>
      <w:bookmarkStart w:id="705" w:name="Tc_VXSQ-Zrzm0uD0ECe7WqGUw_5_0"/>
      <w:bookmarkStart w:id="706" w:name="Tc__2cKe8nsT0mSh7dMj4HVIQ_4_0"/>
      <w:bookmarkStart w:id="707" w:name="Tc_KFSUZdvprUmhECEXnawZPA_3_0"/>
      <w:bookmarkStart w:id="708" w:name="Tc_cy1pFk8Xe0aC-OZnlUj3Ag_2_5"/>
      <w:bookmarkStart w:id="709" w:name="Tc_XWI2h7J4iEGZUjihkQnM5Q_2_2"/>
      <w:bookmarkStart w:id="710" w:name="Tc_iAZS2sKtlUGw_8f7jfllMg_2_0"/>
      <w:bookmarkStart w:id="711" w:name="Tc_B8n0c3O14EiXmoQGLeUhuA_1_5"/>
      <w:bookmarkStart w:id="712" w:name="Tc_nFi91gULSkOXkYT_z-rl0Q_1_2"/>
      <w:bookmarkStart w:id="713" w:name="Tc_Hl72lSzt_UaPNMwms57pnQ_13_7"/>
      <w:bookmarkStart w:id="714" w:name="Tc_V6gomQBWvEC3dUWuo5OuPQ_13_4"/>
      <w:bookmarkStart w:id="715" w:name="Tc_Kp3v9uBIP0uJ0ax7vdYP5g_13_0"/>
      <w:bookmarkStart w:id="716" w:name="Tc_W0ReAu3TP0GnXXe-Zr1B2A_12_7"/>
      <w:bookmarkStart w:id="717" w:name="Tc_C3AsfUnLXkWwAAZhjwlvyg_12_4"/>
      <w:bookmarkStart w:id="718" w:name="Tc_drC8yHirsEKHBelueIhiaA_12_0"/>
      <w:bookmarkStart w:id="719" w:name="Tc_RICoNPYEc0OsTNS9Ksuq2Q_11_0"/>
      <w:bookmarkStart w:id="720" w:name="Tc_zsCVSWTxHkKOK3IADJpbgA_10_0"/>
      <w:bookmarkStart w:id="721" w:name="Tc_uJxAeua0w0KUOX9AnzQLxA_9_5"/>
      <w:bookmarkStart w:id="722" w:name="Tc_Ewf6Qso0AUisEAcO3aLgQw_9_2"/>
      <w:bookmarkStart w:id="723" w:name="Tc_LW4qr3swskKJb5V4Yl38VQ_9_0"/>
      <w:bookmarkStart w:id="724" w:name="Tc_1hcIx6o_q0-T5GfeP9JTzA_8_5"/>
      <w:bookmarkStart w:id="725" w:name="Tc_iU-8rWSpn0e3KF1C6rKSxQ_8_3"/>
      <w:bookmarkStart w:id="726" w:name="Tc_PZxNu750a0q9yQwy83LsDw_8_2"/>
      <w:bookmarkStart w:id="727" w:name="Tc_E64xMFrIJkGzy75ttDA-fA_8_0"/>
      <w:bookmarkStart w:id="728" w:name="Tc_B6Jwu8BcwE2R4286o1vo3A_7_5"/>
      <w:bookmarkStart w:id="729" w:name="Tc_1ROzgPUl9Ua87_YDs-cEDA_7_2"/>
      <w:bookmarkStart w:id="730" w:name="Tc_FVFoxebC-U2GBpZIcWCWlA_7_0"/>
      <w:bookmarkStart w:id="731" w:name="Tc_OWDFeoMmLk20Qe_smYvHxg_6_5"/>
      <w:bookmarkStart w:id="732" w:name="Tc_8jl5ndY0T0mDGUWC_eOsTQ_6_2"/>
      <w:bookmarkStart w:id="733" w:name="Tc_geCJzl-ShECMiNcbsSGiaw_6_0"/>
      <w:bookmarkStart w:id="734" w:name="Tc_3pMay894tkmqillpJYckGA_5_5"/>
      <w:bookmarkStart w:id="735" w:name="Tc_TWbn2REkok6MIGYW1tTP-A_5_2"/>
      <w:bookmarkStart w:id="736" w:name="Tc_6nouI8V99EOAUjlgxCsvxg_5_0"/>
      <w:bookmarkStart w:id="737" w:name="Tc_dL-rBuYryUClvQ0tasx-Jg_4_0"/>
      <w:bookmarkStart w:id="738" w:name="Tc_ei0uKya0jkSpIfiJj3MuSg_3_0"/>
      <w:bookmarkStart w:id="739" w:name="Tc_1xHPbLsOu067GuE9VoR4KQ_2_5"/>
      <w:bookmarkStart w:id="740" w:name="Tc_JZ0rcJy_L0u-w6CPRwCovQ_2_2"/>
      <w:bookmarkStart w:id="741" w:name="Tc_PKBYcVJvTUqFOe55Y8RLhA_1_2"/>
      <w:bookmarkStart w:id="742" w:name="_fafa6307_760a_4868_a239_e430cb9c5c58"/>
      <w:bookmarkStart w:id="743" w:name="Tc_8Yv87dGQ4Ui6qa0pOZ5vkA_7_5"/>
      <w:bookmarkStart w:id="744" w:name="Tc_S-pjjzGl9EmjFAy7SipYzA_7_2"/>
      <w:bookmarkStart w:id="745" w:name="Tc_ntaurWW5fk6T9oCovG6TlA_7_0"/>
      <w:bookmarkStart w:id="746" w:name="Tc_cPGBFs5bj0y3HFvelG3J9Q_6_0"/>
      <w:bookmarkStart w:id="747" w:name="Tc_RInQPcD4DUqG9ly4yAXuxg_5_0"/>
      <w:bookmarkStart w:id="748" w:name="Tc_wWpvATlPJ0mftjf46dV7oQ_4_0"/>
      <w:bookmarkStart w:id="749" w:name="Tc_qNfCu_aaUkyUhQlDwJG2rg_3_5"/>
      <w:bookmarkStart w:id="750" w:name="Tc_uhzRnG1awk-Nqy-zQIbdSA_3_2"/>
      <w:bookmarkStart w:id="751" w:name="Tc_9hlV_HHXTkqbLCIZDQzhoA_3_0"/>
      <w:bookmarkStart w:id="752" w:name="Tc_nJrPHHZtUkan3d9SQkRunA_2_5"/>
      <w:bookmarkStart w:id="753" w:name="Tc_Ouk4uqmIbUa1iAwbRTQjqw_2_2"/>
      <w:bookmarkStart w:id="754" w:name="Tc_otqui-6XWkCo2FMxE4-QKA_1_2"/>
      <w:bookmarkStart w:id="755" w:name="_b9751d0d_3bb8_4873_abc4_dc23b335bd2f"/>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r>
        <w:rPr>
          <w:rFonts w:ascii="Times New Roman;Times;serif" w:hAnsi="Times New Roman;Times;serif"/>
          <w:sz w:val="20"/>
        </w:rPr>
        <w:t xml:space="preserve">In August 2024, the Company entered into an amendment that extended the term of an existing agreement to use a third-party processing facility beyond the previous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term, which resulted in the agreement being recorded as a lease. The agreement for the leased facility expired in 2025, with no option to extend the lease term. Lease amortization for the third-party processing facility was recorded as a component of Project development costs on the Condensed Consolidated Statement of Operations prior to the signing of a customer offtake agreement in August 2024, and after which it is included as a component of work-in-progress inventory, to be expended as a component of Cost of production as sales are made in future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present the (i) costs by lease category, (ii) other quantitative information, and (iii) future minimum payments under non-cancelable financing and operating leases as they relate to the Company’s leases (in thousands, except for weighted averages):</w:t>
      </w:r>
    </w:p>
    <w:tbl>
      <w:tblPr>
        <w:tblW w:w="5219" w:type="dxa"/>
        <w:jc w:val="left"/>
        <w:tblInd w:w="0" w:type="dxa"/>
        <w:tblLayout w:type="fixed"/>
        <w:tblCellMar>
          <w:top w:w="0" w:type="dxa"/>
          <w:left w:w="0" w:type="dxa"/>
          <w:bottom w:w="0" w:type="dxa"/>
          <w:right w:w="0" w:type="dxa"/>
        </w:tblCellMar>
      </w:tblPr>
      <w:tblGrid>
        <w:gridCol w:w="2476"/>
        <w:gridCol w:w="109"/>
        <w:gridCol w:w="320"/>
        <w:gridCol w:w="639"/>
        <w:gridCol w:w="525"/>
        <w:gridCol w:w="320"/>
        <w:gridCol w:w="639"/>
        <w:gridCol w:w="19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572260" cy="175260"/>
                      <wp:effectExtent l="0" t="0" r="0" b="0"/>
                      <wp:wrapNone/>
                      <wp:docPr id="105" name="Frame105"/>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3200" cy="175260"/>
                      <wp:effectExtent l="0" t="0" r="0" b="0"/>
                      <wp:wrapNone/>
                      <wp:docPr id="107" name="Frame10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05765" cy="175260"/>
                      <wp:effectExtent l="0" t="0" r="0" b="0"/>
                      <wp:wrapNone/>
                      <wp:docPr id="108" name="Frame108"/>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33375" cy="175260"/>
                      <wp:effectExtent l="0" t="0" r="0" b="0"/>
                      <wp:wrapNone/>
                      <wp:docPr id="109" name="Frame109"/>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3200" cy="175260"/>
                      <wp:effectExtent l="0" t="0" r="0" b="0"/>
                      <wp:wrapNone/>
                      <wp:docPr id="110" name="Frame11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05765" cy="175260"/>
                      <wp:effectExtent l="0" t="0" r="0" b="0"/>
                      <wp:wrapNone/>
                      <wp:docPr id="111" name="Frame111"/>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1285" cy="175260"/>
                      <wp:effectExtent l="0" t="0" r="0" b="0"/>
                      <wp:wrapNone/>
                      <wp:docPr id="112" name="Frame11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91" w:type="dxa"/>
            <w:tcBorders/>
            <w:vAlign w:val="center"/>
          </w:tcPr>
          <w:p>
            <w:pPr>
              <w:pStyle w:val="TableContents"/>
              <w:bidi w:val="0"/>
              <w:spacing w:before="0" w:after="1"/>
              <w:ind w:left="0" w:right="0" w:hanging="0"/>
              <w:jc w:val="center"/>
              <w:rPr/>
            </w:pPr>
            <w:r>
              <w:rPr/>
              <w:t> </w:t>
            </w:r>
          </w:p>
        </w:tc>
      </w:tr>
      <w:tr>
        <w:trPr/>
        <w:tc>
          <w:tcPr>
            <w:tcW w:w="2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5" w:type="dxa"/>
            <w:tcBorders/>
            <w:vAlign w:val="center"/>
          </w:tcPr>
          <w:p>
            <w:pPr>
              <w:pStyle w:val="TableContents"/>
              <w:bidi w:val="0"/>
              <w:spacing w:before="0" w:after="1"/>
              <w:ind w:left="0" w:right="0" w:hanging="0"/>
              <w:jc w:val="left"/>
              <w:rPr/>
            </w:pPr>
            <w:r>
              <w:rPr/>
              <w:t>  ​ ​ ​</w:t>
            </w:r>
          </w:p>
        </w:tc>
        <w:tc>
          <w:tcPr>
            <w:tcW w:w="9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1"/>
              <w:ind w:left="0" w:right="0" w:hanging="0"/>
              <w:jc w:val="center"/>
              <w:rPr/>
            </w:pPr>
            <w:r>
              <w:rPr/>
              <w:t> </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525"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expense:</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leased assets</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525"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525"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191" w:type="dxa"/>
            <w:tcBorders/>
            <w:vAlign w:val="center"/>
          </w:tcPr>
          <w:p>
            <w:pPr>
              <w:pStyle w:val="TableContents"/>
              <w:bidi w:val="0"/>
              <w:spacing w:before="0" w:after="1"/>
              <w:ind w:left="0" w:right="0" w:hanging="0"/>
              <w:jc w:val="left"/>
              <w:rPr/>
            </w:pPr>
            <w:r>
              <w:rPr/>
              <w: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525"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tbl>
      <w:tblPr>
        <w:tblW w:w="9227" w:type="dxa"/>
        <w:jc w:val="left"/>
        <w:tblInd w:w="0" w:type="dxa"/>
        <w:tblLayout w:type="fixed"/>
        <w:tblCellMar>
          <w:top w:w="0" w:type="dxa"/>
          <w:left w:w="0" w:type="dxa"/>
          <w:bottom w:w="0" w:type="dxa"/>
          <w:right w:w="0" w:type="dxa"/>
        </w:tblCellMar>
      </w:tblPr>
      <w:tblGrid>
        <w:gridCol w:w="6121"/>
        <w:gridCol w:w="346"/>
        <w:gridCol w:w="268"/>
        <w:gridCol w:w="725"/>
        <w:gridCol w:w="458"/>
        <w:gridCol w:w="268"/>
        <w:gridCol w:w="725"/>
        <w:gridCol w:w="316"/>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886835" cy="175260"/>
                      <wp:effectExtent l="0" t="0" r="0" b="0"/>
                      <wp:wrapNone/>
                      <wp:docPr id="113" name="Frame113"/>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70180" cy="175260"/>
                      <wp:effectExtent l="0" t="0" r="0" b="0"/>
                      <wp:wrapNone/>
                      <wp:docPr id="115" name="Frame115"/>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60375" cy="175260"/>
                      <wp:effectExtent l="0" t="0" r="0" b="0"/>
                      <wp:wrapNone/>
                      <wp:docPr id="116" name="Frame116"/>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90830" cy="175260"/>
                      <wp:effectExtent l="0" t="0" r="0" b="0"/>
                      <wp:wrapNone/>
                      <wp:docPr id="117" name="Frame117"/>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70180" cy="175260"/>
                      <wp:effectExtent l="0" t="0" r="0" b="0"/>
                      <wp:wrapNone/>
                      <wp:docPr id="118" name="Frame118"/>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60375" cy="175260"/>
                      <wp:effectExtent l="0" t="0" r="0" b="0"/>
                      <wp:wrapNone/>
                      <wp:docPr id="119" name="Frame119"/>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0660" cy="175260"/>
                      <wp:effectExtent l="0" t="0" r="0" b="0"/>
                      <wp:wrapNone/>
                      <wp:docPr id="120" name="Frame1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8" w:type="dxa"/>
            <w:tcBorders/>
            <w:vAlign w:val="center"/>
          </w:tcPr>
          <w:p>
            <w:pPr>
              <w:pStyle w:val="TableContents"/>
              <w:bidi w:val="0"/>
              <w:spacing w:before="0" w:after="1"/>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346" w:type="dxa"/>
            <w:tcBorders/>
            <w:shd w:fill="CCEEFF" w:val="clear"/>
            <w:vAlign w:val="center"/>
          </w:tcPr>
          <w:p>
            <w:pPr>
              <w:pStyle w:val="TableContents"/>
              <w:bidi w:val="0"/>
              <w:spacing w:before="0" w:after="1"/>
              <w:ind w:left="0" w:right="0" w:hanging="0"/>
              <w:jc w:val="left"/>
              <w:rPr/>
            </w:pPr>
            <w:r>
              <w:rPr/>
              <w:t> </w:t>
            </w:r>
          </w:p>
        </w:tc>
        <w:tc>
          <w:tcPr>
            <w:tcW w:w="268"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  ​</w:t>
            </w:r>
          </w:p>
        </w:tc>
        <w:tc>
          <w:tcPr>
            <w:tcW w:w="458" w:type="dxa"/>
            <w:tcBorders/>
            <w:shd w:fill="CCEEFF" w:val="clear"/>
            <w:vAlign w:val="center"/>
          </w:tcPr>
          <w:p>
            <w:pPr>
              <w:pStyle w:val="TableContents"/>
              <w:bidi w:val="0"/>
              <w:spacing w:before="0" w:after="1"/>
              <w:ind w:left="0" w:right="0" w:hanging="0"/>
              <w:jc w:val="left"/>
              <w:rPr/>
            </w:pPr>
            <w:r>
              <w:rPr/>
              <w:t> </w:t>
            </w:r>
          </w:p>
        </w:tc>
        <w:tc>
          <w:tcPr>
            <w:tcW w:w="268"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46" w:type="dxa"/>
            <w:tcBorders/>
            <w:vAlign w:val="center"/>
          </w:tcPr>
          <w:p>
            <w:pPr>
              <w:pStyle w:val="TableContents"/>
              <w:bidi w:val="0"/>
              <w:spacing w:before="0" w:after="1"/>
              <w:ind w:left="0" w:right="0" w:hanging="0"/>
              <w:jc w:val="left"/>
              <w:rPr/>
            </w:pPr>
            <w:r>
              <w:rPr/>
              <w:t> </w:t>
            </w:r>
          </w:p>
        </w:tc>
        <w:tc>
          <w:tcPr>
            <w:tcW w:w="268"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pPr>
            <w:r>
              <w:rPr/>
              <w:t>  ​</w:t>
            </w:r>
          </w:p>
        </w:tc>
        <w:tc>
          <w:tcPr>
            <w:tcW w:w="458" w:type="dxa"/>
            <w:tcBorders/>
            <w:vAlign w:val="center"/>
          </w:tcPr>
          <w:p>
            <w:pPr>
              <w:pStyle w:val="TableContents"/>
              <w:bidi w:val="0"/>
              <w:spacing w:before="0" w:after="1"/>
              <w:ind w:left="0" w:right="0" w:hanging="0"/>
              <w:jc w:val="left"/>
              <w:rPr/>
            </w:pPr>
            <w:r>
              <w:rPr/>
              <w:t> </w:t>
            </w:r>
          </w:p>
        </w:tc>
        <w:tc>
          <w:tcPr>
            <w:tcW w:w="268"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458"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458"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cash flows from finance leases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58"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finance lease liabilities</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pPr>
            <w:r>
              <w:rPr/>
              <w:t>—</w:t>
            </w:r>
          </w:p>
        </w:tc>
        <w:tc>
          <w:tcPr>
            <w:tcW w:w="458"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2,754</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w:t>
            </w:r>
          </w:p>
        </w:tc>
        <w:tc>
          <w:tcPr>
            <w:tcW w:w="458"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finance leases (months)</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458"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operating leases (months)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458"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finance leases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68"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operating leases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68"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tc>
      </w:tr>
    </w:tbl>
    <w:p>
      <w:pPr>
        <w:pStyle w:val="TextBody"/>
        <w:bidi w:val="0"/>
        <w:spacing w:before="0" w:after="0"/>
        <w:ind w:left="0" w:right="0" w:hanging="0"/>
        <w:jc w:val="left"/>
        <w:rPr/>
      </w:pPr>
      <w:r>
        <w:rPr/>
        <w:t>​</w:t>
      </w:r>
    </w:p>
    <w:tbl>
      <w:tblPr>
        <w:tblW w:w="7563" w:type="dxa"/>
        <w:jc w:val="left"/>
        <w:tblInd w:w="0" w:type="dxa"/>
        <w:tblLayout w:type="fixed"/>
        <w:tblCellMar>
          <w:top w:w="0" w:type="dxa"/>
          <w:left w:w="0" w:type="dxa"/>
          <w:bottom w:w="0" w:type="dxa"/>
          <w:right w:w="0" w:type="dxa"/>
        </w:tblCellMar>
      </w:tblPr>
      <w:tblGrid>
        <w:gridCol w:w="4276"/>
        <w:gridCol w:w="346"/>
        <w:gridCol w:w="367"/>
        <w:gridCol w:w="998"/>
        <w:gridCol w:w="346"/>
        <w:gridCol w:w="347"/>
        <w:gridCol w:w="883"/>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715260" cy="175260"/>
                      <wp:effectExtent l="0" t="0" r="0" b="0"/>
                      <wp:wrapNone/>
                      <wp:docPr id="121" name="Frame121"/>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33045" cy="175260"/>
                      <wp:effectExtent l="0" t="0" r="0" b="0"/>
                      <wp:wrapNone/>
                      <wp:docPr id="123" name="Frame12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33730" cy="175260"/>
                      <wp:effectExtent l="0" t="0" r="0" b="0"/>
                      <wp:wrapNone/>
                      <wp:docPr id="124" name="Frame124"/>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20345" cy="175260"/>
                      <wp:effectExtent l="0" t="0" r="0" b="0"/>
                      <wp:wrapNone/>
                      <wp:docPr id="126" name="Frame126"/>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0705" cy="175260"/>
                      <wp:effectExtent l="0" t="0" r="0" b="0"/>
                      <wp:wrapNone/>
                      <wp:docPr id="127" name="Frame127"/>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46" w:type="dxa"/>
            <w:tcBorders/>
            <w:vAlign w:val="center"/>
          </w:tcPr>
          <w:p>
            <w:pPr>
              <w:pStyle w:val="TableContents"/>
              <w:bidi w:val="0"/>
              <w:spacing w:before="0" w:after="0"/>
              <w:ind w:left="0" w:right="0" w:hanging="0"/>
              <w:jc w:val="center"/>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3,529</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representing present value discounts</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392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56" w:name="Tc_LfCffxsSokCV0cTiiE7GOQ_10_5"/>
      <w:bookmarkStart w:id="757" w:name="Tc_4xwd8zYYhk6KcVeOcm-cbw_10_2"/>
      <w:bookmarkStart w:id="758" w:name="Tc_V03xJ0mpIkeoD-aah-ONrg_10_0"/>
      <w:bookmarkStart w:id="759" w:name="Tc_cww4unChLE6wTKNoMtegbA_9_0"/>
      <w:bookmarkStart w:id="760" w:name="Tc_2m4iLZ3sMkGWYudTKC70Fw_8_0"/>
      <w:bookmarkStart w:id="761" w:name="Tc_62wwYilVP0adkr3pyId7zA_7_0"/>
      <w:bookmarkStart w:id="762" w:name="Tc_NT2PYO0OQ0mpTQgw9gAIxg_6_0"/>
      <w:bookmarkStart w:id="763" w:name="Tc_NMajkjDmSk2ByUXq3eBX7Q_5_0"/>
      <w:bookmarkStart w:id="764" w:name="Tc_u-fsoItX0USiI8rdG7RhFA_4_0"/>
      <w:bookmarkStart w:id="765" w:name="Tc_XCeckIxix0ypz5RWNBNT_g_3_5"/>
      <w:bookmarkStart w:id="766" w:name="Tc_P_9G6E8gzU610J0u2aKQlg_3_2"/>
      <w:bookmarkStart w:id="767" w:name="Tc_GTvfn7KyeUOatyCttYXuwg_3_0"/>
      <w:bookmarkStart w:id="768" w:name="Tc_kpw5NrJv-kqtF40iV9ptlg_2_5"/>
      <w:bookmarkStart w:id="769" w:name="Tc_0mrgOIAKMkyFBfr1u8nAmQ_2_2"/>
      <w:bookmarkStart w:id="770" w:name="Tc_LfCffxsSokCV0cTiiE7GOQ_10_5"/>
      <w:bookmarkStart w:id="771" w:name="Tc_4xwd8zYYhk6KcVeOcm-cbw_10_2"/>
      <w:bookmarkStart w:id="772" w:name="Tc_V03xJ0mpIkeoD-aah-ONrg_10_0"/>
      <w:bookmarkStart w:id="773" w:name="Tc_cww4unChLE6wTKNoMtegbA_9_0"/>
      <w:bookmarkStart w:id="774" w:name="Tc_2m4iLZ3sMkGWYudTKC70Fw_8_0"/>
      <w:bookmarkStart w:id="775" w:name="Tc_62wwYilVP0adkr3pyId7zA_7_0"/>
      <w:bookmarkStart w:id="776" w:name="Tc_NT2PYO0OQ0mpTQgw9gAIxg_6_0"/>
      <w:bookmarkStart w:id="777" w:name="Tc_NMajkjDmSk2ByUXq3eBX7Q_5_0"/>
      <w:bookmarkStart w:id="778" w:name="Tc_u-fsoItX0USiI8rdG7RhFA_4_0"/>
      <w:bookmarkStart w:id="779" w:name="Tc_XCeckIxix0ypz5RWNBNT_g_3_5"/>
      <w:bookmarkStart w:id="780" w:name="Tc_P_9G6E8gzU610J0u2aKQlg_3_2"/>
      <w:bookmarkStart w:id="781" w:name="Tc_GTvfn7KyeUOatyCttYXuwg_3_0"/>
      <w:bookmarkStart w:id="782" w:name="Tc_kpw5NrJv-kqtF40iV9ptlg_2_5"/>
      <w:bookmarkStart w:id="783" w:name="Tc_0mrgOIAKMkyFBfr1u8nAmQ_2_2"/>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tbl>
      <w:tblPr>
        <w:tblW w:w="1427" w:type="dxa"/>
        <w:jc w:val="left"/>
        <w:tblInd w:w="0" w:type="dxa"/>
        <w:tblLayout w:type="fixed"/>
        <w:tblCellMar>
          <w:top w:w="0" w:type="dxa"/>
          <w:left w:w="0" w:type="dxa"/>
          <w:bottom w:w="0" w:type="dxa"/>
          <w:right w:w="0" w:type="dxa"/>
        </w:tblCellMar>
      </w:tblPr>
      <w:tblGrid>
        <w:gridCol w:w="271"/>
        <w:gridCol w:w="115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11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Inventories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Inventory is valued at the lower of cost or net realizable value. The following table sets forth the components of the Company’s inventory balances (in thousands) as of:</w:t>
      </w:r>
    </w:p>
    <w:p>
      <w:pPr>
        <w:pStyle w:val="TextBody"/>
        <w:bidi w:val="0"/>
        <w:spacing w:before="0" w:after="0"/>
        <w:ind w:left="0" w:right="0" w:hanging="0"/>
        <w:jc w:val="left"/>
        <w:rPr/>
      </w:pPr>
      <w:r>
        <w:rPr/>
        <w:t>​</w:t>
      </w:r>
    </w:p>
    <w:tbl>
      <w:tblPr>
        <w:tblW w:w="5991" w:type="dxa"/>
        <w:jc w:val="left"/>
        <w:tblInd w:w="0" w:type="dxa"/>
        <w:tblLayout w:type="fixed"/>
        <w:tblCellMar>
          <w:top w:w="0" w:type="dxa"/>
          <w:left w:w="0" w:type="dxa"/>
          <w:bottom w:w="0" w:type="dxa"/>
          <w:right w:w="0" w:type="dxa"/>
        </w:tblCellMar>
      </w:tblPr>
      <w:tblGrid>
        <w:gridCol w:w="2146"/>
        <w:gridCol w:w="346"/>
        <w:gridCol w:w="299"/>
        <w:gridCol w:w="962"/>
        <w:gridCol w:w="346"/>
        <w:gridCol w:w="357"/>
        <w:gridCol w:w="1144"/>
        <w:gridCol w:w="39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62710" cy="175260"/>
                      <wp:effectExtent l="0" t="0" r="0" b="0"/>
                      <wp:wrapNone/>
                      <wp:docPr id="128" name="Frame12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9865" cy="175260"/>
                      <wp:effectExtent l="0" t="0" r="0" b="0"/>
                      <wp:wrapNone/>
                      <wp:docPr id="130" name="Frame13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10870" cy="175260"/>
                      <wp:effectExtent l="0" t="0" r="0" b="0"/>
                      <wp:wrapNone/>
                      <wp:docPr id="131" name="Frame131"/>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26695" cy="175260"/>
                      <wp:effectExtent l="0" t="0" r="0" b="0"/>
                      <wp:wrapNone/>
                      <wp:docPr id="133" name="Frame13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26440" cy="175260"/>
                      <wp:effectExtent l="0" t="0" r="0" b="0"/>
                      <wp:wrapNone/>
                      <wp:docPr id="134" name="Frame134"/>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48285" cy="175260"/>
                      <wp:effectExtent l="0" t="0" r="0" b="0"/>
                      <wp:wrapNone/>
                      <wp:docPr id="135" name="Frame13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  ​ ​ ​</w: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91" w:type="dxa"/>
            <w:tcBorders/>
            <w:vAlign w:val="center"/>
          </w:tcPr>
          <w:p>
            <w:pPr>
              <w:pStyle w:val="TableContents"/>
              <w:bidi w:val="0"/>
              <w:spacing w:before="0" w:after="0"/>
              <w:ind w:left="0" w:right="0" w:hanging="0"/>
              <w:jc w:val="center"/>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 </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9,129</w:t>
            </w:r>
          </w:p>
        </w:tc>
        <w:tc>
          <w:tcPr>
            <w:tcW w:w="346" w:type="dxa"/>
            <w:tcBorders/>
            <w:shd w:fill="CCEEFF" w:val="clear"/>
            <w:vAlign w:val="center"/>
          </w:tcPr>
          <w:p>
            <w:pPr>
              <w:pStyle w:val="TableContents"/>
              <w:bidi w:val="0"/>
              <w:spacing w:before="0" w:after="0"/>
              <w:ind w:left="0" w:right="0" w:hanging="0"/>
              <w:jc w:val="left"/>
              <w:rPr/>
            </w:pPr>
            <w:r>
              <w:rPr/>
              <w:t> </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8,250</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Biofuels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Biofuels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w:t>
            </w:r>
          </w:p>
        </w:tc>
        <w:tc>
          <w:tcPr>
            <w:tcW w:w="391" w:type="dxa"/>
            <w:tcBorders/>
            <w:vAlign w:val="center"/>
          </w:tcPr>
          <w:p>
            <w:pPr>
              <w:pStyle w:val="TableContents"/>
              <w:bidi w:val="0"/>
              <w:spacing w:before="0" w:after="0"/>
              <w:ind w:left="0" w:right="0" w:hanging="0"/>
              <w:jc w:val="lef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Spare parts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3,896</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21,590</w:t>
            </w:r>
          </w:p>
        </w:tc>
        <w:tc>
          <w:tcPr>
            <w:tcW w:w="346"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19,076</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entered into forward corn purchase contracts under which it is required to take delivery at the contract price. At the time the contracts were created, the price of the contract approximated market price. Subsequent changes in market conditions could cause the contract prices to become higher or lower than market prices. As of March 31, 2026, the average price of corn purchased under certain fixed price contracts, that had not yet been delivered, was higher than the approximated market price. </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bookmarkStart w:id="784" w:name="Tc_fxD5aXORm0a8oiwJpQAc-A_4_8"/>
      <w:bookmarkStart w:id="785" w:name="Tc_iWWP8Vfz4E6Xt-oBt6-oOw_4_5"/>
      <w:bookmarkStart w:id="786" w:name="Tc_2HelNHnnXE29QcD7K2ehAA_4_0"/>
      <w:bookmarkStart w:id="787" w:name="Tc_ithd9x3aVkqN2dBy5hLPeQ_3_8"/>
      <w:bookmarkStart w:id="788" w:name="Tc_A72qeFn0LUGFxGY6zzJxiw_3_5"/>
      <w:bookmarkStart w:id="789" w:name="Tc_Wx2o8kaCnEm1tL5OoaLmDg_3_0"/>
      <w:bookmarkStart w:id="790" w:name="Tc_--jcsqbq3Um002gbwY_8iQ_2_8"/>
      <w:bookmarkStart w:id="791" w:name="Tc_2ARn4F5NvkqMMomRxGqqZQ_2_5"/>
      <w:bookmarkStart w:id="792" w:name="Tc_Jhjz6nZgUkyp-rkfXB1Now_2_2"/>
      <w:bookmarkStart w:id="793" w:name="Tc_TWQ7_tpgKEGYp8Gg766SNg_2_0"/>
      <w:bookmarkStart w:id="794" w:name="Tc_mJjyCZoJ-EeMNHvTxPybNg_1_5"/>
      <w:bookmarkStart w:id="795" w:name="Tc_cFIa5CyFyEmUyB1sibYtMQ_1_2"/>
      <w:bookmarkStart w:id="796" w:name="_4490a124_0259_46da_a2d8_fc449a3aa487"/>
      <w:bookmarkStart w:id="797" w:name="Tc_Hw614rf6t0mQV7bPqHNBPQ_4_16"/>
      <w:bookmarkStart w:id="798" w:name="Tc_dHtEIq2zSk6rj6xKOBccOQ_4_7"/>
      <w:bookmarkStart w:id="799" w:name="Tc_EFzYsUa2-0K1omNUrCvD1Q_4_0"/>
      <w:bookmarkStart w:id="800" w:name="Tc_Jxzn78Juw0yWFOqWXkwWyw_3_16"/>
      <w:bookmarkStart w:id="801" w:name="Tc_IBxoGoZeYUK4zbOFQ0PxtQ_3_13"/>
      <w:bookmarkStart w:id="802" w:name="Tc_wySo10Rcx02Som5nnUD8qw_3_7"/>
      <w:bookmarkStart w:id="803" w:name="Tc_WqRJZ_KTUUqLhEe4ll7-Pw_3_5"/>
      <w:bookmarkStart w:id="804" w:name="Tc_dTtpPnBSVkWqSd47PX53UA_3_0"/>
      <w:bookmarkStart w:id="805" w:name="Tc_8q3DQ6hIwUSn0zhaDSpEEg_2_16"/>
      <w:bookmarkStart w:id="806" w:name="Tc_hR-mEfzMzkqccL8niY3-vw_2_12"/>
      <w:bookmarkStart w:id="807" w:name="Tc_3QUqB01_tUOZEpxR-cAkOQ_2_10"/>
      <w:bookmarkStart w:id="808" w:name="Tc_ymaMkliPXE6YxCvi09K_pw_2_7"/>
      <w:bookmarkStart w:id="809" w:name="Tc_0Dhi4KdlDEmUlwPjsjObqg_2_4"/>
      <w:bookmarkStart w:id="810" w:name="Tc_dIP6gT4BI02kKBw8rNM2rQ_2_2"/>
      <w:bookmarkStart w:id="811" w:name="Tc_V0M5oM1K7UmvG5Y89o_SLg_2_0"/>
      <w:bookmarkStart w:id="812" w:name="Tc_Fw1Nob9Xn02Nv7TxxPWxnQ_1_10"/>
      <w:bookmarkStart w:id="813" w:name="Tc_ZkdJa_iqjEqbMf9O5OJwYw_1_2"/>
      <w:bookmarkStart w:id="814" w:name="_2a6c9bb2_2dec_4f6e_96a1_40df638e14a7"/>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r>
        <w:rPr/>
        <w:t>​</w:t>
      </w:r>
    </w:p>
    <w:tbl>
      <w:tblPr>
        <w:tblW w:w="3377" w:type="dxa"/>
        <w:jc w:val="left"/>
        <w:tblInd w:w="0" w:type="dxa"/>
        <w:tblLayout w:type="fixed"/>
        <w:tblCellMar>
          <w:top w:w="0" w:type="dxa"/>
          <w:left w:w="0" w:type="dxa"/>
          <w:bottom w:w="0" w:type="dxa"/>
          <w:right w:w="0" w:type="dxa"/>
        </w:tblCellMar>
      </w:tblPr>
      <w:tblGrid>
        <w:gridCol w:w="376"/>
        <w:gridCol w:w="300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30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Derivative Financial Instruments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uses corn commodity-based derivative financial instruments to manage the exposure to price risk related to corn purchases. The Company does not apply hedge accounting. Accordingly, these derivative contracts are recorded on the Company’s Condensed Consolidated Balance Sheets at fair value and changes in fair value are recognized in Cost of production on the Condensed Consolidated Statements of Operations. Changes in fair value are recognized as non-cash adjustments on the Condensed Consolidated Statement of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details regarding the Company's derivative financial instruments. Derivative asset positions are recorded in Prepaid expenses and other current assets and derivative liability positions are recorded in Accounts payable and accrued liabilities on the Condensed Consolidated Balance Sheets (in thousands):</w:t>
      </w:r>
    </w:p>
    <w:tbl>
      <w:tblPr>
        <w:tblW w:w="10205" w:type="dxa"/>
        <w:jc w:val="left"/>
        <w:tblInd w:w="0" w:type="dxa"/>
        <w:tblLayout w:type="fixed"/>
        <w:tblCellMar>
          <w:top w:w="0" w:type="dxa"/>
          <w:left w:w="0" w:type="dxa"/>
          <w:bottom w:w="0" w:type="dxa"/>
          <w:right w:w="0" w:type="dxa"/>
        </w:tblCellMar>
      </w:tblPr>
      <w:tblGrid>
        <w:gridCol w:w="1166"/>
        <w:gridCol w:w="346"/>
        <w:gridCol w:w="1043"/>
        <w:gridCol w:w="146"/>
        <w:gridCol w:w="991"/>
        <w:gridCol w:w="767"/>
        <w:gridCol w:w="346"/>
        <w:gridCol w:w="235"/>
        <w:gridCol w:w="583"/>
        <w:gridCol w:w="346"/>
        <w:gridCol w:w="1043"/>
        <w:gridCol w:w="146"/>
        <w:gridCol w:w="991"/>
        <w:gridCol w:w="767"/>
        <w:gridCol w:w="346"/>
        <w:gridCol w:w="109"/>
        <w:gridCol w:w="276"/>
        <w:gridCol w:w="558"/>
      </w:tblGrid>
      <w:tr>
        <w:trPr/>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40410" cy="175260"/>
                      <wp:effectExtent l="0" t="0" r="0" b="0"/>
                      <wp:wrapNone/>
                      <wp:docPr id="136" name="Frame136"/>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62305" cy="175260"/>
                      <wp:effectExtent l="0" t="0" r="0" b="0"/>
                      <wp:wrapNone/>
                      <wp:docPr id="138" name="Frame138"/>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92710" cy="175260"/>
                      <wp:effectExtent l="0" t="0" r="0" b="0"/>
                      <wp:wrapNone/>
                      <wp:docPr id="139" name="Frame1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29285" cy="175260"/>
                      <wp:effectExtent l="0" t="0" r="0" b="0"/>
                      <wp:wrapNone/>
                      <wp:docPr id="140" name="Frame14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87045" cy="175260"/>
                      <wp:effectExtent l="0" t="0" r="0" b="0"/>
                      <wp:wrapNone/>
                      <wp:docPr id="141" name="Frame14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9225" cy="175260"/>
                      <wp:effectExtent l="0" t="0" r="0" b="0"/>
                      <wp:wrapNone/>
                      <wp:docPr id="143" name="Frame14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70205" cy="175260"/>
                      <wp:effectExtent l="0" t="0" r="0" b="0"/>
                      <wp:wrapNone/>
                      <wp:docPr id="144" name="Frame144"/>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62305" cy="175260"/>
                      <wp:effectExtent l="0" t="0" r="0" b="0"/>
                      <wp:wrapNone/>
                      <wp:docPr id="146" name="Frame146"/>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92710" cy="175260"/>
                      <wp:effectExtent l="0" t="0" r="0" b="0"/>
                      <wp:wrapNone/>
                      <wp:docPr id="147" name="Frame14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29285" cy="175260"/>
                      <wp:effectExtent l="0" t="0" r="0" b="0"/>
                      <wp:wrapNone/>
                      <wp:docPr id="148" name="Frame14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87045" cy="175260"/>
                      <wp:effectExtent l="0" t="0" r="0" b="0"/>
                      <wp:wrapNone/>
                      <wp:docPr id="149" name="Frame14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75260" cy="175260"/>
                      <wp:effectExtent l="0" t="0" r="0" b="0"/>
                      <wp:wrapNone/>
                      <wp:docPr id="152" name="Frame152"/>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54330" cy="175260"/>
                      <wp:effectExtent l="0" t="0" r="0" b="0"/>
                      <wp:wrapNone/>
                      <wp:docPr id="153" name="Frame153"/>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11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423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1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346" w:type="dxa"/>
            <w:tcBorders/>
            <w:vAlign w:val="center"/>
          </w:tcPr>
          <w:p>
            <w:pPr>
              <w:pStyle w:val="TableContents"/>
              <w:bidi w:val="0"/>
              <w:spacing w:before="0" w:after="1"/>
              <w:ind w:left="0" w:right="0" w:hanging="0"/>
              <w:jc w:val="center"/>
              <w:rPr/>
            </w:pPr>
            <w:r>
              <w:rPr/>
              <w:t>​</w:t>
            </w:r>
          </w:p>
        </w:tc>
        <w:tc>
          <w:tcPr>
            <w:tcW w:w="104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Contracts</w:t>
            </w:r>
          </w:p>
        </w:tc>
        <w:tc>
          <w:tcPr>
            <w:tcW w:w="146" w:type="dxa"/>
            <w:tcBorders/>
            <w:vAlign w:val="center"/>
          </w:tcPr>
          <w:p>
            <w:pPr>
              <w:pStyle w:val="TableContents"/>
              <w:bidi w:val="0"/>
              <w:spacing w:before="0" w:after="1"/>
              <w:ind w:left="0" w:right="0" w:hanging="0"/>
              <w:jc w:val="center"/>
              <w:rPr/>
            </w:pPr>
            <w:r>
              <w:rPr/>
              <w:t>​</w:t>
            </w:r>
          </w:p>
        </w:tc>
        <w:tc>
          <w:tcPr>
            <w:tcW w:w="17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 Amount (Qty)</w:t>
            </w:r>
          </w:p>
        </w:tc>
        <w:tc>
          <w:tcPr>
            <w:tcW w:w="346" w:type="dxa"/>
            <w:tcBorders/>
            <w:vAlign w:val="center"/>
          </w:tcPr>
          <w:p>
            <w:pPr>
              <w:pStyle w:val="TableContents"/>
              <w:bidi w:val="0"/>
              <w:spacing w:before="0" w:after="1"/>
              <w:ind w:left="0" w:right="0" w:hanging="0"/>
              <w:jc w:val="center"/>
              <w:rPr/>
            </w:pPr>
            <w:r>
              <w:rPr/>
              <w:t>  ​ ​ ​</w:t>
            </w:r>
          </w:p>
        </w:tc>
        <w:tc>
          <w:tcPr>
            <w:tcW w:w="8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center"/>
              <w:rPr/>
            </w:pPr>
            <w:r>
              <w:rPr/>
              <w:t>​</w:t>
            </w:r>
          </w:p>
        </w:tc>
        <w:tc>
          <w:tcPr>
            <w:tcW w:w="104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Contracts</w:t>
            </w:r>
          </w:p>
        </w:tc>
        <w:tc>
          <w:tcPr>
            <w:tcW w:w="146" w:type="dxa"/>
            <w:tcBorders/>
            <w:vAlign w:val="center"/>
          </w:tcPr>
          <w:p>
            <w:pPr>
              <w:pStyle w:val="TableContents"/>
              <w:bidi w:val="0"/>
              <w:spacing w:before="0" w:after="1"/>
              <w:ind w:left="0" w:right="0" w:hanging="0"/>
              <w:jc w:val="center"/>
              <w:rPr/>
            </w:pPr>
            <w:r>
              <w:rPr/>
              <w:t>​</w:t>
            </w:r>
          </w:p>
        </w:tc>
        <w:tc>
          <w:tcPr>
            <w:tcW w:w="17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 Amount (Qty)</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8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futures</w:t>
            </w:r>
          </w:p>
        </w:tc>
        <w:tc>
          <w:tcPr>
            <w:tcW w:w="346" w:type="dxa"/>
            <w:tcBorders/>
            <w:shd w:fill="CCEEFF" w:val="clear"/>
            <w:vAlign w:val="center"/>
          </w:tcPr>
          <w:p>
            <w:pPr>
              <w:pStyle w:val="TableContents"/>
              <w:bidi w:val="0"/>
              <w:spacing w:before="0" w:after="1"/>
              <w:ind w:left="0" w:right="0" w:hanging="0"/>
              <w:jc w:val="left"/>
              <w:rPr/>
            </w:pPr>
            <w:r>
              <w:rPr/>
              <w:t> </w:t>
            </w:r>
          </w:p>
        </w:tc>
        <w:tc>
          <w:tcPr>
            <w:tcW w:w="10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c>
          <w:tcPr>
            <w:tcW w:w="1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8,046,544</w:t>
            </w:r>
          </w:p>
        </w:tc>
        <w:tc>
          <w:tcPr>
            <w:tcW w:w="76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bushels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shd w:fill="CCEEFF" w:val="clear"/>
            <w:vAlign w:val="center"/>
          </w:tcPr>
          <w:p>
            <w:pPr>
              <w:pStyle w:val="TableContents"/>
              <w:bidi w:val="0"/>
              <w:spacing w:before="0" w:after="1"/>
              <w:ind w:left="0" w:right="0" w:hanging="0"/>
              <w:jc w:val="left"/>
              <w:rPr/>
            </w:pPr>
            <w:r>
              <w:rPr/>
              <w:t> </w:t>
            </w:r>
          </w:p>
        </w:tc>
        <w:tc>
          <w:tcPr>
            <w:tcW w:w="10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1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3,455,000</w:t>
            </w:r>
          </w:p>
        </w:tc>
        <w:tc>
          <w:tcPr>
            <w:tcW w:w="76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bushels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fair value</w:t>
            </w:r>
          </w:p>
        </w:tc>
        <w:tc>
          <w:tcPr>
            <w:tcW w:w="346" w:type="dxa"/>
            <w:tcBorders/>
            <w:vAlign w:val="center"/>
          </w:tcPr>
          <w:p>
            <w:pPr>
              <w:pStyle w:val="TableContents"/>
              <w:bidi w:val="0"/>
              <w:spacing w:before="0" w:after="1"/>
              <w:ind w:left="0" w:right="0" w:hanging="0"/>
              <w:jc w:val="left"/>
              <w:rPr/>
            </w:pPr>
            <w:r>
              <w:rPr/>
              <w:t>​</w:t>
            </w:r>
          </w:p>
        </w:tc>
        <w:tc>
          <w:tcPr>
            <w:tcW w:w="1043"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76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vAlign w:val="center"/>
          </w:tcPr>
          <w:p>
            <w:pPr>
              <w:pStyle w:val="TableContents"/>
              <w:bidi w:val="0"/>
              <w:spacing w:before="0" w:after="1"/>
              <w:ind w:left="0" w:right="0" w:hanging="0"/>
              <w:jc w:val="left"/>
              <w:rPr/>
            </w:pPr>
            <w:r>
              <w:rPr/>
              <w:t>​</w:t>
            </w:r>
          </w:p>
        </w:tc>
        <w:tc>
          <w:tcPr>
            <w:tcW w:w="1043"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76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91</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gain (loss) recognized in income (in thousands):</w:t>
      </w:r>
    </w:p>
    <w:tbl>
      <w:tblPr>
        <w:tblW w:w="9085" w:type="dxa"/>
        <w:jc w:val="left"/>
        <w:tblInd w:w="0" w:type="dxa"/>
        <w:tblLayout w:type="fixed"/>
        <w:tblCellMar>
          <w:top w:w="0" w:type="dxa"/>
          <w:left w:w="0" w:type="dxa"/>
          <w:bottom w:w="0" w:type="dxa"/>
          <w:right w:w="0" w:type="dxa"/>
        </w:tblCellMar>
      </w:tblPr>
      <w:tblGrid>
        <w:gridCol w:w="3316"/>
        <w:gridCol w:w="346"/>
        <w:gridCol w:w="2371"/>
        <w:gridCol w:w="109"/>
        <w:gridCol w:w="109"/>
        <w:gridCol w:w="274"/>
        <w:gridCol w:w="703"/>
        <w:gridCol w:w="450"/>
        <w:gridCol w:w="274"/>
        <w:gridCol w:w="742"/>
        <w:gridCol w:w="39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05660" cy="175260"/>
                      <wp:effectExtent l="0" t="0" r="0" b="0"/>
                      <wp:wrapNone/>
                      <wp:docPr id="154" name="Frame15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05585" cy="175260"/>
                      <wp:effectExtent l="0" t="0" r="0" b="0"/>
                      <wp:wrapNone/>
                      <wp:docPr id="156" name="Frame156"/>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73990" cy="175260"/>
                      <wp:effectExtent l="0" t="0" r="0" b="0"/>
                      <wp:wrapNone/>
                      <wp:docPr id="159" name="Frame15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46405" cy="175260"/>
                      <wp:effectExtent l="0" t="0" r="0" b="0"/>
                      <wp:wrapNone/>
                      <wp:docPr id="160" name="Frame160"/>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85750" cy="175260"/>
                      <wp:effectExtent l="0" t="0" r="0" b="0"/>
                      <wp:wrapNone/>
                      <wp:docPr id="161" name="Frame16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73990" cy="175260"/>
                      <wp:effectExtent l="0" t="0" r="0" b="0"/>
                      <wp:wrapNone/>
                      <wp:docPr id="162" name="Frame16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71170" cy="175260"/>
                      <wp:effectExtent l="0" t="0" r="0" b="0"/>
                      <wp:wrapNone/>
                      <wp:docPr id="163" name="Frame163"/>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48285" cy="175260"/>
                      <wp:effectExtent l="0" t="0" r="0" b="0"/>
                      <wp:wrapNone/>
                      <wp:docPr id="164" name="Frame16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Location of gain (loss) in </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91" w:type="dxa"/>
            <w:tcBorders/>
            <w:vAlign w:val="center"/>
          </w:tcPr>
          <w:p>
            <w:pPr>
              <w:pStyle w:val="TableContents"/>
              <w:bidi w:val="0"/>
              <w:spacing w:before="0" w:after="0"/>
              <w:ind w:left="0" w:right="0" w:hanging="0"/>
              <w:jc w:val="center"/>
              <w:rPr/>
            </w:pPr>
            <w:r>
              <w:rPr/>
              <w:t>  ​ ​ ​</w:t>
            </w:r>
          </w:p>
        </w:tc>
      </w:tr>
      <w:tr>
        <w:trPr/>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 Operations Income / (Expense)</w:t>
            </w:r>
          </w:p>
        </w:tc>
        <w:tc>
          <w:tcPr>
            <w:tcW w:w="346" w:type="dxa"/>
            <w:tcBorders/>
            <w:vAlign w:val="center"/>
          </w:tcPr>
          <w:p>
            <w:pPr>
              <w:pStyle w:val="TableContents"/>
              <w:bidi w:val="0"/>
              <w:spacing w:before="0" w:after="0"/>
              <w:ind w:left="0" w:right="0" w:hanging="0"/>
              <w:jc w:val="center"/>
              <w:rPr/>
            </w:pPr>
            <w:r>
              <w:rPr/>
              <w:t>​</w:t>
            </w:r>
          </w:p>
        </w:tc>
        <w:tc>
          <w:tcPr>
            <w:tcW w:w="23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recognized in income</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0" w:type="dxa"/>
            <w:tcBorders/>
            <w:vAlign w:val="center"/>
          </w:tcPr>
          <w:p>
            <w:pPr>
              <w:pStyle w:val="TableContents"/>
              <w:bidi w:val="0"/>
              <w:spacing w:before="0" w:after="0"/>
              <w:ind w:left="0" w:right="0" w:hanging="0"/>
              <w:jc w:val="center"/>
              <w:rPr/>
            </w:pPr>
            <w:r>
              <w:rPr/>
              <w:t>  ​ ​ ​</w:t>
            </w:r>
          </w:p>
        </w:tc>
        <w:tc>
          <w:tcPr>
            <w:tcW w:w="10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futures</w:t>
            </w:r>
          </w:p>
        </w:tc>
        <w:tc>
          <w:tcPr>
            <w:tcW w:w="346" w:type="dxa"/>
            <w:tcBorders/>
            <w:shd w:fill="CCEEFF" w:val="clear"/>
            <w:vAlign w:val="center"/>
          </w:tcPr>
          <w:p>
            <w:pPr>
              <w:pStyle w:val="TableContents"/>
              <w:bidi w:val="0"/>
              <w:spacing w:before="0" w:after="0"/>
              <w:ind w:left="0" w:right="0" w:hanging="0"/>
              <w:jc w:val="left"/>
              <w:rPr/>
            </w:pPr>
            <w:r>
              <w:rPr/>
              <w:t> </w:t>
            </w:r>
          </w:p>
        </w:tc>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production</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450"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realized gain (loss)</w:t>
            </w:r>
          </w:p>
        </w:tc>
        <w:tc>
          <w:tcPr>
            <w:tcW w:w="346" w:type="dxa"/>
            <w:tcBorders/>
            <w:vAlign w:val="center"/>
          </w:tcPr>
          <w:p>
            <w:pPr>
              <w:pStyle w:val="TableContents"/>
              <w:bidi w:val="0"/>
              <w:spacing w:before="0" w:after="0"/>
              <w:ind w:left="0" w:right="0" w:hanging="0"/>
              <w:jc w:val="left"/>
              <w:rPr/>
            </w:pPr>
            <w:r>
              <w:rPr/>
              <w:t>​</w:t>
            </w:r>
          </w:p>
        </w:tc>
        <w:tc>
          <w:tcPr>
            <w:tcW w:w="2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450"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15" w:name="Tc_LNkdJZU70U-HuPqMIM8N5Q_11_5"/>
      <w:bookmarkStart w:id="816" w:name="Tc__nSIhf9__0GUBnQhqsIfKQ_11_2"/>
      <w:bookmarkStart w:id="817" w:name="Tc_pXcyrWPpW0K2B4CLIOJOJg_11_0"/>
      <w:bookmarkStart w:id="818" w:name="Tc_FFwWry_DFk-dAa56UdBN1w_10_0"/>
      <w:bookmarkStart w:id="819" w:name="Tc_NLVSgmdOVkuaXwIbUQ8flA_9_0"/>
      <w:bookmarkStart w:id="820" w:name="Tc_ri0dB8DaoEWaT51wxoaJYw_8_0"/>
      <w:bookmarkStart w:id="821" w:name="Tc_uRwFDhF77E2veOoGbDke6w_7_0"/>
      <w:bookmarkStart w:id="822" w:name="Tc_ZloMsWypNEa53V6xr4SiQQ_6_0"/>
      <w:bookmarkStart w:id="823" w:name="Tc_GxmNsol-UEWn7jW6NBrOZw_5_0"/>
      <w:bookmarkStart w:id="824" w:name="Tc_GsN5VgMFukyxtQ69_GvFng_4_0"/>
      <w:bookmarkStart w:id="825" w:name="Tc_STTNtAiDqkilRPEj32ODRg_3_5"/>
      <w:bookmarkStart w:id="826" w:name="Tc_CTgHAivFck638R51EOY3sg_3_2"/>
      <w:bookmarkStart w:id="827" w:name="Tc_2rU0AOvHh06OGcqSiNwiSg_3_0"/>
      <w:bookmarkStart w:id="828" w:name="Tc_PAyD0t-DGkSJtPhwTY1Vdg_2_5"/>
      <w:bookmarkStart w:id="829" w:name="Tc_XvpDGERQckS5iCq3iIV3yw_2_2"/>
      <w:bookmarkStart w:id="830" w:name="_8d027fb1_4af5_4450_881a_1a445b8776bb"/>
      <w:bookmarkStart w:id="831" w:name="Tc_LNkdJZU70U-HuPqMIM8N5Q_11_5"/>
      <w:bookmarkStart w:id="832" w:name="Tc__nSIhf9__0GUBnQhqsIfKQ_11_2"/>
      <w:bookmarkStart w:id="833" w:name="Tc_pXcyrWPpW0K2B4CLIOJOJg_11_0"/>
      <w:bookmarkStart w:id="834" w:name="Tc_FFwWry_DFk-dAa56UdBN1w_10_0"/>
      <w:bookmarkStart w:id="835" w:name="Tc_NLVSgmdOVkuaXwIbUQ8flA_9_0"/>
      <w:bookmarkStart w:id="836" w:name="Tc_ri0dB8DaoEWaT51wxoaJYw_8_0"/>
      <w:bookmarkStart w:id="837" w:name="Tc_uRwFDhF77E2veOoGbDke6w_7_0"/>
      <w:bookmarkStart w:id="838" w:name="Tc_ZloMsWypNEa53V6xr4SiQQ_6_0"/>
      <w:bookmarkStart w:id="839" w:name="Tc_GxmNsol-UEWn7jW6NBrOZw_5_0"/>
      <w:bookmarkStart w:id="840" w:name="Tc_GsN5VgMFukyxtQ69_GvFng_4_0"/>
      <w:bookmarkStart w:id="841" w:name="Tc_STTNtAiDqkilRPEj32ODRg_3_5"/>
      <w:bookmarkStart w:id="842" w:name="Tc_CTgHAivFck638R51EOY3sg_3_2"/>
      <w:bookmarkStart w:id="843" w:name="Tc_2rU0AOvHh06OGcqSiNwiSg_3_0"/>
      <w:bookmarkStart w:id="844" w:name="Tc_PAyD0t-DGkSJtPhwTY1Vdg_2_5"/>
      <w:bookmarkStart w:id="845" w:name="Tc_XvpDGERQckS5iCq3iIV3yw_2_2"/>
      <w:bookmarkStart w:id="846" w:name="_8d027fb1_4af5_4450_881a_1a445b8776bb"/>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tbl>
      <w:tblPr>
        <w:tblW w:w="3212" w:type="dxa"/>
        <w:jc w:val="left"/>
        <w:tblInd w:w="0" w:type="dxa"/>
        <w:tblLayout w:type="fixed"/>
        <w:tblCellMar>
          <w:top w:w="0" w:type="dxa"/>
          <w:left w:w="0" w:type="dxa"/>
          <w:bottom w:w="0" w:type="dxa"/>
          <w:right w:w="0" w:type="dxa"/>
        </w:tblCellMar>
      </w:tblPr>
      <w:tblGrid>
        <w:gridCol w:w="376"/>
        <w:gridCol w:w="28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28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Property, Plant and Equipment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property, plant and equipment by classification (in thousands) as of:</w:t>
      </w:r>
    </w:p>
    <w:tbl>
      <w:tblPr>
        <w:tblW w:w="7956" w:type="dxa"/>
        <w:jc w:val="left"/>
        <w:tblInd w:w="0" w:type="dxa"/>
        <w:tblLayout w:type="fixed"/>
        <w:tblCellMar>
          <w:top w:w="0" w:type="dxa"/>
          <w:left w:w="0" w:type="dxa"/>
          <w:bottom w:w="0" w:type="dxa"/>
          <w:right w:w="0" w:type="dxa"/>
        </w:tblCellMar>
      </w:tblPr>
      <w:tblGrid>
        <w:gridCol w:w="4111"/>
        <w:gridCol w:w="346"/>
        <w:gridCol w:w="268"/>
        <w:gridCol w:w="993"/>
        <w:gridCol w:w="346"/>
        <w:gridCol w:w="319"/>
        <w:gridCol w:w="1182"/>
        <w:gridCol w:w="391"/>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610485" cy="175260"/>
                      <wp:effectExtent l="0" t="0" r="0" b="0"/>
                      <wp:wrapNone/>
                      <wp:docPr id="165" name="Frame165"/>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70180" cy="175260"/>
                      <wp:effectExtent l="0" t="0" r="0" b="0"/>
                      <wp:wrapNone/>
                      <wp:docPr id="167" name="Frame167"/>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30555" cy="175260"/>
                      <wp:effectExtent l="0" t="0" r="0" b="0"/>
                      <wp:wrapNone/>
                      <wp:docPr id="168" name="Frame168"/>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2565" cy="175260"/>
                      <wp:effectExtent l="0" t="0" r="0" b="0"/>
                      <wp:wrapNone/>
                      <wp:docPr id="170" name="Frame17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50570" cy="175260"/>
                      <wp:effectExtent l="0" t="0" r="0" b="0"/>
                      <wp:wrapNone/>
                      <wp:docPr id="171" name="Frame171"/>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48285" cy="175260"/>
                      <wp:effectExtent l="0" t="0" r="0" b="0"/>
                      <wp:wrapNone/>
                      <wp:docPr id="172" name="Frame17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8"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  ​ ​ ​</w: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91" w:type="dxa"/>
            <w:tcBorders/>
            <w:vAlign w:val="center"/>
          </w:tcPr>
          <w:p>
            <w:pPr>
              <w:pStyle w:val="TableContents"/>
              <w:bidi w:val="0"/>
              <w:spacing w:before="0" w:after="1"/>
              <w:ind w:left="0" w:right="0" w:hanging="0"/>
              <w:jc w:val="center"/>
              <w:rPr/>
            </w:pPr>
            <w:r>
              <w:rPr/>
              <w:t>​</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12,232</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facilities and infrastructure</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49,642</w:t>
            </w:r>
          </w:p>
        </w:tc>
        <w:tc>
          <w:tcPr>
            <w:tcW w:w="346"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49,352</w:t>
            </w:r>
          </w:p>
        </w:tc>
        <w:tc>
          <w:tcPr>
            <w:tcW w:w="391" w:type="dxa"/>
            <w:tcBorders/>
            <w:vAlign w:val="center"/>
          </w:tcPr>
          <w:p>
            <w:pPr>
              <w:pStyle w:val="TableContents"/>
              <w:bidi w:val="0"/>
              <w:spacing w:before="0" w:after="1"/>
              <w:ind w:left="0" w:right="0" w:hanging="0"/>
              <w:jc w:val="left"/>
              <w:rPr/>
            </w:pPr>
            <w:r>
              <w:rPr/>
              <w:t> </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142,250</w:t>
            </w:r>
          </w:p>
        </w:tc>
        <w:tc>
          <w:tcPr>
            <w:tcW w:w="346" w:type="dxa"/>
            <w:tcBorders/>
            <w:shd w:fill="CCEEFF" w:val="clear"/>
            <w:vAlign w:val="center"/>
          </w:tcPr>
          <w:p>
            <w:pPr>
              <w:pStyle w:val="TableContents"/>
              <w:bidi w:val="0"/>
              <w:spacing w:before="0" w:after="1"/>
              <w:ind w:left="0" w:right="0" w:hanging="0"/>
              <w:jc w:val="righ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140,552</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2,730</w:t>
            </w:r>
          </w:p>
        </w:tc>
        <w:tc>
          <w:tcPr>
            <w:tcW w:w="346"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2,731</w:t>
            </w:r>
          </w:p>
        </w:tc>
        <w:tc>
          <w:tcPr>
            <w:tcW w:w="391" w:type="dxa"/>
            <w:tcBorders/>
            <w:vAlign w:val="center"/>
          </w:tcPr>
          <w:p>
            <w:pPr>
              <w:pStyle w:val="TableContents"/>
              <w:bidi w:val="0"/>
              <w:spacing w:before="0" w:after="1"/>
              <w:ind w:left="0" w:right="0" w:hanging="0"/>
              <w:jc w:val="left"/>
              <w:rPr/>
            </w:pPr>
            <w:r>
              <w:rPr/>
              <w:t> </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9,546</w:t>
            </w:r>
          </w:p>
        </w:tc>
        <w:tc>
          <w:tcPr>
            <w:tcW w:w="346" w:type="dxa"/>
            <w:tcBorders/>
            <w:shd w:fill="CCEEFF" w:val="clear"/>
            <w:vAlign w:val="center"/>
          </w:tcPr>
          <w:p>
            <w:pPr>
              <w:pStyle w:val="TableContents"/>
              <w:bidi w:val="0"/>
              <w:spacing w:before="0" w:after="1"/>
              <w:ind w:left="0" w:right="0" w:hanging="0"/>
              <w:jc w:val="righ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8,753</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191,704</w:t>
            </w:r>
          </w:p>
        </w:tc>
        <w:tc>
          <w:tcPr>
            <w:tcW w:w="346" w:type="dxa"/>
            <w:tcBorders/>
            <w:vAlign w:val="center"/>
          </w:tcPr>
          <w:p>
            <w:pPr>
              <w:pStyle w:val="TableContents"/>
              <w:bidi w:val="0"/>
              <w:spacing w:before="0" w:after="1"/>
              <w:ind w:left="0" w:right="0" w:hanging="0"/>
              <w:jc w:val="righ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186,641</w:t>
            </w:r>
          </w:p>
        </w:tc>
        <w:tc>
          <w:tcPr>
            <w:tcW w:w="391" w:type="dxa"/>
            <w:tcBorders/>
            <w:vAlign w:val="center"/>
          </w:tcPr>
          <w:p>
            <w:pPr>
              <w:pStyle w:val="TableContents"/>
              <w:bidi w:val="0"/>
              <w:spacing w:before="0" w:after="1"/>
              <w:ind w:left="0" w:right="0" w:hanging="0"/>
              <w:jc w:val="left"/>
              <w:rPr/>
            </w:pPr>
            <w:r>
              <w:rPr/>
              <w:t> </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408,104</w:t>
            </w:r>
          </w:p>
        </w:tc>
        <w:tc>
          <w:tcPr>
            <w:tcW w:w="346" w:type="dxa"/>
            <w:tcBorders/>
            <w:shd w:fill="CCEEFF" w:val="clear"/>
            <w:vAlign w:val="center"/>
          </w:tcPr>
          <w:p>
            <w:pPr>
              <w:pStyle w:val="TableContents"/>
              <w:bidi w:val="0"/>
              <w:spacing w:before="0" w:after="1"/>
              <w:ind w:left="0" w:right="0" w:hanging="0"/>
              <w:jc w:val="righ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400,261</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(49,934)</w:t>
            </w:r>
          </w:p>
        </w:tc>
        <w:tc>
          <w:tcPr>
            <w:tcW w:w="346" w:type="dxa"/>
            <w:tcBorders/>
            <w:vAlign w:val="center"/>
          </w:tcPr>
          <w:p>
            <w:pPr>
              <w:pStyle w:val="TableContents"/>
              <w:bidi w:val="0"/>
              <w:spacing w:before="0" w:after="1"/>
              <w:ind w:left="0" w:right="0" w:hanging="0"/>
              <w:jc w:val="righ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(46,684)</w:t>
            </w:r>
          </w:p>
        </w:tc>
        <w:tc>
          <w:tcPr>
            <w:tcW w:w="391" w:type="dxa"/>
            <w:tcBorders/>
            <w:vAlign w:val="center"/>
          </w:tcPr>
          <w:p>
            <w:pPr>
              <w:pStyle w:val="TableContents"/>
              <w:bidi w:val="0"/>
              <w:spacing w:before="0" w:after="1"/>
              <w:ind w:left="0" w:right="0" w:hanging="0"/>
              <w:jc w:val="left"/>
              <w:rPr/>
            </w:pPr>
            <w:r>
              <w:rPr/>
              <w:t> </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358,170</w:t>
            </w:r>
          </w:p>
        </w:tc>
        <w:tc>
          <w:tcPr>
            <w:tcW w:w="346" w:type="dxa"/>
            <w:tcBorders/>
            <w:shd w:fill="CCEEFF" w:val="clear"/>
            <w:vAlign w:val="center"/>
          </w:tcPr>
          <w:p>
            <w:pPr>
              <w:pStyle w:val="TableContents"/>
              <w:bidi w:val="0"/>
              <w:spacing w:before="0" w:after="1"/>
              <w:ind w:left="0" w:right="0" w:hanging="0"/>
              <w:jc w:val="righ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353,577</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2026 and 2025, the Company recorded depreciation expense of $3.5 million and $2.9 million, respectively. Depreciation expense recorded into inventory during the three months ended March 31, 2026 and 2025 was $1.1 million and $1.3 million, respectively. During the three months ended March 31, 2026 and 2025, $1.4 million and $1.6 million, respectively was recorded to depreciation expense due to sales of inventory. The Company’s construction in progress primarily relates to our ATJ projects, in particular engineering work, design work and modularization.</w:t>
      </w:r>
    </w:p>
    <w:p>
      <w:pPr>
        <w:pStyle w:val="Normal"/>
        <w:bidi w:val="0"/>
        <w:spacing w:before="0" w:after="0"/>
        <w:jc w:val="left"/>
        <w:rPr>
          <w:sz w:val="4"/>
          <w:szCs w:val="4"/>
        </w:rPr>
      </w:pPr>
      <w:r>
        <w:rPr>
          <w:sz w:val="4"/>
          <w:szCs w:val="4"/>
        </w:rPr>
      </w:r>
      <w:bookmarkStart w:id="847" w:name="Tc_qZgzs6QOA0W-MS1wwfgSNw_14_8"/>
      <w:bookmarkStart w:id="848" w:name="Tc_VVsJT-wbEk6XXKG7Md9GCw_14_5"/>
      <w:bookmarkStart w:id="849" w:name="Tc_z5OgEe3HeUmDRnGOdRfXHA_14_2"/>
      <w:bookmarkStart w:id="850" w:name="Tc_rhuUlmGQp0iQOzQucxr2Ag_14_0"/>
      <w:bookmarkStart w:id="851" w:name="Tc_2OGejqMaWU-aO0uJdFGnqw_13_11"/>
      <w:bookmarkStart w:id="852" w:name="Tc_ENq_zD8BUk2f6_014iORaQ_13_6"/>
      <w:bookmarkStart w:id="853" w:name="Tc_DOGXeCt2l0qGXZ5t4BaX9Q_13_0"/>
      <w:bookmarkStart w:id="854" w:name="Tc_XSpEZxb2Q0GnjnqmfuVU0w_12_0"/>
      <w:bookmarkStart w:id="855" w:name="Tc_7hiFISQ-tEm3iQeu28qCaQ_11_0"/>
      <w:bookmarkStart w:id="856" w:name="Tc_MqJhJhSeAEGqTv-pwX8VQA_10_0"/>
      <w:bookmarkStart w:id="857" w:name="Tc_O7_g5r4dbEWC_-afnC8MeQ_9_0"/>
      <w:bookmarkStart w:id="858" w:name="Tc_rCO6suVdb0W-9aABUOY2_w_8_0"/>
      <w:bookmarkStart w:id="859" w:name="Tc_-KfJeZEvK0eIHnDRoSqALg_7_0"/>
      <w:bookmarkStart w:id="860" w:name="Tc_xlRwE5h2z0S3_5xD-8mR2Q_6_8"/>
      <w:bookmarkStart w:id="861" w:name="Tc_zA7OoXmFW0akqHelxj_6zg_6_5"/>
      <w:bookmarkStart w:id="862" w:name="Tc_LUbdpZih6ki7lUDPeY3fIg_6_2"/>
      <w:bookmarkStart w:id="863" w:name="Tc_PULZWZhJ9Uyl8uKmFPwfvg_6_0"/>
      <w:bookmarkStart w:id="864" w:name="Tc_GwJJrHIoUEWXb-jjZ0gfTw_5_11"/>
      <w:bookmarkStart w:id="865" w:name="Tc_mFNsQGFpDk-dWb1bz6qNsA_5_8"/>
      <w:bookmarkStart w:id="866" w:name="Tc_BC6dz5UP4U2n20X7Njfjgw_5_5"/>
      <w:bookmarkStart w:id="867" w:name="Tc_nUpLDt0MZka5lcmdye6QbQ_5_2"/>
      <w:bookmarkStart w:id="868" w:name="Tc_sEdubjzNvEOYXPMJzeInbw_4_11"/>
      <w:bookmarkStart w:id="869" w:name="Tc_LQC03tPkLEajgUeGKWzGuQ_4_8"/>
      <w:bookmarkStart w:id="870" w:name="Tc_ddIpOJWFBEO7QShCDTKD-A_4_5"/>
      <w:bookmarkStart w:id="871" w:name="Tc_haTPntTq9EGlNVVh1xvsKA_4_2"/>
      <w:bookmarkStart w:id="872" w:name="Tc_lrmMD84J2kWoUSjSxhxTKg_3_11"/>
      <w:bookmarkStart w:id="873" w:name="Tc_gNbN2X8B3EKbojaQkB8QOw_3_8"/>
      <w:bookmarkStart w:id="874" w:name="Tc_c7EtNZ4GdECcvbkUl2LYKQ_2_11"/>
      <w:bookmarkStart w:id="875" w:name="Tc_JWWiy-ZXRUCMRERsWQgHaA_1_2"/>
      <w:bookmarkStart w:id="876" w:name="_8ba42d3a_a4f0_412a_99e4_062be4b50962"/>
      <w:bookmarkStart w:id="877" w:name="Tc_qZgzs6QOA0W-MS1wwfgSNw_14_8"/>
      <w:bookmarkStart w:id="878" w:name="Tc_VVsJT-wbEk6XXKG7Md9GCw_14_5"/>
      <w:bookmarkStart w:id="879" w:name="Tc_z5OgEe3HeUmDRnGOdRfXHA_14_2"/>
      <w:bookmarkStart w:id="880" w:name="Tc_rhuUlmGQp0iQOzQucxr2Ag_14_0"/>
      <w:bookmarkStart w:id="881" w:name="Tc_2OGejqMaWU-aO0uJdFGnqw_13_11"/>
      <w:bookmarkStart w:id="882" w:name="Tc_ENq_zD8BUk2f6_014iORaQ_13_6"/>
      <w:bookmarkStart w:id="883" w:name="Tc_DOGXeCt2l0qGXZ5t4BaX9Q_13_0"/>
      <w:bookmarkStart w:id="884" w:name="Tc_XSpEZxb2Q0GnjnqmfuVU0w_12_0"/>
      <w:bookmarkStart w:id="885" w:name="Tc_7hiFISQ-tEm3iQeu28qCaQ_11_0"/>
      <w:bookmarkStart w:id="886" w:name="Tc_MqJhJhSeAEGqTv-pwX8VQA_10_0"/>
      <w:bookmarkStart w:id="887" w:name="Tc_O7_g5r4dbEWC_-afnC8MeQ_9_0"/>
      <w:bookmarkStart w:id="888" w:name="Tc_rCO6suVdb0W-9aABUOY2_w_8_0"/>
      <w:bookmarkStart w:id="889" w:name="Tc_-KfJeZEvK0eIHnDRoSqALg_7_0"/>
      <w:bookmarkStart w:id="890" w:name="Tc_xlRwE5h2z0S3_5xD-8mR2Q_6_8"/>
      <w:bookmarkStart w:id="891" w:name="Tc_zA7OoXmFW0akqHelxj_6zg_6_5"/>
      <w:bookmarkStart w:id="892" w:name="Tc_LUbdpZih6ki7lUDPeY3fIg_6_2"/>
      <w:bookmarkStart w:id="893" w:name="Tc_PULZWZhJ9Uyl8uKmFPwfvg_6_0"/>
      <w:bookmarkStart w:id="894" w:name="Tc_GwJJrHIoUEWXb-jjZ0gfTw_5_11"/>
      <w:bookmarkStart w:id="895" w:name="Tc_mFNsQGFpDk-dWb1bz6qNsA_5_8"/>
      <w:bookmarkStart w:id="896" w:name="Tc_BC6dz5UP4U2n20X7Njfjgw_5_5"/>
      <w:bookmarkStart w:id="897" w:name="Tc_nUpLDt0MZka5lcmdye6QbQ_5_2"/>
      <w:bookmarkStart w:id="898" w:name="Tc_sEdubjzNvEOYXPMJzeInbw_4_11"/>
      <w:bookmarkStart w:id="899" w:name="Tc_LQC03tPkLEajgUeGKWzGuQ_4_8"/>
      <w:bookmarkStart w:id="900" w:name="Tc_ddIpOJWFBEO7QShCDTKD-A_4_5"/>
      <w:bookmarkStart w:id="901" w:name="Tc_haTPntTq9EGlNVVh1xvsKA_4_2"/>
      <w:bookmarkStart w:id="902" w:name="Tc_lrmMD84J2kWoUSjSxhxTKg_3_11"/>
      <w:bookmarkStart w:id="903" w:name="Tc_gNbN2X8B3EKbojaQkB8QOw_3_8"/>
      <w:bookmarkStart w:id="904" w:name="Tc_c7EtNZ4GdECcvbkUl2LYKQ_2_11"/>
      <w:bookmarkStart w:id="905" w:name="Tc_JWWiy-ZXRUCMRERsWQgHaA_1_2"/>
      <w:bookmarkStart w:id="906" w:name="_8ba42d3a_a4f0_412a_99e4_062be4b50962"/>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tbl>
      <w:tblPr>
        <w:tblW w:w="3182" w:type="dxa"/>
        <w:jc w:val="left"/>
        <w:tblInd w:w="0" w:type="dxa"/>
        <w:tblLayout w:type="fixed"/>
        <w:tblCellMar>
          <w:top w:w="0" w:type="dxa"/>
          <w:left w:w="0" w:type="dxa"/>
          <w:bottom w:w="0" w:type="dxa"/>
          <w:right w:w="0" w:type="dxa"/>
        </w:tblCellMar>
      </w:tblPr>
      <w:tblGrid>
        <w:gridCol w:w="376"/>
        <w:gridCol w:w="280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28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Intangible Assets and Goodwill </w:t>
            </w:r>
          </w:p>
        </w:tc>
      </w:tr>
    </w:tbl>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March 31, 2026, the Company recognized $17.0 million in CFPCs as intangible assets, related to the production and sale of low-carbon transportation fuels under Section 45Z of the Internal Revenue Code. See Note 3, Tax Credit Recognition and Sales. Other identifiable intangible assets consist of developed technology, customer-related intangible assets, trade name and acquired patents, which management evaluates to determine whether they (i) support current products, (ii) support planned research and development, or (iii) prevent others from competing with Gevo’s products, and identifiable intangible assets.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set forth the Company’s intangible assets by classification (in thousands) as of:</w:t>
      </w:r>
    </w:p>
    <w:tbl>
      <w:tblPr>
        <w:tblW w:w="9188" w:type="dxa"/>
        <w:jc w:val="left"/>
        <w:tblInd w:w="0" w:type="dxa"/>
        <w:tblLayout w:type="fixed"/>
        <w:tblCellMar>
          <w:top w:w="0" w:type="dxa"/>
          <w:left w:w="0" w:type="dxa"/>
          <w:bottom w:w="0" w:type="dxa"/>
          <w:right w:w="0" w:type="dxa"/>
        </w:tblCellMar>
      </w:tblPr>
      <w:tblGrid>
        <w:gridCol w:w="2911"/>
        <w:gridCol w:w="346"/>
        <w:gridCol w:w="296"/>
        <w:gridCol w:w="949"/>
        <w:gridCol w:w="346"/>
        <w:gridCol w:w="240"/>
        <w:gridCol w:w="841"/>
        <w:gridCol w:w="346"/>
        <w:gridCol w:w="221"/>
        <w:gridCol w:w="710"/>
        <w:gridCol w:w="346"/>
        <w:gridCol w:w="163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848485" cy="175260"/>
                      <wp:effectExtent l="0" t="0" r="0" b="0"/>
                      <wp:wrapNone/>
                      <wp:docPr id="173" name="Frame173"/>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7960" cy="175260"/>
                      <wp:effectExtent l="0" t="0" r="0" b="0"/>
                      <wp:wrapNone/>
                      <wp:docPr id="175" name="Frame175"/>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02615" cy="175260"/>
                      <wp:effectExtent l="0" t="0" r="0" b="0"/>
                      <wp:wrapNone/>
                      <wp:docPr id="176" name="Frame176"/>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52400" cy="175260"/>
                      <wp:effectExtent l="0" t="0" r="0" b="0"/>
                      <wp:wrapNone/>
                      <wp:docPr id="178" name="Frame17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34035" cy="175260"/>
                      <wp:effectExtent l="0" t="0" r="0" b="0"/>
                      <wp:wrapNone/>
                      <wp:docPr id="179" name="Frame17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0335" cy="175260"/>
                      <wp:effectExtent l="0" t="0" r="0" b="0"/>
                      <wp:wrapNone/>
                      <wp:docPr id="181" name="Frame18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50850" cy="175260"/>
                      <wp:effectExtent l="0" t="0" r="0" b="0"/>
                      <wp:wrapNone/>
                      <wp:docPr id="182" name="Frame182"/>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038860" cy="175260"/>
                      <wp:effectExtent l="0" t="0" r="0" b="0"/>
                      <wp:wrapNone/>
                      <wp:docPr id="184" name="Frame184"/>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931"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9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center"/>
              <w:rPr/>
            </w:pPr>
            <w:r>
              <w:rPr/>
              <w:t>​</w:t>
            </w:r>
          </w:p>
        </w:tc>
        <w:tc>
          <w:tcPr>
            <w:tcW w:w="7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9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40"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46" w:type="dxa"/>
            <w:tcBorders/>
            <w:vAlign w:val="center"/>
          </w:tcPr>
          <w:p>
            <w:pPr>
              <w:pStyle w:val="TableContents"/>
              <w:bidi w:val="0"/>
              <w:spacing w:before="0" w:after="1"/>
              <w:ind w:left="0" w:right="0" w:hanging="0"/>
              <w:jc w:val="center"/>
              <w:rPr/>
            </w:pPr>
            <w:r>
              <w:rPr/>
              <w:t>  ​ ​ ​</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Remaining </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46" w:type="dxa"/>
            <w:tcBorders/>
            <w:vAlign w:val="center"/>
          </w:tcPr>
          <w:p>
            <w:pPr>
              <w:pStyle w:val="TableContents"/>
              <w:bidi w:val="0"/>
              <w:spacing w:before="0" w:after="1"/>
              <w:ind w:left="0" w:right="0" w:hanging="0"/>
              <w:jc w:val="center"/>
              <w:rPr/>
            </w:pPr>
            <w:r>
              <w:rPr/>
              <w:t>  ​ ​ ​</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(2,630)</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34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w:t>
            </w:r>
          </w:p>
        </w:tc>
        <w:tc>
          <w:tcPr>
            <w:tcW w:w="34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w:t>
            </w:r>
          </w:p>
        </w:tc>
        <w:tc>
          <w:tcPr>
            <w:tcW w:w="346"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 assets</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47,800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(13,653)</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34,147</w:t>
            </w:r>
          </w:p>
        </w:tc>
        <w:tc>
          <w:tcPr>
            <w:tcW w:w="34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with finite lives</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58,380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(19,388)</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38,992</w:t>
            </w:r>
          </w:p>
        </w:tc>
        <w:tc>
          <w:tcPr>
            <w:tcW w:w="34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left"/>
              <w:rPr/>
            </w:pPr>
            <w:r>
              <w:rPr/>
              <w:t>​</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21,089</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21,089</w:t>
            </w:r>
          </w:p>
        </w:tc>
        <w:tc>
          <w:tcPr>
            <w:tcW w:w="346" w:type="dxa"/>
            <w:tcBorders/>
            <w:vAlign w:val="center"/>
          </w:tcPr>
          <w:p>
            <w:pPr>
              <w:pStyle w:val="TableContents"/>
              <w:bidi w:val="0"/>
              <w:spacing w:before="0" w:after="1"/>
              <w:ind w:left="0" w:right="0" w:hanging="0"/>
              <w:jc w:val="left"/>
              <w:rPr/>
            </w:pPr>
            <w:r>
              <w:rPr/>
              <w:t>​</w:t>
            </w:r>
          </w:p>
        </w:tc>
        <w:tc>
          <w:tcPr>
            <w:tcW w:w="1636" w:type="dxa"/>
            <w:tcBorders/>
            <w:vAlign w:val="center"/>
          </w:tcPr>
          <w:p>
            <w:pPr>
              <w:pStyle w:val="TableContents"/>
              <w:bidi w:val="0"/>
              <w:spacing w:before="0" w:after="1"/>
              <w:ind w:left="0" w:right="0" w:hanging="0"/>
              <w:jc w:val="right"/>
              <w:rPr/>
            </w:pPr>
            <w:r>
              <w:rPr/>
              <w:t>—</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79,469</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(19,388)</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60,081</w:t>
            </w:r>
          </w:p>
        </w:tc>
        <w:tc>
          <w:tcPr>
            <w:tcW w:w="346"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bookmarkStart w:id="907" w:name="Tc_nPubdGDG0UOWHraBRNGFzw_7_0"/>
      <w:bookmarkStart w:id="908" w:name="Tc_tFSMM_1Tr0yl-bHUrAY0ag_6_0"/>
      <w:bookmarkStart w:id="909" w:name="Tc_IncDHtOV8kWZ96gFYX8uTA_5_5"/>
      <w:bookmarkStart w:id="910" w:name="Tc_a-68tP2qGkCymS0WVSR7Tw_5_2"/>
      <w:bookmarkStart w:id="911" w:name="Tc_bbGbati7m0us4H61uRPEsg_5_0"/>
      <w:bookmarkStart w:id="912" w:name="Tc__fSOAKozK0qKN6MK-0Q0Pg_4_0"/>
      <w:bookmarkStart w:id="913" w:name="Tc_akBDaxWmfUasivobvAWz2A_3_5"/>
      <w:bookmarkStart w:id="914" w:name="Tc_4oMdMba-hUuS9wAIR4alKA_3_2"/>
      <w:bookmarkStart w:id="915" w:name="Tc_J1bjW4cY_ESxuQB7qKD6OA_2_5"/>
      <w:bookmarkStart w:id="916" w:name="Tc_bIZYtCpqmkSk_ED2-gIG4Q_2_2"/>
      <w:bookmarkStart w:id="917" w:name="Tc_CRFvUCfAU0SyhtR6dt4k3g_1_5"/>
      <w:bookmarkStart w:id="918" w:name="Tc_vnJ35m0fsEG_CpAaVaPnMg_1_2"/>
      <w:bookmarkStart w:id="919" w:name="_6b7a7405_3f9e_471c_957f_8a614e1483cd"/>
      <w:bookmarkStart w:id="920" w:name="Tc_plKytwNo6EeWfLNu4MopZA_9_17"/>
      <w:bookmarkStart w:id="921" w:name="Tc_wilmDgpZ9k2Wmmw6v1xnqw_9_14"/>
      <w:bookmarkStart w:id="922" w:name="Tc_85w22E7MZk2HxkqmavC8Cw_9_11"/>
      <w:bookmarkStart w:id="923" w:name="Tc_Wy83Bu1gjUe3exWgg8V3rA_9_8"/>
      <w:bookmarkStart w:id="924" w:name="Tc_ZKghzUImYkqK5My0mECbmA_9_5"/>
      <w:bookmarkStart w:id="925" w:name="Tc_BDEbFPURn0-0kuusv7oxDg_9_2"/>
      <w:bookmarkStart w:id="926" w:name="Tc_soobitoaxUeuLDie9gDlkw_9_0"/>
      <w:bookmarkStart w:id="927" w:name="Tc_jBkv-2_IaEmtIrStZLCldQ_8_15"/>
      <w:bookmarkStart w:id="928" w:name="Tc_STotztaLnkG0KDTEkpgkNQ_8_9"/>
      <w:bookmarkStart w:id="929" w:name="Tc_fqd_7uPKXU2F9XDX31nR1A_8_6"/>
      <w:bookmarkStart w:id="930" w:name="Tc_br8ohE3sZUep2cqQajXKbA_8_3"/>
      <w:bookmarkStart w:id="931" w:name="Tc_7lFQnRmZYEqr-UojHcAsYQ_8_0"/>
      <w:bookmarkStart w:id="932" w:name="Tc_u4oF_iwbm0izrMDI9E-fMQ_7_15"/>
      <w:bookmarkStart w:id="933" w:name="Tc_RwYgNo8I-UKfTHsASj_XQw_7_9"/>
      <w:bookmarkStart w:id="934" w:name="Tc_wpEoy5UKWE6crerM3tRVZA_7_3"/>
      <w:bookmarkStart w:id="935" w:name="Tc_7dPv5pABTE-WLwmBtvHi1A_7_0"/>
      <w:bookmarkStart w:id="936" w:name="Tc_08IWHYMXxUKmdZ-WFH4GTw_6_15"/>
      <w:bookmarkStart w:id="937" w:name="Tc_qRpF2kWH90OUHrT7sd467g_6_0"/>
      <w:bookmarkStart w:id="938" w:name="Tc_ZhirXOhSEky3-i74P-35zQ_5_0"/>
      <w:bookmarkStart w:id="939" w:name="Tc_6dz4KmdMTkKrnqsmoULFvA_4_0"/>
      <w:bookmarkStart w:id="940" w:name="Tc_o1uAGheHD0eYI1lw61DRNw_3_17"/>
      <w:bookmarkStart w:id="941" w:name="Tc_n9DXQzTWx06BN61Zo9P52A_3_14"/>
      <w:bookmarkStart w:id="942" w:name="Tc_DGmwq9sWzUWaxPavhkkpyQ_3_11"/>
      <w:bookmarkStart w:id="943" w:name="Tc_fOJtsWaQBEWXhSWatJnZDA_3_8"/>
      <w:bookmarkStart w:id="944" w:name="Tc_XKxbC3BMDkugFyUFQduESA_3_5"/>
      <w:bookmarkStart w:id="945" w:name="Tc_25QLm5j5C0OyGpJByeHT9A_3_2"/>
      <w:bookmarkStart w:id="946" w:name="Tc_AztyTV1NLUS0Hnp_M5TB2Q_3_0"/>
      <w:bookmarkStart w:id="947" w:name="Tc_atTEJmIpLkKWehkJL9x3lA_2_17"/>
      <w:bookmarkStart w:id="948" w:name="Tc_FLLn5mkhvkGo026eRcFr8Q_2_14"/>
      <w:bookmarkStart w:id="949" w:name="Tc_I4zHhRwTPU-BVENZgirfWw_2_11"/>
      <w:bookmarkStart w:id="950" w:name="Tc_6M_TldJIgkaGZ8T4Z-hSQw_2_8"/>
      <w:bookmarkStart w:id="951" w:name="Tc_FyOaZpYI7EeUHgrcsSUtag_2_5"/>
      <w:bookmarkStart w:id="952" w:name="Tc_GytRJFZfMUilkyWNihgLiw_2_2"/>
      <w:bookmarkStart w:id="953" w:name="Tc_L-O7F4y-8k2zhYA6ePoNsw_1_14"/>
      <w:bookmarkStart w:id="954" w:name="Tc_EKeGTLHDTEWCd4xs6D2XZg_1_11"/>
      <w:bookmarkStart w:id="955" w:name="Tc_WGuusV3rakajhmncn1K6cw_1_8"/>
      <w:bookmarkStart w:id="956" w:name="Tc_ZIWQYPhv60Gmk6EXN6pzCA_1_5"/>
      <w:bookmarkStart w:id="957" w:name="_a9d8aa79_3bf3_4ebf_9e9b_b2c60457a516"/>
      <w:bookmarkStart w:id="958" w:name="Tc_KrU6B58jJUWBUqUqWLFitw_14_8"/>
      <w:bookmarkStart w:id="959" w:name="Tc_vXA8d1_kdke4uXhI8Q76lA_14_5"/>
      <w:bookmarkStart w:id="960" w:name="Tc_xdjQeJ2IxUah2Hbff0SDXw_14_2"/>
      <w:bookmarkStart w:id="961" w:name="Tc_oaVs012f4kOky3L4x2QeLQ_14_0"/>
      <w:bookmarkStart w:id="962" w:name="Tc_7wTj9iTJ4UaFjyqAYVexhQ_13_11"/>
      <w:bookmarkStart w:id="963" w:name="Tc__SpPRUG1fkGBvjFUPiOY-g_13_6"/>
      <w:bookmarkStart w:id="964" w:name="Tc_Yh9k7GoBn02553Rt17z-4g_13_0"/>
      <w:bookmarkStart w:id="965" w:name="Tc_jkV7vXH2Pku17f4O6CsosQ_12_0"/>
      <w:bookmarkStart w:id="966" w:name="Tc_TLyI5aTKiEWmn2hV9g0i2Q_11_0"/>
      <w:bookmarkStart w:id="967" w:name="Tc_altcEh-TREyGTVWGbSFVJA_10_0"/>
      <w:bookmarkStart w:id="968" w:name="Tc_xnBfPQfNQUiuDjf90pZBdg_9_0"/>
      <w:bookmarkStart w:id="969" w:name="Tc_eIAlIykx00ypZtkZlRV3Ow_8_0"/>
      <w:bookmarkStart w:id="970" w:name="Tc_3LjCQeyAjkK-ryxbqBXXOw_7_0"/>
      <w:bookmarkStart w:id="971" w:name="Tc_rHRPkrNptEivGQbmRrdpIg_6_8"/>
      <w:bookmarkStart w:id="972" w:name="Tc_pZnLTdBnPkWRr8yZ19skhw_6_5"/>
      <w:bookmarkStart w:id="973" w:name="Tc_SofVkOJhNEec6QSvYHUXgQ_6_2"/>
      <w:bookmarkStart w:id="974" w:name="Tc_-ofBbbM7LUSoQmLCdLfPxw_6_0"/>
      <w:bookmarkStart w:id="975" w:name="Tc_BcXfknyPwkeHlLxUhiqpSg_5_11"/>
      <w:bookmarkStart w:id="976" w:name="Tc_LVeQC8cuYk--lLD4CJhW-Q_5_8"/>
      <w:bookmarkStart w:id="977" w:name="Tc_3i91Ha-zMUCLZfoB4sV1kA_5_5"/>
      <w:bookmarkStart w:id="978" w:name="Tc_tE-Bx54ggkOgr5butPTllA_5_2"/>
      <w:bookmarkStart w:id="979" w:name="Tc_v2a-gSaL-E-fjw7ZsP9kkw_4_11"/>
      <w:bookmarkStart w:id="980" w:name="Tc_ImgJNFFmLUSTJXemQqdI2w_4_8"/>
      <w:bookmarkStart w:id="981" w:name="Tc_lKCmi4dxsUSe7-GmXKMR_g_4_5"/>
      <w:bookmarkStart w:id="982" w:name="Tc_LySOF8NE1kCtJ_Orjr8IRg_4_2"/>
      <w:bookmarkStart w:id="983" w:name="Tc_Ligrp47OIUyX8PiyBtsT0A_3_11"/>
      <w:bookmarkStart w:id="984" w:name="Tc_39TjGfhsgE-MIz1A0sGHEQ_3_8"/>
      <w:bookmarkStart w:id="985" w:name="Tc_1tFOHPjGPE26thSGBdUncw_2_11"/>
      <w:bookmarkStart w:id="986" w:name="Tc_Z3zbdR_C5EC01QEb_r6w6Q_1_2"/>
      <w:bookmarkStart w:id="987" w:name="_9420d2c3_4102_48fb_af9e_11d675399932"/>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Pr/>
        <w:t>​</w:t>
      </w:r>
    </w:p>
    <w:tbl>
      <w:tblPr>
        <w:tblW w:w="9143" w:type="dxa"/>
        <w:jc w:val="left"/>
        <w:tblInd w:w="0" w:type="dxa"/>
        <w:tblLayout w:type="fixed"/>
        <w:tblCellMar>
          <w:top w:w="0" w:type="dxa"/>
          <w:left w:w="0" w:type="dxa"/>
          <w:bottom w:w="0" w:type="dxa"/>
          <w:right w:w="0" w:type="dxa"/>
        </w:tblCellMar>
      </w:tblPr>
      <w:tblGrid>
        <w:gridCol w:w="2911"/>
        <w:gridCol w:w="346"/>
        <w:gridCol w:w="265"/>
        <w:gridCol w:w="980"/>
        <w:gridCol w:w="346"/>
        <w:gridCol w:w="240"/>
        <w:gridCol w:w="841"/>
        <w:gridCol w:w="346"/>
        <w:gridCol w:w="221"/>
        <w:gridCol w:w="710"/>
        <w:gridCol w:w="346"/>
        <w:gridCol w:w="15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848485" cy="175260"/>
                      <wp:effectExtent l="0" t="0" r="0" b="0"/>
                      <wp:wrapNone/>
                      <wp:docPr id="185" name="Frame185"/>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8275" cy="175260"/>
                      <wp:effectExtent l="0" t="0" r="0" b="0"/>
                      <wp:wrapNone/>
                      <wp:docPr id="187" name="Frame18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22300" cy="175260"/>
                      <wp:effectExtent l="0" t="0" r="0" b="0"/>
                      <wp:wrapNone/>
                      <wp:docPr id="188" name="Frame188"/>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2400" cy="175260"/>
                      <wp:effectExtent l="0" t="0" r="0" b="0"/>
                      <wp:wrapNone/>
                      <wp:docPr id="190" name="Frame19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34035" cy="175260"/>
                      <wp:effectExtent l="0" t="0" r="0" b="0"/>
                      <wp:wrapNone/>
                      <wp:docPr id="191" name="Frame19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40335" cy="175260"/>
                      <wp:effectExtent l="0" t="0" r="0" b="0"/>
                      <wp:wrapNone/>
                      <wp:docPr id="193" name="Frame19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50850" cy="175260"/>
                      <wp:effectExtent l="0" t="0" r="0" b="0"/>
                      <wp:wrapNone/>
                      <wp:docPr id="194" name="Frame194"/>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010285" cy="175260"/>
                      <wp:effectExtent l="0" t="0" r="0" b="0"/>
                      <wp:wrapNone/>
                      <wp:docPr id="196" name="Frame196"/>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88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5" w:type="dxa"/>
            <w:tcBorders/>
            <w:vAlign w:val="center"/>
          </w:tcPr>
          <w:p>
            <w:pPr>
              <w:pStyle w:val="TableContents"/>
              <w:bidi w:val="0"/>
              <w:spacing w:before="0" w:after="1"/>
              <w:ind w:left="0" w:right="0" w:hanging="0"/>
              <w:jc w:val="center"/>
              <w:rPr/>
            </w:pPr>
            <w:r>
              <w:rPr/>
              <w:t>​</w:t>
            </w:r>
          </w:p>
        </w:tc>
        <w:tc>
          <w:tcPr>
            <w:tcW w:w="9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5" w:type="dxa"/>
            <w:tcBorders/>
            <w:vAlign w:val="center"/>
          </w:tcPr>
          <w:p>
            <w:pPr>
              <w:pStyle w:val="TableContents"/>
              <w:bidi w:val="0"/>
              <w:spacing w:before="0" w:after="1"/>
              <w:ind w:left="0" w:right="0" w:hanging="0"/>
              <w:jc w:val="center"/>
              <w:rPr/>
            </w:pPr>
            <w:r>
              <w:rPr/>
              <w:t>​</w:t>
            </w:r>
          </w:p>
        </w:tc>
        <w:tc>
          <w:tcPr>
            <w:tcW w:w="9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40"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46" w:type="dxa"/>
            <w:tcBorders/>
            <w:vAlign w:val="center"/>
          </w:tcPr>
          <w:p>
            <w:pPr>
              <w:pStyle w:val="TableContents"/>
              <w:bidi w:val="0"/>
              <w:spacing w:before="0" w:after="1"/>
              <w:ind w:left="0" w:right="0" w:hanging="0"/>
              <w:jc w:val="center"/>
              <w:rPr/>
            </w:pPr>
            <w:r>
              <w:rPr/>
              <w:t>  ​ ​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Remaining</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4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46" w:type="dxa"/>
            <w:tcBorders/>
            <w:vAlign w:val="center"/>
          </w:tcPr>
          <w:p>
            <w:pPr>
              <w:pStyle w:val="TableContents"/>
              <w:bidi w:val="0"/>
              <w:spacing w:before="0" w:after="1"/>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(2,485)</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(2,508)</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 assets</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47,800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(10,735)</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37,065</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with finite lives</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58,380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(16,108)</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42,272</w:t>
            </w:r>
          </w:p>
        </w:tc>
        <w:tc>
          <w:tcPr>
            <w:tcW w:w="3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pPr>
            <w:r>
              <w:rPr/>
              <w:t>​</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52,731</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52,731</w:t>
            </w:r>
          </w:p>
        </w:tc>
        <w:tc>
          <w:tcPr>
            <w:tcW w:w="346" w:type="dxa"/>
            <w:tcBorders/>
            <w:vAlign w:val="center"/>
          </w:tcPr>
          <w:p>
            <w:pPr>
              <w:pStyle w:val="TableContents"/>
              <w:bidi w:val="0"/>
              <w:spacing w:before="0" w:after="1"/>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111,111</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(16,108)</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95,003</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amortization expense of $3.3 million and $2.3 million for the three months ended March 31,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details the estimated amortization of identifiable intangible assets with finite lives as of March 31, 2026 (in thousands):</w:t>
      </w:r>
    </w:p>
    <w:tbl>
      <w:tblPr>
        <w:tblW w:w="8049" w:type="dxa"/>
        <w:jc w:val="left"/>
        <w:tblInd w:w="0" w:type="dxa"/>
        <w:tblLayout w:type="fixed"/>
        <w:tblCellMar>
          <w:top w:w="0" w:type="dxa"/>
          <w:left w:w="0" w:type="dxa"/>
          <w:bottom w:w="0" w:type="dxa"/>
          <w:right w:w="0" w:type="dxa"/>
        </w:tblCellMar>
      </w:tblPr>
      <w:tblGrid>
        <w:gridCol w:w="1951"/>
        <w:gridCol w:w="346"/>
        <w:gridCol w:w="211"/>
        <w:gridCol w:w="571"/>
        <w:gridCol w:w="346"/>
        <w:gridCol w:w="214"/>
        <w:gridCol w:w="582"/>
        <w:gridCol w:w="109"/>
        <w:gridCol w:w="314"/>
        <w:gridCol w:w="632"/>
        <w:gridCol w:w="109"/>
        <w:gridCol w:w="211"/>
        <w:gridCol w:w="676"/>
        <w:gridCol w:w="109"/>
        <w:gridCol w:w="211"/>
        <w:gridCol w:w="346"/>
        <w:gridCol w:w="109"/>
        <w:gridCol w:w="211"/>
        <w:gridCol w:w="79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38885" cy="175260"/>
                      <wp:effectExtent l="0" t="0" r="0" b="0"/>
                      <wp:wrapNone/>
                      <wp:docPr id="197" name="Frame197"/>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62585" cy="175260"/>
                      <wp:effectExtent l="0" t="0" r="0" b="0"/>
                      <wp:wrapNone/>
                      <wp:docPr id="200" name="Frame2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5890" cy="175260"/>
                      <wp:effectExtent l="0" t="0" r="0" b="0"/>
                      <wp:wrapNone/>
                      <wp:docPr id="202" name="Frame20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69570" cy="175260"/>
                      <wp:effectExtent l="0" t="0" r="0" b="0"/>
                      <wp:wrapNone/>
                      <wp:docPr id="203" name="Frame203"/>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99390" cy="175260"/>
                      <wp:effectExtent l="0" t="0" r="0" b="0"/>
                      <wp:wrapNone/>
                      <wp:docPr id="205" name="Frame20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01320" cy="175260"/>
                      <wp:effectExtent l="0" t="0" r="0" b="0"/>
                      <wp:wrapNone/>
                      <wp:docPr id="206" name="Frame206"/>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29260" cy="175260"/>
                      <wp:effectExtent l="0" t="0" r="0" b="0"/>
                      <wp:wrapNone/>
                      <wp:docPr id="209" name="Frame2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02285" cy="175260"/>
                      <wp:effectExtent l="0" t="0" r="0" b="0"/>
                      <wp:wrapNone/>
                      <wp:docPr id="215" name="Frame21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Defensive</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Developed </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09" w:type="dxa"/>
            <w:tcBorders/>
            <w:vAlign w:val="center"/>
          </w:tcPr>
          <w:p>
            <w:pPr>
              <w:pStyle w:val="TableContents"/>
              <w:bidi w:val="0"/>
              <w:spacing w:before="0" w:after="0"/>
              <w:ind w:left="0" w:right="0" w:hanging="0"/>
              <w:jc w:val="left"/>
              <w:rPr/>
            </w:pPr>
            <w:r>
              <w:rPr/>
              <w:t>​</w:t>
            </w:r>
          </w:p>
        </w:tc>
        <w:tc>
          <w:tcPr>
            <w:tcW w:w="5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Patents</w:t>
            </w:r>
          </w:p>
        </w:tc>
        <w:tc>
          <w:tcPr>
            <w:tcW w:w="346" w:type="dxa"/>
            <w:tcBorders/>
            <w:vAlign w:val="center"/>
          </w:tcPr>
          <w:p>
            <w:pPr>
              <w:pStyle w:val="TableContents"/>
              <w:bidi w:val="0"/>
              <w:spacing w:before="0" w:after="0"/>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0"/>
              <w:ind w:left="0" w:right="0" w:hanging="0"/>
              <w:jc w:val="left"/>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109" w:type="dxa"/>
            <w:tcBorders/>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13,122</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13,114</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38,992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goodwill increased by $39.8 million, primarily as a result of the acquisition of substantially all the assets and certain liabilities of Red Trail Energy. The increase reflects the difference between the fair value of the net assets purchased from Red Trail Energy, including intangible assets, and the purchase price, with the excess recorded as goodwill. The goodwill recognized in this acquisition is primarily attributable to expected synergies from integrating operations, as well as other factors that are not individually identifiable or separately recognized.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changes in the carrying amount of goodwill (in thousands) for the periods presented:</w:t>
      </w:r>
    </w:p>
    <w:tbl>
      <w:tblPr>
        <w:tblW w:w="5918" w:type="dxa"/>
        <w:jc w:val="left"/>
        <w:tblInd w:w="0" w:type="dxa"/>
        <w:tblLayout w:type="fixed"/>
        <w:tblCellMar>
          <w:top w:w="0" w:type="dxa"/>
          <w:left w:w="0" w:type="dxa"/>
          <w:bottom w:w="0" w:type="dxa"/>
          <w:right w:w="0" w:type="dxa"/>
        </w:tblCellMar>
      </w:tblPr>
      <w:tblGrid>
        <w:gridCol w:w="2656"/>
        <w:gridCol w:w="109"/>
        <w:gridCol w:w="299"/>
        <w:gridCol w:w="962"/>
        <w:gridCol w:w="346"/>
        <w:gridCol w:w="363"/>
        <w:gridCol w:w="1183"/>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86560" cy="175260"/>
                      <wp:effectExtent l="0" t="0" r="0" b="0"/>
                      <wp:wrapNone/>
                      <wp:docPr id="216" name="Frame216"/>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89865" cy="175260"/>
                      <wp:effectExtent l="0" t="0" r="0" b="0"/>
                      <wp:wrapNone/>
                      <wp:docPr id="218" name="Frame21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10870" cy="175260"/>
                      <wp:effectExtent l="0" t="0" r="0" b="0"/>
                      <wp:wrapNone/>
                      <wp:docPr id="219" name="Frame219"/>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30505" cy="175260"/>
                      <wp:effectExtent l="0" t="0" r="0" b="0"/>
                      <wp:wrapNone/>
                      <wp:docPr id="221" name="Frame221"/>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51205" cy="175260"/>
                      <wp:effectExtent l="0" t="0" r="0" b="0"/>
                      <wp:wrapNone/>
                      <wp:docPr id="222" name="Frame222"/>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r>
      <w:tr>
        <w:trPr/>
        <w:tc>
          <w:tcPr>
            <w:tcW w:w="26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6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1183" w:type="dxa"/>
            <w:tcBorders/>
            <w:shd w:fill="CCEEFF" w:val="clear"/>
            <w:vAlign w:val="center"/>
          </w:tcPr>
          <w:p>
            <w:pPr>
              <w:pStyle w:val="TableContents"/>
              <w:bidi w:val="0"/>
              <w:spacing w:before="0" w:after="1"/>
              <w:ind w:left="0" w:right="0" w:hanging="0"/>
              <w:jc w:val="lef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Gevo </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c>
          <w:tcPr>
            <w:tcW w:w="346" w:type="dxa"/>
            <w:tcBorders/>
            <w:vAlign w:val="center"/>
          </w:tcPr>
          <w:p>
            <w:pPr>
              <w:pStyle w:val="TableContents"/>
              <w:bidi w:val="0"/>
              <w:spacing w:before="0" w:after="1"/>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3" w:type="dxa"/>
            <w:tcBorders>
              <w:bottom w:val="single" w:sz="2"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3,740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988" w:name="Tc_tK0sfID1YkK-xniDN54tHQ_19_5"/>
      <w:bookmarkStart w:id="989" w:name="Tc_WY_OrdMpUE6bfX3lzfvohQ_19_2"/>
      <w:bookmarkStart w:id="990" w:name="Tc_lLd4HO2pyEaf35NM5MTjZA_19_0"/>
      <w:bookmarkStart w:id="991" w:name="Tc_3-3RfA9LakesqAyJW4PHmQ_18_0"/>
      <w:bookmarkStart w:id="992" w:name="Tc_Fop3ks4VU0q4BVxoBkSw4A_17_0"/>
      <w:bookmarkStart w:id="993" w:name="Tc_E4GUZHWE8U6Vc2hmsocm7Q_16_0"/>
      <w:bookmarkStart w:id="994" w:name="Tc_svqlcepUbEmDe_kUaDUUeQ_15_3"/>
      <w:bookmarkStart w:id="995" w:name="Tc_M0ZYo10-1kGafTu3t9nUDQ_15_0"/>
      <w:bookmarkStart w:id="996" w:name="Tc_gCW2Vi8FI0GmjAg1Tj4PqA_14_3"/>
      <w:bookmarkStart w:id="997" w:name="Tc_jW_xY0yQckGWMalScA27hg_14_0"/>
      <w:bookmarkStart w:id="998" w:name="Tc_vTZLINlPykqbVZCrj-AvYg_13_3"/>
      <w:bookmarkStart w:id="999" w:name="Tc_k6iU6frKUUCVZ9oCeOKBuA_13_0"/>
      <w:bookmarkStart w:id="1000" w:name="Tc_wPn1IWcyTkyHZg_2CvFHhQ_12_0"/>
      <w:bookmarkStart w:id="1001" w:name="Tc_29FFihE_v0-5nGB3Gftv9Q_11_0"/>
      <w:bookmarkStart w:id="1002" w:name="Tc_RAGDgyEuvEi2bvroneuepw_10_0"/>
      <w:bookmarkStart w:id="1003" w:name="Tc_MCIjp1R0MESRd1MAS0AVJw_9_3"/>
      <w:bookmarkStart w:id="1004" w:name="Tc_FL6T0zFe70KXkT_zCR6f5g_9_0"/>
      <w:bookmarkStart w:id="1005" w:name="Tc_xG43_fdvwU2WjwSVjZJdqw_8_0"/>
      <w:bookmarkStart w:id="1006" w:name="Tc_tK0sfID1YkK-xniDN54tHQ_19_5"/>
      <w:bookmarkStart w:id="1007" w:name="Tc_WY_OrdMpUE6bfX3lzfvohQ_19_2"/>
      <w:bookmarkStart w:id="1008" w:name="Tc_lLd4HO2pyEaf35NM5MTjZA_19_0"/>
      <w:bookmarkStart w:id="1009" w:name="Tc_3-3RfA9LakesqAyJW4PHmQ_18_0"/>
      <w:bookmarkStart w:id="1010" w:name="Tc_Fop3ks4VU0q4BVxoBkSw4A_17_0"/>
      <w:bookmarkStart w:id="1011" w:name="Tc_E4GUZHWE8U6Vc2hmsocm7Q_16_0"/>
      <w:bookmarkStart w:id="1012" w:name="Tc_svqlcepUbEmDe_kUaDUUeQ_15_3"/>
      <w:bookmarkStart w:id="1013" w:name="Tc_M0ZYo10-1kGafTu3t9nUDQ_15_0"/>
      <w:bookmarkStart w:id="1014" w:name="Tc_gCW2Vi8FI0GmjAg1Tj4PqA_14_3"/>
      <w:bookmarkStart w:id="1015" w:name="Tc_jW_xY0yQckGWMalScA27hg_14_0"/>
      <w:bookmarkStart w:id="1016" w:name="Tc_vTZLINlPykqbVZCrj-AvYg_13_3"/>
      <w:bookmarkStart w:id="1017" w:name="Tc_k6iU6frKUUCVZ9oCeOKBuA_13_0"/>
      <w:bookmarkStart w:id="1018" w:name="Tc_wPn1IWcyTkyHZg_2CvFHhQ_12_0"/>
      <w:bookmarkStart w:id="1019" w:name="Tc_29FFihE_v0-5nGB3Gftv9Q_11_0"/>
      <w:bookmarkStart w:id="1020" w:name="Tc_RAGDgyEuvEi2bvroneuepw_10_0"/>
      <w:bookmarkStart w:id="1021" w:name="Tc_MCIjp1R0MESRd1MAS0AVJw_9_3"/>
      <w:bookmarkStart w:id="1022" w:name="Tc_FL6T0zFe70KXkT_zCR6f5g_9_0"/>
      <w:bookmarkStart w:id="1023" w:name="Tc_xG43_fdvwU2WjwSVjZJdqw_8_0"/>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tbl>
      <w:tblPr>
        <w:tblW w:w="7733" w:type="dxa"/>
        <w:jc w:val="left"/>
        <w:tblInd w:w="0" w:type="dxa"/>
        <w:tblLayout w:type="fixed"/>
        <w:tblCellMar>
          <w:top w:w="0" w:type="dxa"/>
          <w:left w:w="0" w:type="dxa"/>
          <w:bottom w:w="0" w:type="dxa"/>
          <w:right w:w="0" w:type="dxa"/>
        </w:tblCellMar>
      </w:tblPr>
      <w:tblGrid>
        <w:gridCol w:w="5626"/>
        <w:gridCol w:w="109"/>
        <w:gridCol w:w="211"/>
        <w:gridCol w:w="676"/>
        <w:gridCol w:w="109"/>
        <w:gridCol w:w="211"/>
        <w:gridCol w:w="791"/>
      </w:tblGrid>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37,815</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37,815</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adjustments (post-acquisition working capital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2,003</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43,558</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Normal"/>
        <w:bidi w:val="0"/>
        <w:spacing w:before="0" w:after="0"/>
        <w:jc w:val="left"/>
        <w:rPr>
          <w:sz w:val="4"/>
          <w:szCs w:val="4"/>
        </w:rPr>
      </w:pPr>
      <w:r>
        <w:rPr>
          <w:sz w:val="4"/>
          <w:szCs w:val="4"/>
        </w:rPr>
      </w:r>
      <w:bookmarkStart w:id="1024" w:name="Tc_YzDAlYiDgk6BBtVaNXUQcg_11_5"/>
      <w:bookmarkStart w:id="1025" w:name="Tc_cL9fX1mQB0eq4Op3Am5FkA_11_2"/>
      <w:bookmarkStart w:id="1026" w:name="Tc_CJ-HcFwIYU2LQaFAnNXUMw_11_0"/>
      <w:bookmarkStart w:id="1027" w:name="Tc_uKFng9_sdEWOuaj_i0JKtg_10_0"/>
      <w:bookmarkStart w:id="1028" w:name="Tc_R2WGbxe9WEiR075kuEneOw_9_0"/>
      <w:bookmarkStart w:id="1029" w:name="Tc_acZjayDa8UKK46uYeqtFvw_8_0"/>
      <w:bookmarkStart w:id="1030" w:name="Tc_sw43fhWB50ivIg7Yw0ds2w_7_0"/>
      <w:bookmarkStart w:id="1031" w:name="Tc_NshUYzaucE6vAUgxHZ7WTQ_6_0"/>
      <w:bookmarkStart w:id="1032" w:name="Tc_3wCDUUdOtEWN_EOss0QmlA_5_0"/>
      <w:bookmarkStart w:id="1033" w:name="Tc_PVz2nkrhpkaBtQCWypfwRQ_4_0"/>
      <w:bookmarkStart w:id="1034" w:name="Tc_hHlsyCgRrUK2-xeYjL0oIA_3_0"/>
      <w:bookmarkStart w:id="1035" w:name="Tc_w1qrWcp2iUKwMklDO2so0w_2_5"/>
      <w:bookmarkStart w:id="1036" w:name="Tc_wzqBG9UCkEm_N_Ft8vqsZw_2_2"/>
      <w:bookmarkStart w:id="1037" w:name="Tc_EqzkXVfT9US3n7Sd8-kQog_2_0"/>
      <w:bookmarkStart w:id="1038" w:name="Tc_2kvrlkU1TUOKApQCumbQbQ_1_5"/>
      <w:bookmarkStart w:id="1039" w:name="Tc_m1wNBVclKUOGcw1JgjPPBA_1_2"/>
      <w:bookmarkStart w:id="1040" w:name="_217a9570_6961_4f22_b850_b47faa4c5d19"/>
      <w:bookmarkStart w:id="1041" w:name="Tc_YzDAlYiDgk6BBtVaNXUQcg_11_5"/>
      <w:bookmarkStart w:id="1042" w:name="Tc_cL9fX1mQB0eq4Op3Am5FkA_11_2"/>
      <w:bookmarkStart w:id="1043" w:name="Tc_CJ-HcFwIYU2LQaFAnNXUMw_11_0"/>
      <w:bookmarkStart w:id="1044" w:name="Tc_uKFng9_sdEWOuaj_i0JKtg_10_0"/>
      <w:bookmarkStart w:id="1045" w:name="Tc_R2WGbxe9WEiR075kuEneOw_9_0"/>
      <w:bookmarkStart w:id="1046" w:name="Tc_acZjayDa8UKK46uYeqtFvw_8_0"/>
      <w:bookmarkStart w:id="1047" w:name="Tc_sw43fhWB50ivIg7Yw0ds2w_7_0"/>
      <w:bookmarkStart w:id="1048" w:name="Tc_NshUYzaucE6vAUgxHZ7WTQ_6_0"/>
      <w:bookmarkStart w:id="1049" w:name="Tc_3wCDUUdOtEWN_EOss0QmlA_5_0"/>
      <w:bookmarkStart w:id="1050" w:name="Tc_PVz2nkrhpkaBtQCWypfwRQ_4_0"/>
      <w:bookmarkStart w:id="1051" w:name="Tc_hHlsyCgRrUK2-xeYjL0oIA_3_0"/>
      <w:bookmarkStart w:id="1052" w:name="Tc_w1qrWcp2iUKwMklDO2so0w_2_5"/>
      <w:bookmarkStart w:id="1053" w:name="Tc_wzqBG9UCkEm_N_Ft8vqsZw_2_2"/>
      <w:bookmarkStart w:id="1054" w:name="Tc_EqzkXVfT9US3n7Sd8-kQog_2_0"/>
      <w:bookmarkStart w:id="1055" w:name="Tc_2kvrlkU1TUOKApQCumbQbQ_1_5"/>
      <w:bookmarkStart w:id="1056" w:name="Tc_m1wNBVclKUOGcw1JgjPPBA_1_2"/>
      <w:bookmarkStart w:id="1057" w:name="_217a9570_6961_4f22_b850_b47faa4c5d19"/>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tbl>
      <w:tblPr>
        <w:tblW w:w="2732" w:type="dxa"/>
        <w:jc w:val="left"/>
        <w:tblInd w:w="0" w:type="dxa"/>
        <w:tblLayout w:type="fixed"/>
        <w:tblCellMar>
          <w:top w:w="0" w:type="dxa"/>
          <w:left w:w="0" w:type="dxa"/>
          <w:bottom w:w="0" w:type="dxa"/>
          <w:right w:w="0" w:type="dxa"/>
        </w:tblCellMar>
      </w:tblPr>
      <w:tblGrid>
        <w:gridCol w:w="376"/>
        <w:gridCol w:w="235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23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Deposits and Other Assets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deposits and other assets (in thousands) as of:</w:t>
      </w:r>
    </w:p>
    <w:tbl>
      <w:tblPr>
        <w:tblW w:w="7266" w:type="dxa"/>
        <w:jc w:val="left"/>
        <w:tblInd w:w="0" w:type="dxa"/>
        <w:tblLayout w:type="fixed"/>
        <w:tblCellMar>
          <w:top w:w="0" w:type="dxa"/>
          <w:left w:w="0" w:type="dxa"/>
          <w:bottom w:w="0" w:type="dxa"/>
          <w:right w:w="0" w:type="dxa"/>
        </w:tblCellMar>
      </w:tblPr>
      <w:tblGrid>
        <w:gridCol w:w="3421"/>
        <w:gridCol w:w="346"/>
        <w:gridCol w:w="299"/>
        <w:gridCol w:w="962"/>
        <w:gridCol w:w="346"/>
        <w:gridCol w:w="357"/>
        <w:gridCol w:w="1144"/>
        <w:gridCol w:w="39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72335" cy="175260"/>
                      <wp:effectExtent l="0" t="0" r="0" b="0"/>
                      <wp:wrapNone/>
                      <wp:docPr id="223" name="Frame22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89865" cy="175260"/>
                      <wp:effectExtent l="0" t="0" r="0" b="0"/>
                      <wp:wrapNone/>
                      <wp:docPr id="225" name="Frame22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10870" cy="175260"/>
                      <wp:effectExtent l="0" t="0" r="0" b="0"/>
                      <wp:wrapNone/>
                      <wp:docPr id="226" name="Frame22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26695" cy="175260"/>
                      <wp:effectExtent l="0" t="0" r="0" b="0"/>
                      <wp:wrapNone/>
                      <wp:docPr id="228" name="Frame22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26440" cy="175260"/>
                      <wp:effectExtent l="0" t="0" r="0" b="0"/>
                      <wp:wrapNone/>
                      <wp:docPr id="229" name="Frame229"/>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48285" cy="175260"/>
                      <wp:effectExtent l="0" t="0" r="0" b="0"/>
                      <wp:wrapNone/>
                      <wp:docPr id="230" name="Frame23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91" w:type="dxa"/>
            <w:tcBorders/>
            <w:vAlign w:val="center"/>
          </w:tcPr>
          <w:p>
            <w:pPr>
              <w:pStyle w:val="TableContents"/>
              <w:bidi w:val="0"/>
              <w:spacing w:before="0" w:after="1"/>
              <w:ind w:left="0" w:right="0" w:hanging="0"/>
              <w:jc w:val="center"/>
              <w:rPr/>
            </w:pPr>
            <w:r>
              <w:rPr/>
              <w:t>  ​ ​ ​</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1,802</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interest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receivable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54,206</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54,035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Improvements on assets owned by others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4,391</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4,445</w:t>
            </w:r>
          </w:p>
        </w:tc>
        <w:tc>
          <w:tcPr>
            <w:tcW w:w="3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Capitalized Fuel Supply </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6,175</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6,371</w:t>
            </w:r>
          </w:p>
        </w:tc>
        <w:tc>
          <w:tcPr>
            <w:tcW w:w="3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2,674</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deposits and other assets</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72,494</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73,987</w:t>
            </w:r>
          </w:p>
        </w:tc>
        <w:tc>
          <w:tcPr>
            <w:tcW w:w="391"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directly holds a 3.6%</w:t>
            </w:r>
            <w:r>
              <w:rPr>
                <w:caps w:val="false"/>
                <w:smallCaps w:val="false"/>
              </w:rPr>
              <w:t xml:space="preserve"> </w:t>
            </w:r>
            <w:r>
              <w:rPr>
                <w:rFonts w:ascii="Times New Roman;Times;serif" w:hAnsi="Times New Roman;Times;serif"/>
                <w:b w:val="false"/>
                <w:i w:val="false"/>
                <w:caps w:val="false"/>
                <w:smallCaps w:val="false"/>
                <w:sz w:val="20"/>
              </w:rPr>
              <w:t>interest in the Series A Preferred Stock of Zero6 Clean Energy Assets, Inc. (“Zero6”), formerly known as Juhl Clean Energy Assets, Inc., which is not a publicly listed entity with a readily determinable fair value. The Company therefore measures the securities at cost. Recent observable equity raises indicated no impairment issues or an increase to the carrying value. This ownership interest is also pledged as collateral against two</w:t>
            </w:r>
            <w:r>
              <w:rPr>
                <w:caps w:val="false"/>
                <w:smallCaps w:val="false"/>
              </w:rPr>
              <w:t xml:space="preserve"> </w:t>
            </w:r>
            <w:r>
              <w:rPr>
                <w:rFonts w:ascii="Times New Roman;Times;serif" w:hAnsi="Times New Roman;Times;serif"/>
                <w:b w:val="false"/>
                <w:i w:val="false"/>
                <w:caps w:val="false"/>
                <w:smallCaps w:val="false"/>
                <w:sz w:val="20"/>
              </w:rPr>
              <w:t>future obligations to Rock County Wind Fuel, LLC (“RCWF”), a Zero6 subsidiary. See Note 19, Commitments and Contingencies, for additional information.</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Deposits provided to a developer of certain wind-farm projects and power utility contractor to induce them to design and construct the power generation, transmission and distribution facilities, $5.5</w:t>
            </w:r>
            <w:r>
              <w:rPr>
                <w:caps w:val="false"/>
                <w:smallCaps w:val="false"/>
              </w:rPr>
              <w:t xml:space="preserve"> </w:t>
            </w:r>
            <w:r>
              <w:rPr>
                <w:rFonts w:ascii="Times New Roman;Times;serif" w:hAnsi="Times New Roman;Times;serif"/>
                <w:b w:val="false"/>
                <w:i w:val="false"/>
                <w:caps w:val="false"/>
                <w:smallCaps w:val="false"/>
                <w:sz w:val="20"/>
              </w:rPr>
              <w:t>million of which will be either reimbursed or used as an investment into the wind generation facility and the remaining $48.7</w:t>
            </w:r>
            <w:r>
              <w:rPr>
                <w:caps w:val="false"/>
                <w:smallCaps w:val="false"/>
              </w:rPr>
              <w:t xml:space="preserve"> </w:t>
            </w:r>
            <w:r>
              <w:rPr>
                <w:rFonts w:ascii="Times New Roman;Times;serif" w:hAnsi="Times New Roman;Times;serif"/>
                <w:b w:val="false"/>
                <w:i w:val="false"/>
                <w:caps w:val="false"/>
                <w:smallCaps w:val="false"/>
                <w:sz w:val="20"/>
              </w:rPr>
              <w:t>million is expected to be fully reimbursed upon completion of the project. Gevo has contractual priority liens against the equipment and constructed facilities under the contracts.</w:t>
            </w:r>
          </w:p>
        </w:tc>
      </w:tr>
    </w:tbl>
    <w:tbl>
      <w:tblPr>
        <w:tblW w:w="4517" w:type="dxa"/>
        <w:jc w:val="left"/>
        <w:tblInd w:w="0" w:type="dxa"/>
        <w:tblLayout w:type="fixed"/>
        <w:tblCellMar>
          <w:top w:w="0" w:type="dxa"/>
          <w:left w:w="0" w:type="dxa"/>
          <w:bottom w:w="0" w:type="dxa"/>
          <w:right w:w="0" w:type="dxa"/>
        </w:tblCellMar>
      </w:tblPr>
      <w:tblGrid>
        <w:gridCol w:w="346"/>
        <w:gridCol w:w="41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feedstock agreements.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058" w:name="Tc_-BFdH1jLZk62wEb4BBGsig_8_5"/>
      <w:bookmarkStart w:id="1059" w:name="Tc_JuJLbliGIUCHa1DVRSFtQg_8_2"/>
      <w:bookmarkStart w:id="1060" w:name="Tc_yTnp3bb0Y0uC2PwOqj34gg_8_0"/>
      <w:bookmarkStart w:id="1061" w:name="Tc_fz4gTStqaEeyoTRe21RSkA_7_6"/>
      <w:bookmarkStart w:id="1062" w:name="Tc_OFRGi2Th5EOGtw11Oh0hMg_7_0"/>
      <w:bookmarkStart w:id="1063" w:name="Tc_7UWx09dqtEytyYkgPeZJIQ_6_0"/>
      <w:bookmarkStart w:id="1064" w:name="Tc_xz6dcTAelUmuBMzOeGZizg_5_0"/>
      <w:bookmarkStart w:id="1065" w:name="Tc_igWfmuQF9EOWcpxDJRGVgw_4_0"/>
      <w:bookmarkStart w:id="1066" w:name="Tc_o6N7XQI5u0qvwvT1sCn3qA_3_5"/>
      <w:bookmarkStart w:id="1067" w:name="Tc_EVfa83rG3Uqi1w8DcjaUig_3_2"/>
      <w:bookmarkStart w:id="1068" w:name="Tc_wllvnck2e0aY62XiJIz7dw_3_0"/>
      <w:bookmarkStart w:id="1069" w:name="Tc_FscyoHcz9kq5livIzB5dfg_2_5"/>
      <w:bookmarkStart w:id="1070" w:name="Tc_6ErYGeGhhUaClbWlhYl0fQ_2_2"/>
      <w:bookmarkStart w:id="1071" w:name="_e47aa786_3f8e_4bbf_85a7_01a6b4c392a5"/>
      <w:bookmarkStart w:id="1072" w:name="Tc_-BFdH1jLZk62wEb4BBGsig_8_5"/>
      <w:bookmarkStart w:id="1073" w:name="Tc_JuJLbliGIUCHa1DVRSFtQg_8_2"/>
      <w:bookmarkStart w:id="1074" w:name="Tc_yTnp3bb0Y0uC2PwOqj34gg_8_0"/>
      <w:bookmarkStart w:id="1075" w:name="Tc_fz4gTStqaEeyoTRe21RSkA_7_6"/>
      <w:bookmarkStart w:id="1076" w:name="Tc_OFRGi2Th5EOGtw11Oh0hMg_7_0"/>
      <w:bookmarkStart w:id="1077" w:name="Tc_7UWx09dqtEytyYkgPeZJIQ_6_0"/>
      <w:bookmarkStart w:id="1078" w:name="Tc_xz6dcTAelUmuBMzOeGZizg_5_0"/>
      <w:bookmarkStart w:id="1079" w:name="Tc_igWfmuQF9EOWcpxDJRGVgw_4_0"/>
      <w:bookmarkStart w:id="1080" w:name="Tc_o6N7XQI5u0qvwvT1sCn3qA_3_5"/>
      <w:bookmarkStart w:id="1081" w:name="Tc_EVfa83rG3Uqi1w8DcjaUig_3_2"/>
      <w:bookmarkStart w:id="1082" w:name="Tc_wllvnck2e0aY62XiJIz7dw_3_0"/>
      <w:bookmarkStart w:id="1083" w:name="Tc_FscyoHcz9kq5livIzB5dfg_2_5"/>
      <w:bookmarkStart w:id="1084" w:name="Tc_6ErYGeGhhUaClbWlhYl0fQ_2_2"/>
      <w:bookmarkStart w:id="1085" w:name="_e47aa786_3f8e_4bbf_85a7_01a6b4c392a5"/>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p>
    <w:tbl>
      <w:tblPr>
        <w:tblW w:w="4097" w:type="dxa"/>
        <w:jc w:val="left"/>
        <w:tblInd w:w="0" w:type="dxa"/>
        <w:tblLayout w:type="fixed"/>
        <w:tblCellMar>
          <w:top w:w="0" w:type="dxa"/>
          <w:left w:w="0" w:type="dxa"/>
          <w:bottom w:w="0" w:type="dxa"/>
          <w:right w:w="0" w:type="dxa"/>
        </w:tblCellMar>
      </w:tblPr>
      <w:tblGrid>
        <w:gridCol w:w="376"/>
        <w:gridCol w:w="372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37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Accounts Payable and Accrued Liabilities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accounts payable and accrued liabilities (in thousands) as of:</w:t>
      </w:r>
    </w:p>
    <w:tbl>
      <w:tblPr>
        <w:tblW w:w="7701" w:type="dxa"/>
        <w:jc w:val="left"/>
        <w:tblInd w:w="0" w:type="dxa"/>
        <w:tblLayout w:type="fixed"/>
        <w:tblCellMar>
          <w:top w:w="0" w:type="dxa"/>
          <w:left w:w="0" w:type="dxa"/>
          <w:bottom w:w="0" w:type="dxa"/>
          <w:right w:w="0" w:type="dxa"/>
        </w:tblCellMar>
      </w:tblPr>
      <w:tblGrid>
        <w:gridCol w:w="3856"/>
        <w:gridCol w:w="346"/>
        <w:gridCol w:w="299"/>
        <w:gridCol w:w="962"/>
        <w:gridCol w:w="346"/>
        <w:gridCol w:w="357"/>
        <w:gridCol w:w="1144"/>
        <w:gridCol w:w="39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448560" cy="175260"/>
                      <wp:effectExtent l="0" t="0" r="0" b="0"/>
                      <wp:wrapNone/>
                      <wp:docPr id="231" name="Frame231"/>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89865" cy="175260"/>
                      <wp:effectExtent l="0" t="0" r="0" b="0"/>
                      <wp:wrapNone/>
                      <wp:docPr id="233" name="Frame23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10870" cy="175260"/>
                      <wp:effectExtent l="0" t="0" r="0" b="0"/>
                      <wp:wrapNone/>
                      <wp:docPr id="234" name="Frame234"/>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26695" cy="175260"/>
                      <wp:effectExtent l="0" t="0" r="0" b="0"/>
                      <wp:wrapNone/>
                      <wp:docPr id="236" name="Frame236"/>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26440" cy="175260"/>
                      <wp:effectExtent l="0" t="0" r="0" b="0"/>
                      <wp:wrapNone/>
                      <wp:docPr id="237" name="Frame237"/>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48285" cy="175260"/>
                      <wp:effectExtent l="0" t="0" r="0" b="0"/>
                      <wp:wrapNone/>
                      <wp:docPr id="238" name="Frame23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  ​ ​ ​</w: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91" w:type="dxa"/>
            <w:tcBorders/>
            <w:vAlign w:val="center"/>
          </w:tcPr>
          <w:p>
            <w:pPr>
              <w:pStyle w:val="TableContents"/>
              <w:bidi w:val="0"/>
              <w:spacing w:before="0" w:after="1"/>
              <w:ind w:left="0" w:right="0" w:hanging="0"/>
              <w:jc w:val="center"/>
              <w:rPr/>
            </w:pPr>
            <w:r>
              <w:rPr/>
              <w:t>  ​ ​ ​</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5,537</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5,888</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17,711</w:t>
            </w:r>
          </w:p>
        </w:tc>
        <w:tc>
          <w:tcPr>
            <w:tcW w:w="391" w:type="dxa"/>
            <w:tcBorders/>
            <w:vAlign w:val="center"/>
          </w:tcPr>
          <w:p>
            <w:pPr>
              <w:pStyle w:val="TableContents"/>
              <w:bidi w:val="0"/>
              <w:spacing w:before="0" w:after="1"/>
              <w:ind w:left="0" w:right="0" w:hanging="0"/>
              <w:jc w:val="lef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5,708</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related benefits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8,281</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11,507</w:t>
            </w:r>
          </w:p>
        </w:tc>
        <w:tc>
          <w:tcPr>
            <w:tcW w:w="391" w:type="dxa"/>
            <w:tcBorders/>
            <w:vAlign w:val="center"/>
          </w:tcPr>
          <w:p>
            <w:pPr>
              <w:pStyle w:val="TableContents"/>
              <w:bidi w:val="0"/>
              <w:spacing w:before="0" w:after="1"/>
              <w:ind w:left="0" w:right="0" w:hanging="0"/>
              <w:jc w:val="lef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futures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25,941</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36,508</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bookmarkStart w:id="1086" w:name="Tc_Rb_xWhBwG0uJozWGIZ1tPg_7_5"/>
      <w:bookmarkStart w:id="1087" w:name="Tc_TTVf6-9bHk-UL3g81kc46Q_7_2"/>
      <w:bookmarkStart w:id="1088" w:name="Tc_WSmOixv7c0Km-yY1LGvSjA_7_0"/>
      <w:bookmarkStart w:id="1089" w:name="Tc_UbnaYHY1m0-U0SahS5_sdg_6_0"/>
      <w:bookmarkStart w:id="1090" w:name="Tc_hxR59V7Zj0SmIwo470N3KQ_5_3"/>
      <w:bookmarkStart w:id="1091" w:name="Tc_F_8d0yWPKk6NwCKP47E8wg_5_0"/>
      <w:bookmarkStart w:id="1092" w:name="Tc_hE3rtleGjkqhaL6HWo3OUQ_4_3"/>
      <w:bookmarkStart w:id="1093" w:name="Tc_ypRDSnzrekyoi1bP13muDQ_4_0"/>
      <w:bookmarkStart w:id="1094" w:name="Tc_7-67dPn7hEWPeE0AdOkL1A_3_6"/>
      <w:bookmarkStart w:id="1095" w:name="Tc_igv3SwFZi06pFSYw65Tuug_3_5"/>
      <w:bookmarkStart w:id="1096" w:name="Tc__FEX8p8_nE2nQn8JIdHb_w_3_2"/>
      <w:bookmarkStart w:id="1097" w:name="Tc_x_x-Djl9LkGna6jX4H9veQ_3_0"/>
      <w:bookmarkStart w:id="1098" w:name="Tc_0QoOKvyd90mE7qIMoyKTMA_2_5"/>
      <w:bookmarkStart w:id="1099" w:name="Tc_o9dWa-Sq80aELyM6qBeDQQ_2_2"/>
      <w:bookmarkStart w:id="1100" w:name="_6bea270a_3345_43c5_83b7_5febaffcae38"/>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r>
        <w:rPr/>
        <w:t>​</w:t>
      </w:r>
    </w:p>
    <w:tbl>
      <w:tblPr>
        <w:tblW w:w="2957" w:type="dxa"/>
        <w:jc w:val="left"/>
        <w:tblInd w:w="0" w:type="dxa"/>
        <w:tblLayout w:type="fixed"/>
        <w:tblCellMar>
          <w:top w:w="0" w:type="dxa"/>
          <w:left w:w="0" w:type="dxa"/>
          <w:bottom w:w="0" w:type="dxa"/>
          <w:right w:w="0" w:type="dxa"/>
        </w:tblCellMar>
      </w:tblPr>
      <w:tblGrid>
        <w:gridCol w:w="376"/>
        <w:gridCol w:w="258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25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Asset Retirement Obligation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recognizes liabilities for the estimated costs associated with the retirement of certain assets that are subject to legal or contractual obligations. These liabilities primarily relate to the decommissioning of RNG production facilities and associated infrastructure at our RNG plant. Additionally, the Company recognized an ARO related to the abandonment of our Class VI injection and monitoring wells at the GevoND operation.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estimates the fair value of the ARO based on current regulatory requirements and historical cost data, considering appropriate inflation and discount rates for the estimated timeline of asset removal. The fair value of the estimated ARO is recorded as a long-term liability, with a corresponding increase in the carrying amount of the related asset.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Company’s asset retirement obligation (in thousands) as of:</w:t>
      </w:r>
    </w:p>
    <w:tbl>
      <w:tblPr>
        <w:tblW w:w="7881" w:type="dxa"/>
        <w:jc w:val="left"/>
        <w:tblInd w:w="0" w:type="dxa"/>
        <w:tblLayout w:type="fixed"/>
        <w:tblCellMar>
          <w:top w:w="0" w:type="dxa"/>
          <w:left w:w="0" w:type="dxa"/>
          <w:bottom w:w="0" w:type="dxa"/>
          <w:right w:w="0" w:type="dxa"/>
        </w:tblCellMar>
      </w:tblPr>
      <w:tblGrid>
        <w:gridCol w:w="4036"/>
        <w:gridCol w:w="346"/>
        <w:gridCol w:w="340"/>
        <w:gridCol w:w="921"/>
        <w:gridCol w:w="346"/>
        <w:gridCol w:w="405"/>
        <w:gridCol w:w="1096"/>
        <w:gridCol w:w="39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562860" cy="175260"/>
                      <wp:effectExtent l="0" t="0" r="0" b="0"/>
                      <wp:wrapNone/>
                      <wp:docPr id="239" name="Frame239"/>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5900" cy="175260"/>
                      <wp:effectExtent l="0" t="0" r="0" b="0"/>
                      <wp:wrapNone/>
                      <wp:docPr id="241" name="Frame24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84835" cy="175260"/>
                      <wp:effectExtent l="0" t="0" r="0" b="0"/>
                      <wp:wrapNone/>
                      <wp:docPr id="242" name="Frame242"/>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57175" cy="175260"/>
                      <wp:effectExtent l="0" t="0" r="0" b="0"/>
                      <wp:wrapNone/>
                      <wp:docPr id="244" name="Frame244"/>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5960" cy="175260"/>
                      <wp:effectExtent l="0" t="0" r="0" b="0"/>
                      <wp:wrapNone/>
                      <wp:docPr id="245" name="Frame24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48285" cy="175260"/>
                      <wp:effectExtent l="0" t="0" r="0" b="0"/>
                      <wp:wrapNone/>
                      <wp:docPr id="246" name="Frame24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0"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  ​ ​ ​</w: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91" w:type="dxa"/>
            <w:tcBorders/>
            <w:vAlign w:val="center"/>
          </w:tcPr>
          <w:p>
            <w:pPr>
              <w:pStyle w:val="TableContents"/>
              <w:bidi w:val="0"/>
              <w:spacing w:before="0" w:after="1"/>
              <w:ind w:left="0" w:right="0" w:hanging="0"/>
              <w:jc w:val="center"/>
              <w:rPr/>
            </w:pPr>
            <w:r>
              <w:rPr/>
              <w:t>​</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assumed upon acquisition</w:t>
            </w:r>
          </w:p>
        </w:tc>
        <w:tc>
          <w:tcPr>
            <w:tcW w:w="34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c>
          <w:tcPr>
            <w:tcW w:w="391" w:type="dxa"/>
            <w:tcBorders/>
            <w:vAlign w:val="center"/>
          </w:tcPr>
          <w:p>
            <w:pPr>
              <w:pStyle w:val="TableContents"/>
              <w:bidi w:val="0"/>
              <w:spacing w:before="0" w:after="1"/>
              <w:ind w:left="0" w:right="0" w:hanging="0"/>
              <w:jc w:val="left"/>
              <w:rPr/>
            </w:pPr>
            <w:r>
              <w:rPr/>
              <w:t>​</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incurred</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expense</w:t>
            </w:r>
          </w:p>
        </w:tc>
        <w:tc>
          <w:tcPr>
            <w:tcW w:w="346"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91" w:type="dxa"/>
            <w:tcBorders/>
            <w:vAlign w:val="center"/>
          </w:tcPr>
          <w:p>
            <w:pPr>
              <w:pStyle w:val="TableContents"/>
              <w:bidi w:val="0"/>
              <w:spacing w:before="0" w:after="1"/>
              <w:ind w:left="0" w:right="0" w:hanging="0"/>
              <w:jc w:val="left"/>
              <w:rPr/>
            </w:pPr>
            <w:r>
              <w:rPr/>
              <w:t>​</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2,288</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changes in the assumptions used to calculate the fair value of the asset retirement obligation are recorded as an offset to the related asset. Surety bonds have been established to cover the cost of a portion of the facility closure plan.</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Normal"/>
        <w:bidi w:val="0"/>
        <w:spacing w:before="0" w:after="0"/>
        <w:jc w:val="left"/>
        <w:rPr>
          <w:sz w:val="4"/>
          <w:szCs w:val="4"/>
        </w:rPr>
      </w:pPr>
      <w:r>
        <w:rPr>
          <w:sz w:val="4"/>
          <w:szCs w:val="4"/>
        </w:rPr>
      </w:r>
      <w:bookmarkStart w:id="1101" w:name="Tc_ifTJn9cQpEWYpq_ufs_M5A_10_9"/>
      <w:bookmarkStart w:id="1102" w:name="Tc_8dfRAXA-kEWbKUu5K3wCJw_10_6"/>
      <w:bookmarkStart w:id="1103" w:name="Tc_DUzkwC8HTk-dScB9q-vn6g_10_0"/>
      <w:bookmarkStart w:id="1104" w:name="Tc_vIdNrJ7biUS9Nk1ip163eQ_9_0"/>
      <w:bookmarkStart w:id="1105" w:name="Tc_QgPdvk9xJEuYBRNNo_4okQ_8_0"/>
      <w:bookmarkStart w:id="1106" w:name="Tc_VEuQk24ZEUC2P10wJlEjbA_7_7"/>
      <w:bookmarkStart w:id="1107" w:name="Tc_rLORgNdk40aoGwySfayOLQ_7_4"/>
      <w:bookmarkStart w:id="1108" w:name="Tc_sYMWj_Te50-wSIqYE4voRQ_7_0"/>
      <w:bookmarkStart w:id="1109" w:name="Tc_7Zzzu99JI0Stk_PQh3DIxw_6_7"/>
      <w:bookmarkStart w:id="1110" w:name="Tc_vChOmBI6rUq7hvhfASvXJQ_6_4"/>
      <w:bookmarkStart w:id="1111" w:name="Tc_-l9gDKVAPEiaEOjrQqHnUg_6_0"/>
      <w:bookmarkStart w:id="1112" w:name="Tc_JvmlWuJqckGHLz9Ii5ikyg_5_7"/>
      <w:bookmarkStart w:id="1113" w:name="Tc_EyHG6wb-Bk6x1cnqi1MmUQ_5_4"/>
      <w:bookmarkStart w:id="1114" w:name="Tc_FOvSQzcKVUusaP35DnGzKg_5_0"/>
      <w:bookmarkStart w:id="1115" w:name="Tc_ZrdVmLwhFU6jGn0IWtCbpQ_4_10"/>
      <w:bookmarkStart w:id="1116" w:name="Tc_jSboCm0OLkKG4cQcWbUJyg_4_7"/>
      <w:bookmarkStart w:id="1117" w:name="Tc_GSGNro1m40GHq2ksRL19pA_4_4"/>
      <w:bookmarkStart w:id="1118" w:name="Tc_XGhcC2yAJkip9RovxquHkQ_4_2"/>
      <w:bookmarkStart w:id="1119" w:name="Tc_E5_p95ay4UWYZtezIDq73w_4_0"/>
      <w:bookmarkStart w:id="1120" w:name="Tc_jGy9IqjCUkGrNiWF8-GJHA_3_9"/>
      <w:bookmarkStart w:id="1121" w:name="Tc_k49dOIMRikWh0GojRYNx_w_3_6"/>
      <w:bookmarkStart w:id="1122" w:name="Tc_tsVEV-I8KUaDo8UvjPydrw_3_4"/>
      <w:bookmarkStart w:id="1123" w:name="Tc_FZjVm0H_VkqbpELA9vv_NQ_3_0"/>
      <w:bookmarkStart w:id="1124" w:name="Tc_OTdgPzjM4kKfU5387yCvfg_2_9"/>
      <w:bookmarkStart w:id="1125" w:name="Tc_N2KyXJHs-kaUcs3flusuRg_2_6"/>
      <w:bookmarkStart w:id="1126" w:name="Tc_MB4MhddawkizO6Oy0rdd5Q_2_4"/>
      <w:bookmarkStart w:id="1127" w:name="Tc_y5sLKz1LdU-n5HLG50rbJw_2_2"/>
      <w:bookmarkStart w:id="1128" w:name="_e3cb0e0d_fcb5_405a_9309_b98cd78eeeaa"/>
      <w:bookmarkStart w:id="1129" w:name="Tc_ifTJn9cQpEWYpq_ufs_M5A_10_9"/>
      <w:bookmarkStart w:id="1130" w:name="Tc_8dfRAXA-kEWbKUu5K3wCJw_10_6"/>
      <w:bookmarkStart w:id="1131" w:name="Tc_DUzkwC8HTk-dScB9q-vn6g_10_0"/>
      <w:bookmarkStart w:id="1132" w:name="Tc_vIdNrJ7biUS9Nk1ip163eQ_9_0"/>
      <w:bookmarkStart w:id="1133" w:name="Tc_QgPdvk9xJEuYBRNNo_4okQ_8_0"/>
      <w:bookmarkStart w:id="1134" w:name="Tc_VEuQk24ZEUC2P10wJlEjbA_7_7"/>
      <w:bookmarkStart w:id="1135" w:name="Tc_rLORgNdk40aoGwySfayOLQ_7_4"/>
      <w:bookmarkStart w:id="1136" w:name="Tc_sYMWj_Te50-wSIqYE4voRQ_7_0"/>
      <w:bookmarkStart w:id="1137" w:name="Tc_7Zzzu99JI0Stk_PQh3DIxw_6_7"/>
      <w:bookmarkStart w:id="1138" w:name="Tc_vChOmBI6rUq7hvhfASvXJQ_6_4"/>
      <w:bookmarkStart w:id="1139" w:name="Tc_-l9gDKVAPEiaEOjrQqHnUg_6_0"/>
      <w:bookmarkStart w:id="1140" w:name="Tc_JvmlWuJqckGHLz9Ii5ikyg_5_7"/>
      <w:bookmarkStart w:id="1141" w:name="Tc_EyHG6wb-Bk6x1cnqi1MmUQ_5_4"/>
      <w:bookmarkStart w:id="1142" w:name="Tc_FOvSQzcKVUusaP35DnGzKg_5_0"/>
      <w:bookmarkStart w:id="1143" w:name="Tc_ZrdVmLwhFU6jGn0IWtCbpQ_4_10"/>
      <w:bookmarkStart w:id="1144" w:name="Tc_jSboCm0OLkKG4cQcWbUJyg_4_7"/>
      <w:bookmarkStart w:id="1145" w:name="Tc_GSGNro1m40GHq2ksRL19pA_4_4"/>
      <w:bookmarkStart w:id="1146" w:name="Tc_XGhcC2yAJkip9RovxquHkQ_4_2"/>
      <w:bookmarkStart w:id="1147" w:name="Tc_E5_p95ay4UWYZtezIDq73w_4_0"/>
      <w:bookmarkStart w:id="1148" w:name="Tc_jGy9IqjCUkGrNiWF8-GJHA_3_9"/>
      <w:bookmarkStart w:id="1149" w:name="Tc_k49dOIMRikWh0GojRYNx_w_3_6"/>
      <w:bookmarkStart w:id="1150" w:name="Tc_tsVEV-I8KUaDo8UvjPydrw_3_4"/>
      <w:bookmarkStart w:id="1151" w:name="Tc_FZjVm0H_VkqbpELA9vv_NQ_3_0"/>
      <w:bookmarkStart w:id="1152" w:name="Tc_OTdgPzjM4kKfU5387yCvfg_2_9"/>
      <w:bookmarkStart w:id="1153" w:name="Tc_N2KyXJHs-kaUcs3flusuRg_2_6"/>
      <w:bookmarkStart w:id="1154" w:name="Tc_MB4MhddawkizO6Oy0rdd5Q_2_4"/>
      <w:bookmarkStart w:id="1155" w:name="Tc_y5sLKz1LdU-n5HLG50rbJw_2_2"/>
      <w:bookmarkStart w:id="1156" w:name="_e3cb0e0d_fcb5_405a_9309_b98cd78eeeaa"/>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p>
    <w:tbl>
      <w:tblPr>
        <w:tblW w:w="917" w:type="dxa"/>
        <w:jc w:val="left"/>
        <w:tblInd w:w="0" w:type="dxa"/>
        <w:tblLayout w:type="fixed"/>
        <w:tblCellMar>
          <w:top w:w="0" w:type="dxa"/>
          <w:left w:w="0" w:type="dxa"/>
          <w:bottom w:w="0" w:type="dxa"/>
          <w:right w:w="0" w:type="dxa"/>
        </w:tblCellMar>
      </w:tblPr>
      <w:tblGrid>
        <w:gridCol w:w="376"/>
        <w:gridCol w:w="5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5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summary of the Company’s long-term debt is as follows (in thousands) as of:</w:t>
      </w:r>
    </w:p>
    <w:tbl>
      <w:tblPr>
        <w:tblW w:w="9219" w:type="dxa"/>
        <w:jc w:val="left"/>
        <w:tblInd w:w="0" w:type="dxa"/>
        <w:tblLayout w:type="fixed"/>
        <w:tblCellMar>
          <w:top w:w="0" w:type="dxa"/>
          <w:left w:w="0" w:type="dxa"/>
          <w:bottom w:w="0" w:type="dxa"/>
          <w:right w:w="0" w:type="dxa"/>
        </w:tblCellMar>
      </w:tblPr>
      <w:tblGrid>
        <w:gridCol w:w="2311"/>
        <w:gridCol w:w="346"/>
        <w:gridCol w:w="1306"/>
        <w:gridCol w:w="346"/>
        <w:gridCol w:w="1411"/>
        <w:gridCol w:w="346"/>
        <w:gridCol w:w="268"/>
        <w:gridCol w:w="993"/>
        <w:gridCol w:w="346"/>
        <w:gridCol w:w="294"/>
        <w:gridCol w:w="1252"/>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467485" cy="175260"/>
                      <wp:effectExtent l="0" t="0" r="0" b="0"/>
                      <wp:wrapNone/>
                      <wp:docPr id="247" name="Frame24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829310" cy="175260"/>
                      <wp:effectExtent l="0" t="0" r="0" b="0"/>
                      <wp:wrapNone/>
                      <wp:docPr id="249" name="Frame24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895985" cy="175260"/>
                      <wp:effectExtent l="0" t="0" r="0" b="0"/>
                      <wp:wrapNone/>
                      <wp:docPr id="251" name="Frame251"/>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70180" cy="175260"/>
                      <wp:effectExtent l="0" t="0" r="0" b="0"/>
                      <wp:wrapNone/>
                      <wp:docPr id="253" name="Frame25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30555" cy="175260"/>
                      <wp:effectExtent l="0" t="0" r="0" b="0"/>
                      <wp:wrapNone/>
                      <wp:docPr id="254" name="Frame254"/>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86690" cy="175260"/>
                      <wp:effectExtent l="0" t="0" r="0" b="0"/>
                      <wp:wrapNone/>
                      <wp:docPr id="256" name="Frame256"/>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95020" cy="175260"/>
                      <wp:effectExtent l="0" t="0" r="0" b="0"/>
                      <wp:wrapNone/>
                      <wp:docPr id="257" name="Frame257"/>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268"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46" w:type="dxa"/>
            <w:tcBorders/>
            <w:vAlign w:val="center"/>
          </w:tcPr>
          <w:p>
            <w:pPr>
              <w:pStyle w:val="TableContents"/>
              <w:bidi w:val="0"/>
              <w:spacing w:before="0" w:after="1"/>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 Date (1)</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January 2030</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175,000</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+ 2.75%</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January 2030</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Remarketed Bonds</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2026</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2025A Term Bond 1</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2030</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2025A Term Bond 2</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2036</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26,165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175,000</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173,155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(8,249)</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net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166,751</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164,750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157" w:name="Tc_66rr1fyzoUCJ9VTVDryf3Q_8_2"/>
      <w:bookmarkStart w:id="1158" w:name="Tc_VgYRxkNQlk-klg8le9ZWxw_8_0"/>
      <w:bookmarkStart w:id="1159" w:name="Tc_Pl0TznrAlU-inYGflwC68Q_7_3"/>
      <w:bookmarkStart w:id="1160" w:name="Tc__QyKSpW4bU2_OST1YBWwPw_7_0"/>
      <w:bookmarkStart w:id="1161" w:name="Tc_-oFHyfXBukeYuWLSi5ZBFA_6_0"/>
      <w:bookmarkStart w:id="1162" w:name="Tc_fRjEZ4lFqECAzi_dKK-RWw_5_3"/>
      <w:bookmarkStart w:id="1163" w:name="Tc_fWWY9Og_N0yGOJtvmg0vbQ_5_0"/>
      <w:bookmarkStart w:id="1164" w:name="Tc_t5osjUiBSUOOujLzINS42Q_4_3"/>
      <w:bookmarkStart w:id="1165" w:name="Tc_JVSokpqr5EeZzWkIw3jNPA_4_0"/>
      <w:bookmarkStart w:id="1166" w:name="Tc_kUGTPlE0y0Gz16hF7taOyA_3_3"/>
      <w:bookmarkStart w:id="1167" w:name="Tc_jV5aPeWaiUq6xIQk63VPjQ_3_0"/>
      <w:bookmarkStart w:id="1168" w:name="Tc_aEBWD5d-LUScre8ESf0QBA_2_3"/>
      <w:bookmarkStart w:id="1169" w:name="Tc_xCqmB0F3SEGK14OE9j0hBw_2_2"/>
      <w:bookmarkStart w:id="1170" w:name="Tc_ZujdA9fPCUayDmlySe1SiQ_2_0"/>
      <w:bookmarkStart w:id="1171" w:name="Tc_oY2AosbesEexHT-x42vR3g_1_2"/>
      <w:bookmarkStart w:id="1172" w:name="Tc_eHPRGA5Lr0mvS_-K4lRd-A_1_0"/>
      <w:bookmarkStart w:id="1173" w:name="_73e505b0_309d_41aa_a05e_c35291722f98"/>
      <w:bookmarkStart w:id="1174" w:name="Tc_uXg6h-BIRUaUo498g-6u6g_12_9"/>
      <w:bookmarkStart w:id="1175" w:name="Tc_CQo3l7DeGUSuqLz3QsA4UA_12_6"/>
      <w:bookmarkStart w:id="1176" w:name="Tc_-cvwJO7RxUCPSej91F0Mew_12_0"/>
      <w:bookmarkStart w:id="1177" w:name="Tc_E4Z_5LPkg0yZ973gN4S0AA_11_10"/>
      <w:bookmarkStart w:id="1178" w:name="Tc_C3bvX0HV10yxpzGCVf0-oQ_11_7"/>
      <w:bookmarkStart w:id="1179" w:name="Tc_SeSQnDn3jEupkn4CRBrX8A_11_0"/>
      <w:bookmarkStart w:id="1180" w:name="Tc_66rr1fyzoUCJ9VTVDryf3Q_8_2"/>
      <w:bookmarkStart w:id="1181" w:name="Tc_VgYRxkNQlk-klg8le9ZWxw_8_0"/>
      <w:bookmarkStart w:id="1182" w:name="Tc_Pl0TznrAlU-inYGflwC68Q_7_3"/>
      <w:bookmarkStart w:id="1183" w:name="Tc__QyKSpW4bU2_OST1YBWwPw_7_0"/>
      <w:bookmarkStart w:id="1184" w:name="Tc_-oFHyfXBukeYuWLSi5ZBFA_6_0"/>
      <w:bookmarkStart w:id="1185" w:name="Tc_fRjEZ4lFqECAzi_dKK-RWw_5_3"/>
      <w:bookmarkStart w:id="1186" w:name="Tc_fWWY9Og_N0yGOJtvmg0vbQ_5_0"/>
      <w:bookmarkStart w:id="1187" w:name="Tc_t5osjUiBSUOOujLzINS42Q_4_3"/>
      <w:bookmarkStart w:id="1188" w:name="Tc_JVSokpqr5EeZzWkIw3jNPA_4_0"/>
      <w:bookmarkStart w:id="1189" w:name="Tc_kUGTPlE0y0Gz16hF7taOyA_3_3"/>
      <w:bookmarkStart w:id="1190" w:name="Tc_jV5aPeWaiUq6xIQk63VPjQ_3_0"/>
      <w:bookmarkStart w:id="1191" w:name="Tc_aEBWD5d-LUScre8ESf0QBA_2_3"/>
      <w:bookmarkStart w:id="1192" w:name="Tc_xCqmB0F3SEGK14OE9j0hBw_2_2"/>
      <w:bookmarkStart w:id="1193" w:name="Tc_ZujdA9fPCUayDmlySe1SiQ_2_0"/>
      <w:bookmarkStart w:id="1194" w:name="Tc_oY2AosbesEexHT-x42vR3g_1_2"/>
      <w:bookmarkStart w:id="1195" w:name="Tc_eHPRGA5Lr0mvS_-K4lRd-A_1_0"/>
      <w:bookmarkStart w:id="1196" w:name="_73e505b0_309d_41aa_a05e_c35291722f98"/>
      <w:bookmarkStart w:id="1197" w:name="Tc_uXg6h-BIRUaUo498g-6u6g_12_9"/>
      <w:bookmarkStart w:id="1198" w:name="Tc_CQo3l7DeGUSuqLz3QsA4UA_12_6"/>
      <w:bookmarkStart w:id="1199" w:name="Tc_-cvwJO7RxUCPSej91F0Mew_12_0"/>
      <w:bookmarkStart w:id="1200" w:name="Tc_E4Z_5LPkg0yZ973gN4S0AA_11_10"/>
      <w:bookmarkStart w:id="1201" w:name="Tc_C3bvX0HV10yxpzGCVf0-oQ_11_7"/>
      <w:bookmarkStart w:id="1202" w:name="Tc_SeSQnDn3jEupkn4CRBrX8A_11_0"/>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p>
    <w:tbl>
      <w:tblPr>
        <w:tblW w:w="4858" w:type="dxa"/>
        <w:jc w:val="left"/>
        <w:tblInd w:w="0" w:type="dxa"/>
        <w:tblLayout w:type="fixed"/>
        <w:tblCellMar>
          <w:top w:w="0" w:type="dxa"/>
          <w:left w:w="0" w:type="dxa"/>
          <w:bottom w:w="0" w:type="dxa"/>
          <w:right w:w="0" w:type="dxa"/>
        </w:tblCellMar>
      </w:tblPr>
      <w:tblGrid>
        <w:gridCol w:w="1951"/>
        <w:gridCol w:w="109"/>
        <w:gridCol w:w="109"/>
        <w:gridCol w:w="146"/>
        <w:gridCol w:w="226"/>
        <w:gridCol w:w="109"/>
        <w:gridCol w:w="211"/>
        <w:gridCol w:w="781"/>
        <w:gridCol w:w="109"/>
        <w:gridCol w:w="211"/>
        <w:gridCol w:w="896"/>
      </w:tblGrid>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debt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166,751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164,750</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sz w:val="20"/>
        </w:rPr>
      </w:pPr>
      <w:r>
        <w:rPr>
          <w:rFonts w:ascii="Times New Roman;Times;serif" w:hAnsi="Times New Roman;Times;serif"/>
          <w:sz w:val="20"/>
        </w:rPr>
        <w:t>Future payments for the Company’s long-term debt are as follows (in thousands):</w:t>
      </w:r>
    </w:p>
    <w:tbl>
      <w:tblPr>
        <w:tblW w:w="3569" w:type="dxa"/>
        <w:jc w:val="left"/>
        <w:tblInd w:w="0" w:type="dxa"/>
        <w:tblLayout w:type="fixed"/>
        <w:tblCellMar>
          <w:top w:w="0" w:type="dxa"/>
          <w:left w:w="0" w:type="dxa"/>
          <w:bottom w:w="0" w:type="dxa"/>
          <w:right w:w="0" w:type="dxa"/>
        </w:tblCellMar>
      </w:tblPr>
      <w:tblGrid>
        <w:gridCol w:w="2116"/>
        <w:gridCol w:w="346"/>
        <w:gridCol w:w="211"/>
        <w:gridCol w:w="89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43660" cy="175260"/>
                      <wp:effectExtent l="0" t="0" r="0" b="0"/>
                      <wp:wrapNone/>
                      <wp:docPr id="258" name="Frame258"/>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68960" cy="175260"/>
                      <wp:effectExtent l="0" t="0" r="0" b="0"/>
                      <wp:wrapNone/>
                      <wp:docPr id="261" name="Frame26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46" w:type="dxa"/>
            <w:tcBorders/>
            <w:vAlign w:val="center"/>
          </w:tcPr>
          <w:p>
            <w:pPr>
              <w:pStyle w:val="TableContents"/>
              <w:bidi w:val="0"/>
              <w:spacing w:before="0" w:after="1"/>
              <w:ind w:left="0" w:right="0" w:hanging="0"/>
              <w:jc w:val="center"/>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Debt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175,000</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175,000</w:t>
            </w:r>
          </w:p>
        </w:tc>
      </w:tr>
    </w:tbl>
    <w:p>
      <w:pPr>
        <w:pStyle w:val="TextBody"/>
        <w:bidi w:val="0"/>
        <w:spacing w:before="0" w:after="0"/>
        <w:ind w:left="0" w:right="0" w:hanging="0"/>
        <w:jc w:val="left"/>
        <w:rPr/>
      </w:pPr>
      <w:r>
        <w:rPr/>
        <w:t>​</w:t>
      </w:r>
    </w:p>
    <w:p>
      <w:pPr>
        <w:pStyle w:val="TextBody"/>
        <w:bidi w:val="0"/>
        <w:spacing w:before="200" w:after="240"/>
        <w:ind w:left="0" w:right="0" w:hanging="0"/>
        <w:jc w:val="left"/>
        <w:rPr>
          <w:rFonts w:ascii="Times New Roman;Times;serif" w:hAnsi="Times New Roman;Times;serif"/>
          <w:sz w:val="20"/>
        </w:rPr>
      </w:pPr>
      <w:r>
        <w:rPr>
          <w:rFonts w:ascii="Times New Roman;Times;serif" w:hAnsi="Times New Roman;Times;serif"/>
          <w:sz w:val="20"/>
        </w:rPr>
        <w:t>Term Loan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January 31, 2025 (the “Closing Date”), the Company, through its subsidiaries Net-Zero North HoldCo, LLC, Richardton-CCS, Net-Zero-Richardton, and other affiliates (collectively, the “Borrower”), entered into a Credit Agreement (the “Credit Agreement”) with OIC Investment Agent, LLC as the administrative agent and collateral agent for the secured parties (“Lenders”), in connection with the Red Trail Energy acquisition transaction. The Credit Agreement provided for a $105 million senior secured term loan (the “Term Loan”) that was funded on the Closing Date with a maturity of January 31, 2030. The proceeds of the Term Loan were used to partially fund the transaction and the payment of fees under the Credit Agreement. The Credit Agreement also provides for additional uncommitted term loans in an aggregate amount to be mutually agreed upon by the Borrower, the Guarantors and the Lenders for use for certain future growth opportunities after the Closing Date. Interest on the Term Loan accrued at a rate of (i) 10.00% per annum if the net leverage ratio as of the last day of the quarter for the measurement period (the “Measurement Period”) consisting of the prior four consecutive fiscal quarters of the Borrower (“Leverage Ratio”) is less than 1.5x, (ii) 10.75% per annum if the Leverage Ratio is equal to or greater than 1.5x, but less than 3.0x, and (iii) 11.50% per annum if the Leverage Ratio is equal to or greater than 3.0x and shall initially be set at 11.50% per annum until the next quarterly adjustment date. The Leverage Ratio is defined as the ratio of the combined indebtedness of the Borrower and the Guarantors (other than any indebtedness pursuant to any permitted working capital facility) less any cash equivalent investments in any collateral accounts to the consolidated EBITDA of the Borrower and Guarantors for the relevant Measurement Period. Interest is due and payable in cash at the end of each quarter.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Term Loan, and subject to the other terms under the Credit Agreement, entities affiliated with OIC made an equity investment in HoldCo equal to $5 million, or approximately 4% of the membership interests in HoldCo on the Closing Date. The organizational documents of HoldCo also provide the Lenders with the right to appoint two non-voting observers to the board of managers of HoldCo.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6, 2026, (the “Amendment Date”) the Company, entered into an amendment to the Term Loan (the “Term Loan Amendment”) to increase the total commitments on the Term Loan to $175.0 million (the “Revised Credit Facility”). The incremental proceeds of $67.4 million, after payment of a $2.1 million discount to the Lenders and $0.5 million in third-party debt issuance costs were used to (i) redeem $28.2 million aggregate principal outstanding on the Remarketed Bonds and (ii) $38.9 million aggregate principal amount outstanding on the Series 2025A Bonds. The Revised Credit Facility added Gevo RNG HoldCo, LLC and Gevo NW Iowa RNG, LLC as borrowers and guarantors. The Revised Credit Facility was transferred from Net-Zero North HoldCo LLC to a new entity, Gevo Operating Holdings LLC, which includes all subsidiaries guaranteeing the Revised Credit Facility through an Assignment and Assumption Agreement executed on the Amendment Date. In addition, HoldCo’s Limited Liability Company Agreement was amended to add additional OIC Controlled Members, which increased the redeemable non-controlling interest in HoldCo to 6.0% from 4.0%. The additional redeemable noncontrolling interest was considered debt issuance costs of $2.0 million and was allocated between the carrying amount of the debt and the redeemable noncontrolling interest on a relative fair value basis. Effective on the Amendment Date, the interest rate on the Revised Credit Facility increased to 12.00%, otherwise the Term Loan Amendment maintains substantially the same terms and covenants as the original Term Loan. The Term Loan Amendment was accounted for as a debt modification. Third-Party legal costs of $0.7 million related to the Term Loan Amendment were included in general and administrative expenses on the Condensed Consolidated Statement of Operations.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Revised Credit Facility is secured by a first-lien security interest subject only to reasonable and customary permitted liens and encumbrances, in all the Borrower’s and each Guarantor’s tangible and intangible assets, properties controlled by Borrower and Guarantors, and contracts, including deposit accounts and collateral assignment of material contracts and certain real estate assets to be determined, and includes a pledge of all equity interests in the Borrower and its subsidiaries. The Revised Credit Facility also contains customary affirmative and negative covenants, events of default, mandatory prepayments (including an excess cash flow sweep), conditions precedent, representations, and warranties. On December 26, 2025, the Borrower entered into an amended and restated waiver, consent and amendment letter with the Administrative Agent under the Credit Agreement. Pursuant to the amendment, the Administrative Agent consented to the withdrawal and transfer of approximately $36.4 million from the Borrower’s revenue account. The withdrawn funds were deemed distributed to Holdco in accordance with HoldCo’s limited liability company agreement and treated as a restricted payment under the Credit Agreement. Except as amended, the Credit Agreement remains in full force and effect. The Company was in compliance with the covenants under the Revised Credit Facility as of March 31, 2026.</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Revolving 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6, 2026, the Company entered into a revolving credit agreement with Huntington National Bank providing for a working capital facility of up to $20.0 million (the “Revolving Credit Facility”). Borrowings under the facility bear interest, at the Company’s option, at either (i) Adjusted Term SOFR plus 2.75% per annum or (ii) an alternate base rate plus 0.75% per annum. The facility also includes a 0.375% unused commitment fee. The facility matures on the earlier of February 6, 2031 or three months prior to the maturity of the Revised Credit Facility. As of March 31, 2026, no amounts had been borrowed on the Revolving Credit Facility. The Company paid debt issuance costs of $0.5 million related to the Revolving Credit Facility, which are recorded in Deposits and other assets in the Condensed Consolidated Balance Sheets as of March 31, 2026. The costs are amortized to interest expense over the remaining term of the facility.</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2021 Bond Issuance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15, 2021, on behalf of Gevo NW Iowa RNG, LLC, the Iowa Finance Authority (the “Issuer”)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Issuer and Citibank, N.A. as trustee (the “Trustee”). The 2021 Bonds had a maturity date of January 1, 2042. The bonds bore interest at 1.5% per annum during the Initial Term Rate Period (as defined in the Indenture), payable semi-annually on January 1 and July 1 of each year. The effective interest rate was 1.1%. The 2021 Bonds were supported by a $71.2 million letter of credit. The Trustee could draw sufficient amounts on the letter of credit to pay the principal and interest until the first mandatory tender date of April 1, 2024. The 2021 Bonds were callable and re-marketable on or after October 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2021 Bonds were issued at a premium of $0.8 million and debt issuance costs were $3.0 million. As of the Conversion Date (defined below) all premiums and debt issuance costs were fully amortized.</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2024 Bond Remarketing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 2024 (the “Conversion Date”), the 2021 Bonds became subject to mandatory tender for purchase and have been remarketed to bear interest in a new term rate period (the “Remarketed Bonds”). In connection with the conversion and remarketing of the 2021 Bonds on the Conversion Date, the original Indenture was amended by a First Supplemental Indenture dated April 1, 2024 (together with the original Indenture the “First Supplemental Indenture,”) between the Issuer and the Trustee. The original bond financing agreement was amended by a First Supplemental Bond Financing Agreement dated April 1, 2024 (together with the original bond financing Agreement, the “First Supplemental Bond Financing Agreement”) between the Issuer and the Company. The Remarketed Bonds were accounted for as an extinguishment of bonds, with no gain or loss recognized from extinguishment.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Remarketed Bonds retained the same $68.2 million principal amount and maturity date of January 1, 2042. The Remarketed Bonds bore interest of 3.875% per annum during the Initial Term Rate Period (as defined in the Indenture), payable semi-annually with a first mandatory tender date of April 1, 2026. The effective interest rate was 1.2%. The Company incurred $1.7 million of debt issuance costs associated with the remarketing. On July 10, 2025, $40.0 million of the Remarketed Bonds were refinanced with the issuance of the 2025 Bonds (as defined below) and on February 6, 2026, the remaining $28.2 million outstanding on the Remarketed Bonds was repaid with partial proceeds from the Term Loan Amendment. The unamortized debt issuance costs as of the Amendment Date of $53 thousand were included in loss on extinguishment of bonds in the Condensed Consolidated Statement of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Remarketed Bonds were supported by a $69.6 million letter of credit that was issued to the incumbent Trustee that can draw sufficient amounts on the letter of credit to pay the principal and interest, in case of default, until the first mandatory tender date of April 1, 2026. On the Amendment Date the letter of credit and restricted cash of $28.8 million was released.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2025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10, 2025, Barclays Capital Inc. purchased $40.0 million of the Remarketed Bonds (the “2025 Bonds” or “Series 2025A Bonds”) on a non-recourse basis. This partial refinancing enabled Gevo to release $40.8 million of restricted cash, including interest of $0.8 million, which was securing the letter of credit and returned approximately $30.4 million of cash to Gevo after paying debt issuance costs of $3.4 million and funding the related debt service reserve fund of $4.0 million and the operating and maintenance reserve fund of $3.0 million associated with the 2025 Bonds.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2025 Bonds were in the form of two separate term bonds. Series 2025A Term Bond 1 had a principal amount of $13.8 million, bore interest at 8.125% per annum, and required semi-annual principal and interest payments beginning January 1, 2026 through July 1, 2030. Series 2025A Term Bond 2, had a principal amount of $26.2 million, bore interest at 8.5%, and required semi-annual principal and interest payments beginning January 1, 2031 through July 1, 2036. On the Amendment Date, the principal amount of $38.9 million on the 2025 Bonds was repaid with partial proceeds from the Term Loan Amendment. The redemption of the 2025 Bonds was accounted for as an extinguishment of debt. The Company recorded a loss on extinguishment of $10.3 million, including a prepayment penalty of $6.5 million and the write-off of the unamortized debt issuance costs of $3.8 million included in loss on extinguishment of bonds on the Condensed Consolidated Statement of Operations. The restricted cash balance of $7.0 million related to the debt service reserve fund and operating and maintenance reserve fund was returned to the Company. </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24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Equity incentive plans</w:t>
      </w:r>
      <w:r>
        <w:rPr>
          <w:rFonts w:ascii="Times New Roman;Times;serif" w:hAnsi="Times New Roman;Times;serif"/>
          <w:sz w:val="20"/>
        </w:rPr>
        <w:t>. In February 2011, the Company’s stockholders approved the Gevo, Inc. 2010 Stock Incentive Plan (as amended and restated to date, the “2010 Plan”), and the Employee Stock Purchase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203" w:name="Tc_jLmtVaPSjkqPa48VxJqClQ_12_13"/>
      <w:bookmarkStart w:id="1204" w:name="Tc_GmLaZSKAiE6Hh7YbJR2v7g_12_10"/>
      <w:bookmarkStart w:id="1205" w:name="Tc_3TwFLQ50tUGU02efFPkKpg_12_4"/>
      <w:bookmarkStart w:id="1206" w:name="Tc_LH2GfIVbdUOLBnNrrvjw5Q_12_0"/>
      <w:bookmarkStart w:id="1207" w:name="Tc_wro4tmAHw0O-SYU0O3S8Zw_11_13"/>
      <w:bookmarkStart w:id="1208" w:name="Tc_d8Z-J663zEC92WWAcoIqvw_11_10"/>
      <w:bookmarkStart w:id="1209" w:name="Tc_nFCZQMEXwESGz71kpfDSRA_11_4"/>
      <w:bookmarkStart w:id="1210" w:name="Tc_MS1Q_GC3N0CncjblD6HP_g_11_0"/>
      <w:bookmarkStart w:id="1211" w:name="Tc_MRgXl5KE7EKMF9ga00sBmA_10_0"/>
      <w:bookmarkStart w:id="1212" w:name="Tc_br3xMylH5kK-XMNcFMBbVg_9_0"/>
      <w:bookmarkStart w:id="1213" w:name="Tc_9ZUiAj-kFU2xwMXrxsdb9Q_8_14"/>
      <w:bookmarkStart w:id="1214" w:name="Tc_wBd6beBS_0quHHf5BgxG1w_8_11"/>
      <w:bookmarkStart w:id="1215" w:name="Tc_VvX8Crye4UKE30eC4KovOQ_8_5"/>
      <w:bookmarkStart w:id="1216" w:name="Tc_emWiphYCX06AG6o7YKX1QA_8_2"/>
      <w:bookmarkStart w:id="1217" w:name="Tc_HxGViJSrnkm9GjstXmvCTg_8_0"/>
      <w:bookmarkStart w:id="1218" w:name="Tc_biZbtwGNgkGifLezjiABNA_7_13"/>
      <w:bookmarkStart w:id="1219" w:name="Tc_J2oGeMgpLEa83aBkuPgYhw_7_10"/>
      <w:bookmarkStart w:id="1220" w:name="Tc_3t2vK87wEk2kWSoVPYMMZQ_7_4"/>
      <w:bookmarkStart w:id="1221" w:name="Tc_9r3qV_2z8UG3j9pzaBZWww_7_0"/>
      <w:bookmarkStart w:id="1222" w:name="Tc_SWvfCiUX90K41kEXRbmBWw_6_13"/>
      <w:bookmarkStart w:id="1223" w:name="Tc_s1S0VHAOJEaYRvIoX0lmiA_6_10"/>
      <w:bookmarkStart w:id="1224" w:name="Tc_Mrr1m0UfF0upuadEyAzbfA_6_7"/>
      <w:bookmarkStart w:id="1225" w:name="Tc_fbl0d1LUg0e_cg_Ycg4Lmw_6_4"/>
      <w:bookmarkStart w:id="1226" w:name="Tc_uARTidKQAEaOgbY5JtxGXg_6_2"/>
      <w:bookmarkStart w:id="1227" w:name="Tc_fDcm2fYa5kyoQizl1Wg05Q_5_13"/>
      <w:bookmarkStart w:id="1228" w:name="Tc_WENjqG_V6EiZoDVKtKoVLA_5_10"/>
      <w:bookmarkStart w:id="1229" w:name="Tc_F6vL4nkxVkSyVGEoTEy83g_5_7"/>
      <w:bookmarkStart w:id="1230" w:name="Tc_IN_RsCWOxU25hPJs_uOt6w_5_4"/>
      <w:bookmarkStart w:id="1231" w:name="Tc_3oSOnxoSlEae8-uuRe0nLg_5_2"/>
      <w:bookmarkStart w:id="1232" w:name="Tc_HIT0qnOgX0-1B1A5WHZI1Q_4_13"/>
      <w:bookmarkStart w:id="1233" w:name="Tc_wpatpHPPvkKo7l5gcQH4dA_4_10"/>
      <w:bookmarkStart w:id="1234" w:name="Tc_w8iB6KuCVEiyLrOUuGU1eA_4_7"/>
      <w:bookmarkStart w:id="1235" w:name="Tc_CyMRrU5kBUCaAYFbEG0Nqw_4_4"/>
      <w:bookmarkStart w:id="1236" w:name="Tc_x23tuccZSky_3WGwLmejwg_3_10"/>
      <w:bookmarkStart w:id="1237" w:name="Tc_JfIcoRK88E-7uvOqd_Djnw_3_7"/>
      <w:bookmarkStart w:id="1238" w:name="Tc_-mK_H6oSAUyqqelev1vlFQ_3_4"/>
      <w:bookmarkStart w:id="1239" w:name="Tc_gITiSXPo6Uu3bw0BE6Jdog_2_7"/>
      <w:bookmarkStart w:id="1240" w:name="Tc_P1UW9oCGqEOjNLMWZ_i_Qw_1_7"/>
      <w:bookmarkStart w:id="1241" w:name="_a3373411_05b3_44ff_84af_5f6de767f8bf"/>
      <w:bookmarkStart w:id="1242" w:name="Tc_c9zrgKFg1k6qIggezyP4IQ_6_6"/>
      <w:bookmarkStart w:id="1243" w:name="Tc_8dXjuEz82U-N5eXa-vgKYQ_6_3"/>
      <w:bookmarkStart w:id="1244" w:name="Tc_HbZndxIyE0mBepStdXoM-g_6_0"/>
      <w:bookmarkStart w:id="1245" w:name="Tc_ltHT51k4qU2gXNoo2h5WIA_5_0"/>
      <w:bookmarkStart w:id="1246" w:name="Tc_yMYnzoZIHkOS-1L_dxubHg_4_0"/>
      <w:bookmarkStart w:id="1247" w:name="Tc_y0hrb0BMTE24ZyoT5wCoiw_3_6"/>
      <w:bookmarkStart w:id="1248" w:name="Tc_A4wHE1npWUCsKWBC1iJ0nA_3_3"/>
      <w:bookmarkStart w:id="1249" w:name="Tc_N4TVxUsQiEmEPdqmrvq67g_3_0"/>
      <w:bookmarkStart w:id="1250" w:name="Tc_UbBAO4RmoUq8E1D0Oc3OPw_2_6"/>
      <w:bookmarkStart w:id="1251" w:name="Tc_IngJ7Dai2kGcLu9lXzgNgA_2_3"/>
      <w:bookmarkStart w:id="1252" w:name="Tc_AypG00ytaEaZARRukq2TSQ_1_3"/>
      <w:bookmarkStart w:id="1253" w:name="_24de8d6f_7275_432e_836d_4f69b09015db"/>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r>
        <w:rPr>
          <w:rFonts w:ascii="Times New Roman;Times;serif" w:hAnsi="Times New Roman;Times;serif"/>
          <w:sz w:val="20"/>
        </w:rPr>
        <w:t xml:space="preserve">The 2010 Plan provides for the grant of non-qualified stock options, incentive stock options, stock appreciation rights, restricted stock awards, restricted stock units and other equity awards to employees and directors of the Company. In May 2025, upon approval of stockholders at the 2025 Annual Meeting of Stockholders, the 2010 Plan was amended and restated to (1) increase the number of shares of common stock reserved for issuance under the 2010 Plan </w:t>
      </w:r>
      <w:r>
        <w:rPr>
          <w:rFonts w:ascii="Times New Roman" w:hAnsi="Times New Roman"/>
          <w:sz w:val="20"/>
        </w:rPr>
        <w:t>by 15,000,000</w:t>
      </w:r>
      <w:r>
        <w:rPr>
          <w:rFonts w:ascii="Times New Roman;Times;serif" w:hAnsi="Times New Roman;Times;serif"/>
          <w:sz w:val="20"/>
        </w:rPr>
        <w:t xml:space="preserve"> </w:t>
      </w:r>
      <w:r>
        <w:rPr>
          <w:rFonts w:ascii="Times New Roman" w:hAnsi="Times New Roman"/>
          <w:sz w:val="20"/>
        </w:rPr>
        <w:t>shares (providing for a total of 52,980,074</w:t>
      </w:r>
      <w:r>
        <w:rPr>
          <w:rFonts w:ascii="Times New Roman;Times;serif" w:hAnsi="Times New Roman;Times;serif"/>
          <w:sz w:val="20"/>
        </w:rPr>
        <w:t xml:space="preserve"> shares under the 2010 Plan), </w:t>
      </w:r>
      <w:r>
        <w:rPr>
          <w:rFonts w:ascii="Times New Roman" w:hAnsi="Times New Roman"/>
          <w:sz w:val="20"/>
        </w:rPr>
        <w:t>and (2) extend the term of the 2010 Plan to May 21, 2035.</w:t>
      </w:r>
      <w:r>
        <w:rPr>
          <w:rFonts w:ascii="Times New Roman;Times;serif" w:hAnsi="Times New Roman;Times;serif"/>
          <w:sz w:val="20"/>
        </w:rPr>
        <w:t xml:space="preserve"> At March 31, 2026, 9,380,565 shares were available for future issuance under the 2010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Stock-based compensation expense</w:t>
      </w:r>
      <w:r>
        <w:rPr>
          <w:rFonts w:ascii="Times New Roman;Times;serif" w:hAnsi="Times New Roman;Times;serif"/>
          <w:sz w:val="20"/>
        </w:rPr>
        <w:t xml:space="preserve">. The Company records stock-based compensation expense during the requisite service period for share-based payment awards granted to employees and non-employees.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equity classified stock-based compensation expense for the periods indicated (in thousands):</w:t>
      </w:r>
    </w:p>
    <w:tbl>
      <w:tblPr>
        <w:tblW w:w="6037" w:type="dxa"/>
        <w:jc w:val="left"/>
        <w:tblInd w:w="0" w:type="dxa"/>
        <w:tblLayout w:type="fixed"/>
        <w:tblCellMar>
          <w:top w:w="0" w:type="dxa"/>
          <w:left w:w="0" w:type="dxa"/>
          <w:bottom w:w="0" w:type="dxa"/>
          <w:right w:w="0" w:type="dxa"/>
        </w:tblCellMar>
      </w:tblPr>
      <w:tblGrid>
        <w:gridCol w:w="2746"/>
        <w:gridCol w:w="346"/>
        <w:gridCol w:w="109"/>
        <w:gridCol w:w="270"/>
        <w:gridCol w:w="731"/>
        <w:gridCol w:w="443"/>
        <w:gridCol w:w="270"/>
        <w:gridCol w:w="731"/>
        <w:gridCol w:w="39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743710" cy="175260"/>
                      <wp:effectExtent l="0" t="0" r="0" b="0"/>
                      <wp:wrapNone/>
                      <wp:docPr id="262" name="Frame262"/>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71450" cy="175260"/>
                      <wp:effectExtent l="0" t="0" r="0" b="0"/>
                      <wp:wrapNone/>
                      <wp:docPr id="265" name="Frame26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64185" cy="175260"/>
                      <wp:effectExtent l="0" t="0" r="0" b="0"/>
                      <wp:wrapNone/>
                      <wp:docPr id="266" name="Frame266"/>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81305" cy="175260"/>
                      <wp:effectExtent l="0" t="0" r="0" b="0"/>
                      <wp:wrapNone/>
                      <wp:docPr id="267" name="Frame267"/>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71450" cy="175260"/>
                      <wp:effectExtent l="0" t="0" r="0" b="0"/>
                      <wp:wrapNone/>
                      <wp:docPr id="268" name="Frame26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64185" cy="175260"/>
                      <wp:effectExtent l="0" t="0" r="0" b="0"/>
                      <wp:wrapNone/>
                      <wp:docPr id="269" name="Frame269"/>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48285" cy="175260"/>
                      <wp:effectExtent l="0" t="0" r="0" b="0"/>
                      <wp:wrapNone/>
                      <wp:docPr id="270" name="Frame27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91" w:type="dxa"/>
            <w:tcBorders/>
            <w:vAlign w:val="center"/>
          </w:tcPr>
          <w:p>
            <w:pPr>
              <w:pStyle w:val="TableContents"/>
              <w:bidi w:val="0"/>
              <w:spacing w:before="0" w:after="1"/>
              <w:ind w:left="0" w:right="0" w:hanging="0"/>
              <w:jc w:val="center"/>
              <w:rPr/>
            </w:pPr>
            <w:r>
              <w:rPr/>
              <w:t>  ​ ​ ​</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3" w:type="dxa"/>
            <w:tcBorders/>
            <w:vAlign w:val="center"/>
          </w:tcPr>
          <w:p>
            <w:pPr>
              <w:pStyle w:val="TableContents"/>
              <w:bidi w:val="0"/>
              <w:spacing w:before="0" w:after="1"/>
              <w:ind w:left="0" w:right="0" w:hanging="0"/>
              <w:jc w:val="center"/>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43"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1,850</w:t>
            </w:r>
          </w:p>
        </w:tc>
        <w:tc>
          <w:tcPr>
            <w:tcW w:w="443"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w:t>
            </w:r>
          </w:p>
        </w:tc>
        <w:tc>
          <w:tcPr>
            <w:tcW w:w="391" w:type="dxa"/>
            <w:tcBorders/>
            <w:vAlign w:val="center"/>
          </w:tcPr>
          <w:p>
            <w:pPr>
              <w:pStyle w:val="TableContents"/>
              <w:bidi w:val="0"/>
              <w:spacing w:before="0" w:after="1"/>
              <w:ind w:left="0" w:right="0" w:hanging="0"/>
              <w:jc w:val="left"/>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443"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2,103</w:t>
            </w:r>
          </w:p>
        </w:tc>
        <w:tc>
          <w:tcPr>
            <w:tcW w:w="443"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1,898</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i/>
          <w:sz w:val="20"/>
        </w:rPr>
        <w:t>Stock option award activity</w:t>
      </w:r>
      <w:r>
        <w:rPr>
          <w:rFonts w:ascii="Times New Roman;Times;serif" w:hAnsi="Times New Roman;Times;serif"/>
          <w:sz w:val="20"/>
        </w:rPr>
        <w:t>. Stock option activity under the Company’s stock incentive plans and changes during the three months ended March 31, 2026, were as follows:</w:t>
      </w:r>
    </w:p>
    <w:tbl>
      <w:tblPr>
        <w:tblW w:w="10205" w:type="dxa"/>
        <w:jc w:val="left"/>
        <w:tblInd w:w="0" w:type="dxa"/>
        <w:tblLayout w:type="fixed"/>
        <w:tblCellMar>
          <w:top w:w="0" w:type="dxa"/>
          <w:left w:w="0" w:type="dxa"/>
          <w:bottom w:w="0" w:type="dxa"/>
          <w:right w:w="0" w:type="dxa"/>
        </w:tblCellMar>
      </w:tblPr>
      <w:tblGrid>
        <w:gridCol w:w="3658"/>
        <w:gridCol w:w="346"/>
        <w:gridCol w:w="1036"/>
        <w:gridCol w:w="346"/>
        <w:gridCol w:w="260"/>
        <w:gridCol w:w="575"/>
        <w:gridCol w:w="346"/>
        <w:gridCol w:w="284"/>
        <w:gridCol w:w="707"/>
        <w:gridCol w:w="346"/>
        <w:gridCol w:w="299"/>
        <w:gridCol w:w="662"/>
        <w:gridCol w:w="346"/>
        <w:gridCol w:w="211"/>
        <w:gridCol w:w="783"/>
      </w:tblGrid>
      <w:tr>
        <w:trPr/>
        <w:tc>
          <w:tcPr>
            <w:tcW w:w="3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322830" cy="175260"/>
                      <wp:effectExtent l="0" t="0" r="0" b="0"/>
                      <wp:wrapNone/>
                      <wp:docPr id="271" name="Frame271"/>
                      <a:graphic xmlns:a="http://schemas.openxmlformats.org/drawingml/2006/main">
                        <a:graphicData uri="http://schemas.microsoft.com/office/word/2010/wordprocessingShape">
                          <wps:wsp>
                            <wps:cNvSpPr txBox="1"/>
                            <wps:spPr>
                              <a:xfrm>
                                <a:off x="0" y="0"/>
                                <a:ext cx="2322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57860" cy="175260"/>
                      <wp:effectExtent l="0" t="0" r="0" b="0"/>
                      <wp:wrapNone/>
                      <wp:docPr id="273" name="Frame2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65100" cy="175260"/>
                      <wp:effectExtent l="0" t="0" r="0" b="0"/>
                      <wp:wrapNone/>
                      <wp:docPr id="275" name="Frame27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65125" cy="175260"/>
                      <wp:effectExtent l="0" t="0" r="0" b="0"/>
                      <wp:wrapNone/>
                      <wp:docPr id="276" name="Frame276"/>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80340" cy="175260"/>
                      <wp:effectExtent l="0" t="0" r="0" b="0"/>
                      <wp:wrapNone/>
                      <wp:docPr id="278" name="Frame27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48945" cy="175260"/>
                      <wp:effectExtent l="0" t="0" r="0" b="0"/>
                      <wp:wrapNone/>
                      <wp:docPr id="279" name="Frame279"/>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89865" cy="175260"/>
                      <wp:effectExtent l="0" t="0" r="0" b="0"/>
                      <wp:wrapNone/>
                      <wp:docPr id="281" name="Frame28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20370" cy="175260"/>
                      <wp:effectExtent l="0" t="0" r="0" b="0"/>
                      <wp:wrapNone/>
                      <wp:docPr id="282" name="Frame282"/>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97205" cy="175260"/>
                      <wp:effectExtent l="0" t="0" r="0" b="0"/>
                      <wp:wrapNone/>
                      <wp:docPr id="285" name="Frame285"/>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3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3" w:type="dxa"/>
            <w:tcBorders/>
            <w:vAlign w:val="center"/>
          </w:tcPr>
          <w:p>
            <w:pPr>
              <w:pStyle w:val="TableContents"/>
              <w:bidi w:val="0"/>
              <w:spacing w:before="0" w:after="1"/>
              <w:ind w:left="0" w:right="0" w:hanging="0"/>
              <w:jc w:val="center"/>
              <w:rPr/>
            </w:pPr>
            <w:r>
              <w:rPr/>
              <w:t>​</w:t>
            </w:r>
          </w:p>
        </w:tc>
      </w:tr>
      <w:tr>
        <w:trPr/>
        <w:tc>
          <w:tcPr>
            <w:tcW w:w="36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3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3" w:type="dxa"/>
            <w:tcBorders/>
            <w:vAlign w:val="center"/>
          </w:tcPr>
          <w:p>
            <w:pPr>
              <w:pStyle w:val="TableContents"/>
              <w:bidi w:val="0"/>
              <w:spacing w:before="0" w:after="1"/>
              <w:ind w:left="0" w:right="0" w:hanging="0"/>
              <w:jc w:val="center"/>
              <w:rPr/>
            </w:pPr>
            <w:r>
              <w:rPr/>
              <w:t>​</w:t>
            </w:r>
          </w:p>
        </w:tc>
      </w:tr>
      <w:tr>
        <w:trPr/>
        <w:tc>
          <w:tcPr>
            <w:tcW w:w="36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3" w:type="dxa"/>
            <w:tcBorders/>
            <w:vAlign w:val="center"/>
          </w:tcPr>
          <w:p>
            <w:pPr>
              <w:pStyle w:val="TableContents"/>
              <w:bidi w:val="0"/>
              <w:spacing w:before="0" w:after="1"/>
              <w:ind w:left="0" w:right="0" w:hanging="0"/>
              <w:jc w:val="center"/>
              <w:rPr/>
            </w:pPr>
            <w:r>
              <w:rPr/>
              <w:t>​</w:t>
            </w:r>
          </w:p>
        </w:tc>
      </w:tr>
      <w:tr>
        <w:trPr/>
        <w:tc>
          <w:tcPr>
            <w:tcW w:w="36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46" w:type="dxa"/>
            <w:tcBorders/>
            <w:vAlign w:val="center"/>
          </w:tcPr>
          <w:p>
            <w:pPr>
              <w:pStyle w:val="TableContents"/>
              <w:bidi w:val="0"/>
              <w:spacing w:before="0" w:after="1"/>
              <w:ind w:left="0" w:right="0" w:hanging="0"/>
              <w:jc w:val="center"/>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6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8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346" w:type="dxa"/>
            <w:tcBorders/>
            <w:vAlign w:val="center"/>
          </w:tcPr>
          <w:p>
            <w:pPr>
              <w:pStyle w:val="TableContents"/>
              <w:bidi w:val="0"/>
              <w:spacing w:before="0" w:after="1"/>
              <w:ind w:left="0" w:right="0" w:hanging="0"/>
              <w:jc w:val="center"/>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6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center"/>
              <w:rPr/>
            </w:pPr>
            <w:r>
              <w:rPr/>
              <w:t>  ​ ​ ​</w:t>
            </w:r>
          </w:p>
        </w:tc>
        <w:tc>
          <w:tcPr>
            <w:tcW w:w="83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center"/>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19,342,292</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24,194</w:t>
            </w:r>
          </w:p>
        </w:tc>
      </w:tr>
      <w:tr>
        <w:trPr/>
        <w:tc>
          <w:tcPr>
            <w:tcW w:w="36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r>
      <w:tr>
        <w:trPr/>
        <w:tc>
          <w:tcPr>
            <w:tcW w:w="36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(67,888)</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36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(135,921)</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36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19,138,483</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23,889</w:t>
            </w:r>
          </w:p>
        </w:tc>
      </w:tr>
      <w:tr>
        <w:trPr/>
        <w:tc>
          <w:tcPr>
            <w:tcW w:w="36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expected to vest at March 31, 2026</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19,138,483</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23,889</w:t>
            </w:r>
          </w:p>
        </w:tc>
      </w:tr>
    </w:tbl>
    <w:tbl>
      <w:tblPr>
        <w:tblW w:w="7742" w:type="dxa"/>
        <w:jc w:val="left"/>
        <w:tblInd w:w="0" w:type="dxa"/>
        <w:tblLayout w:type="fixed"/>
        <w:tblCellMar>
          <w:top w:w="0" w:type="dxa"/>
          <w:left w:w="0" w:type="dxa"/>
          <w:bottom w:w="0" w:type="dxa"/>
          <w:right w:w="0" w:type="dxa"/>
        </w:tblCellMar>
      </w:tblPr>
      <w:tblGrid>
        <w:gridCol w:w="346"/>
        <w:gridCol w:w="73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Exercise price of options outstanding ranges from $0.67</w:t>
            </w:r>
            <w:r>
              <w:rPr>
                <w:caps w:val="false"/>
                <w:smallCaps w:val="false"/>
              </w:rPr>
              <w:t xml:space="preserve"> </w:t>
            </w:r>
            <w:r>
              <w:rPr>
                <w:rFonts w:ascii="Times New Roman;Times;serif" w:hAnsi="Times New Roman;Times;serif"/>
                <w:b w:val="false"/>
                <w:i w:val="false"/>
                <w:caps w:val="false"/>
                <w:smallCaps w:val="false"/>
                <w:sz w:val="20"/>
              </w:rPr>
              <w:t>to $20.00</w:t>
            </w:r>
            <w:r>
              <w:rPr>
                <w:caps w:val="false"/>
                <w:smallCaps w:val="false"/>
              </w:rPr>
              <w:t xml:space="preserve"> </w:t>
            </w:r>
            <w:r>
              <w:rPr>
                <w:rFonts w:ascii="Times New Roman;Times;serif" w:hAnsi="Times New Roman;Times;serif"/>
                <w:b w:val="false"/>
                <w:i w:val="false"/>
                <w:caps w:val="false"/>
                <w:smallCaps w:val="false"/>
                <w:sz w:val="20"/>
              </w:rPr>
              <w:t>as of March 31, 2026</w:t>
            </w:r>
            <w:r>
              <w:rPr>
                <w:rFonts w:ascii="Times New Roman;Times;serif" w:hAnsi="Times New Roman;Times;serif"/>
                <w:b w:val="false"/>
                <w:i/>
                <w:sz w:val="20"/>
              </w:rPr>
              <w:t>.</w:t>
            </w:r>
            <w:r>
              <w:rPr/>
              <w:t xml:space="preserve">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March 31, 2026, 9.1 million stock options were exercisable. As of March 31, 2026</w:t>
      </w:r>
      <w:r>
        <w:rPr>
          <w:rFonts w:ascii="Times New Roman;Times;serif" w:hAnsi="Times New Roman;Times;serif"/>
          <w:i/>
          <w:sz w:val="20"/>
        </w:rPr>
        <w:t xml:space="preserve">, </w:t>
      </w:r>
      <w:r>
        <w:rPr>
          <w:rFonts w:ascii="Times New Roman;Times;serif" w:hAnsi="Times New Roman;Times;serif"/>
          <w:sz w:val="20"/>
        </w:rPr>
        <w:t>the total unrecognized compensation expense relating to stock options was $5.7 million, which is expected to be expensed over the remaining weighted-average recognition period of approximately 1.4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Restricted stock</w:t>
      </w:r>
      <w:r>
        <w:rPr>
          <w:rFonts w:ascii="Times New Roman;Times;serif" w:hAnsi="Times New Roman;Times;serif"/>
          <w:sz w:val="20"/>
        </w:rPr>
        <w:t xml:space="preserve">. The Company periodically grants restricted stock awards to employees and directors. The vesting period for restricted stock awards granted may be based upon a service period or based upon the attainment of performance objectives. The Company recognizes stock-based compensation over the vesting period, which for awards that vest based on a service period is generally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three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254" w:name="Tc_oxlskWaJFk267E-RIX4YuQ_9_4"/>
      <w:bookmarkStart w:id="1255" w:name="Tc_AmhasSfmjEaZgzQnN85i-w_9_0"/>
      <w:bookmarkStart w:id="1256" w:name="Tc_ML6zCYSHx0KfGLNCz-WJQg_8_4"/>
      <w:bookmarkStart w:id="1257" w:name="Tc_nJNv22lRDEqOXcLKabefZw_8_0"/>
      <w:bookmarkStart w:id="1258" w:name="Tc__wasSGXRf0eV113nLE6Q9g_7_4"/>
      <w:bookmarkStart w:id="1259" w:name="Tc_-94vKoYVL02cvrxqiBy-_g_7_0"/>
      <w:bookmarkStart w:id="1260" w:name="Tc_1LZ7tTlDnUyHoucUxE7VTw_6_4"/>
      <w:bookmarkStart w:id="1261" w:name="Tc_EBbGa-my0EGXOZrypkbDHw_6_0"/>
      <w:bookmarkStart w:id="1262" w:name="Tc_EXqtBSchqUOY2VmmW68dQA_5_4"/>
      <w:bookmarkStart w:id="1263" w:name="Tc_HFWFJh0fHUG5meLBt7SHWQ_5_0"/>
      <w:bookmarkStart w:id="1264" w:name="Tc_3y42ogTEmUeP9S3ubLriKA_4_4"/>
      <w:bookmarkStart w:id="1265" w:name="Tc_sfqgbzqocUyCWcXefBuhEg_4_2"/>
      <w:bookmarkStart w:id="1266" w:name="Tc_HVVm00CUpEaxw7wxHCqo-A_3_4"/>
      <w:bookmarkStart w:id="1267" w:name="Tc_E2Zsia4mCEmKKF0rWn8FQg_3_2"/>
      <w:bookmarkStart w:id="1268" w:name="Tc_mSF2G3rlPkKJ8jmugAFdkg_2_4"/>
      <w:bookmarkStart w:id="1269" w:name="Tc_d0ZkGN7a4kWrwQxkWiuiWw_1_4"/>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r>
        <w:rPr>
          <w:rFonts w:ascii="Times New Roman;Times;serif" w:hAnsi="Times New Roman;Times;serif"/>
          <w:sz w:val="20"/>
        </w:rPr>
        <w:t>Non-vested restricted stock awards and the changes during the three months ended March 31, 2026, were as follows:</w:t>
      </w:r>
    </w:p>
    <w:p>
      <w:pPr>
        <w:pStyle w:val="TextBody"/>
        <w:bidi w:val="0"/>
        <w:spacing w:before="0" w:after="0"/>
        <w:ind w:left="0" w:right="0" w:hanging="0"/>
        <w:jc w:val="left"/>
        <w:rPr/>
      </w:pPr>
      <w:r>
        <w:rPr/>
        <w:t>​</w:t>
      </w:r>
    </w:p>
    <w:tbl>
      <w:tblPr>
        <w:tblW w:w="5570" w:type="dxa"/>
        <w:jc w:val="left"/>
        <w:tblInd w:w="0" w:type="dxa"/>
        <w:tblLayout w:type="fixed"/>
        <w:tblCellMar>
          <w:top w:w="0" w:type="dxa"/>
          <w:left w:w="0" w:type="dxa"/>
          <w:bottom w:w="0" w:type="dxa"/>
          <w:right w:w="0" w:type="dxa"/>
        </w:tblCellMar>
      </w:tblPr>
      <w:tblGrid>
        <w:gridCol w:w="2941"/>
        <w:gridCol w:w="346"/>
        <w:gridCol w:w="931"/>
        <w:gridCol w:w="346"/>
        <w:gridCol w:w="270"/>
        <w:gridCol w:w="73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867535" cy="175260"/>
                      <wp:effectExtent l="0" t="0" r="0" b="0"/>
                      <wp:wrapNone/>
                      <wp:docPr id="286" name="Frame28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91185" cy="175260"/>
                      <wp:effectExtent l="0" t="0" r="0" b="0"/>
                      <wp:wrapNone/>
                      <wp:docPr id="288" name="Frame2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71450" cy="175260"/>
                      <wp:effectExtent l="0" t="0" r="0" b="0"/>
                      <wp:wrapNone/>
                      <wp:docPr id="290" name="Frame290"/>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67360" cy="175260"/>
                      <wp:effectExtent l="0" t="0" r="0" b="0"/>
                      <wp:wrapNone/>
                      <wp:docPr id="291" name="Frame29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6,262,580</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175,877</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(502,493)</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(25,178)</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5,910,786</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March 31, 2026, the total unrecognized compensation expense, net of actual forfeitures and expirations, relating to restricted stock awards was $3.7 million, which is expected to be recognized over the remaining weighted-average period of approximately 1.2 years.</w:t>
      </w:r>
    </w:p>
    <w:tbl>
      <w:tblPr>
        <w:tblW w:w="1757" w:type="dxa"/>
        <w:jc w:val="left"/>
        <w:tblInd w:w="0" w:type="dxa"/>
        <w:tblLayout w:type="fixed"/>
        <w:tblCellMar>
          <w:top w:w="0" w:type="dxa"/>
          <w:left w:w="0" w:type="dxa"/>
          <w:bottom w:w="0" w:type="dxa"/>
          <w:right w:w="0" w:type="dxa"/>
        </w:tblCellMar>
      </w:tblPr>
      <w:tblGrid>
        <w:gridCol w:w="376"/>
        <w:gridCol w:w="138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13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Income Taxes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incurred operating losses since inception; therefore, no provision for income taxes was recorded and all related deferred tax assets are fully reserved. We continue to assess the impact of our deferred tax assets as they relate to income taxes. Our effective tax rate from continuing operations was 0% for each of the three months ended March 31, 2026 and 2025. The rate differs from the U.S. Federal statutory tax rate of 21% due to a full valuation allowance. On July 4, 2025, OBBBA was signed into law, which may be subject to further clarification and the issuance of interpretive guidance. OBBBA did not have a material impact to the effective tax rate for the three months ended March 31, 2026 and we do not expect OBBBA to have a material impact on our effective tax rate for the current fiscal year.</w:t>
      </w:r>
    </w:p>
    <w:tbl>
      <w:tblPr>
        <w:tblW w:w="3347" w:type="dxa"/>
        <w:jc w:val="left"/>
        <w:tblInd w:w="0" w:type="dxa"/>
        <w:tblLayout w:type="fixed"/>
        <w:tblCellMar>
          <w:top w:w="0" w:type="dxa"/>
          <w:left w:w="0" w:type="dxa"/>
          <w:bottom w:w="0" w:type="dxa"/>
          <w:right w:w="0" w:type="dxa"/>
        </w:tblCellMar>
      </w:tblPr>
      <w:tblGrid>
        <w:gridCol w:w="376"/>
        <w:gridCol w:w="297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29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Commitments and Contingencies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Legal Matters</w:t>
      </w:r>
      <w:r>
        <w:rPr>
          <w:rFonts w:ascii="Times New Roman;Times;serif" w:hAnsi="Times New Roman;Times;serif"/>
          <w:sz w:val="20"/>
        </w:rPr>
        <w:t>. From time to time, the Company has been, and may again become, involved in legal proceedings 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State Tax Audit. </w:t>
      </w:r>
      <w:r>
        <w:rPr>
          <w:rFonts w:ascii="Times New Roman;Times;serif" w:hAnsi="Times New Roman;Times;serif"/>
          <w:sz w:val="20"/>
        </w:rPr>
        <w:t>During 2023, the Company was notified of a pending sales and use tax audit by the South Dakota Department of Revenue for the period covering January 2021 through December 2023. Although the final resolution of the Company’s sales and use tax audit is uncertain, based on current information, in the opinion of the Company’s management, the Company concluded that certain losses on litigation were probable and estimable; as a result, the Company recorded $0.9 million accrual for use tax contingencies, included in Accounts payable and accrued liabilities on the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Indemnifications</w:t>
      </w:r>
      <w:r>
        <w:rPr>
          <w:rFonts w:ascii="Times New Roman;Times;serif" w:hAnsi="Times New Roman;Times;serif"/>
          <w:sz w:val="20"/>
        </w:rPr>
        <w:t>. In the ordinary course of its business, the Company makes certain indemnities under which it may be required to make payments in relation to certain transactions. As of March 31, 2026</w:t>
      </w:r>
      <w:r>
        <w:rPr>
          <w:rFonts w:ascii="Times New Roman;Times;serif" w:hAnsi="Times New Roman;Times;serif"/>
          <w:i/>
          <w:sz w:val="20"/>
        </w:rPr>
        <w:t xml:space="preserve">, </w:t>
      </w:r>
      <w:r>
        <w:rPr>
          <w:rFonts w:ascii="Times New Roman;Times;serif" w:hAnsi="Times New Roman;Times;serif"/>
          <w:sz w:val="20"/>
        </w:rPr>
        <w:t>the Company did not have any liabilities associated with indemnities.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270" w:name="Tc_n1l9AJRDX0uaFvuL04_0xw_7_20"/>
      <w:bookmarkStart w:id="1271" w:name="Tc_2UMTYXe6bE-Fq9pZWZy2qA_7_17"/>
      <w:bookmarkStart w:id="1272" w:name="Tc_o0Y-FClJhkC8pCUJoBXdDg_7_14"/>
      <w:bookmarkStart w:id="1273" w:name="Tc_EPPfXjL4f0WdpfXsdjd4Ww_7_11"/>
      <w:bookmarkStart w:id="1274" w:name="Tc_VE1-pfvdRk2f0YBI8-5CuA_7_8"/>
      <w:bookmarkStart w:id="1275" w:name="Tc_Ju3RvagidkSf6UFYi1xpNQ_7_5"/>
      <w:bookmarkStart w:id="1276" w:name="Tc_VwJyoTPrgkqyX2Eqlni77Q_7_2"/>
      <w:bookmarkStart w:id="1277" w:name="Tc_W--Vuu6dg0CmHJQCa5q84w_7_0"/>
      <w:bookmarkStart w:id="1278" w:name="Tc_aUCSHtA6TEyj7CVFcHPblQ_6_0"/>
      <w:bookmarkStart w:id="1279" w:name="Tc_TNf8MTYaiEuEd51rFqXQbg_5_0"/>
      <w:bookmarkStart w:id="1280" w:name="Tc_712smgs4H0GhTfkH-3qeQw_4_18"/>
      <w:bookmarkStart w:id="1281" w:name="Tc_0l4J2apHbkiIB0qH8J4mGQ_4_15"/>
      <w:bookmarkStart w:id="1282" w:name="Tc_qLrTmr31AE-4ZT6V28O_Ag_4_12"/>
      <w:bookmarkStart w:id="1283" w:name="Tc_unn3J4Y3o0SYCdAIdhGOUQ_4_9"/>
      <w:bookmarkStart w:id="1284" w:name="Tc_LWuEj6lo2EOcDTbDa9o5SQ_4_6"/>
      <w:bookmarkStart w:id="1285" w:name="Tc_u_XswM7VD0a8YQOpaxzLUQ_4_0"/>
      <w:bookmarkStart w:id="1286" w:name="Tc_Bx5qR2TofUy8Nxk81kk6XQ_3_20"/>
      <w:bookmarkStart w:id="1287" w:name="Tc_RZGxYn3tGka4mFC9u2wceQ_3_17"/>
      <w:bookmarkStart w:id="1288" w:name="Tc_Vr4_3yV-cEGBcjHUztD2VA_3_14"/>
      <w:bookmarkStart w:id="1289" w:name="Tc_Vo7U0dl8IEGpCSAGdSJUpA_3_11"/>
      <w:bookmarkStart w:id="1290" w:name="Tc_rbyJRvmpVkez-8SWPmtsYw_3_8"/>
      <w:bookmarkStart w:id="1291" w:name="Tc_cNdijY_D3UOX0c3IS9VdAw_3_5"/>
      <w:bookmarkStart w:id="1292" w:name="Tc_LHbX4UFxFUKSFXSFzPBHYQ_3_2"/>
      <w:bookmarkStart w:id="1293" w:name="Tc_zOwDXWIZBUOfWYp5HAGK0w_3_0"/>
      <w:bookmarkStart w:id="1294" w:name="Tc_4x2AxgmV4UKIL--Qs4YYdw_2_20"/>
      <w:bookmarkStart w:id="1295" w:name="Tc_Ra8_ONW4qEiLf83rFUCFqQ_2_17"/>
      <w:bookmarkStart w:id="1296" w:name="Tc_rctqg1A1rEat58YvUunZQA_2_14"/>
      <w:bookmarkStart w:id="1297" w:name="Tc_m_wnUl5IUkiMqfYy4xGKnw_2_11"/>
      <w:bookmarkStart w:id="1298" w:name="Tc_FwvovLFwnk-5hyKi9EmMBA_2_8"/>
      <w:bookmarkStart w:id="1299" w:name="Tc_Rlng0reud064km1ueWxl1w_2_5"/>
      <w:bookmarkStart w:id="1300" w:name="Tc_L0Y5nUFWv0CpSoaHsPwSrw_2_2"/>
      <w:bookmarkStart w:id="1301" w:name="Tc_eI2NeSTZCk2SMqYRKjcK2g_1_17"/>
      <w:bookmarkStart w:id="1302" w:name="_96d4c6dd_6bd9_4c29_a011_dd7a95d48a26"/>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r>
        <w:rPr>
          <w:rFonts w:ascii="Times New Roman;Times;serif" w:hAnsi="Times New Roman;Times;serif"/>
          <w:i/>
          <w:sz w:val="20"/>
        </w:rPr>
        <w:t>Environmental Liabilities</w:t>
      </w:r>
      <w:r>
        <w:rPr>
          <w:rFonts w:ascii="Times New Roman;Times;serif" w:hAnsi="Times New Roman;Times;serif"/>
          <w:sz w:val="20"/>
        </w:rPr>
        <w:t>. The Company’s operations are subject to environmental laws and regulations adopted 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March 31,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Fuel Supply Commitment.</w:t>
      </w:r>
      <w:r>
        <w:rPr>
          <w:rFonts w:ascii="Times New Roman;Times;serif" w:hAnsi="Times New Roman;Times;serif"/>
          <w:sz w:val="20"/>
        </w:rPr>
        <w:t xml:space="preserve"> The Company has three long-term fuel supply contracts to source feedstock for the anaerobic digesters at the NW Iowa RNG </w:t>
      </w:r>
      <w:r>
        <w:rPr>
          <w:rFonts w:ascii="Times New Roman;Times;serif" w:hAnsi="Times New Roman;Times;serif"/>
          <w:color w:val="212529"/>
          <w:sz w:val="20"/>
          <w:shd w:fill="FFFFFF" w:val="clear"/>
        </w:rPr>
        <w:t>business</w:t>
      </w:r>
      <w:r>
        <w:rPr>
          <w:rFonts w:ascii="Times New Roman;Times;serif" w:hAnsi="Times New Roman;Times;serif"/>
          <w:sz w:val="20"/>
        </w:rPr>
        <w:t>. These contracts provide an annual amount of feedstock to be used in the production of RNG.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Firm Purchase Commitments for Corn. </w:t>
      </w:r>
      <w:r>
        <w:rPr>
          <w:rFonts w:ascii="Times New Roman;Times;serif" w:hAnsi="Times New Roman;Times;serif"/>
          <w:sz w:val="20"/>
        </w:rPr>
        <w:t>To ensure an adequate supply of corn to operate the GevoND plant, the Company enters into contracts to purchase corn from local farmers and elevators. As of March 31, 2026, the Company had various fixed price contracts for the purchase of approximately 8.0 million bushels of corn. Using the stated contract price for the fixed price contracts, the Company had commitments of approximately $33.9 million related to the 8.0 million bushels under contract. The contracts are designated as normal purchase contracts.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commitments as of March 31, 2026, and thereafter are shown below (in thousands):</w:t>
      </w:r>
    </w:p>
    <w:tbl>
      <w:tblPr>
        <w:tblW w:w="10205" w:type="dxa"/>
        <w:jc w:val="left"/>
        <w:tblInd w:w="0" w:type="dxa"/>
        <w:tblLayout w:type="fixed"/>
        <w:tblCellMar>
          <w:top w:w="0" w:type="dxa"/>
          <w:left w:w="0" w:type="dxa"/>
          <w:bottom w:w="0" w:type="dxa"/>
          <w:right w:w="0" w:type="dxa"/>
        </w:tblCellMar>
      </w:tblPr>
      <w:tblGrid>
        <w:gridCol w:w="1889"/>
        <w:gridCol w:w="346"/>
        <w:gridCol w:w="211"/>
        <w:gridCol w:w="676"/>
        <w:gridCol w:w="346"/>
        <w:gridCol w:w="211"/>
        <w:gridCol w:w="571"/>
        <w:gridCol w:w="346"/>
        <w:gridCol w:w="211"/>
        <w:gridCol w:w="571"/>
        <w:gridCol w:w="346"/>
        <w:gridCol w:w="211"/>
        <w:gridCol w:w="571"/>
        <w:gridCol w:w="346"/>
        <w:gridCol w:w="211"/>
        <w:gridCol w:w="571"/>
        <w:gridCol w:w="346"/>
        <w:gridCol w:w="211"/>
        <w:gridCol w:w="676"/>
        <w:gridCol w:w="346"/>
        <w:gridCol w:w="211"/>
        <w:gridCol w:w="781"/>
      </w:tblGrid>
      <w:tr>
        <w:trPr/>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199515" cy="175260"/>
                      <wp:effectExtent l="0" t="0" r="0" b="0"/>
                      <wp:wrapNone/>
                      <wp:docPr id="292" name="Frame292"/>
                      <a:graphic xmlns:a="http://schemas.openxmlformats.org/drawingml/2006/main">
                        <a:graphicData uri="http://schemas.microsoft.com/office/word/2010/wordprocessingShape">
                          <wps:wsp>
                            <wps:cNvSpPr txBox="1"/>
                            <wps:spPr>
                              <a:xfrm>
                                <a:off x="0" y="0"/>
                                <a:ext cx="1199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29260" cy="175260"/>
                      <wp:effectExtent l="0" t="0" r="0" b="0"/>
                      <wp:wrapNone/>
                      <wp:docPr id="295" name="Frame2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62585" cy="175260"/>
                      <wp:effectExtent l="0" t="0" r="0" b="0"/>
                      <wp:wrapNone/>
                      <wp:docPr id="298" name="Frame2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62585" cy="175260"/>
                      <wp:effectExtent l="0" t="0" r="0" b="0"/>
                      <wp:wrapNone/>
                      <wp:docPr id="301" name="Frame3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62585" cy="175260"/>
                      <wp:effectExtent l="0" t="0" r="0" b="0"/>
                      <wp:wrapNone/>
                      <wp:docPr id="304" name="Frame3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62585" cy="175260"/>
                      <wp:effectExtent l="0" t="0" r="0" b="0"/>
                      <wp:wrapNone/>
                      <wp:docPr id="307" name="Frame3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29260" cy="175260"/>
                      <wp:effectExtent l="0" t="0" r="0" b="0"/>
                      <wp:wrapNone/>
                      <wp:docPr id="310" name="Frame3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95935" cy="175260"/>
                      <wp:effectExtent l="0" t="0" r="0" b="0"/>
                      <wp:wrapNone/>
                      <wp:docPr id="313" name="Frame3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2031 and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1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2030</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supply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37,426</w:t>
            </w:r>
          </w:p>
        </w:tc>
      </w:tr>
      <w:tr>
        <w:trPr/>
        <w:tc>
          <w:tcPr>
            <w:tcW w:w="18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Firm purchase commitments for corn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33,946</w:t>
            </w:r>
          </w:p>
        </w:tc>
      </w:tr>
      <w:tr>
        <w:trPr/>
        <w:tc>
          <w:tcPr>
            <w:tcW w:w="18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energy credits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2,001</w:t>
            </w:r>
          </w:p>
        </w:tc>
      </w:tr>
      <w:tr>
        <w:trPr/>
        <w:tc>
          <w:tcPr>
            <w:tcW w:w="18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Water purchases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8,496</w:t>
            </w:r>
          </w:p>
        </w:tc>
      </w:tr>
      <w:tr>
        <w:trPr/>
        <w:tc>
          <w:tcPr>
            <w:tcW w:w="18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81,869</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2762" w:type="dxa"/>
        <w:jc w:val="left"/>
        <w:tblInd w:w="0" w:type="dxa"/>
        <w:tblLayout w:type="fixed"/>
        <w:tblCellMar>
          <w:top w:w="0" w:type="dxa"/>
          <w:left w:w="0" w:type="dxa"/>
          <w:bottom w:w="0" w:type="dxa"/>
          <w:right w:w="0" w:type="dxa"/>
        </w:tblCellMar>
      </w:tblPr>
      <w:tblGrid>
        <w:gridCol w:w="376"/>
        <w:gridCol w:w="238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23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Fair Value Measurements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inputs include quoted market prices in an active market for identical assets 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3 – inputs are unobservable and corroborated by little or no market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03" w:name="Tc_-Yum6RjshUKBeUZCco-QDQ_5_5"/>
      <w:bookmarkStart w:id="1304" w:name="Tc_P_JSihs2KUGfixURa6CpUw_5_2"/>
      <w:bookmarkStart w:id="1305" w:name="Tc_sAG47UaqCUaqABNGZ2kp7g_5_0"/>
      <w:bookmarkStart w:id="1306" w:name="Tc_Shg9Vv3KA06LLKk-BbAL5g_4_0"/>
      <w:bookmarkStart w:id="1307" w:name="Tc_z8KmHRTtYUKjFviQs75sjw_3_5"/>
      <w:bookmarkStart w:id="1308" w:name="Tc_yoxfBRkZ3US4VkHYGP3C8w_3_2"/>
      <w:bookmarkStart w:id="1309" w:name="Tc_QwrAMqxYhU2v1oJccbmynQ_3_0"/>
      <w:bookmarkStart w:id="1310" w:name="Tc__Jq0T537S0aIFpEqySJwQQ_2_5"/>
      <w:bookmarkStart w:id="1311" w:name="Tc_lmenBpKwbEaxzfWhDTpuCQ_2_2"/>
      <w:bookmarkStart w:id="1312" w:name="Tc_-LdKd4uWuEa0_nrIP8SSgg_1_5"/>
      <w:bookmarkStart w:id="1313" w:name="Tc_S97VrSghuUy2DG9IdCjuZA_1_2"/>
      <w:bookmarkStart w:id="1314" w:name="_775d7b11_0e2d_4f53_8bb2_293329ad70dc_3"/>
      <w:bookmarkStart w:id="1315" w:name="_775d7b11_0e2d_4f53_8bb2_293329ad70dc_2"/>
      <w:bookmarkStart w:id="1316" w:name="_775d7b11_0e2d_4f53_8bb2_293329ad70dc"/>
      <w:bookmarkStart w:id="1317" w:name="_b7f9548f_3fdd_4498_ad82_622947735407_3"/>
      <w:bookmarkStart w:id="1318" w:name="_b7f9548f_3fdd_4498_ad82_622947735407_2"/>
      <w:bookmarkStart w:id="1319" w:name="_b7f9548f_3fdd_4498_ad82_622947735407"/>
      <w:bookmarkStart w:id="1320" w:name="_9ece3f79_e49f_49ff_9c27_d1a940af827b_3"/>
      <w:bookmarkStart w:id="1321" w:name="_9ece3f79_e49f_49ff_9c27_d1a940af827b_2"/>
      <w:bookmarkStart w:id="1322" w:name="_9ece3f79_e49f_49ff_9c27_d1a940af827b"/>
      <w:bookmarkStart w:id="1323" w:name="_87ca7004_82c6_41ad_a28f_9c6acf90143c_3"/>
      <w:bookmarkStart w:id="1324" w:name="_87ca7004_82c6_41ad_a28f_9c6acf90143c_2"/>
      <w:bookmarkStart w:id="1325" w:name="_87ca7004_82c6_41ad_a28f_9c6acf90143c"/>
      <w:bookmarkStart w:id="1326" w:name="_aad1b77c_c53b_4b28_877f_bb8f744c5462_3"/>
      <w:bookmarkStart w:id="1327" w:name="_aad1b77c_c53b_4b28_877f_bb8f744c5462_2"/>
      <w:bookmarkStart w:id="1328" w:name="_aad1b77c_c53b_4b28_877f_bb8f744c5462"/>
      <w:bookmarkStart w:id="1329" w:name="Tc_M0QwsMM5KEWuTblzds_C6Q_12_11"/>
      <w:bookmarkStart w:id="1330" w:name="Tc_ww4Oi8VTWkC4bBbNz0Aldg_12_8"/>
      <w:bookmarkStart w:id="1331" w:name="Tc_w5gfYmDj5UeVo9SZiDBa3Q_12_5"/>
      <w:bookmarkStart w:id="1332" w:name="Tc_nmRlT_GaR0qc5ZwdS80ppg_12_2"/>
      <w:bookmarkStart w:id="1333" w:name="Tc_lTH7mlzOUkGoRLQRwW58hw_12_0"/>
      <w:bookmarkStart w:id="1334" w:name="Tc_turzodX00kSn3vR0UDETmg_11_6"/>
      <w:bookmarkStart w:id="1335" w:name="Tc_3y5DVjhmEU2O9kfGgP5_zg_11_0"/>
      <w:bookmarkStart w:id="1336" w:name="Tc_dkyeiIgi30iQ9dclnN16qg_10_11"/>
      <w:bookmarkStart w:id="1337" w:name="Tc_ZvxYb1tLIUuQ53104-l7sQ_10_8"/>
      <w:bookmarkStart w:id="1338" w:name="Tc_7lHiU0QN2UOB1bvRizb2AA_10_5"/>
      <w:bookmarkStart w:id="1339" w:name="Tc_7WcXqKVoiEGdlwIiRpCDqg_10_2"/>
      <w:bookmarkStart w:id="1340" w:name="Tc_GOSbsALgKUuKy5JTyZW2jw_10_0"/>
      <w:bookmarkStart w:id="1341" w:name="Tc_dw8rxd8aikyz55oG1UuFOw_9_0"/>
      <w:bookmarkStart w:id="1342" w:name="Tc_krNYUQRe4EiL6yDTqRtlRQ_8_11"/>
      <w:bookmarkStart w:id="1343" w:name="Tc_U713ypAqeEyGiKdaP2wPfA_8_8"/>
      <w:bookmarkStart w:id="1344" w:name="Tc_22DUTiMzZU60rnBJ-fEUMw_8_5"/>
      <w:bookmarkStart w:id="1345" w:name="Tc_VdoDAnLqaEaCKrBe_Wbw_A_8_2"/>
      <w:bookmarkStart w:id="1346" w:name="Tc_x8n0HmY0UEmxETf0wM7aFg_7_11"/>
      <w:bookmarkStart w:id="1347" w:name="Tc_sQgG3TiNeU-k7OLzGSt6kQ_7_8"/>
      <w:bookmarkStart w:id="1348" w:name="Tc_TaPldHP4x0uRpUwMGvI7Yw_7_5"/>
      <w:bookmarkStart w:id="1349" w:name="Tc_sydh5bA8AUSQ39fY41PiRQ_7_2"/>
      <w:bookmarkStart w:id="1350" w:name="Tc_hn-zZiSaQ0ClU628zo-HKA_6_11"/>
      <w:bookmarkStart w:id="1351" w:name="Tc_1djfg-alckSwpWt2ONOa4g_6_8"/>
      <w:bookmarkStart w:id="1352" w:name="Tc_DRugvsGqm0GrUpn9DYE_yg_6_5"/>
      <w:bookmarkStart w:id="1353" w:name="Tc_DN_mNGoXKUu7J5dp8dNK0A_6_2"/>
      <w:bookmarkStart w:id="1354" w:name="Tc_8RUpPMCIP0Ss2z3lTFw3Yw_5_11"/>
      <w:bookmarkStart w:id="1355" w:name="Tc_JrnyJ7tyq0Cd7vRkQuODlw_5_8"/>
      <w:bookmarkStart w:id="1356" w:name="Tc_HmaCbegiukaHzXq7SUIa8Q_5_5"/>
      <w:bookmarkStart w:id="1357" w:name="Tc_XPMjU3X_8EC0VPGqth-EZw_4_8"/>
      <w:bookmarkStart w:id="1358" w:name="Tc_3SaoutMMcUiLNXS93U-sNQ_4_5"/>
      <w:bookmarkStart w:id="1359" w:name="Tc_27_dI101NUSBTAXh7XorpQ_3_5"/>
      <w:bookmarkStart w:id="1360" w:name="Tc_rFvugvzeukSu9Jv0WF-Kbw_2_5"/>
      <w:bookmarkStart w:id="1361" w:name="Tc_4TTYu5AN3kOWW-jaRa3tew_1_5"/>
      <w:bookmarkStart w:id="1362" w:name="_0942fd3f_65f1_41f3_87fd_942b70188cd2"/>
      <w:bookmarkStart w:id="1363" w:name="Tc_iwg0OBAe8kqbGnnMUnStiQ_11_11"/>
      <w:bookmarkStart w:id="1364" w:name="Tc_CrEuBRAPVkySO1ABt-oTbQ_11_8"/>
      <w:bookmarkStart w:id="1365" w:name="Tc_6JxNh5NHQkyniU11eCA8Xg_11_5"/>
      <w:bookmarkStart w:id="1366" w:name="Tc_MQsGxIYa50q5gdqtccvv4A_11_2"/>
      <w:bookmarkStart w:id="1367" w:name="Tc_lqwv_nAQS0CdOdiOjG3O_g_11_0"/>
      <w:bookmarkStart w:id="1368" w:name="Tc_x8gBJFAk2kCFourTPgvN1g_10_6"/>
      <w:bookmarkStart w:id="1369" w:name="Tc_jhqPH1ooyUyRycknDbBcZw_10_0"/>
      <w:bookmarkStart w:id="1370" w:name="Tc_NGU6MPUBwUS-xsrytfouvQ_9_11"/>
      <w:bookmarkStart w:id="1371" w:name="Tc_cyFLgGHghUibTIZW_WwsPg_9_8"/>
      <w:bookmarkStart w:id="1372" w:name="Tc_GCrjIXvIwkmQtg8Yinqf7A_9_5"/>
      <w:bookmarkStart w:id="1373" w:name="Tc_gW9p_JGGMEuz9wF3Opw7EQ_9_2"/>
      <w:bookmarkStart w:id="1374" w:name="Tc_a_h1fw1AlkWoN4_blxDtiA_9_0"/>
      <w:bookmarkStart w:id="1375" w:name="Tc_8R6bCgwHMkKMPcf2oEmDIw_8_11"/>
      <w:bookmarkStart w:id="1376" w:name="Tc_grgkC4_xIEG5JCXaTIyUsg_8_8"/>
      <w:bookmarkStart w:id="1377" w:name="Tc_CJMUpniWLkKAdZB42EqfWA_8_5"/>
      <w:bookmarkStart w:id="1378" w:name="Tc_KTns9LRSK0KgpUWY4zcjPQ_8_2"/>
      <w:bookmarkStart w:id="1379" w:name="Tc_U7Ns4QKWY0aZAGtv8qHN3w_8_0"/>
      <w:bookmarkStart w:id="1380" w:name="Tc_wFCmeDSiF0eq-LfrLmQT-A_7_11"/>
      <w:bookmarkStart w:id="1381" w:name="Tc_kd5UqT4YVkyX-O4u_gMDFg_7_8"/>
      <w:bookmarkStart w:id="1382" w:name="Tc_blChv4f__ku9km0H9OTtyw_7_5"/>
      <w:bookmarkStart w:id="1383" w:name="Tc_vIZRI4vGikSamGdnv6uKFA_7_2"/>
      <w:bookmarkStart w:id="1384" w:name="Tc_Thc-BsoxE0KD9oWULavwmA_6_11"/>
      <w:bookmarkStart w:id="1385" w:name="Tc_FwoLiByBe0WefB9WNjoKLA_6_8"/>
      <w:bookmarkStart w:id="1386" w:name="Tc_aATYNQcixE6h0X_m3vDrVA_6_5"/>
      <w:bookmarkStart w:id="1387" w:name="Tc_MGHVfssSNU-aHjmbj6ZzJQ_6_2"/>
      <w:bookmarkStart w:id="1388" w:name="Tc_kMa458SJFkW13RNTsYVutg_5_11"/>
      <w:bookmarkStart w:id="1389" w:name="Tc_ldfuEl5aN0-0QlWoAyAo7A_5_8"/>
      <w:bookmarkStart w:id="1390" w:name="Tc_3LJ4HcaixUu60JTDe0nbZw_5_5"/>
      <w:bookmarkStart w:id="1391" w:name="Tc_VJ8GbyVM6kW11sHXkqYd9w_4_8"/>
      <w:bookmarkStart w:id="1392" w:name="Tc_jESwj-IFgkKIjKb-FAI9bg_4_5"/>
      <w:bookmarkStart w:id="1393" w:name="Tc_s-2spPlMmEi3meCptYPPUw_3_5"/>
      <w:bookmarkStart w:id="1394" w:name="Tc_7GCh0jx4zkiOs7FSyedeZg_2_5"/>
      <w:bookmarkStart w:id="1395" w:name="Tc_BL_3ThxnLUqUTY_f8JJNIw_1_5"/>
      <w:bookmarkStart w:id="1396" w:name="_8fb06f93_c7e9_4d55_8ac9_2801ab4926d7"/>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r>
        <w:rPr>
          <w:rFonts w:ascii="Times New Roman;Times;serif" w:hAnsi="Times New Roman;Times;serif"/>
          <w:sz w:val="20"/>
        </w:rPr>
        <w:t>The carrying value and fair value, by fair value hierarchy, of the Company’s financial instruments at March 31, 2026, and December 31, 2025 are as follows (in thousands):</w:t>
      </w:r>
    </w:p>
    <w:tbl>
      <w:tblPr>
        <w:tblW w:w="8753" w:type="dxa"/>
        <w:jc w:val="left"/>
        <w:tblInd w:w="0" w:type="dxa"/>
        <w:tblLayout w:type="fixed"/>
        <w:tblCellMar>
          <w:top w:w="0" w:type="dxa"/>
          <w:left w:w="0" w:type="dxa"/>
          <w:bottom w:w="0" w:type="dxa"/>
          <w:right w:w="0" w:type="dxa"/>
        </w:tblCellMar>
      </w:tblPr>
      <w:tblGrid>
        <w:gridCol w:w="3076"/>
        <w:gridCol w:w="346"/>
        <w:gridCol w:w="257"/>
        <w:gridCol w:w="824"/>
        <w:gridCol w:w="346"/>
        <w:gridCol w:w="245"/>
        <w:gridCol w:w="785"/>
        <w:gridCol w:w="401"/>
        <w:gridCol w:w="283"/>
        <w:gridCol w:w="648"/>
        <w:gridCol w:w="401"/>
        <w:gridCol w:w="361"/>
        <w:gridCol w:w="780"/>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953260" cy="175260"/>
                      <wp:effectExtent l="0" t="0" r="0" b="0"/>
                      <wp:wrapNone/>
                      <wp:docPr id="314" name="Frame314"/>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63195" cy="175260"/>
                      <wp:effectExtent l="0" t="0" r="0" b="0"/>
                      <wp:wrapNone/>
                      <wp:docPr id="316" name="Frame31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23240" cy="175260"/>
                      <wp:effectExtent l="0" t="0" r="0" b="0"/>
                      <wp:wrapNone/>
                      <wp:docPr id="317" name="Frame317"/>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55575" cy="175260"/>
                      <wp:effectExtent l="0" t="0" r="0" b="0"/>
                      <wp:wrapNone/>
                      <wp:docPr id="319" name="Frame31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98475" cy="175260"/>
                      <wp:effectExtent l="0" t="0" r="0" b="0"/>
                      <wp:wrapNone/>
                      <wp:docPr id="320" name="Frame320"/>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54635" cy="175260"/>
                      <wp:effectExtent l="0" t="0" r="0" b="0"/>
                      <wp:wrapNone/>
                      <wp:docPr id="321" name="Frame321"/>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79705" cy="175260"/>
                      <wp:effectExtent l="0" t="0" r="0" b="0"/>
                      <wp:wrapNone/>
                      <wp:docPr id="322" name="Frame322"/>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11480" cy="175260"/>
                      <wp:effectExtent l="0" t="0" r="0" b="0"/>
                      <wp:wrapNone/>
                      <wp:docPr id="323" name="Frame323"/>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54635" cy="175260"/>
                      <wp:effectExtent l="0" t="0" r="0" b="0"/>
                      <wp:wrapNone/>
                      <wp:docPr id="324" name="Frame324"/>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29235" cy="175260"/>
                      <wp:effectExtent l="0" t="0" r="0" b="0"/>
                      <wp:wrapNone/>
                      <wp:docPr id="325" name="Frame32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95300" cy="175260"/>
                      <wp:effectExtent l="0" t="0" r="0" b="0"/>
                      <wp:wrapNone/>
                      <wp:docPr id="326" name="Frame326"/>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90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March 31, 2026</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0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center"/>
              <w:rPr/>
            </w:pPr>
            <w:r>
              <w:rPr/>
              <w:t>​</w:t>
            </w:r>
          </w:p>
        </w:tc>
        <w:tc>
          <w:tcPr>
            <w:tcW w:w="40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01"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center"/>
              <w:rPr/>
            </w:pPr>
            <w:r>
              <w:rPr/>
              <w:t>​</w:t>
            </w:r>
          </w:p>
        </w:tc>
        <w:tc>
          <w:tcPr>
            <w:tcW w:w="40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0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0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0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0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46" w:type="dxa"/>
            <w:tcBorders/>
            <w:vAlign w:val="center"/>
          </w:tcPr>
          <w:p>
            <w:pPr>
              <w:pStyle w:val="TableContents"/>
              <w:bidi w:val="0"/>
              <w:spacing w:before="0" w:after="1"/>
              <w:ind w:left="0" w:right="0" w:hanging="0"/>
              <w:jc w:val="left"/>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0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0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0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0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Recurring</w:t>
            </w:r>
          </w:p>
        </w:tc>
        <w:tc>
          <w:tcPr>
            <w:tcW w:w="34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01" w:type="dxa"/>
            <w:tcBorders/>
            <w:vAlign w:val="center"/>
          </w:tcPr>
          <w:p>
            <w:pPr>
              <w:pStyle w:val="TableContents"/>
              <w:bidi w:val="0"/>
              <w:spacing w:before="0" w:after="1"/>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01"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67,374</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67,374</w:t>
            </w:r>
          </w:p>
        </w:tc>
        <w:tc>
          <w:tcPr>
            <w:tcW w:w="401"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1"/>
              <w:ind w:left="0" w:right="0" w:hanging="0"/>
              <w:jc w:val="righ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Commodities derivative instruments</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401"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66,847</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67,374</w:t>
            </w:r>
          </w:p>
        </w:tc>
        <w:tc>
          <w:tcPr>
            <w:tcW w:w="401"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401"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left"/>
        <w:rPr/>
      </w:pPr>
      <w:r>
        <w:rPr/>
        <w:t>​</w:t>
      </w:r>
    </w:p>
    <w:tbl>
      <w:tblPr>
        <w:tblW w:w="9034" w:type="dxa"/>
        <w:jc w:val="left"/>
        <w:tblInd w:w="0" w:type="dxa"/>
        <w:tblLayout w:type="fixed"/>
        <w:tblCellMar>
          <w:top w:w="0" w:type="dxa"/>
          <w:left w:w="0" w:type="dxa"/>
          <w:bottom w:w="0" w:type="dxa"/>
          <w:right w:w="0" w:type="dxa"/>
        </w:tblCellMar>
      </w:tblPr>
      <w:tblGrid>
        <w:gridCol w:w="3076"/>
        <w:gridCol w:w="346"/>
        <w:gridCol w:w="271"/>
        <w:gridCol w:w="869"/>
        <w:gridCol w:w="346"/>
        <w:gridCol w:w="274"/>
        <w:gridCol w:w="880"/>
        <w:gridCol w:w="450"/>
        <w:gridCol w:w="352"/>
        <w:gridCol w:w="579"/>
        <w:gridCol w:w="450"/>
        <w:gridCol w:w="359"/>
        <w:gridCol w:w="782"/>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953260" cy="175260"/>
                      <wp:effectExtent l="0" t="0" r="0" b="0"/>
                      <wp:wrapNone/>
                      <wp:docPr id="327" name="Frame32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72085" cy="175260"/>
                      <wp:effectExtent l="0" t="0" r="0" b="0"/>
                      <wp:wrapNone/>
                      <wp:docPr id="329" name="Frame32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51815" cy="175260"/>
                      <wp:effectExtent l="0" t="0" r="0" b="0"/>
                      <wp:wrapNone/>
                      <wp:docPr id="330" name="Frame33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73990" cy="175260"/>
                      <wp:effectExtent l="0" t="0" r="0" b="0"/>
                      <wp:wrapNone/>
                      <wp:docPr id="332" name="Frame33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58800" cy="175260"/>
                      <wp:effectExtent l="0" t="0" r="0" b="0"/>
                      <wp:wrapNone/>
                      <wp:docPr id="333" name="Frame333"/>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85750" cy="175260"/>
                      <wp:effectExtent l="0" t="0" r="0" b="0"/>
                      <wp:wrapNone/>
                      <wp:docPr id="334" name="Frame334"/>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23520" cy="175260"/>
                      <wp:effectExtent l="0" t="0" r="0" b="0"/>
                      <wp:wrapNone/>
                      <wp:docPr id="335" name="Frame335"/>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67665" cy="175260"/>
                      <wp:effectExtent l="0" t="0" r="0" b="0"/>
                      <wp:wrapNone/>
                      <wp:docPr id="336" name="Frame336"/>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85750" cy="175260"/>
                      <wp:effectExtent l="0" t="0" r="0" b="0"/>
                      <wp:wrapNone/>
                      <wp:docPr id="337" name="Frame33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27965" cy="175260"/>
                      <wp:effectExtent l="0" t="0" r="0" b="0"/>
                      <wp:wrapNone/>
                      <wp:docPr id="338" name="Frame338"/>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96570" cy="175260"/>
                      <wp:effectExtent l="0" t="0" r="0" b="0"/>
                      <wp:wrapNone/>
                      <wp:docPr id="339" name="Frame339"/>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12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2025</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50"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50" w:type="dxa"/>
            <w:tcBorders/>
            <w:vAlign w:val="center"/>
          </w:tcPr>
          <w:p>
            <w:pPr>
              <w:pStyle w:val="TableContents"/>
              <w:bidi w:val="0"/>
              <w:spacing w:before="0" w:after="1"/>
              <w:ind w:left="0" w:right="0" w:hanging="0"/>
              <w:jc w:val="center"/>
              <w:rPr/>
            </w:pPr>
            <w:r>
              <w:rPr/>
              <w:t>​</w:t>
            </w:r>
          </w:p>
        </w:tc>
        <w:tc>
          <w:tcPr>
            <w:tcW w:w="359" w:type="dxa"/>
            <w:tcBorders/>
            <w:vAlign w:val="center"/>
          </w:tcPr>
          <w:p>
            <w:pPr>
              <w:pStyle w:val="TableContents"/>
              <w:bidi w:val="0"/>
              <w:spacing w:before="0" w:after="1"/>
              <w:ind w:left="0" w:right="0" w:hanging="0"/>
              <w:jc w:val="center"/>
              <w:rPr/>
            </w:pPr>
            <w:r>
              <w:rPr/>
              <w:t>​</w:t>
            </w:r>
          </w:p>
        </w:tc>
        <w:tc>
          <w:tcPr>
            <w:tcW w:w="782"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50"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50" w:type="dxa"/>
            <w:tcBorders/>
            <w:vAlign w:val="center"/>
          </w:tcPr>
          <w:p>
            <w:pPr>
              <w:pStyle w:val="TableContents"/>
              <w:bidi w:val="0"/>
              <w:spacing w:before="0" w:after="1"/>
              <w:ind w:left="0" w:right="0" w:hanging="0"/>
              <w:jc w:val="center"/>
              <w:rPr/>
            </w:pPr>
            <w:r>
              <w:rPr/>
              <w:t>​</w:t>
            </w:r>
          </w:p>
        </w:tc>
        <w:tc>
          <w:tcPr>
            <w:tcW w:w="359" w:type="dxa"/>
            <w:tcBorders/>
            <w:vAlign w:val="center"/>
          </w:tcPr>
          <w:p>
            <w:pPr>
              <w:pStyle w:val="TableContents"/>
              <w:bidi w:val="0"/>
              <w:spacing w:before="0" w:after="1"/>
              <w:ind w:left="0" w:right="0" w:hanging="0"/>
              <w:jc w:val="center"/>
              <w:rPr/>
            </w:pPr>
            <w:r>
              <w:rPr/>
              <w:t>​</w:t>
            </w:r>
          </w:p>
        </w:tc>
        <w:tc>
          <w:tcPr>
            <w:tcW w:w="782"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50"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50" w:type="dxa"/>
            <w:tcBorders/>
            <w:vAlign w:val="center"/>
          </w:tcPr>
          <w:p>
            <w:pPr>
              <w:pStyle w:val="TableContents"/>
              <w:bidi w:val="0"/>
              <w:spacing w:before="0" w:after="1"/>
              <w:ind w:left="0" w:right="0" w:hanging="0"/>
              <w:jc w:val="center"/>
              <w:rPr/>
            </w:pPr>
            <w:r>
              <w:rPr/>
              <w:t>​</w:t>
            </w:r>
          </w:p>
        </w:tc>
        <w:tc>
          <w:tcPr>
            <w:tcW w:w="359" w:type="dxa"/>
            <w:tcBorders/>
            <w:vAlign w:val="center"/>
          </w:tcPr>
          <w:p>
            <w:pPr>
              <w:pStyle w:val="TableContents"/>
              <w:bidi w:val="0"/>
              <w:spacing w:before="0" w:after="1"/>
              <w:ind w:left="0" w:right="0" w:hanging="0"/>
              <w:jc w:val="center"/>
              <w:rPr/>
            </w:pPr>
            <w:r>
              <w:rPr/>
              <w:t>​</w:t>
            </w:r>
          </w:p>
        </w:tc>
        <w:tc>
          <w:tcPr>
            <w:tcW w:w="782"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8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50"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50"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46" w:type="dxa"/>
            <w:tcBorders/>
            <w:vAlign w:val="center"/>
          </w:tcPr>
          <w:p>
            <w:pPr>
              <w:pStyle w:val="TableContents"/>
              <w:bidi w:val="0"/>
              <w:spacing w:before="0" w:after="1"/>
              <w:ind w:left="0" w:right="0" w:hanging="0"/>
              <w:jc w:val="center"/>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50"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50"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50"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50"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50"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50" w:type="dxa"/>
            <w:tcBorders/>
            <w:vAlign w:val="center"/>
          </w:tcPr>
          <w:p>
            <w:pPr>
              <w:pStyle w:val="TableContents"/>
              <w:bidi w:val="0"/>
              <w:spacing w:before="0" w:after="1"/>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Recurring</w:t>
            </w:r>
          </w:p>
        </w:tc>
        <w:tc>
          <w:tcPr>
            <w:tcW w:w="346"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74"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pPr>
            <w:r>
              <w:rPr/>
              <w:t>  ​</w:t>
            </w:r>
          </w:p>
        </w:tc>
        <w:tc>
          <w:tcPr>
            <w:tcW w:w="450" w:type="dxa"/>
            <w:tcBorders/>
            <w:vAlign w:val="center"/>
          </w:tcPr>
          <w:p>
            <w:pPr>
              <w:pStyle w:val="TableContents"/>
              <w:bidi w:val="0"/>
              <w:spacing w:before="0" w:after="1"/>
              <w:ind w:left="0" w:right="0" w:hanging="0"/>
              <w:jc w:val="left"/>
              <w:rPr/>
            </w:pPr>
            <w:r>
              <w:rPr/>
              <w:t> </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  ​</w:t>
            </w:r>
          </w:p>
        </w:tc>
        <w:tc>
          <w:tcPr>
            <w:tcW w:w="450" w:type="dxa"/>
            <w:tcBorders/>
            <w:vAlign w:val="center"/>
          </w:tcPr>
          <w:p>
            <w:pPr>
              <w:pStyle w:val="TableContents"/>
              <w:bidi w:val="0"/>
              <w:spacing w:before="0" w:after="1"/>
              <w:ind w:left="0" w:right="0" w:hanging="0"/>
              <w:jc w:val="left"/>
              <w:rPr/>
            </w:pPr>
            <w:r>
              <w:rPr/>
              <w:t> </w:t>
            </w:r>
          </w:p>
        </w:tc>
        <w:tc>
          <w:tcPr>
            <w:tcW w:w="359"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  ​</w:t>
            </w:r>
          </w:p>
        </w:tc>
      </w:tr>
      <w:tr>
        <w:trPr/>
        <w:tc>
          <w:tcPr>
            <w:tcW w:w="30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59,904</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59,904</w:t>
            </w:r>
          </w:p>
        </w:tc>
        <w:tc>
          <w:tcPr>
            <w:tcW w:w="450"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450" w:type="dxa"/>
            <w:tcBorders/>
            <w:shd w:fill="CCEEFF" w:val="clear"/>
            <w:vAlign w:val="center"/>
          </w:tcPr>
          <w:p>
            <w:pPr>
              <w:pStyle w:val="TableContents"/>
              <w:bidi w:val="0"/>
              <w:spacing w:before="0" w:after="1"/>
              <w:ind w:left="0" w:right="0" w:hanging="0"/>
              <w:jc w:val="left"/>
              <w:rPr/>
            </w:pPr>
            <w:r>
              <w:rPr/>
              <w:t>​</w:t>
            </w:r>
          </w:p>
        </w:tc>
        <w:tc>
          <w:tcPr>
            <w:tcW w:w="3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Commodities derivative instruments</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50"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450" w:type="dxa"/>
            <w:tcBorders/>
            <w:vAlign w:val="center"/>
          </w:tcPr>
          <w:p>
            <w:pPr>
              <w:pStyle w:val="TableContents"/>
              <w:bidi w:val="0"/>
              <w:spacing w:before="0" w:after="1"/>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recurring</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59,995</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59,904</w:t>
            </w:r>
          </w:p>
        </w:tc>
        <w:tc>
          <w:tcPr>
            <w:tcW w:w="450"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450" w:type="dxa"/>
            <w:tcBorders/>
            <w:shd w:fill="CCEEFF" w:val="clear"/>
            <w:vAlign w:val="center"/>
          </w:tcPr>
          <w:p>
            <w:pPr>
              <w:pStyle w:val="TableContents"/>
              <w:bidi w:val="0"/>
              <w:spacing w:before="0" w:after="1"/>
              <w:ind w:left="0" w:right="0" w:hanging="0"/>
              <w:jc w:val="left"/>
              <w:rPr/>
            </w:pPr>
            <w:r>
              <w:rPr/>
              <w:t>​</w:t>
            </w:r>
          </w:p>
        </w:tc>
        <w:tc>
          <w:tcPr>
            <w:tcW w:w="3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Cash and cash equivalents includes $67.4</w:t>
            </w:r>
            <w:r>
              <w:rPr>
                <w:caps w:val="false"/>
                <w:smallCaps w:val="false"/>
              </w:rPr>
              <w:t> </w:t>
            </w:r>
            <w:r>
              <w:rPr>
                <w:rFonts w:ascii="Times New Roman;Times;serif" w:hAnsi="Times New Roman;Times;serif"/>
                <w:b w:val="false"/>
                <w:i w:val="false"/>
                <w:caps w:val="false"/>
                <w:smallCaps w:val="false"/>
                <w:sz w:val="20"/>
              </w:rPr>
              <w:t>million and $59.9</w:t>
            </w:r>
            <w:r>
              <w:rPr>
                <w:caps w:val="false"/>
                <w:smallCaps w:val="false"/>
              </w:rPr>
              <w:t> </w:t>
            </w:r>
            <w:r>
              <w:rPr>
                <w:rFonts w:ascii="Times New Roman;Times;serif" w:hAnsi="Times New Roman;Times;serif"/>
                <w:b w:val="false"/>
                <w:i w:val="false"/>
                <w:caps w:val="false"/>
                <w:smallCaps w:val="false"/>
                <w:sz w:val="20"/>
              </w:rPr>
              <w:t>million invested in U.S. government money market funds as of March 31, 2026 and December 31, 2025, respectively.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had no transfers of assets or liabilities between fair value hierarchy levels between December 31, 2025, and March 31,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Notes Receivable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October 31, 2025, the Company received a $5.0 million note receivable from A.E. Innovation, LLC as partial consideration for the sale of our subsidiary,</w:t>
      </w:r>
      <w:r>
        <w:rPr>
          <w:rFonts w:ascii="Times New Roman;Times;serif" w:hAnsi="Times New Roman;Times;serif"/>
          <w:sz w:val="20"/>
          <w:shd w:fill="FFFFFF" w:val="clear"/>
        </w:rPr>
        <w:t xml:space="preserve"> Agri-Energy, LLC.</w:t>
      </w:r>
      <w:r>
        <w:rPr>
          <w:rFonts w:ascii="Times New Roman;Times;serif" w:hAnsi="Times New Roman;Times;serif"/>
          <w:sz w:val="20"/>
        </w:rPr>
        <w:t xml:space="preserve"> The note bears interest at the Federal Funds Rate. </w:t>
      </w:r>
      <w:r>
        <w:rPr>
          <w:rFonts w:ascii="Times New Roman;Times;serif" w:hAnsi="Times New Roman;Times;serif"/>
          <w:sz w:val="20"/>
          <w:shd w:fill="FFFFFF" w:val="clear"/>
        </w:rPr>
        <w:t>The Company used a market approach to adjust the value of the note to fair value and recorded a discount on the note of $1.6 million. Factors considered by the Company in determining fair value were (i) the credit standing of the issuer, (ii) the secured nature of the note and, (iii) the prevailing rates for similar instruments based on the issuer’s credit. In addition, during the three months ended March 31, 2026, the Company received a $250 thousand note receivable from Future Energy Capital Limited. The note accrues interest at 12% per annum and matures one year from the date of issuance, on February 26, 2027. The carrying value and the fair value of the notes receivable as of March 31, 2026 are as follows (in thousands):</w:t>
      </w:r>
    </w:p>
    <w:p>
      <w:pPr>
        <w:pStyle w:val="TextBody"/>
        <w:bidi w:val="0"/>
        <w:spacing w:before="0" w:after="0"/>
        <w:ind w:left="0" w:right="0" w:hanging="0"/>
        <w:jc w:val="left"/>
        <w:rPr/>
      </w:pPr>
      <w:r>
        <w:rPr/>
        <w:t>​</w:t>
      </w:r>
    </w:p>
    <w:tbl>
      <w:tblPr>
        <w:tblW w:w="6219" w:type="dxa"/>
        <w:jc w:val="left"/>
        <w:tblInd w:w="0" w:type="dxa"/>
        <w:tblLayout w:type="fixed"/>
        <w:tblCellMar>
          <w:top w:w="0" w:type="dxa"/>
          <w:left w:w="0" w:type="dxa"/>
          <w:bottom w:w="0" w:type="dxa"/>
          <w:right w:w="0" w:type="dxa"/>
        </w:tblCellMar>
      </w:tblPr>
      <w:tblGrid>
        <w:gridCol w:w="4036"/>
        <w:gridCol w:w="109"/>
        <w:gridCol w:w="226"/>
        <w:gridCol w:w="571"/>
        <w:gridCol w:w="346"/>
        <w:gridCol w:w="221"/>
        <w:gridCol w:w="710"/>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562860" cy="175260"/>
                      <wp:effectExtent l="0" t="0" r="0" b="0"/>
                      <wp:wrapNone/>
                      <wp:docPr id="340" name="Frame340"/>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43510" cy="175260"/>
                      <wp:effectExtent l="0" t="0" r="0" b="0"/>
                      <wp:wrapNone/>
                      <wp:docPr id="342" name="Frame3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62585" cy="175260"/>
                      <wp:effectExtent l="0" t="0" r="0" b="0"/>
                      <wp:wrapNone/>
                      <wp:docPr id="343" name="Frame3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40335" cy="175260"/>
                      <wp:effectExtent l="0" t="0" r="0" b="0"/>
                      <wp:wrapNone/>
                      <wp:docPr id="345" name="Frame34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50850" cy="175260"/>
                      <wp:effectExtent l="0" t="0" r="0" b="0"/>
                      <wp:wrapNone/>
                      <wp:docPr id="346" name="Frame34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left"/>
              <w:rPr/>
            </w:pPr>
            <w:r>
              <w:rPr/>
              <w:t>  ​ ​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4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 A.E, Innovation, LLC</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3,599</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3,599</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 Future Energy Capital Limited</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notes receivable</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3,849</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3,849</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bookmarkStart w:id="1397" w:name="Tc_bkYNY8cLi0-oGdigHYVhaQ_7_2"/>
      <w:bookmarkStart w:id="1398" w:name="Tc_YUb0zmL5pU-JahBwtNCljw_7_0"/>
      <w:bookmarkStart w:id="1399" w:name="Tc_q2NxNiCT9kqI5sV_j5ZYUA_6_0"/>
      <w:bookmarkStart w:id="1400" w:name="Tc_qkDZ_RVhiUidX94iyM_TZg_5_0"/>
      <w:bookmarkStart w:id="1401" w:name="Tc_NWzU3pwG80a6a7ce-DNj4g_4_0"/>
      <w:bookmarkStart w:id="1402" w:name="Tc_Q20igDe0Fk2wwEGaAInNEA_3_2"/>
      <w:bookmarkStart w:id="1403" w:name="Tc_h1-D30kdjESQbWmKw5r05w_3_0"/>
      <w:bookmarkStart w:id="1404" w:name="Tc_rlXICgN7jEyeW8kJE0J29Q_2_2"/>
      <w:bookmarkStart w:id="1405" w:name="Tc_h906_xZlgE-50M8j6DUiYA_1_2"/>
      <w:bookmarkStart w:id="1406" w:name="_9fb3d4cf_6973_4e70_862c_aeb63406d391"/>
      <w:bookmarkStart w:id="1407" w:name="Tc_C_8J_ol28k6RR16nrmlD2g_3_5"/>
      <w:bookmarkStart w:id="1408" w:name="Tc_uw81O_4T5U6y8GLuxXI7aA_3_2"/>
      <w:bookmarkStart w:id="1409" w:name="Tc_vwrlfzXOYk2o3XrrzdY1CQ_3_0"/>
      <w:bookmarkStart w:id="1410" w:name="Tc_70aNU3KipEmcfWt2pUdUdQ_2_5"/>
      <w:bookmarkStart w:id="1411" w:name="Tc_0MJoWIiDkE-t1mp7Nrqi8Q_2_2"/>
      <w:bookmarkStart w:id="1412" w:name="Tc_U7P9iH3MiEKgll-3Z81HEA_1_5"/>
      <w:bookmarkStart w:id="1413" w:name="Tc_N9XJ6uRBGUyDgFEBl61S2A_1_2"/>
      <w:bookmarkStart w:id="1414" w:name="_18d12e03_a13d_409e_8729_688794843e88"/>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r>
        <w:rPr>
          <w:rFonts w:ascii="Times New Roman;Times;serif" w:hAnsi="Times New Roman;Times;serif"/>
          <w:sz w:val="20"/>
        </w:rPr>
        <w:t xml:space="preserve">Term Loan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Term Loan entered into on January 31, 2025, and subsequently modified on February 6, 2026, is estimated to be equal to its carrying amount as of March 31, 2026, due to the short duration for which the loan was outstanding during the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carrying values and estimated fair values of the Term Loan as of March 31, 2026, is summarized as follows (in thousands): </w:t>
      </w:r>
    </w:p>
    <w:tbl>
      <w:tblPr>
        <w:tblW w:w="3787" w:type="dxa"/>
        <w:jc w:val="left"/>
        <w:tblInd w:w="0" w:type="dxa"/>
        <w:tblLayout w:type="fixed"/>
        <w:tblCellMar>
          <w:top w:w="0" w:type="dxa"/>
          <w:left w:w="0" w:type="dxa"/>
          <w:bottom w:w="0" w:type="dxa"/>
          <w:right w:w="0" w:type="dxa"/>
        </w:tblCellMar>
      </w:tblPr>
      <w:tblGrid>
        <w:gridCol w:w="1006"/>
        <w:gridCol w:w="346"/>
        <w:gridCol w:w="211"/>
        <w:gridCol w:w="781"/>
        <w:gridCol w:w="346"/>
        <w:gridCol w:w="211"/>
        <w:gridCol w:w="886"/>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38810" cy="175260"/>
                      <wp:effectExtent l="0" t="0" r="0" b="0"/>
                      <wp:wrapNone/>
                      <wp:docPr id="347" name="Frame34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95935" cy="175260"/>
                      <wp:effectExtent l="0" t="0" r="0" b="0"/>
                      <wp:wrapNone/>
                      <wp:docPr id="350" name="Frame3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62610" cy="175260"/>
                      <wp:effectExtent l="0" t="0" r="0" b="0"/>
                      <wp:wrapNone/>
                      <wp:docPr id="353" name="Frame3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175,000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Redeemable non-controlling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reflects the changes in the fair value of the redeemable non-controlling interest as of March 31, 2026 (in thousands):</w:t>
      </w:r>
    </w:p>
    <w:tbl>
      <w:tblPr>
        <w:tblW w:w="5882" w:type="dxa"/>
        <w:jc w:val="left"/>
        <w:tblInd w:w="0" w:type="dxa"/>
        <w:tblLayout w:type="fixed"/>
        <w:tblCellMar>
          <w:top w:w="0" w:type="dxa"/>
          <w:left w:w="0" w:type="dxa"/>
          <w:bottom w:w="0" w:type="dxa"/>
          <w:right w:w="0" w:type="dxa"/>
        </w:tblCellMar>
      </w:tblPr>
      <w:tblGrid>
        <w:gridCol w:w="3946"/>
        <w:gridCol w:w="346"/>
        <w:gridCol w:w="376"/>
        <w:gridCol w:w="1214"/>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505710" cy="175260"/>
                      <wp:effectExtent l="0" t="0" r="0" b="0"/>
                      <wp:wrapNone/>
                      <wp:docPr id="354" name="Frame354"/>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38760" cy="175260"/>
                      <wp:effectExtent l="0" t="0" r="0" b="0"/>
                      <wp:wrapNone/>
                      <wp:docPr id="356" name="Frame35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770890" cy="175260"/>
                      <wp:effectExtent l="0" t="0" r="0" b="0"/>
                      <wp:wrapNone/>
                      <wp:docPr id="357" name="Frame357"/>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 Non-</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 Interest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equity of non-controlling member</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attributable to non-controlling member</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46"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as of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6,954</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tbl>
      <w:tblPr>
        <w:tblW w:w="2297" w:type="dxa"/>
        <w:jc w:val="left"/>
        <w:tblInd w:w="0" w:type="dxa"/>
        <w:tblLayout w:type="fixed"/>
        <w:tblCellMar>
          <w:top w:w="0" w:type="dxa"/>
          <w:left w:w="0" w:type="dxa"/>
          <w:bottom w:w="0" w:type="dxa"/>
          <w:right w:w="0" w:type="dxa"/>
        </w:tblCellMar>
      </w:tblPr>
      <w:tblGrid>
        <w:gridCol w:w="376"/>
        <w:gridCol w:w="192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Stockholders’ Equity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Issuances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At-the-Market Offering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2024 the Company filed a registration statement on Form S-3, which included </w:t>
      </w:r>
      <w:r>
        <w:rPr>
          <w:rFonts w:ascii="Times New Roman;Times;serif" w:hAnsi="Times New Roman;Times;serif"/>
          <w:spacing w:val="4"/>
          <w:sz w:val="20"/>
        </w:rPr>
        <w:t>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Company of up to a maximum aggregate offering price of $500.0 million of common stock that may be issued and sold under an at-the-market-offering agreement</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March 31, 2026, the Company has remaining capacity to issue up to $500.0 million of common stock under the at-the-market offering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repurchase shares of common stock under the stock repurchase program during the three months ended March 31, 2026 or 2025. As of March 31, 2026, approximately $20.3 million remained available under the stock repurchase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1415" w:name="Tc_ytuCaf9ci0KP3Ts7imP8Tw_9_0"/>
      <w:bookmarkStart w:id="1416" w:name="Tc_bFwvq8c-ikq23OIXHX9aTg_8_6"/>
      <w:bookmarkStart w:id="1417" w:name="Tc_7ZZyw40WzkuzjBk_w_9M-w_8_4"/>
      <w:bookmarkStart w:id="1418" w:name="Tc_MZTO8aGEpUO0PLwWKiL5qQ_8_2"/>
      <w:bookmarkStart w:id="1419" w:name="Tc_mrFEy0YppECyXryQcvqIig_8_0"/>
      <w:bookmarkStart w:id="1420" w:name="Tc_aqa96duiyECB-CnmXxmfjg_7_13"/>
      <w:bookmarkStart w:id="1421" w:name="Tc_-8SAAHCRGkCC-GH-B4aq2Q_7_11"/>
      <w:bookmarkStart w:id="1422" w:name="Tc_voPHegtDIk6M1f2iv979tA_7_9"/>
      <w:bookmarkStart w:id="1423" w:name="Tc_9EEu1tKhBUyl3nQTCfhRfw_7_6"/>
      <w:bookmarkStart w:id="1424" w:name="Tc_jSrf1ayQFk68tYXxdncgJQ_7_4"/>
      <w:bookmarkStart w:id="1425" w:name="Tc_6uutLrOXNk-KP-I_S1gOcA_7_2"/>
      <w:bookmarkStart w:id="1426" w:name="Tc_DtGGWskpyUKH4Gk1xqQbiQ_6_13"/>
      <w:bookmarkStart w:id="1427" w:name="Tc_ntFPNRelGUCQOpNXbCqqnQ_6_11"/>
      <w:bookmarkStart w:id="1428" w:name="Tc_hjtVQMZ1h0uTRyOFPclcwg_6_9"/>
      <w:bookmarkStart w:id="1429" w:name="Tc_QayoG7sAxUe5y7wtshXoLg_6_7"/>
      <w:bookmarkStart w:id="1430" w:name="Tc_7bVnanfH50usyIIyiqcG6A_6_4"/>
      <w:bookmarkStart w:id="1431" w:name="Tc_ZgKcQzJgw0OMTSHFaDDh8Q_6_2"/>
      <w:bookmarkStart w:id="1432" w:name="Tc_YNJ36xLUiEawb4hpW8ZIoA_5_13"/>
      <w:bookmarkStart w:id="1433" w:name="Tc_kpGcAdnPW0yk6W-Di6tVoQ_5_11"/>
      <w:bookmarkStart w:id="1434" w:name="Tc_6-FrI9JgKkSfBHszRqns8w_5_9"/>
      <w:bookmarkStart w:id="1435" w:name="Tc_sqM4vdLWG0ONMiGLpKhZMw_5_6"/>
      <w:bookmarkStart w:id="1436" w:name="Tc_PvpGfRcFP0CLaVxJDiN9iA_4_13"/>
      <w:bookmarkStart w:id="1437" w:name="Tc_oBBKZ4rw2k2eA4iR2t27tQ_4_11"/>
      <w:bookmarkStart w:id="1438" w:name="Tc_JVk-XU2DCUauYFRBoESyYA_4_9"/>
      <w:bookmarkStart w:id="1439" w:name="Tc_2xlAlqI8BUC0YuWkm0oH-A_4_6"/>
      <w:bookmarkStart w:id="1440" w:name="Tc_CHnfSuHls0e4LbcvTv6brg_3_13"/>
      <w:bookmarkStart w:id="1441" w:name="Tc_XIbTVIpmb0CgQeqkYi95hw_3_11"/>
      <w:bookmarkStart w:id="1442" w:name="Tc_1EOphAIMuEyX4uee5nFpzA_3_9"/>
      <w:bookmarkStart w:id="1443" w:name="Tc_evU6KkohNUS4Hg1Q--_gng_2_13"/>
      <w:bookmarkStart w:id="1444" w:name="Tc__uSUr3Gy-E6wgG6C88MY0A_2_11"/>
      <w:bookmarkStart w:id="1445" w:name="Tc_-KzS0kXKFkWfSfc4zpAZeA_1_13"/>
      <w:bookmarkStart w:id="1446" w:name="Tc_tiInBUiX2kOqnNHfIqhHNQ_1_11"/>
      <w:bookmarkStart w:id="1447" w:name="_2da9ffc9_f35f_4995_901f_744913f0ec83"/>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r>
        <w:rPr>
          <w:rFonts w:ascii="Times New Roman;Times;serif" w:hAnsi="Times New Roman;Times;serif"/>
          <w:b/>
          <w:sz w:val="20"/>
        </w:rPr>
        <w:t>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March 31, 2026, none of the Series 2022-A Warrants had been exercised.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to the Series 2022-A Warrants, the Company had warrants that were issued in conjunction with a registered direct offering in August 2020 (the “Series 2020-A Warrants”). The remaining 4,133 unexercised Series 2020-A Warrants expired on July 6,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Series 2022-A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do not provide any guarantee of value or return.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regarding unexercised warrants outstanding as of March 31,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51"/>
        <w:gridCol w:w="346"/>
        <w:gridCol w:w="846"/>
        <w:gridCol w:w="346"/>
        <w:gridCol w:w="886"/>
        <w:gridCol w:w="346"/>
        <w:gridCol w:w="211"/>
        <w:gridCol w:w="895"/>
        <w:gridCol w:w="346"/>
        <w:gridCol w:w="1036"/>
        <w:gridCol w:w="346"/>
        <w:gridCol w:w="961"/>
        <w:gridCol w:w="346"/>
        <w:gridCol w:w="1143"/>
      </w:tblGrid>
      <w:tr>
        <w:trPr/>
        <w:tc>
          <w:tcPr>
            <w:tcW w:w="2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65885" cy="175260"/>
                      <wp:effectExtent l="0" t="0" r="0" b="0"/>
                      <wp:wrapNone/>
                      <wp:docPr id="358" name="Frame358"/>
                      <a:graphic xmlns:a="http://schemas.openxmlformats.org/drawingml/2006/main">
                        <a:graphicData uri="http://schemas.microsoft.com/office/word/2010/wordprocessingShape">
                          <wps:wsp>
                            <wps:cNvSpPr txBox="1"/>
                            <wps:spPr>
                              <a:xfrm>
                                <a:off x="0" y="0"/>
                                <a:ext cx="1365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37210" cy="175260"/>
                      <wp:effectExtent l="0" t="0" r="0" b="0"/>
                      <wp:wrapNone/>
                      <wp:docPr id="360" name="Frame36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62610" cy="175260"/>
                      <wp:effectExtent l="0" t="0" r="0" b="0"/>
                      <wp:wrapNone/>
                      <wp:docPr id="362" name="Frame36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68325" cy="175260"/>
                      <wp:effectExtent l="0" t="0" r="0" b="0"/>
                      <wp:wrapNone/>
                      <wp:docPr id="365" name="Frame365"/>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57860" cy="175260"/>
                      <wp:effectExtent l="0" t="0" r="0" b="0"/>
                      <wp:wrapNone/>
                      <wp:docPr id="367" name="Frame3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10235" cy="175260"/>
                      <wp:effectExtent l="0" t="0" r="0" b="0"/>
                      <wp:wrapNone/>
                      <wp:docPr id="369" name="Frame36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725805" cy="175260"/>
                      <wp:effectExtent l="0" t="0" r="0" b="0"/>
                      <wp:wrapNone/>
                      <wp:docPr id="371" name="Frame371"/>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w:t>
            </w:r>
          </w:p>
        </w:tc>
        <w:tc>
          <w:tcPr>
            <w:tcW w:w="114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2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46" w:type="dxa"/>
            <w:tcBorders/>
            <w:vAlign w:val="center"/>
          </w:tcPr>
          <w:p>
            <w:pPr>
              <w:pStyle w:val="TableContents"/>
              <w:bidi w:val="0"/>
              <w:spacing w:before="0" w:after="1"/>
              <w:ind w:left="0" w:right="0" w:hanging="0"/>
              <w:jc w:val="center"/>
              <w:rPr/>
            </w:pPr>
            <w:r>
              <w:rPr/>
              <w:t> </w:t>
            </w:r>
          </w:p>
        </w:tc>
        <w:tc>
          <w:tcPr>
            <w:tcW w:w="114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r>
      <w:tr>
        <w:trPr/>
        <w:tc>
          <w:tcPr>
            <w:tcW w:w="2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46" w:type="dxa"/>
            <w:tcBorders/>
            <w:vAlign w:val="center"/>
          </w:tcPr>
          <w:p>
            <w:pPr>
              <w:pStyle w:val="TableContents"/>
              <w:bidi w:val="0"/>
              <w:spacing w:before="0" w:after="1"/>
              <w:ind w:left="0" w:right="0" w:hanging="0"/>
              <w:jc w:val="center"/>
              <w:rPr/>
            </w:pPr>
            <w:r>
              <w:rPr/>
              <w:t> </w:t>
            </w:r>
          </w:p>
        </w:tc>
        <w:tc>
          <w:tcPr>
            <w:tcW w:w="114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2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1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center"/>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Exercises as</w:t>
            </w:r>
          </w:p>
        </w:tc>
        <w:tc>
          <w:tcPr>
            <w:tcW w:w="346" w:type="dxa"/>
            <w:tcBorders/>
            <w:vAlign w:val="center"/>
          </w:tcPr>
          <w:p>
            <w:pPr>
              <w:pStyle w:val="TableContents"/>
              <w:bidi w:val="0"/>
              <w:spacing w:before="0" w:after="1"/>
              <w:ind w:left="0" w:right="0" w:hanging="0"/>
              <w:jc w:val="center"/>
              <w:rPr/>
            </w:pPr>
            <w:r>
              <w:rPr/>
              <w:t> </w:t>
            </w:r>
          </w:p>
        </w:tc>
        <w:tc>
          <w:tcPr>
            <w:tcW w:w="114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2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as of</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on</w:t>
            </w:r>
          </w:p>
        </w:tc>
        <w:tc>
          <w:tcPr>
            <w:tcW w:w="346" w:type="dxa"/>
            <w:tcBorders/>
            <w:vAlign w:val="center"/>
          </w:tcPr>
          <w:p>
            <w:pPr>
              <w:pStyle w:val="TableContents"/>
              <w:bidi w:val="0"/>
              <w:spacing w:before="0" w:after="1"/>
              <w:ind w:left="0" w:right="0" w:hanging="0"/>
              <w:jc w:val="center"/>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46" w:type="dxa"/>
            <w:tcBorders/>
            <w:vAlign w:val="center"/>
          </w:tcPr>
          <w:p>
            <w:pPr>
              <w:pStyle w:val="TableContents"/>
              <w:bidi w:val="0"/>
              <w:spacing w:before="0" w:after="1"/>
              <w:ind w:left="0" w:right="0" w:hanging="0"/>
              <w:jc w:val="center"/>
              <w:rPr/>
            </w:pPr>
            <w:r>
              <w:rPr/>
              <w:t> </w:t>
            </w:r>
          </w:p>
        </w:tc>
        <w:tc>
          <w:tcPr>
            <w:tcW w:w="114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46" w:type="dxa"/>
            <w:tcBorders/>
            <w:vAlign w:val="center"/>
          </w:tcPr>
          <w:p>
            <w:pPr>
              <w:pStyle w:val="TableContents"/>
              <w:bidi w:val="0"/>
              <w:spacing w:before="0" w:after="1"/>
              <w:ind w:left="0" w:right="0" w:hanging="0"/>
              <w:jc w:val="center"/>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center"/>
              <w:rPr/>
            </w:pPr>
            <w:r>
              <w:rPr/>
              <w:t> </w:t>
            </w:r>
          </w:p>
        </w:tc>
        <w:tc>
          <w:tcPr>
            <w:tcW w:w="114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  ​ ​ ​</w:t>
            </w:r>
          </w:p>
        </w:tc>
        <w:tc>
          <w:tcPr>
            <w:tcW w:w="11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4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1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2022-A Warrants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6/8/2022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6/7/2027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r>
      <w:tr>
        <w:trPr/>
        <w:tc>
          <w:tcPr>
            <w:tcW w:w="2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Warrants</w:t>
            </w:r>
          </w:p>
        </w:tc>
        <w:tc>
          <w:tcPr>
            <w:tcW w:w="34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4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33,333,336</w:t>
            </w:r>
          </w:p>
        </w:tc>
      </w:tr>
    </w:tbl>
    <w:tbl>
      <w:tblPr>
        <w:tblW w:w="2642" w:type="dxa"/>
        <w:jc w:val="left"/>
        <w:tblInd w:w="0" w:type="dxa"/>
        <w:tblLayout w:type="fixed"/>
        <w:tblCellMar>
          <w:top w:w="0" w:type="dxa"/>
          <w:left w:w="0" w:type="dxa"/>
          <w:bottom w:w="0" w:type="dxa"/>
          <w:right w:w="0" w:type="dxa"/>
        </w:tblCellMar>
      </w:tblPr>
      <w:tblGrid>
        <w:gridCol w:w="346"/>
        <w:gridCol w:w="22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warrants.</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2026 and 2025 no warrants were exercised.</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tbl>
      <w:tblPr>
        <w:tblW w:w="2657" w:type="dxa"/>
        <w:jc w:val="left"/>
        <w:tblInd w:w="0" w:type="dxa"/>
        <w:tblLayout w:type="fixed"/>
        <w:tblCellMar>
          <w:top w:w="0" w:type="dxa"/>
          <w:left w:w="0" w:type="dxa"/>
          <w:bottom w:w="0" w:type="dxa"/>
          <w:right w:w="0" w:type="dxa"/>
        </w:tblCellMar>
      </w:tblPr>
      <w:tblGrid>
        <w:gridCol w:w="376"/>
        <w:gridCol w:w="228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22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Variable Interest Entities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entered into agreements with various special purpose entities (“SPEs”) to facilitate the development and construction of facilities designed to provide carbon neutral power for the Company’s operations. These SPEs are structured as a limited liability companies.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Nonconsolidated VIEs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September 2022 and February 2023, the Company entered into agreements with Zero6 Energy Development, Inc. (“ZEDI”), a national clean energy expert that provides expertise in capital management, development, engineering, and asset management, to develop and construct facilities to provide carbon neutral power to ATJ-60 via the two project companies: Kingsbury County Wind Fuel, LLC (“KCWF”) and Dakota Renewable Hydrogen, LLC (“DRH” and together with KCWF, the “Project LLCs” and each, individually, a “Project LLC”), respectively. Due to the indefinite delay at Lake Preston, the Project LLCs are actively evaluating options to redeploy resources, including supplying power to other sites and advancing or completing projects in other viable locations.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Each Project LLC is currently funded via advances for certain long lead equipment items from Gevo. The Company has made certain refundable project advances indirectly to the Project LLCs via ZEDI, to induce ZEDI to design and construct the power generation, transmission and distribution facilities that will supply renewable energy.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Project LLC is a VIE, and the Company holds an implicit variable interest in each Project LLC. As of December 2023, we have concluded that the removal of the kickout rights from the agreements has resulted in a loss of control and that, therefore, the Company is no longer the primary beneficiary of the Project LLCs. The Project LLCs are a VIE because their equity is insufficient to maintain their on-going collateral requirements without additional financial support.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recognized $54.2 million in Deposits and other assets related to advances made to the Project LLCs which are reimbursable upon the achievement or failure to achieve certain milestones. Such amounts represent our maximum exposure to loss as a result of our involvement with the Project LLCs.</w:t>
      </w:r>
    </w:p>
    <w:tbl>
      <w:tblPr>
        <w:tblW w:w="1367" w:type="dxa"/>
        <w:jc w:val="left"/>
        <w:tblInd w:w="0" w:type="dxa"/>
        <w:tblLayout w:type="fixed"/>
        <w:tblCellMar>
          <w:top w:w="0" w:type="dxa"/>
          <w:left w:w="0" w:type="dxa"/>
          <w:bottom w:w="0" w:type="dxa"/>
          <w:right w:w="0" w:type="dxa"/>
        </w:tblCellMar>
      </w:tblPr>
      <w:tblGrid>
        <w:gridCol w:w="376"/>
        <w:gridCol w:w="99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9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Segments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assesses the segments’ performance by using income (loss) from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CODM uses operating results for each segment predominantly in the annual budget and forecasting process. The CODM considers budget-to-actual variances on a quarterly basis when making decisions about the allocation of operating and capital resources of each segment. As such, management has determined that the Company has organized its operations and activities in the manner in which information is utilized by the CODM and has determined that it has four operating and reportable segments: (i) Gevo segment; (ii) GevoFuels segment; (iii) GevoRNG segment; and (iv) GevoND segment. All segments follow the same basis of accounting policies as described in Note 2, Summary of Significant Accounting Policies, of Part II, Item 8 in our 2025 Annual Report.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Gevo segment</w:t>
      </w:r>
      <w:r>
        <w:rPr>
          <w:rFonts w:ascii="Times New Roman;Times;serif" w:hAnsi="Times New Roman;Times;serif"/>
          <w:sz w:val="20"/>
        </w:rPr>
        <w:t>. The Gevo segment is responsible for all research and development activities related to the future production of SAF,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of Verity platforms.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GevoFuels segment</w:t>
      </w:r>
      <w:r>
        <w:rPr>
          <w:rFonts w:ascii="Times New Roman;Times;serif" w:hAnsi="Times New Roman;Times;serif"/>
          <w:sz w:val="20"/>
        </w:rPr>
        <w:t xml:space="preserve">. GevoFuels is a cornerstone of the Company’s operations, committed to driving low-cost, sustainable, and American-made energy solutions. Our focus is on advancing practical, low-carbon energy alternatives that promote energy independence and strengthen the economy. This segment is dedicated to the development, construction, and operation of ATJ projects that are not only good for the environment but also cost-effective for businesses and consumers. Our flagship project, ATJ-30, is a groundbreaking initiative focused on producing SAF in the U.S.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GevoRNG segment</w:t>
      </w:r>
      <w:r>
        <w:rPr>
          <w:rFonts w:ascii="Times New Roman;Times;serif" w:hAnsi="Times New Roman;Times;serif"/>
          <w:sz w:val="20"/>
        </w:rPr>
        <w:t>. The Renewable Natural Gas segment includes GevoRNG which is an innovative project that leverages anaerobic digestion technology to capture and convert methane emissions into renewable natural gas. This project plays a significant role in addressing both the environmental impact of methane emissions and the growing demand for cleaner energy alternatives. RNG is chemically identical to conventional natural gas, but it is produced from organic waste rather than fossil fuels, making it a sustainable and carbon-neutral energy source. By converting methane emissions into RNG, GevoRNG helps mitigate the environmental impact of livestock farming, specifically reducing the greenhouse gases that contribute to climate change.</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GevoND segment.</w:t>
      </w:r>
      <w:r>
        <w:rPr>
          <w:rFonts w:ascii="Times New Roman;Times;serif" w:hAnsi="Times New Roman;Times;serif"/>
          <w:sz w:val="20"/>
        </w:rPr>
        <w:t xml:space="preserve"> The GevoND segment was a new operating segment for 2025. The GevoND segment includes the assets acquired in the business combination completed in January 2025. GevoND includes advanced CCS technologies and low-carbon ethanol assets at the acquired facility in North Dakota, enhancing our portfolio of integrated, cost-effective carbon abatement solutions. The principal products manufactured by our ethanol plant include ethanol and distillers grains. At capacity, GevoND facility is capable of processing approximately 70 million gallons of low-carbon ethanol annually, including 2 million gallons of corn fiber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sz w:val="20"/>
        </w:rPr>
      </w:pPr>
      <w:bookmarkStart w:id="1448" w:name="Tc_McEDTXfb-ESQLnPV4eHZYA_16_0"/>
      <w:bookmarkStart w:id="1449" w:name="Tc_wpAQ8-SOrUe7AhC_XB-qJg_15_9"/>
      <w:bookmarkStart w:id="1450" w:name="Tc_-99x_6XRAUaBfx0l8-X8cQ_15_6"/>
      <w:bookmarkStart w:id="1451" w:name="Tc_hAorVTTM1Uuy0vwcj5ylQg_15_0"/>
      <w:bookmarkStart w:id="1452" w:name="Tc_BXokvBsajEuSWd7fycuO1g_14_12"/>
      <w:bookmarkStart w:id="1453" w:name="Tc_ZBUe0knJu0-6zVr1ehC3Sw_14_0"/>
      <w:bookmarkStart w:id="1454" w:name="Tc_TMXGqmaWy0ybFvwAmPKCUg_12_14"/>
      <w:bookmarkStart w:id="1455" w:name="Tc_dcGW8OOPnk6TeS6jz08TRA_12_11"/>
      <w:bookmarkStart w:id="1456" w:name="Tc_kYEGTmotyUKJ_1r-7V5mSA_12_8"/>
      <w:bookmarkStart w:id="1457" w:name="Tc_BlFDvKzHsEGv2hi0RIeKng_12_5"/>
      <w:bookmarkStart w:id="1458" w:name="Tc_KD0Zi3pe30mi5j1UmkBOQg_12_2"/>
      <w:bookmarkStart w:id="1459" w:name="Tc_Kf2d6MUqtEyA7011ZXkN6A_12_0"/>
      <w:bookmarkStart w:id="1460" w:name="Tc_GKolpllFLEK2zPj0xs4a8A_11_9"/>
      <w:bookmarkStart w:id="1461" w:name="Tc_gidb6soXTUK9LmYAp0TZAg_11_6"/>
      <w:bookmarkStart w:id="1462" w:name="Tc_93ZfCDED4UiUwupHeRqyCQ_11_0"/>
      <w:bookmarkStart w:id="1463" w:name="Tc_s3LpREPRc060BFEM6mG9JA_10_6"/>
      <w:bookmarkStart w:id="1464" w:name="Tc_0-g4VyMH-Emuzyu31xm4yw_10_0"/>
      <w:bookmarkStart w:id="1465" w:name="Tc_gocSJlh_FkO2hjXxmAU49Q_9_0"/>
      <w:bookmarkStart w:id="1466" w:name="Tc_GlUYt_C4Q0Sxms3eJk0jCg_8_6"/>
      <w:bookmarkStart w:id="1467" w:name="Tc_mOTn1rjANESlr4lfF20LTQ_8_0"/>
      <w:bookmarkStart w:id="1468" w:name="Tc_E34yNNQU2ECi0VwTDVKXZQ_7_9"/>
      <w:bookmarkStart w:id="1469" w:name="Tc_PWCPHewY6kC3MG2gZWFeOQ_7_0"/>
      <w:bookmarkStart w:id="1470" w:name="Tc_Hvfyg3OBkEK5HfqcnamiDw_6_12"/>
      <w:bookmarkStart w:id="1471" w:name="Tc_eYyQaLSF20es8S5hmqLUfQ_6_9"/>
      <w:bookmarkStart w:id="1472" w:name="Tc_Dr1BoHQhwEe9ImV6cEwskw_6_6"/>
      <w:bookmarkStart w:id="1473" w:name="Tc_NQ2Togx2hEWhFS5cv5KHFw_6_0"/>
      <w:bookmarkStart w:id="1474" w:name="Tc_Z0BgJ5hkWUm-5GpQjXEOhg_5_6"/>
      <w:bookmarkStart w:id="1475" w:name="Tc_gPuIpAbLg0mHIkkDcK_8QQ_5_0"/>
      <w:bookmarkStart w:id="1476" w:name="Tc_Hzj4-F1skEGTx7Ogvv042w_4_0"/>
      <w:bookmarkStart w:id="1477" w:name="Tc_2AUP1sOi30e8XeorVyU3qw_3_14"/>
      <w:bookmarkStart w:id="1478" w:name="Tc_Pm8BnreJTUebtkv8UQ7vIA_3_11"/>
      <w:bookmarkStart w:id="1479" w:name="Tc_roFrcxqhRECSPdEP7AM9lQ_3_8"/>
      <w:bookmarkStart w:id="1480" w:name="Tc_ib5UvDqw6EWJkekDmjNRyw_3_6"/>
      <w:bookmarkStart w:id="1481" w:name="Tc_LHqElTlEK0-4mLhI7ywqlA_3_5"/>
      <w:bookmarkStart w:id="1482" w:name="Tc_Q_8dJYki6ESSuGsP9SAuPg_3_2"/>
      <w:bookmarkStart w:id="1483" w:name="Tc_22r_tFEZbk62-fgacVfURA_3_0"/>
      <w:bookmarkStart w:id="1484" w:name="Tc_KBy1I7X6CUipFr58AegYog_2_14"/>
      <w:bookmarkStart w:id="1485" w:name="Tc_jViTXN7qOUmABz6TMHGtMA_2_11"/>
      <w:bookmarkStart w:id="1486" w:name="Tc_HEqlF-iw60yynCMhU_DbLQ_2_8"/>
      <w:bookmarkStart w:id="1487" w:name="Tc_scAFDF5PMU24eY83mzqJyQ_2_5"/>
      <w:bookmarkStart w:id="1488" w:name="Tc_DB7PeM7MPkKs-dMQjDBA0A_2_2"/>
      <w:bookmarkStart w:id="1489" w:name="Tc_9uM2Q-nOa0Wvpmwg14ou6w_2_0"/>
      <w:bookmarkStart w:id="1490" w:name="Tc_IezI6YGHdkeDW86b8E2T1g_1_2"/>
      <w:bookmarkStart w:id="1491" w:name="_892fc240_edf9_45c6_930f_a1c54ca665d5"/>
      <w:bookmarkStart w:id="1492" w:name="Tc_j2cSj6Lh5EWwI6dH2DhB5A_17_0"/>
      <w:bookmarkStart w:id="1493" w:name="Tc_Uk3yQIFA8UaWBuL36rfjAQ_16_9"/>
      <w:bookmarkStart w:id="1494" w:name="Tc_OUwmuOeDo0CehlQpEX6dfQ_16_6"/>
      <w:bookmarkStart w:id="1495" w:name="Tc_m6KJSVNrpUuaEMk_Z8VtHw_16_0"/>
      <w:bookmarkStart w:id="1496" w:name="Tc_06_FT07q_ki6arCXlHp-mA_15_0"/>
      <w:bookmarkStart w:id="1497" w:name="Tc_SxMeJQi_S0WUa0JeM0pHXQ_13_14"/>
      <w:bookmarkStart w:id="1498" w:name="Tc_SLd8xCBFLkqCBS6_AK2OKA_13_11"/>
      <w:bookmarkStart w:id="1499" w:name="Tc_UFEwnvZYxE6CIJZmHUgPEA_13_8"/>
      <w:bookmarkStart w:id="1500" w:name="Tc_ylzA25dVgEWi4uqeOoWn2Q_13_5"/>
      <w:bookmarkStart w:id="1501" w:name="Tc_NqaQrYxi00KyQS8LYbFZUQ_13_2"/>
      <w:bookmarkStart w:id="1502" w:name="Tc_hfUSNrqY4E-9Vd7h_cIo9A_13_0"/>
      <w:bookmarkStart w:id="1503" w:name="Tc_YzCmqYUlgk-AwsdvWRbeOw_12_0"/>
      <w:bookmarkStart w:id="1504" w:name="Tc_ni5yf54C4EWsWvi93quGeg_11_12"/>
      <w:bookmarkStart w:id="1505" w:name="Tc_Nn981F2gGUSFEmmk6wroRg_11_6"/>
      <w:bookmarkStart w:id="1506" w:name="Tc_2v2-9fH7p0eFDn284KVLCQ_11_3"/>
      <w:bookmarkStart w:id="1507" w:name="Tc_kdBqpSv-9Uih0VyTwX3SFA_11_0"/>
      <w:bookmarkStart w:id="1508" w:name="Tc_eUmeRwq9CEiUvxH2CG3uwg_10_6"/>
      <w:bookmarkStart w:id="1509" w:name="Tc_YErBoaZfTU6xtCufFLuZwg_10_0"/>
      <w:bookmarkStart w:id="1510" w:name="Tc_ytaRPZ8ggEaDtcZlWoOREw_9_0"/>
      <w:bookmarkStart w:id="1511" w:name="Tc_NVbv61p-iE2CejUj3JRnTA_8_6"/>
      <w:bookmarkStart w:id="1512" w:name="Tc_BKNx2o5NFE-tMh9vztYBmQ_8_0"/>
      <w:bookmarkStart w:id="1513" w:name="Tc_i-ZXw3Sf3UqRizrHIhj5_w_7_12"/>
      <w:bookmarkStart w:id="1514" w:name="Tc_hnL9Bu8CWEGw2kDWLqK7Yg_7_9"/>
      <w:bookmarkStart w:id="1515" w:name="Tc_2GiDZM25HUit_BKl0Me52Q_7_0"/>
      <w:bookmarkStart w:id="1516" w:name="Tc_M9DYFunFwU-d5Za7ru2xxA_6_12"/>
      <w:bookmarkStart w:id="1517" w:name="Tc_mld6MyzhpEmKmWqEioTi3g_6_9"/>
      <w:bookmarkStart w:id="1518" w:name="Tc_XD_QH09yfUGKXPTDRUrMCQ_6_6"/>
      <w:bookmarkStart w:id="1519" w:name="Tc_raCREBwSRU2YirjTy4xp4Q_6_0"/>
      <w:bookmarkStart w:id="1520" w:name="Tc_HAt7On1dCU6vMrzkCsHkrw_5_6"/>
      <w:bookmarkStart w:id="1521" w:name="Tc_9OGxlMp99E6bnb3OQ43g6w_5_0"/>
      <w:bookmarkStart w:id="1522" w:name="Tc_s6vK5h76pEql4JEiHmGHlA_4_0"/>
      <w:bookmarkStart w:id="1523" w:name="Tc_dIu02OBm_E65bUsffJ3rDw_3_14"/>
      <w:bookmarkStart w:id="1524" w:name="Tc_zETD5FuVTU-cN_XQuJ-Fww_3_11"/>
      <w:bookmarkStart w:id="1525" w:name="Tc_S0vYTTwPD0elb314nxZtUA_3_8"/>
      <w:bookmarkStart w:id="1526" w:name="Tc_N7M3MCg1OkahK4REHMtHAg_3_6"/>
      <w:bookmarkStart w:id="1527" w:name="Tc_jNQNe6Od0kqzhTe8wLbCBg_3_5"/>
      <w:bookmarkStart w:id="1528" w:name="Tc_r3pYi3wMCkWLZoZQ9kvi5A_3_2"/>
      <w:bookmarkStart w:id="1529" w:name="Tc_aXNdMtYq_ESbt3MsU99p6A_3_0"/>
      <w:bookmarkStart w:id="1530" w:name="Tc_KB691lUADkSWfCHmmoKQeA_2_14"/>
      <w:bookmarkStart w:id="1531" w:name="Tc_1k-KhqI9k0OCKUljsT_RlA_2_11"/>
      <w:bookmarkStart w:id="1532" w:name="Tc_zxzpjHbPukCwcJvJZ0GAGg_2_8"/>
      <w:bookmarkStart w:id="1533" w:name="Tc_4Qw4N15QE0qEfyifYSuqMg_2_5"/>
      <w:bookmarkStart w:id="1534" w:name="Tc_z9NoPgCop0CudyXMf5hXyA_2_2"/>
      <w:bookmarkStart w:id="1535" w:name="Tc_GQbXieHfSEOeYWJC0jg05g_2_0"/>
      <w:bookmarkStart w:id="1536" w:name="Tc_B3NAy0vf6ECcWETKkK4-Uw_1_2"/>
      <w:bookmarkStart w:id="1537" w:name="_1f42f6c8_7a43_4607_90b6_19ddc4ecbc22"/>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r>
        <w:rPr>
          <w:rFonts w:ascii="Times New Roman;Times;serif" w:hAnsi="Times New Roman;Times;serif"/>
          <w:sz w:val="20"/>
        </w:rPr>
        <w:t xml:space="preserve">ethanol with an ultra-low carbon intensity. Additionally, the facility produces more than 230,000 tons of low-carbon animal feed and vegetable oil, contributing to sustainable agriculture and food systems. The site has an operating, fully permitted Class VI CCS well, which captures and sequesters approximately 165,000 tons of biogenic carbon dioxide annually. This capability is a key component of our strategy to drive meaningful carbon abatement at scale, with the potential to sequester multiple times that amount in total carbon emissions, directly supporting Gevo’s vision of decarbonizing the energy, transportation, and agriculture sectors. </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"Other Expenses" in the segment table include the following components: cost of production, general and administrative expenses, acquisition-related costs, facility idling costs, and other expenses.</w:t>
      </w:r>
    </w:p>
    <w:p>
      <w:pPr>
        <w:pStyle w:val="TextBody"/>
        <w:bidi w:val="0"/>
        <w:spacing w:before="0" w:after="0"/>
        <w:ind w:left="0" w:right="0" w:hanging="0"/>
        <w:jc w:val="left"/>
        <w:rPr/>
      </w:pPr>
      <w:r>
        <w:rPr/>
        <w:t>​</w:t>
      </w:r>
    </w:p>
    <w:tbl>
      <w:tblPr>
        <w:tblW w:w="10021" w:type="dxa"/>
        <w:jc w:val="left"/>
        <w:tblInd w:w="0" w:type="dxa"/>
        <w:tblLayout w:type="fixed"/>
        <w:tblCellMar>
          <w:top w:w="0" w:type="dxa"/>
          <w:left w:w="0" w:type="dxa"/>
          <w:bottom w:w="0" w:type="dxa"/>
          <w:right w:w="0" w:type="dxa"/>
        </w:tblCellMar>
      </w:tblPr>
      <w:tblGrid>
        <w:gridCol w:w="4381"/>
        <w:gridCol w:w="109"/>
        <w:gridCol w:w="211"/>
        <w:gridCol w:w="796"/>
        <w:gridCol w:w="109"/>
        <w:gridCol w:w="211"/>
        <w:gridCol w:w="781"/>
        <w:gridCol w:w="109"/>
        <w:gridCol w:w="211"/>
        <w:gridCol w:w="796"/>
        <w:gridCol w:w="109"/>
        <w:gridCol w:w="211"/>
        <w:gridCol w:w="781"/>
        <w:gridCol w:w="109"/>
        <w:gridCol w:w="211"/>
        <w:gridCol w:w="88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781935" cy="175260"/>
                      <wp:effectExtent l="0" t="0" r="0" b="0"/>
                      <wp:wrapNone/>
                      <wp:docPr id="372" name="Frame372"/>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9215" cy="175260"/>
                      <wp:effectExtent l="0" t="0" r="0" b="0"/>
                      <wp:wrapNone/>
                      <wp:docPr id="373" name="Frame3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05460" cy="175260"/>
                      <wp:effectExtent l="0" t="0" r="0" b="0"/>
                      <wp:wrapNone/>
                      <wp:docPr id="375" name="Frame3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76" name="Frame3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95935" cy="175260"/>
                      <wp:effectExtent l="0" t="0" r="0" b="0"/>
                      <wp:wrapNone/>
                      <wp:docPr id="378" name="Frame3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9215" cy="175260"/>
                      <wp:effectExtent l="0" t="0" r="0" b="0"/>
                      <wp:wrapNone/>
                      <wp:docPr id="379" name="Frame3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05460" cy="175260"/>
                      <wp:effectExtent l="0" t="0" r="0" b="0"/>
                      <wp:wrapNone/>
                      <wp:docPr id="381" name="Frame3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215" cy="175260"/>
                      <wp:effectExtent l="0" t="0" r="0" b="0"/>
                      <wp:wrapNone/>
                      <wp:docPr id="382" name="Frame3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95935" cy="175260"/>
                      <wp:effectExtent l="0" t="0" r="0" b="0"/>
                      <wp:wrapNone/>
                      <wp:docPr id="384" name="Frame3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9215" cy="175260"/>
                      <wp:effectExtent l="0" t="0" r="0" b="0"/>
                      <wp:wrapNone/>
                      <wp:docPr id="385" name="Frame3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62610" cy="175260"/>
                      <wp:effectExtent l="0" t="0" r="0" b="0"/>
                      <wp:wrapNone/>
                      <wp:docPr id="387" name="Frame38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53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2026</w:t>
            </w:r>
          </w:p>
        </w:tc>
      </w:tr>
      <w:tr>
        <w:trPr/>
        <w:tc>
          <w:tcPr>
            <w:tcW w:w="4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GevoND</w:t>
            </w:r>
          </w:p>
        </w:tc>
        <w:tc>
          <w:tcPr>
            <w:tcW w:w="109"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42,948</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6,860</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3,040</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21,374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36,447</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bonds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(10,304)</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 net of other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(21,351)</w:t>
            </w:r>
          </w:p>
        </w:tc>
      </w:tr>
      <w:tr>
        <w:trPr/>
        <w:tc>
          <w:tcPr>
            <w:tcW w:w="43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8,875</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as of March 31, 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as of March 31, 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104,967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238,252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653,503</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40"/>
        <w:gridCol w:w="346"/>
        <w:gridCol w:w="211"/>
        <w:gridCol w:w="792"/>
        <w:gridCol w:w="346"/>
        <w:gridCol w:w="211"/>
        <w:gridCol w:w="781"/>
        <w:gridCol w:w="346"/>
        <w:gridCol w:w="211"/>
        <w:gridCol w:w="676"/>
        <w:gridCol w:w="109"/>
        <w:gridCol w:w="211"/>
        <w:gridCol w:w="781"/>
        <w:gridCol w:w="346"/>
        <w:gridCol w:w="211"/>
        <w:gridCol w:w="887"/>
      </w:tblGrid>
      <w:tr>
        <w:trPr/>
        <w:tc>
          <w:tcPr>
            <w:tcW w:w="3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374900" cy="175260"/>
                      <wp:effectExtent l="0" t="0" r="0" b="0"/>
                      <wp:wrapNone/>
                      <wp:docPr id="388" name="Frame388"/>
                      <a:graphic xmlns:a="http://schemas.openxmlformats.org/drawingml/2006/main">
                        <a:graphicData uri="http://schemas.microsoft.com/office/word/2010/wordprocessingShape">
                          <wps:wsp>
                            <wps:cNvSpPr txBox="1"/>
                            <wps:spPr>
                              <a:xfrm>
                                <a:off x="0" y="0"/>
                                <a:ext cx="2374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02920" cy="175260"/>
                      <wp:effectExtent l="0" t="0" r="0" b="0"/>
                      <wp:wrapNone/>
                      <wp:docPr id="391" name="Frame391"/>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95935" cy="175260"/>
                      <wp:effectExtent l="0" t="0" r="0" b="0"/>
                      <wp:wrapNone/>
                      <wp:docPr id="394" name="Frame3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29260" cy="175260"/>
                      <wp:effectExtent l="0" t="0" r="0" b="0"/>
                      <wp:wrapNone/>
                      <wp:docPr id="397" name="Frame3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9215" cy="175260"/>
                      <wp:effectExtent l="0" t="0" r="0" b="0"/>
                      <wp:wrapNone/>
                      <wp:docPr id="398" name="Frame3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95935" cy="175260"/>
                      <wp:effectExtent l="0" t="0" r="0" b="0"/>
                      <wp:wrapNone/>
                      <wp:docPr id="400" name="Frame4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63245" cy="175260"/>
                      <wp:effectExtent l="0" t="0" r="0" b="0"/>
                      <wp:wrapNone/>
                      <wp:docPr id="403" name="Frame40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119"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374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GevoND</w:t>
            </w:r>
          </w:p>
        </w:tc>
        <w:tc>
          <w:tcPr>
            <w:tcW w:w="346" w:type="dxa"/>
            <w:tcBorders/>
            <w:vAlign w:val="center"/>
          </w:tcPr>
          <w:p>
            <w:pPr>
              <w:pStyle w:val="TableContents"/>
              <w:bidi w:val="0"/>
              <w:spacing w:before="0" w:after="1"/>
              <w:ind w:left="0" w:right="0" w:hanging="0"/>
              <w:jc w:val="center"/>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29,109</w:t>
            </w:r>
          </w:p>
        </w:tc>
      </w:tr>
      <w:tr>
        <w:trPr/>
        <w:tc>
          <w:tcPr>
            <w:tcW w:w="3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r>
      <w:tr>
        <w:trPr/>
        <w:tc>
          <w:tcPr>
            <w:tcW w:w="3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5,622</w:t>
            </w:r>
          </w:p>
        </w:tc>
      </w:tr>
      <w:tr>
        <w:trPr/>
        <w:tc>
          <w:tcPr>
            <w:tcW w:w="3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w:t>
            </w:r>
          </w:p>
        </w:tc>
      </w:tr>
      <w:tr>
        <w:trPr/>
        <w:tc>
          <w:tcPr>
            <w:tcW w:w="3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5,002</w:t>
            </w:r>
          </w:p>
        </w:tc>
      </w:tr>
      <w:tr>
        <w:trPr/>
        <w:tc>
          <w:tcPr>
            <w:tcW w:w="3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37,572</w:t>
            </w:r>
          </w:p>
        </w:tc>
      </w:tr>
      <w:tr>
        <w:trPr/>
        <w:tc>
          <w:tcPr>
            <w:tcW w:w="3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(20,139)</w:t>
            </w:r>
          </w:p>
        </w:tc>
      </w:tr>
      <w:tr>
        <w:trPr/>
        <w:tc>
          <w:tcPr>
            <w:tcW w:w="3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(3,294)</w:t>
            </w:r>
          </w:p>
        </w:tc>
      </w:tr>
      <w:tr>
        <w:trPr/>
        <w:tc>
          <w:tcPr>
            <w:tcW w:w="3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 net of other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w:t>
            </w:r>
          </w:p>
        </w:tc>
      </w:tr>
      <w:tr>
        <w:trPr/>
        <w:tc>
          <w:tcPr>
            <w:tcW w:w="3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(21,773)</w:t>
            </w:r>
          </w:p>
        </w:tc>
      </w:tr>
      <w:tr>
        <w:trPr/>
        <w:tc>
          <w:tcPr>
            <w:tcW w:w="374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left"/>
              <w:rPr/>
            </w:pPr>
            <w:r>
              <w:rPr/>
              <w:t>​</w:t>
            </w:r>
          </w:p>
        </w:tc>
      </w:tr>
      <w:tr>
        <w:trPr/>
        <w:tc>
          <w:tcPr>
            <w:tcW w:w="3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5,834</w:t>
            </w:r>
          </w:p>
        </w:tc>
      </w:tr>
      <w:tr>
        <w:trPr/>
        <w:tc>
          <w:tcPr>
            <w:tcW w:w="3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r>
      <w:tr>
        <w:trPr/>
        <w:tc>
          <w:tcPr>
            <w:tcW w:w="3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as of December 31, 2025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88,876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718,929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24. Subsequent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has reviewed the period between the balance sheet date and the date the financial statements were issued for subsequent events. No material subsequent events have been identified that would require adjustment to, or disclosure in,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1538" w:name="Item2ManagementsDiscussionandAnalysisofF"/>
      <w:bookmarkStart w:id="1539" w:name="_f64a5421_82d4_4a78_94b9_426089afa9c2"/>
      <w:bookmarkEnd w:id="1538"/>
      <w:bookmarkEnd w:id="1539"/>
      <w:r>
        <w:rPr>
          <w:rFonts w:ascii="Times New Roman;Times;serif" w:hAnsi="Times New Roman;Times;serif"/>
          <w:b/>
          <w:sz w:val="20"/>
        </w:rPr>
        <w:t>Item 2. Management’s Discussion and Analysis of Financial Condition and Results of Operations.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Quarterly Report on Form 10-Q (this “Report”) contains forward-looking statements within the meaning of Section 21E of the Securities Exchange Act of 1934, as amended (the “Exchange Act”). When used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revenues, results of operation and liquidity, our expectations regarding the financing, development, and construction of our projects, and the associated costs, our ability to produce our products, our expectations regarding the demand for our products and our ability to meet such demand, our ability to meet production, financial and operational guidance, our strategy to pursue low-carbon renewable fuels, our ability to replace our fossil-based energy sources with renewable energy sources at our Alcohol-to-Jet (“ATJ”) projects and elsewhere, our expectations regarding fuel consumption, our expectations regarding the location, start-up date and production results for our ATJ projects, our expectations regarding the benefits of ETO (as defined below) technology, our expectations regarding our ability to produce and the anticipated benefits of renewable liquid hydrocarbons, our expectations regarding our ability to produce and resell protein and other products for use in the food chain, our ability and plans to construct greenfield commercial hydrocarbon facilities to produce synthetic (or sustainable) aviation fuel (“SAF”) and other products, our ability to raise additional funds to finance our business and the sources of those funds, the availability of, and market prices for, government economic incentives to the renewable energy market, achievement of advances in our technology platform, the availability of suitable and cost-competitive feedstocks, our ability to gain market acceptance for our products, our expectations regarding the demand for and revenue to be generated from the sale of carbon credits, the expected cost-competitiveness and relative performance attributes of our products, our strategy to pursue ATJ development and production, additional competition, and changes in economic conditions. Important factors could cause actual results to differ materially from those indicated or implied by forward-looking statements such as those contained in documents we have filed with the United States (“U.S.”) Securities and Exchange Commission (the “SEC”), including this Report in Item 2. “Management’s Discussion and Analysis of Financial Condition and Results of Operations,” our Annual Report on Form 10-K for the year ended December 31, 2025 (our “2025 Annual Report”), including Item 1A. “Risk Factors” of our 2025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Unless the context requires otherwise, in this Report the terms “Gevo,” “we,” “us,” “our” and “Company” refer to Gevo, Inc. and its wholly owned, direct and indirect subsidiaries.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discussion should be read in conjunction with our unaudited condensed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2025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Gevo, Inc. (Nasdaq: GEVO), a Delaware corporation founded in 2005, is a growth-oriented company that focuses on hard to decarbonize market sectors such as jet fuel, certain specialty fuels, on-road fuels, chemicals and materials, and certain products for the food and feed chain such as protein and feeds made as co-products from our processes. Each of the market areas that Gevo focuses on has the common need for carbon-based products and is not conducive to full electrification or hydrogen. We produce and sell competitively priced, renewable, drop-in products for these sectors, and generate carbon abatement value through our plant design and business systems.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generating value from physical products such as fuels, chemicals, protein, feed and oil, our business model is designed to generate carbon abatement value through our production processes, plant design, and operating systems. This carbon abatement value may be monetized through mechanisms such as direct sales of certified carbon credits, Renewable Identification Numbers (“RINs”), state-level clean fuel credits, federal tax credits enacted under the Inflation Reduction Act (“IRA”), Canada’s Clean Fuel Regulations (“CFR”), state level clean fuel regulations, and, in certain cases, through the value attributed to reduced Scope 1 and Scope 3 greenhouse gas (“GHG”) emissions by end customers, particularly related to fuel products. Gevo owns certain operating assets that generate cash flow and expects growth by developing markets, pursuing project development, investing in capital assets, and licensing certain technologies.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primary market focus, given the large demand and growing customer interest, is carbon abated hydrocarbon fuels, including SAF. We believe that SAF produced from an ATJ process is the most economically viable approach to meet growing jet fuel demand and to generate value from carbon abatement. We also have commercial opportunities for other renewable hydrocarbon products, such as renewable natural gas (“RNG”); hydrocarbons for gasoline and racing fuel blendstocks and diesel fuel; ingredients for the chemical industry, such as ethylene and butenes for plastics and materials; and other chemicals.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order to build out an ATJ platform, we need to have low cost, low carbon alcohol available as a feedstock. We also believe carbon capture and sequestration is a critical component of producing a low carbon footprint alcohol. We believe Gevo North Dakota (“GevoND”) provides a commercial operating platform that supports our broader ATJ strategy by supplying low-carbon ethanol feedstock and generating carbon abatement value through its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Gevo is developing a business system that not only benefits Gevo but is also expected to be attractive to other companies seeking to produce SAF. Gevo has the plant designs and technologies, as well as the carbon accounting, carbon tax credit marketing, carbon sales, and fuel sales capabilities that can benefit other companies looking to develop and license Gevo’s ATJ platform under a franchise model.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Gevo has an intellectual property portfolio consisting of hundreds of patents, many of which center around our ATJ platforms, as well as proprietary know-how. In addition, we have partnered with other leading global technology companies to develop this system focused on three standard sizes, 30, 60 and 180 million gallons per year (“MMGPY”) of SAF, referred to as ATJ-30, ATJ-60 and ATJ-180, respectively. It is our intent to deploy ATJ-30 at our GevoND site. ATJ-30 would upgrade the low-carbon ethanol already produced onsite to SAF.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Gevo North Dakota</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Gevo North Dakota facility was acquired in January 2025, for total consideration of $210 million, subject to customary adjustments, including a working capital adjustment. The transaction was funded through a combination of Gevo cash, and a $105 million senior secured term loan facility. Simultaneous with the closing of the transaction, affiliates of Orion Infrastructure Capital (“OIC”), a U.S.-based private investment firm made a $5 million investment in the form of a redeemable non-controlling interest (“NCI”) in GevoND. This NCI is subject to a Put/Call option feature, which grants Gevo the right to call (purchase) the units held by OIC, and OIC the right to put (sell) the units to Gevo under certain conditions. These options are exercisable for a period of three years following the repayment of all outstanding debt under the credit agreement the Company and certain of its subsidiaries entered into with an affiliate of OIC. As a result of the redeemable nature of this non-controlling interest, it has been classified as temporary equity on the Company’s Condensed Consolidated Balance Sheets. </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acquired assets include an ethanol production plant, a carbon capture and storage well, and leases that give us rights to use additional pore space for carbon capture. The operational personnel of Red Trail Energy joined Gevo upon the closing of the acquisition. The acquired ethanol production facility converts corn into ethanol and distillers grains, a high-protein animal feed, and corn oil. The included carbon capture and sequestration (“CCS”) assets support Gevo’s broader carbon abatement goals, particularly in relation to its ATJ platform. We believe the acquisition strengthens Gevo’s growth trajectory by adding ethanol production, distillers grains, corn oil, and carbon dioxide removal (“CDR”) credit sales to our revenue stream, while also enhancing our capabilities in CCS and supporting our broader strategic efforts in SAF production which use low-carbon alcohol as a feedstock.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Gevo Fuels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ATJ platform currently consists of two designs: ATJ-30 and ATJ-60, which are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ATJ-30</w:t>
      </w:r>
      <w:r>
        <w:rPr>
          <w:rFonts w:ascii="Times New Roman;Times;serif" w:hAnsi="Times New Roman;Times;serif"/>
          <w:sz w:val="20"/>
        </w:rPr>
        <w:t>. We have duplicated and modified the ATJ-60 design into an ATJ-30 design which is being designed to produce approximately 30 MMGPY of total hydrocarbon volumes, the majority of which would be SAF. We expect that we will deploy the ATJ-30 platform at our GevoND site, which would allow us to upgrade the low-carbon ethanol already being produced onsite into SAF. We expect to continue engineering and development through 2026 before completing the front-end engineering design (“FEED”) phase of the project. At the end of FEED, we expect to have a capital estimate and schedule for the project. Because we began with the designs and know-how from the ATJ-60 project, we are able to shorten the time and costs to complete the development phase of the project. An ATJ-30 plant located at and integrated into our existing ethanol plant and carbon sequestration is our current primary focus for SAF commercialization.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ATJ-60.</w:t>
      </w:r>
      <w:r>
        <w:rPr>
          <w:rFonts w:ascii="Times New Roman;Times;serif" w:hAnsi="Times New Roman;Times;serif"/>
          <w:sz w:val="20"/>
        </w:rPr>
        <w:t xml:space="preserve"> ATJ-60 is designed to produce approximately 65 MMGPY of total hydrocarbon volumes, including 60 MMGPY of SAF. The project to deploy ATJ-60 at a site we own in Lake Preston, South Dakota is currently on hold. </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also conducted preliminary engineering and design work for an ATJ-180 configuration which remains in the development stage. ATJ-180 is being designed to produce approximately 180 MMGPY of SAF and related hydrocarbon products. Advancement of ATJ-180 will depend on market conditions, customer demand, availability of financing, regulatory support, and access to suitable infrastructure.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currently expect to finance the construction of ATJ plants at the subsidiary level using a combination of Company equity (through in-kind and/or cash contributions), and capital from project level equity and debt financing. Cash distributions from future ATJ plant earnings would be proportionate to Gevo’s ownership in such plants under this expected financing structure. The use of project debt and third-party equity allows us to conserve capital for use on other growth projects.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achieve full construction financing for an ATJ plant, we intend to secure debt and possibly third-party equity. On October 16, 2024, we received a conditional commitment from the U.S. Department of Energy (“DOE”) Energy Dominance Financing Program (“EDF”) (formerly known as the Loan Programs Office) for a loan guarantee facility with a capacity of approximately $1.6 billion (including capitalized interest during construction) for our ATJ-60 project (formerly known as Net-Zero 1) in Lake Preston, South Dakota. The receipt of a conditional commitment was significant as it helped to validate the ATJ plant design integrity, which underpinned the DOE’s diligence process. In April 2026, we decided to withdraw our application for a DOE loan guarantee as (i) the business objectives required by the EDF to support enhanced oil recovery (“EOR”) are not yet commercially viable at scale in the project area, and (ii) opportunities for alternative financing and broadened product offerings are better aligned with company strategy and can accelerate the timeline for project execution. The withdrawal reserves the opportunity for Gevo to resubmit an application for a project at a later date, if desired. Gevo intends to continue its efforts on the ATJ-30 project.</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are pursuing potential ATJ projects with several existing ethanol plant sites. Existing ethanol plants can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pStyle w:val="TextBody"/>
        <w:shd w:fill="FFFFFF" w:val="clear"/>
        <w:bidi w:val="0"/>
        <w:spacing w:before="0" w:after="240"/>
        <w:ind w:left="0" w:right="0" w:hanging="0"/>
        <w:jc w:val="left"/>
        <w:rPr>
          <w:rFonts w:ascii="Times New Roman;Times;serif" w:hAnsi="Times New Roman;Times;serif"/>
          <w:color w:val="212529"/>
          <w:sz w:val="20"/>
        </w:rPr>
      </w:pPr>
      <w:r>
        <w:rPr>
          <w:rFonts w:ascii="Times New Roman;Times;serif" w:hAnsi="Times New Roman;Times;serif"/>
          <w:color w:val="212529"/>
          <w:sz w:val="20"/>
        </w:rPr>
        <w:t>Renewable Natural Gas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RNG business was originally developed to provide the option of supplying energy for our ATJ plant designs. At this time, we do not expect that an RNG facility will be required to support the ATJ-30 plant planned to be located at Gevo North Dakota. We intend to continue operating the RNG business as a standalone operation and currently have no plans to invest significant additional capital in the business. </w:t>
      </w:r>
      <w:r>
        <w:rPr>
          <w:rFonts w:ascii="Times New Roman;Times;serif" w:hAnsi="Times New Roman;Times;serif"/>
          <w:sz w:val="20"/>
          <w:shd w:fill="FFFFFF" w:val="clear"/>
        </w:rPr>
        <w:t xml:space="preserve">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shd w:fill="FFFFFF" w:val="clear"/>
        </w:rPr>
        <w:t>in Northwest Iowa started up and began producing and</w:t>
      </w:r>
      <w:r>
        <w:rPr>
          <w:rFonts w:ascii="Times New Roman;Times;serif" w:hAnsi="Times New Roman;Times;serif"/>
          <w:sz w:val="20"/>
        </w:rPr>
        <w:t xml:space="preserve"> injecting initial volumes of biogas in 2022, during the project’s testing and ramp-up period. In 2023, the project achieved stable production levels and surpassed our annual production target of 310,000 million British thermal units (“MMBtu”). In addition, in 2024 we completed an expansion of 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rPr>
        <w:t>to increase its annual expected output from 355,000 MMBtu to about 400,000 MMBtu.</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rPr>
        <w:t xml:space="preserve">generates revenue through the sale of RNG and environmental attributes associated with RNG produced at the facility. These environmental attributes include credits under California’s Low Carbon Fuel Standard (“LCFS”) program and the U.S. Environmental Protection Agency (“EPA”) Renewable Fuels Standard (“RFS”) program (“RFS Program”), which allow us to earn renewable identification numbers (“RINs”). </w:t>
      </w:r>
      <w:r>
        <w:rPr>
          <w:rFonts w:ascii="Times New Roman;Times;serif" w:hAnsi="Times New Roman;Times;serif"/>
          <w:sz w:val="20"/>
          <w:shd w:fill="FFFFFF" w:val="clear"/>
        </w:rPr>
        <w:t xml:space="preserve">Gevo was granted registration approval by the EPA in 2022, allowing us to participate in the RFS Program to receive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March 2025, the California Air Resources Board (“CARB”) approved our application for a provisional Tier 2 pathway, representing the significantly lower carbon intensity of our RNG than was reflected under our previous temporary pathway. </w:t>
      </w:r>
    </w:p>
    <w:p>
      <w:pPr>
        <w:pStyle w:val="TextBody"/>
        <w:bidi w:val="0"/>
        <w:spacing w:lineRule="auto" w:line="302"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provisional pathway, which is effective for reporting beginning with the fourth quarter of 2024, has a weighted average carbon intensity (“CI”) score of approximately -339 gCO2e/MJ, which represents approximately 160,000 LCFS credits in the California LCFS Reporting Tool (“LRT”) system assuming our RNG operation produces 400,000 MMBTU in 2025. This is an increase of LCFS credits from approximately 90,000 credits under our old temporary pathway of -150 g CO2e/MJ. The increase of carbon credit generation of approximately 70,000 credits represents a significant increase in revenue for the RNG business. The LCFS pathways are required to be updated and verified annually, using the most recent 24 months of operational data. The provisional pathway was updated and approved in 2025, effective beginning in the first quarter of 2026, and has a weighted average CI score (including a margin of safety) of approximately -314 gCO2e/MJ.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Verity</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Verity Holdings, LLC (“Verity”), a wholly owned subsidiary of Gevo, is developing a data and software platform designed to support traceability, compliance reporting, and the potential monetization of carbon intensity (“CI”) reductions across the renewable fuels supply chain. The Verity platform currently enables the collection, aggregation and end-to-end tracking of data from agricultural production and processing partners to support reporting under federal and state regulatory programs, including Section 45Z and LCFS programs in California, Oregon, Washington, British Columbia and other Canadian provinces. In 2025, Verity began onboarding customers across multiple segments of the supply chain, including grain elevators, biofuel producers, and supply chain partners, with the goal of enabling full lifecycle CI tracking and audit support. While still in the early stages of commercialization, Verity is actively building capabilities to support measurement, reporting, and verification (“MRV”) of Scope 1 and Scope 3 carbon insets and other environmental attributes. The platform is intended to support Gevo’s ATJ and is expected to evolve into a core infrastructure asset for CI tracking and facilitate potential carbon monetization across the broader low-carbon fuels and agriculture ecosystem.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Ethanol-to-Olefins</w:t>
      </w:r>
      <w:r>
        <w:rPr>
          <w:rFonts w:ascii="Times New Roman;Times;serif" w:hAnsi="Times New Roman;Times;serif"/>
          <w:sz w:val="20"/>
          <w:shd w:fill="FFFFFF" w:val="clear"/>
        </w:rPr>
        <w:t xml:space="preserve"> Technology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In April 2023, we entered into a joint development agreement with LG Chem, Ltd. (“LG Chem”), a leading 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SAF. These plant-based, renewable olefins would be derived from atmospheric CO2 captured through photosynthesis and are expected to deliver the same performance in final products on the market today. </w:t>
      </w:r>
      <w:r>
        <w:rPr>
          <w:rFonts w:ascii="Times New Roman;Times;serif" w:hAnsi="Times New Roman;Times;serif"/>
          <w:sz w:val="20"/>
        </w:rPr>
        <w:t>We also believe ETO will reduce the capital and operating costs of future ATJ SAF production facilities.</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Under the terms of the agreement with LG Chem, we will provide the core enabling technology we have developed for renewable olefins to be produced from low-carbon ethanol and will collaborate with LG Chem to accelerate the pilot research, technical scale-up, and commercialization of bio-propylene.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Additionally, Axens North America, Inc. (“Axens”) and Gevo are working together to ensure they remain leaders in the ethanol-to-jet space by partnering with IFP Energies Nouvelles (“IFPEN”) on the final development and commercial deployment of Gevo’s patented ETO process for fuel applications. This collaboration is expected to significantly reduce capital and operating costs while lowering the carbon intensity of the process.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Luverne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31, 2025, </w:t>
      </w:r>
      <w:r>
        <w:rPr>
          <w:rFonts w:ascii="Times New Roman;Times;serif" w:hAnsi="Times New Roman;Times;serif"/>
          <w:sz w:val="20"/>
          <w:shd w:fill="FFFFFF" w:val="clear"/>
        </w:rPr>
        <w:t>we sold our subsidiary Agri-Energy, LLC, which owned an 18 million gallon-per-year ethanol production facility located in Luverne, Minnesota (the “Luverne Facility”) to A.E. Innovation LLC. The sales price was $7.0 million, which was made up of a $2 million cash payment, paid on the transaction closing date and a $5.0 million note receivable. As part of the transaction, we retained certain assets at the Luverne Facility including certain isobutanol production assets and associated infrastructure.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Key Operating Metrics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Gevo North Dakota operating metrics.</w:t>
      </w:r>
      <w:r>
        <w:rPr>
          <w:rFonts w:ascii="Times New Roman;Times;serif" w:hAnsi="Times New Roman;Times;serif"/>
          <w:sz w:val="20"/>
        </w:rPr>
        <w:t xml:space="preserve"> Total operating revenues reflect sales of low-carbon ethanol, ethanol-related co-products and carbon removal credits. As a result, our revenues are primarily affected by unit production of low-carbon ethanol, ethanol-related co-products, the registration of carbon removal credits and low-carbon fuel pathways, and the prices at which we monetize such production. Production costs are reduced by the generation of clean fuel production tax credits. The following table summarizes the key operating metrics described above, recorded on the GevoND segment, which metrics we use to measure performance, and covers the three months ended March 31, 2026 and for 2025, the two month period from January 31, 2025, when Gevo closed on the acquisition of all of the assets and assumed certain liabilities of Red Trail Energy, to March 31, 2025.</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RNG operating metrics.</w:t>
      </w:r>
      <w:r>
        <w:rPr>
          <w:rFonts w:ascii="Times New Roman;Times;serif" w:hAnsi="Times New Roman;Times;serif"/>
          <w:sz w:val="20"/>
        </w:rPr>
        <w:t xml:space="preserve"> Total operating revenues reflect both sales of RNG and sales of related environmental attributes. As a result, our revenues are primarily affected by unit production of RNG, production of environmental attributes and the prices at which we monetize such production. Production costs are reduced by the generation of clean fuel production tax credits. The following table summarizes the key operating metrics described above, recorded on the RNG segment, which metrics we use to measure performance.</w:t>
      </w:r>
    </w:p>
    <w:p>
      <w:pPr>
        <w:pStyle w:val="TextBody"/>
        <w:bidi w:val="0"/>
        <w:spacing w:before="0" w:after="240"/>
        <w:ind w:left="0" w:right="0" w:firstLine="360"/>
        <w:jc w:val="left"/>
        <w:rPr/>
      </w:pPr>
      <w:r>
        <w:rPr/>
        <w:t>​</w:t>
      </w:r>
    </w:p>
    <w:tbl>
      <w:tblPr>
        <w:tblW w:w="9518" w:type="dxa"/>
        <w:jc w:val="left"/>
        <w:tblInd w:w="0" w:type="dxa"/>
        <w:tblLayout w:type="fixed"/>
        <w:tblCellMar>
          <w:top w:w="0" w:type="dxa"/>
          <w:left w:w="0" w:type="dxa"/>
          <w:bottom w:w="0" w:type="dxa"/>
          <w:right w:w="0" w:type="dxa"/>
        </w:tblCellMar>
      </w:tblPr>
      <w:tblGrid>
        <w:gridCol w:w="4141"/>
        <w:gridCol w:w="109"/>
        <w:gridCol w:w="218"/>
        <w:gridCol w:w="1072"/>
        <w:gridCol w:w="109"/>
        <w:gridCol w:w="211"/>
        <w:gridCol w:w="1036"/>
        <w:gridCol w:w="109"/>
        <w:gridCol w:w="211"/>
        <w:gridCol w:w="931"/>
        <w:gridCol w:w="109"/>
        <w:gridCol w:w="946"/>
        <w:gridCol w:w="316"/>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629535" cy="175260"/>
                      <wp:effectExtent l="0" t="0" r="0" b="0"/>
                      <wp:wrapNone/>
                      <wp:docPr id="404" name="Frame404"/>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8430" cy="175260"/>
                      <wp:effectExtent l="0" t="0" r="0" b="0"/>
                      <wp:wrapNone/>
                      <wp:docPr id="406" name="Frame40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80720" cy="175260"/>
                      <wp:effectExtent l="0" t="0" r="0" b="0"/>
                      <wp:wrapNone/>
                      <wp:docPr id="407" name="Frame407"/>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57860" cy="175260"/>
                      <wp:effectExtent l="0" t="0" r="0" b="0"/>
                      <wp:wrapNone/>
                      <wp:docPr id="410" name="Frame4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215" cy="175260"/>
                      <wp:effectExtent l="0" t="0" r="0" b="0"/>
                      <wp:wrapNone/>
                      <wp:docPr id="411" name="Frame4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91185" cy="175260"/>
                      <wp:effectExtent l="0" t="0" r="0" b="0"/>
                      <wp:wrapNone/>
                      <wp:docPr id="413" name="Frame4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75260"/>
                      <wp:effectExtent l="0" t="0" r="0" b="0"/>
                      <wp:wrapNone/>
                      <wp:docPr id="414" name="Frame4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00710" cy="175260"/>
                      <wp:effectExtent l="0" t="0" r="0" b="0"/>
                      <wp:wrapNone/>
                      <wp:docPr id="415" name="Frame41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0660" cy="175260"/>
                      <wp:effectExtent l="0" t="0" r="0" b="0"/>
                      <wp:wrapNone/>
                      <wp:docPr id="416" name="Frame4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518" w:type="dxa"/>
            <w:gridSpan w:val="13"/>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Gevo ND</w:t>
            </w:r>
          </w:p>
        </w:tc>
      </w:tr>
      <w:tr>
        <w:trPr/>
        <w:tc>
          <w:tcPr>
            <w:tcW w:w="414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center"/>
              <w:rPr/>
            </w:pPr>
            <w:r>
              <w:rPr/>
              <w:t>​</w:t>
            </w:r>
          </w:p>
        </w:tc>
        <w:tc>
          <w:tcPr>
            <w:tcW w:w="107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4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90"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Two Months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90"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Ended</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Ended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90"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March 31, </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March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Change</w:t>
            </w:r>
          </w:p>
        </w:tc>
        <w:tc>
          <w:tcPr>
            <w:tcW w:w="109"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Change %</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107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Ethanol (gallons)</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17,748,399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11,136,584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6,611,815</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Dried-distillers grains (tons)</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4,624</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Modified distillers grains (tons)</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51,845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21,816</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oil and syrup sold (lbs)</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4,838,520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2,904,620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1,933,900</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107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 prices:</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107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Ethanol price per gallon</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Dried-distillers grain price per ton </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Modified distillers grains price per ton</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oil and syrup price per pound</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107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107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Carbon sequestered (metric tons)</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46,453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46,453</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Clean fuel production tax credits ($ in thousands)</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15,853</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107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Costs:</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107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ground (bushels)</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6,119,241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3,867,488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2,251,753</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production costs per bushel</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production costs ($ in thousands)</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15,663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8,386</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Natural gas used (MMBtu)</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409,075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144,958</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Natural gas production cost per MMBtu</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0.44</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Natural gas production cost ($ in thousands)</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746.00</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78740" cy="175260"/>
                      <wp:effectExtent l="0" t="0" r="0" b="0"/>
                      <wp:wrapNone/>
                      <wp:docPr id="417" name="Frame41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4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9215" cy="175260"/>
                      <wp:effectExtent l="0" t="0" r="0" b="0"/>
                      <wp:wrapNone/>
                      <wp:docPr id="420"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215" cy="175260"/>
                      <wp:effectExtent l="0" t="0" r="0" b="0"/>
                      <wp:wrapNone/>
                      <wp:docPr id="421" name="Frame4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215" cy="175260"/>
                      <wp:effectExtent l="0" t="0" r="0" b="0"/>
                      <wp:wrapNone/>
                      <wp:docPr id="425" name="Frame4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26"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9215" cy="175260"/>
                      <wp:effectExtent l="0" t="0" r="0" b="0"/>
                      <wp:wrapNone/>
                      <wp:docPr id="428" name="Frame4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97790" cy="175260"/>
                      <wp:effectExtent l="0" t="0" r="0" b="0"/>
                      <wp:wrapNone/>
                      <wp:docPr id="429" name="Frame42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7" w:type="dxa"/>
            <w:gridSpan w:val="13"/>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Gevo RNG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538" w:type="dxa"/>
        <w:jc w:val="left"/>
        <w:tblInd w:w="0" w:type="dxa"/>
        <w:tblLayout w:type="fixed"/>
        <w:tblCellMar>
          <w:top w:w="0" w:type="dxa"/>
          <w:left w:w="0" w:type="dxa"/>
          <w:bottom w:w="0" w:type="dxa"/>
          <w:right w:w="0" w:type="dxa"/>
        </w:tblCellMar>
      </w:tblPr>
      <w:tblGrid>
        <w:gridCol w:w="4141"/>
        <w:gridCol w:w="109"/>
        <w:gridCol w:w="211"/>
        <w:gridCol w:w="1174"/>
        <w:gridCol w:w="137"/>
        <w:gridCol w:w="266"/>
        <w:gridCol w:w="985"/>
        <w:gridCol w:w="137"/>
        <w:gridCol w:w="211"/>
        <w:gridCol w:w="796"/>
        <w:gridCol w:w="109"/>
        <w:gridCol w:w="946"/>
        <w:gridCol w:w="316"/>
      </w:tblGrid>
      <w:tr>
        <w:trPr/>
        <w:tc>
          <w:tcPr>
            <w:tcW w:w="414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74" w:type="dxa"/>
            <w:tcBorders/>
            <w:vAlign w:val="center"/>
          </w:tcPr>
          <w:p>
            <w:pPr>
              <w:pStyle w:val="TableContents"/>
              <w:bidi w:val="0"/>
              <w:spacing w:before="0" w:after="1"/>
              <w:ind w:left="0" w:right="0" w:hanging="0"/>
              <w:jc w:val="center"/>
              <w:rPr/>
            </w:pPr>
            <w:r>
              <w:rPr/>
              <w:t>​</w:t>
            </w:r>
          </w:p>
        </w:tc>
        <w:tc>
          <w:tcPr>
            <w:tcW w:w="137"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985" w:type="dxa"/>
            <w:tcBorders/>
            <w:vAlign w:val="center"/>
          </w:tcPr>
          <w:p>
            <w:pPr>
              <w:pStyle w:val="TableContents"/>
              <w:bidi w:val="0"/>
              <w:spacing w:before="0" w:after="1"/>
              <w:ind w:left="0" w:right="0" w:hanging="0"/>
              <w:jc w:val="center"/>
              <w:rPr/>
            </w:pPr>
            <w:r>
              <w:rPr/>
              <w:t>​</w:t>
            </w:r>
          </w:p>
        </w:tc>
        <w:tc>
          <w:tcPr>
            <w:tcW w:w="137"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4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6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ended March 31,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137" w:type="dxa"/>
            <w:tcBorders/>
            <w:vAlign w:val="center"/>
          </w:tcPr>
          <w:p>
            <w:pPr>
              <w:pStyle w:val="TableContents"/>
              <w:bidi w:val="0"/>
              <w:spacing w:before="0" w:after="1"/>
              <w:ind w:left="0" w:right="0" w:hanging="0"/>
              <w:jc w:val="left"/>
              <w:rPr/>
            </w:pPr>
            <w:r>
              <w:rPr/>
              <w:t>​</w:t>
            </w:r>
          </w:p>
        </w:tc>
        <w:tc>
          <w:tcPr>
            <w:tcW w:w="12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137"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Change</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Change %</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174" w:type="dxa"/>
            <w:tcBorders/>
            <w:vAlign w:val="center"/>
          </w:tcPr>
          <w:p>
            <w:pPr>
              <w:pStyle w:val="TableContents"/>
              <w:bidi w:val="0"/>
              <w:spacing w:before="0" w:after="1"/>
              <w:ind w:left="0" w:right="0" w:hanging="0"/>
              <w:jc w:val="center"/>
              <w:rPr/>
            </w:pPr>
            <w:r>
              <w:rPr/>
              <w:t>​</w:t>
            </w:r>
          </w:p>
        </w:tc>
        <w:tc>
          <w:tcPr>
            <w:tcW w:w="13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center"/>
              <w:rPr/>
            </w:pPr>
            <w:r>
              <w:rPr/>
              <w:t>​</w:t>
            </w:r>
          </w:p>
        </w:tc>
        <w:tc>
          <w:tcPr>
            <w:tcW w:w="985" w:type="dxa"/>
            <w:tcBorders/>
            <w:vAlign w:val="center"/>
          </w:tcPr>
          <w:p>
            <w:pPr>
              <w:pStyle w:val="TableContents"/>
              <w:bidi w:val="0"/>
              <w:spacing w:before="0" w:after="1"/>
              <w:ind w:left="0" w:right="0" w:hanging="0"/>
              <w:jc w:val="center"/>
              <w:rPr/>
            </w:pPr>
            <w:r>
              <w:rPr/>
              <w:t>​</w:t>
            </w:r>
          </w:p>
        </w:tc>
        <w:tc>
          <w:tcPr>
            <w:tcW w:w="13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of RNG (MMBtu)</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91,675</w:t>
            </w:r>
          </w:p>
        </w:tc>
        <w:tc>
          <w:tcPr>
            <w:tcW w:w="137"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79,963</w:t>
            </w:r>
          </w:p>
        </w:tc>
        <w:tc>
          <w:tcPr>
            <w:tcW w:w="13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11,712</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price per MMBtu</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13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c>
          <w:tcPr>
            <w:tcW w:w="13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left"/>
              <w:rPr/>
            </w:pPr>
            <w:r>
              <w:rPr/>
              <w:t>​</w:t>
            </w:r>
          </w:p>
        </w:tc>
        <w:tc>
          <w:tcPr>
            <w:tcW w:w="137"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left"/>
              <w:rPr/>
            </w:pPr>
            <w:r>
              <w:rPr/>
              <w:t>​</w:t>
            </w:r>
          </w:p>
        </w:tc>
        <w:tc>
          <w:tcPr>
            <w:tcW w:w="13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Environmental Attributes: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left"/>
              <w:rPr/>
            </w:pPr>
            <w:r>
              <w:rPr/>
              <w:t>​</w:t>
            </w:r>
          </w:p>
        </w:tc>
        <w:tc>
          <w:tcPr>
            <w:tcW w:w="13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left"/>
              <w:rPr/>
            </w:pPr>
            <w:r>
              <w:rPr/>
              <w:t>​</w:t>
            </w:r>
          </w:p>
        </w:tc>
        <w:tc>
          <w:tcPr>
            <w:tcW w:w="13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generation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36,007</w:t>
            </w:r>
          </w:p>
        </w:tc>
        <w:tc>
          <w:tcPr>
            <w:tcW w:w="137"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67,378</w:t>
            </w:r>
          </w:p>
        </w:tc>
        <w:tc>
          <w:tcPr>
            <w:tcW w:w="13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(31,371)</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realized price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49.09</w:t>
            </w:r>
          </w:p>
        </w:tc>
        <w:tc>
          <w:tcPr>
            <w:tcW w:w="13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64.58</w:t>
            </w:r>
          </w:p>
        </w:tc>
        <w:tc>
          <w:tcPr>
            <w:tcW w:w="13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RINs Generation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1,071,998</w:t>
            </w:r>
          </w:p>
        </w:tc>
        <w:tc>
          <w:tcPr>
            <w:tcW w:w="137"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936,012</w:t>
            </w:r>
          </w:p>
        </w:tc>
        <w:tc>
          <w:tcPr>
            <w:tcW w:w="13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135,986</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RINs realized price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13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13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Clean fuel production tax credits ($ in thousands)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137"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left"/>
              <w:rPr/>
            </w:pPr>
            <w:r>
              <w:rPr/>
              <w:t>​</w:t>
            </w:r>
          </w:p>
        </w:tc>
        <w:tc>
          <w:tcPr>
            <w:tcW w:w="13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left"/>
              <w:rPr/>
            </w:pPr>
            <w:r>
              <w:rPr/>
              <w:t>​</w:t>
            </w:r>
          </w:p>
        </w:tc>
        <w:tc>
          <w:tcPr>
            <w:tcW w:w="137"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costs ($ in thousands)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3,297</w:t>
            </w:r>
          </w:p>
        </w:tc>
        <w:tc>
          <w:tcPr>
            <w:tcW w:w="137"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5,202</w:t>
            </w:r>
          </w:p>
        </w:tc>
        <w:tc>
          <w:tcPr>
            <w:tcW w:w="137"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(1,905)</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MMBtu of RNG has approximately the same energy content as 11.693 gallons of ethanol, and thus may generate 11.693 RINs under the RFS Program.</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prices for environmental attributes (under the temporary pathway)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LCFS credits are generally generated in the calendar quarter following the gas being dispensed.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of our financial condition and results of operations should be read in conjunction with our Condensed Consolidated Financial Statements and the notes to those Condensed Consolidated Financial Statements appearing in this Quarterly Report. This discussion contains forward-looking statements that involve significant risks and uncertainties. As a result of many factors, such as those set forth under “Risk Factors” in Part I, Item 1A of our 2025 Annual Report, our actual results may differ materially from those anticipated in these forward-looking statements.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This section discusses comparisons between the three months ended March 31, 2026 and 2025. Management’s Discussion and Analysis of Financial Condition and Results of Operations for year-to-year comparisons between 2025 and 2024 and other discussions of 2025 items can be found within Part II, Item 7, of our Annual Report on Form 10-K for the year ended December 31, 2025, filed with the SEC on March 5, 2026, which is available free of charge on the SEC’s website at www.sec.gov and our corporate website at www.gevo.com.</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Consolidated Comparison of the Three Months Ended March 31, 2026 and 2025 (in thousands):</w:t>
      </w:r>
    </w:p>
    <w:tbl>
      <w:tblPr>
        <w:tblW w:w="8721" w:type="dxa"/>
        <w:jc w:val="left"/>
        <w:tblInd w:w="0" w:type="dxa"/>
        <w:tblLayout w:type="fixed"/>
        <w:tblCellMar>
          <w:top w:w="0" w:type="dxa"/>
          <w:left w:w="0" w:type="dxa"/>
          <w:bottom w:w="0" w:type="dxa"/>
          <w:right w:w="0" w:type="dxa"/>
        </w:tblCellMar>
      </w:tblPr>
      <w:tblGrid>
        <w:gridCol w:w="3016"/>
        <w:gridCol w:w="346"/>
        <w:gridCol w:w="228"/>
        <w:gridCol w:w="749"/>
        <w:gridCol w:w="375"/>
        <w:gridCol w:w="228"/>
        <w:gridCol w:w="863"/>
        <w:gridCol w:w="346"/>
        <w:gridCol w:w="346"/>
        <w:gridCol w:w="691"/>
        <w:gridCol w:w="346"/>
        <w:gridCol w:w="871"/>
        <w:gridCol w:w="3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915160" cy="175260"/>
                      <wp:effectExtent l="0" t="0" r="0" b="0"/>
                      <wp:wrapNone/>
                      <wp:docPr id="430" name="Frame430"/>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44780" cy="175260"/>
                      <wp:effectExtent l="0" t="0" r="0" b="0"/>
                      <wp:wrapNone/>
                      <wp:docPr id="432" name="Frame43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75615" cy="175260"/>
                      <wp:effectExtent l="0" t="0" r="0" b="0"/>
                      <wp:wrapNone/>
                      <wp:docPr id="433" name="Frame433"/>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38125" cy="175260"/>
                      <wp:effectExtent l="0" t="0" r="0" b="0"/>
                      <wp:wrapNone/>
                      <wp:docPr id="434" name="Frame43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44780" cy="175260"/>
                      <wp:effectExtent l="0" t="0" r="0" b="0"/>
                      <wp:wrapNone/>
                      <wp:docPr id="435" name="Frame43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48005" cy="175260"/>
                      <wp:effectExtent l="0" t="0" r="0" b="0"/>
                      <wp:wrapNone/>
                      <wp:docPr id="436" name="Frame436"/>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38785" cy="175260"/>
                      <wp:effectExtent l="0" t="0" r="0" b="0"/>
                      <wp:wrapNone/>
                      <wp:docPr id="439" name="Frame4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53085" cy="175260"/>
                      <wp:effectExtent l="0" t="0" r="0" b="0"/>
                      <wp:wrapNone/>
                      <wp:docPr id="441" name="Frame44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0660" cy="175260"/>
                      <wp:effectExtent l="0" t="0" r="0" b="0"/>
                      <wp:wrapNone/>
                      <wp:docPr id="442" name="Frame44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871" w:type="dxa"/>
            <w:tcBorders/>
            <w:vAlign w:val="center"/>
          </w:tcPr>
          <w:p>
            <w:pPr>
              <w:pStyle w:val="TableContents"/>
              <w:bidi w:val="0"/>
              <w:spacing w:before="0" w:after="0"/>
              <w:ind w:left="0" w:right="0" w:hanging="0"/>
              <w:jc w:val="right"/>
              <w:rPr/>
            </w:pPr>
            <w:r>
              <w:rPr/>
              <w:t>  ​ ​ ​</w:t>
            </w:r>
          </w:p>
        </w:tc>
        <w:tc>
          <w:tcPr>
            <w:tcW w:w="316"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5" w:type="dxa"/>
            <w:tcBorders/>
            <w:vAlign w:val="center"/>
          </w:tcPr>
          <w:p>
            <w:pPr>
              <w:pStyle w:val="TableContents"/>
              <w:bidi w:val="0"/>
              <w:spacing w:before="0" w:after="0"/>
              <w:ind w:left="0" w:right="0" w:hanging="0"/>
              <w:jc w:val="left"/>
              <w:rPr/>
            </w:pPr>
            <w:r>
              <w:rPr/>
              <w:t>  ​ ​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0"/>
              <w:ind w:left="0" w:right="0" w:hanging="0"/>
              <w:jc w:val="left"/>
              <w:rPr/>
            </w:pPr>
            <w:r>
              <w:rPr/>
              <w:t> </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42,948</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  ​</w:t>
            </w:r>
          </w:p>
        </w:tc>
        <w:tc>
          <w:tcPr>
            <w:tcW w:w="375"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20,232</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6,860</w:t>
            </w:r>
          </w:p>
        </w:tc>
        <w:tc>
          <w:tcPr>
            <w:tcW w:w="375"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16,215</w:t>
            </w:r>
          </w:p>
        </w:tc>
        <w:tc>
          <w:tcPr>
            <w:tcW w:w="375"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11,084</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3,040</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(4,438)</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47,846</w:t>
            </w:r>
          </w:p>
        </w:tc>
        <w:tc>
          <w:tcPr>
            <w:tcW w:w="375"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49,248</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(4,898)</w:t>
            </w:r>
          </w:p>
        </w:tc>
        <w:tc>
          <w:tcPr>
            <w:tcW w:w="375"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15,241</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  ​</w:t>
            </w:r>
          </w:p>
        </w:tc>
        <w:tc>
          <w:tcPr>
            <w:tcW w:w="375"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80" w:type="dxa"/>
        <w:jc w:val="left"/>
        <w:tblInd w:w="0" w:type="dxa"/>
        <w:tblLayout w:type="fixed"/>
        <w:tblCellMar>
          <w:top w:w="0" w:type="dxa"/>
          <w:left w:w="0" w:type="dxa"/>
          <w:bottom w:w="0" w:type="dxa"/>
          <w:right w:w="0" w:type="dxa"/>
        </w:tblCellMar>
      </w:tblPr>
      <w:tblGrid>
        <w:gridCol w:w="4366"/>
        <w:gridCol w:w="109"/>
        <w:gridCol w:w="211"/>
        <w:gridCol w:w="796"/>
        <w:gridCol w:w="109"/>
        <w:gridCol w:w="211"/>
        <w:gridCol w:w="796"/>
        <w:gridCol w:w="109"/>
        <w:gridCol w:w="211"/>
        <w:gridCol w:w="796"/>
        <w:gridCol w:w="109"/>
        <w:gridCol w:w="541"/>
        <w:gridCol w:w="316"/>
      </w:tblGrid>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bonds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(10,304)</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109"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(14,819)</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and comprehensive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109"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Gevo, Inc.</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tbl>
      <w:tblPr>
        <w:tblW w:w="6309" w:type="dxa"/>
        <w:jc w:val="left"/>
        <w:tblInd w:w="0" w:type="dxa"/>
        <w:tblLayout w:type="fixed"/>
        <w:tblCellMar>
          <w:top w:w="0" w:type="dxa"/>
          <w:left w:w="0" w:type="dxa"/>
          <w:bottom w:w="0" w:type="dxa"/>
          <w:right w:w="0" w:type="dxa"/>
        </w:tblCellMar>
      </w:tblPr>
      <w:tblGrid>
        <w:gridCol w:w="1321"/>
        <w:gridCol w:w="109"/>
        <w:gridCol w:w="259"/>
        <w:gridCol w:w="830"/>
        <w:gridCol w:w="133"/>
        <w:gridCol w:w="259"/>
        <w:gridCol w:w="830"/>
        <w:gridCol w:w="133"/>
        <w:gridCol w:w="211"/>
        <w:gridCol w:w="691"/>
        <w:gridCol w:w="346"/>
        <w:gridCol w:w="871"/>
        <w:gridCol w:w="316"/>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838835" cy="175260"/>
                      <wp:effectExtent l="0" t="0" r="0" b="0"/>
                      <wp:wrapNone/>
                      <wp:docPr id="443" name="Frame443"/>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9215" cy="175260"/>
                      <wp:effectExtent l="0" t="0" r="0" b="0"/>
                      <wp:wrapNone/>
                      <wp:docPr id="444" name="Frame4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64465" cy="175260"/>
                      <wp:effectExtent l="0" t="0" r="0" b="0"/>
                      <wp:wrapNone/>
                      <wp:docPr id="445" name="Frame44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27050" cy="175260"/>
                      <wp:effectExtent l="0" t="0" r="0" b="0"/>
                      <wp:wrapNone/>
                      <wp:docPr id="446" name="Frame446"/>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84455" cy="175260"/>
                      <wp:effectExtent l="0" t="0" r="0" b="0"/>
                      <wp:wrapNone/>
                      <wp:docPr id="447" name="Frame447"/>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64465" cy="175260"/>
                      <wp:effectExtent l="0" t="0" r="0" b="0"/>
                      <wp:wrapNone/>
                      <wp:docPr id="448" name="Frame44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27050" cy="175260"/>
                      <wp:effectExtent l="0" t="0" r="0" b="0"/>
                      <wp:wrapNone/>
                      <wp:docPr id="449" name="Frame449"/>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84455" cy="175260"/>
                      <wp:effectExtent l="0" t="0" r="0" b="0"/>
                      <wp:wrapNone/>
                      <wp:docPr id="450" name="Frame450"/>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38785" cy="175260"/>
                      <wp:effectExtent l="0" t="0" r="0" b="0"/>
                      <wp:wrapNone/>
                      <wp:docPr id="452" name="Frame4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53085" cy="175260"/>
                      <wp:effectExtent l="0" t="0" r="0" b="0"/>
                      <wp:wrapNone/>
                      <wp:docPr id="454" name="Frame45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0660" cy="175260"/>
                      <wp:effectExtent l="0" t="0" r="0" b="0"/>
                      <wp:wrapNone/>
                      <wp:docPr id="455" name="Frame4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13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3" w:type="dxa"/>
            <w:tcBorders/>
            <w:vAlign w:val="center"/>
          </w:tcPr>
          <w:p>
            <w:pPr>
              <w:pStyle w:val="TableContents"/>
              <w:bidi w:val="0"/>
              <w:spacing w:before="0" w:after="1"/>
              <w:ind w:left="0" w:right="0" w:hanging="0"/>
              <w:jc w:val="center"/>
              <w:rPr/>
            </w:pPr>
            <w:r>
              <w:rPr/>
              <w:t>​</w:t>
            </w:r>
          </w:p>
        </w:tc>
        <w:tc>
          <w:tcPr>
            <w:tcW w:w="10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3"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c>
          <w:tcPr>
            <w:tcW w:w="133"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c>
          <w:tcPr>
            <w:tcW w:w="133"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38,029</w:t>
            </w:r>
          </w:p>
        </w:tc>
        <w:tc>
          <w:tcPr>
            <w:tcW w:w="133"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22,814</w:t>
            </w:r>
          </w:p>
        </w:tc>
        <w:tc>
          <w:tcPr>
            <w:tcW w:w="133"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15,215</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4,557</w:t>
            </w:r>
          </w:p>
        </w:tc>
        <w:tc>
          <w:tcPr>
            <w:tcW w:w="133"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5,671</w:t>
            </w:r>
          </w:p>
        </w:tc>
        <w:tc>
          <w:tcPr>
            <w:tcW w:w="133"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133"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c>
          <w:tcPr>
            <w:tcW w:w="133"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42,948</w:t>
            </w:r>
          </w:p>
        </w:tc>
        <w:tc>
          <w:tcPr>
            <w:tcW w:w="133"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29,109</w:t>
            </w:r>
          </w:p>
        </w:tc>
        <w:tc>
          <w:tcPr>
            <w:tcW w:w="133"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13,839</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Operating revenue. </w:t>
      </w:r>
      <w:r>
        <w:rPr>
          <w:rFonts w:ascii="Times New Roman;Times;serif" w:hAnsi="Times New Roman;Times;serif"/>
          <w:sz w:val="20"/>
        </w:rPr>
        <w:t>During the three months ended March 31, 2026, operating revenue increased by $13.8 million compared to the three months ended March 31, 2025. This increase was primarily due to $15.2 million of additional revenue from GevoND, which was acquired on January 31, 2025, and accordingly, results for the prior year period include only two months of GevoND revenue. Revenue from GevoRNG decreased by $1.1 million, primarily due to lower revenue from environmental attributes, whereas the prior year period benefited from $1.7 million of additional revenue driven by higher LCFS credits generated as a result of an improved carbon score under the LCFS program, including 2024 amounts recognized upon CI approval, which created a period-over-period timing impact. Additionally, revenue from the sale of isooctane at Gevo decreased $0.3 million in the three months ended March 31, 2026.</w:t>
      </w:r>
    </w:p>
    <w:p>
      <w:pPr>
        <w:pStyle w:val="TextBody"/>
        <w:bidi w:val="0"/>
        <w:spacing w:before="0" w:after="0"/>
        <w:ind w:left="0" w:right="0" w:hanging="0"/>
        <w:jc w:val="left"/>
        <w:rPr/>
      </w:pPr>
      <w:r>
        <w:rPr/>
        <w:t>​</w:t>
      </w:r>
    </w:p>
    <w:tbl>
      <w:tblPr>
        <w:tblW w:w="7184" w:type="dxa"/>
        <w:jc w:val="left"/>
        <w:tblInd w:w="0" w:type="dxa"/>
        <w:tblLayout w:type="fixed"/>
        <w:tblCellMar>
          <w:top w:w="0" w:type="dxa"/>
          <w:left w:w="0" w:type="dxa"/>
          <w:bottom w:w="0" w:type="dxa"/>
          <w:right w:w="0" w:type="dxa"/>
        </w:tblCellMar>
      </w:tblPr>
      <w:tblGrid>
        <w:gridCol w:w="2086"/>
        <w:gridCol w:w="109"/>
        <w:gridCol w:w="274"/>
        <w:gridCol w:w="878"/>
        <w:gridCol w:w="141"/>
        <w:gridCol w:w="274"/>
        <w:gridCol w:w="878"/>
        <w:gridCol w:w="109"/>
        <w:gridCol w:w="211"/>
        <w:gridCol w:w="691"/>
        <w:gridCol w:w="346"/>
        <w:gridCol w:w="871"/>
        <w:gridCol w:w="31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24610" cy="175260"/>
                      <wp:effectExtent l="0" t="0" r="0" b="0"/>
                      <wp:wrapNone/>
                      <wp:docPr id="456" name="Frame456"/>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9215" cy="175260"/>
                      <wp:effectExtent l="0" t="0" r="0" b="0"/>
                      <wp:wrapNone/>
                      <wp:docPr id="457" name="Frame4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73990" cy="175260"/>
                      <wp:effectExtent l="0" t="0" r="0" b="0"/>
                      <wp:wrapNone/>
                      <wp:docPr id="458" name="Frame45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57530" cy="175260"/>
                      <wp:effectExtent l="0" t="0" r="0" b="0"/>
                      <wp:wrapNone/>
                      <wp:docPr id="459" name="Frame459"/>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89535" cy="175260"/>
                      <wp:effectExtent l="0" t="0" r="0" b="0"/>
                      <wp:wrapNone/>
                      <wp:docPr id="460" name="Frame460"/>
                      <a:graphic xmlns:a="http://schemas.openxmlformats.org/drawingml/2006/main">
                        <a:graphicData uri="http://schemas.microsoft.com/office/word/2010/wordprocessingShape">
                          <wps:wsp>
                            <wps:cNvSpPr txBox="1"/>
                            <wps:spPr>
                              <a:xfrm>
                                <a:off x="0" y="0"/>
                                <a:ext cx="89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73990" cy="175260"/>
                      <wp:effectExtent l="0" t="0" r="0" b="0"/>
                      <wp:wrapNone/>
                      <wp:docPr id="461" name="Frame46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57530" cy="175260"/>
                      <wp:effectExtent l="0" t="0" r="0" b="0"/>
                      <wp:wrapNone/>
                      <wp:docPr id="462" name="Frame462"/>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38785" cy="175260"/>
                      <wp:effectExtent l="0" t="0" r="0" b="0"/>
                      <wp:wrapNone/>
                      <wp:docPr id="465" name="Frame4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53085" cy="175260"/>
                      <wp:effectExtent l="0" t="0" r="0" b="0"/>
                      <wp:wrapNone/>
                      <wp:docPr id="467" name="Frame46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0660" cy="175260"/>
                      <wp:effectExtent l="0" t="0" r="0" b="0"/>
                      <wp:wrapNone/>
                      <wp:docPr id="468" name="Frame4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1" w:type="dxa"/>
            <w:tcBorders/>
            <w:vAlign w:val="center"/>
          </w:tcPr>
          <w:p>
            <w:pPr>
              <w:pStyle w:val="TableContents"/>
              <w:bidi w:val="0"/>
              <w:spacing w:before="0" w:after="1"/>
              <w:ind w:left="0" w:right="0" w:hanging="0"/>
              <w:jc w:val="center"/>
              <w:rPr/>
            </w:pPr>
            <w:r>
              <w:rPr/>
              <w:t>​</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left"/>
              <w:rPr/>
            </w:pPr>
            <w:r>
              <w:rPr/>
              <w:t>​</w:t>
            </w:r>
          </w:p>
        </w:tc>
        <w:tc>
          <w:tcPr>
            <w:tcW w:w="141"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17,673</w:t>
            </w:r>
          </w:p>
        </w:tc>
        <w:tc>
          <w:tcPr>
            <w:tcW w:w="141"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17,278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w:t>
            </w:r>
          </w:p>
        </w:tc>
        <w:tc>
          <w:tcPr>
            <w:tcW w:w="141"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c>
          <w:tcPr>
            <w:tcW w:w="141"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production</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20,232</w:t>
            </w:r>
          </w:p>
        </w:tc>
        <w:tc>
          <w:tcPr>
            <w:tcW w:w="141"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decreased $1.2 million during the three months ended March 31, 2026, compared to the three months ended March 31, 2025. GevoND’s cost of production for the three months ended March 31, 2026, was consistent with prior year period. The prior year period reflected only two months of operating activity, whereas the current year period reflects a full three months. Cost of production in the current period also benefited from $16.5 million of clean fuel production tax credits, which mostly offset the increase. GevoRNG’s production cost decreased by $1.0 million, to $1.8 million for the three months ended March 31, 2026, compared to $2.8 million in the prior year period. The decrease was primarily attributable to approximately $1.0 million of clean fuel tax credit recognized during the current period, which reduced net production costs. Cost of production for the Gevo segment decreased by $0.6 million for the three months ended March 31, 2026, compared to the prior year period, primarily due to lower carbon-related activity during the current period.</w:t>
      </w:r>
    </w:p>
    <w:tbl>
      <w:tblPr>
        <w:tblW w:w="7572" w:type="dxa"/>
        <w:jc w:val="left"/>
        <w:tblInd w:w="0" w:type="dxa"/>
        <w:tblLayout w:type="fixed"/>
        <w:tblCellMar>
          <w:top w:w="0" w:type="dxa"/>
          <w:left w:w="0" w:type="dxa"/>
          <w:bottom w:w="0" w:type="dxa"/>
          <w:right w:w="0" w:type="dxa"/>
        </w:tblCellMar>
      </w:tblPr>
      <w:tblGrid>
        <w:gridCol w:w="2596"/>
        <w:gridCol w:w="109"/>
        <w:gridCol w:w="308"/>
        <w:gridCol w:w="834"/>
        <w:gridCol w:w="159"/>
        <w:gridCol w:w="308"/>
        <w:gridCol w:w="834"/>
        <w:gridCol w:w="109"/>
        <w:gridCol w:w="211"/>
        <w:gridCol w:w="571"/>
        <w:gridCol w:w="346"/>
        <w:gridCol w:w="871"/>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648460" cy="175260"/>
                      <wp:effectExtent l="0" t="0" r="0" b="0"/>
                      <wp:wrapNone/>
                      <wp:docPr id="469" name="Frame46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9215" cy="175260"/>
                      <wp:effectExtent l="0" t="0" r="0" b="0"/>
                      <wp:wrapNone/>
                      <wp:docPr id="470" name="Frame4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95580" cy="175260"/>
                      <wp:effectExtent l="0" t="0" r="0" b="0"/>
                      <wp:wrapNone/>
                      <wp:docPr id="471" name="Frame471"/>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29590" cy="175260"/>
                      <wp:effectExtent l="0" t="0" r="0" b="0"/>
                      <wp:wrapNone/>
                      <wp:docPr id="472" name="Frame47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00965" cy="175260"/>
                      <wp:effectExtent l="0" t="0" r="0" b="0"/>
                      <wp:wrapNone/>
                      <wp:docPr id="473" name="Frame473"/>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95580" cy="175260"/>
                      <wp:effectExtent l="0" t="0" r="0" b="0"/>
                      <wp:wrapNone/>
                      <wp:docPr id="474" name="Frame474"/>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29590" cy="175260"/>
                      <wp:effectExtent l="0" t="0" r="0" b="0"/>
                      <wp:wrapNone/>
                      <wp:docPr id="475" name="Frame47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9215" cy="175260"/>
                      <wp:effectExtent l="0" t="0" r="0" b="0"/>
                      <wp:wrapNone/>
                      <wp:docPr id="476" name="Frame4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33985" cy="175260"/>
                      <wp:effectExtent l="0" t="0" r="0" b="0"/>
                      <wp:wrapNone/>
                      <wp:docPr id="477"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62585" cy="175260"/>
                      <wp:effectExtent l="0" t="0" r="0" b="0"/>
                      <wp:wrapNone/>
                      <wp:docPr id="478" name="Frame4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9"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553085" cy="175260"/>
                      <wp:effectExtent l="0" t="0" r="0" b="0"/>
                      <wp:wrapNone/>
                      <wp:docPr id="480" name="Frame48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0660" cy="175260"/>
                      <wp:effectExtent l="0" t="0" r="0" b="0"/>
                      <wp:wrapNone/>
                      <wp:docPr id="481" name="Frame48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9"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15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5,010</w:t>
            </w:r>
          </w:p>
        </w:tc>
        <w:tc>
          <w:tcPr>
            <w:tcW w:w="159"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c>
          <w:tcPr>
            <w:tcW w:w="15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c>
          <w:tcPr>
            <w:tcW w:w="159"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460" w:type="dxa"/>
        <w:jc w:val="left"/>
        <w:tblInd w:w="0" w:type="dxa"/>
        <w:tblLayout w:type="fixed"/>
        <w:tblCellMar>
          <w:top w:w="0" w:type="dxa"/>
          <w:left w:w="0" w:type="dxa"/>
          <w:bottom w:w="0" w:type="dxa"/>
          <w:right w:w="0" w:type="dxa"/>
        </w:tblCellMar>
      </w:tblPr>
      <w:tblGrid>
        <w:gridCol w:w="3046"/>
        <w:gridCol w:w="109"/>
        <w:gridCol w:w="211"/>
        <w:gridCol w:w="571"/>
        <w:gridCol w:w="109"/>
        <w:gridCol w:w="211"/>
        <w:gridCol w:w="571"/>
        <w:gridCol w:w="109"/>
        <w:gridCol w:w="211"/>
        <w:gridCol w:w="571"/>
        <w:gridCol w:w="109"/>
        <w:gridCol w:w="316"/>
        <w:gridCol w:w="316"/>
      </w:tblGrid>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109" w:type="dxa"/>
            <w:tcBorders/>
            <w:shd w:fill="CCEEFF" w:val="clear"/>
            <w:vAlign w:val="center"/>
          </w:tcPr>
          <w:p>
            <w:pPr>
              <w:pStyle w:val="TableContents"/>
              <w:bidi w:val="0"/>
              <w:spacing w:before="0" w:after="1"/>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Depreciation and amortization. </w:t>
      </w:r>
      <w:r>
        <w:rPr>
          <w:rFonts w:ascii="Times New Roman;Times;serif" w:hAnsi="Times New Roman;Times;serif"/>
          <w:sz w:val="20"/>
        </w:rPr>
        <w:t>Depreciation and amortization increased $1.2 million during the three months ended March 31, 2026, compared to the three months ended March 31, 2025, primarily due to an increase of $1.5 million in depreciation related to GevoND, which included only two months of depreciation in the prior year period. The increase was partially offset by a $0.5 million reduction of depreciation related to assets at GevoRNG due to extended lease terms, which increased the depreciable lives of the assets.</w:t>
      </w:r>
    </w:p>
    <w:tbl>
      <w:tblPr>
        <w:tblW w:w="8276" w:type="dxa"/>
        <w:jc w:val="left"/>
        <w:tblInd w:w="0" w:type="dxa"/>
        <w:tblLayout w:type="fixed"/>
        <w:tblCellMar>
          <w:top w:w="0" w:type="dxa"/>
          <w:left w:w="0" w:type="dxa"/>
          <w:bottom w:w="0" w:type="dxa"/>
          <w:right w:w="0" w:type="dxa"/>
        </w:tblCellMar>
      </w:tblPr>
      <w:tblGrid>
        <w:gridCol w:w="3421"/>
        <w:gridCol w:w="109"/>
        <w:gridCol w:w="308"/>
        <w:gridCol w:w="834"/>
        <w:gridCol w:w="159"/>
        <w:gridCol w:w="308"/>
        <w:gridCol w:w="834"/>
        <w:gridCol w:w="109"/>
        <w:gridCol w:w="220"/>
        <w:gridCol w:w="441"/>
        <w:gridCol w:w="346"/>
        <w:gridCol w:w="871"/>
        <w:gridCol w:w="31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72335" cy="175260"/>
                      <wp:effectExtent l="0" t="0" r="0" b="0"/>
                      <wp:wrapNone/>
                      <wp:docPr id="482" name="Frame482"/>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9215" cy="175260"/>
                      <wp:effectExtent l="0" t="0" r="0" b="0"/>
                      <wp:wrapNone/>
                      <wp:docPr id="483" name="Frame4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95580" cy="175260"/>
                      <wp:effectExtent l="0" t="0" r="0" b="0"/>
                      <wp:wrapNone/>
                      <wp:docPr id="484" name="Frame484"/>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29590" cy="175260"/>
                      <wp:effectExtent l="0" t="0" r="0" b="0"/>
                      <wp:wrapNone/>
                      <wp:docPr id="485" name="Frame48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00965" cy="175260"/>
                      <wp:effectExtent l="0" t="0" r="0" b="0"/>
                      <wp:wrapNone/>
                      <wp:docPr id="486" name="Frame486"/>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95580" cy="175260"/>
                      <wp:effectExtent l="0" t="0" r="0" b="0"/>
                      <wp:wrapNone/>
                      <wp:docPr id="487" name="Frame487"/>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29590" cy="175260"/>
                      <wp:effectExtent l="0" t="0" r="0" b="0"/>
                      <wp:wrapNone/>
                      <wp:docPr id="488" name="Frame48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9215" cy="175260"/>
                      <wp:effectExtent l="0" t="0" r="0" b="0"/>
                      <wp:wrapNone/>
                      <wp:docPr id="489" name="Frame4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9700" cy="175260"/>
                      <wp:effectExtent l="0" t="0" r="0" b="0"/>
                      <wp:wrapNone/>
                      <wp:docPr id="490" name="Frame49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80035" cy="175260"/>
                      <wp:effectExtent l="0" t="0" r="0" b="0"/>
                      <wp:wrapNone/>
                      <wp:docPr id="491" name="Frame491"/>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53085" cy="175260"/>
                      <wp:effectExtent l="0" t="0" r="0" b="0"/>
                      <wp:wrapNone/>
                      <wp:docPr id="493" name="Frame49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0660" cy="175260"/>
                      <wp:effectExtent l="0" t="0" r="0" b="0"/>
                      <wp:wrapNone/>
                      <wp:docPr id="494" name="Frame49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9"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6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15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w:t>
            </w:r>
          </w:p>
        </w:tc>
        <w:tc>
          <w:tcPr>
            <w:tcW w:w="159"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w:t>
            </w:r>
          </w:p>
        </w:tc>
        <w:tc>
          <w:tcPr>
            <w:tcW w:w="159"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expenses increased $0.5 million during the three months ended March 31, 2026, compared to the three months ended March 31, 2025, primarily due to increased patent-related expenses.</w:t>
      </w:r>
    </w:p>
    <w:tbl>
      <w:tblPr>
        <w:tblW w:w="8444" w:type="dxa"/>
        <w:jc w:val="left"/>
        <w:tblInd w:w="0" w:type="dxa"/>
        <w:tblLayout w:type="fixed"/>
        <w:tblCellMar>
          <w:top w:w="0" w:type="dxa"/>
          <w:left w:w="0" w:type="dxa"/>
          <w:bottom w:w="0" w:type="dxa"/>
          <w:right w:w="0" w:type="dxa"/>
        </w:tblCellMar>
      </w:tblPr>
      <w:tblGrid>
        <w:gridCol w:w="3466"/>
        <w:gridCol w:w="109"/>
        <w:gridCol w:w="274"/>
        <w:gridCol w:w="878"/>
        <w:gridCol w:w="141"/>
        <w:gridCol w:w="274"/>
        <w:gridCol w:w="878"/>
        <w:gridCol w:w="109"/>
        <w:gridCol w:w="211"/>
        <w:gridCol w:w="571"/>
        <w:gridCol w:w="346"/>
        <w:gridCol w:w="871"/>
        <w:gridCol w:w="3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200910" cy="175260"/>
                      <wp:effectExtent l="0" t="0" r="0" b="0"/>
                      <wp:wrapNone/>
                      <wp:docPr id="495" name="Frame495"/>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9215" cy="175260"/>
                      <wp:effectExtent l="0" t="0" r="0" b="0"/>
                      <wp:wrapNone/>
                      <wp:docPr id="496" name="Frame4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73990" cy="175260"/>
                      <wp:effectExtent l="0" t="0" r="0" b="0"/>
                      <wp:wrapNone/>
                      <wp:docPr id="497" name="Frame49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557530" cy="175260"/>
                      <wp:effectExtent l="0" t="0" r="0" b="0"/>
                      <wp:wrapNone/>
                      <wp:docPr id="498" name="Frame498"/>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89535" cy="175260"/>
                      <wp:effectExtent l="0" t="0" r="0" b="0"/>
                      <wp:wrapNone/>
                      <wp:docPr id="499" name="Frame499"/>
                      <a:graphic xmlns:a="http://schemas.openxmlformats.org/drawingml/2006/main">
                        <a:graphicData uri="http://schemas.microsoft.com/office/word/2010/wordprocessingShape">
                          <wps:wsp>
                            <wps:cNvSpPr txBox="1"/>
                            <wps:spPr>
                              <a:xfrm>
                                <a:off x="0" y="0"/>
                                <a:ext cx="89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73990" cy="175260"/>
                      <wp:effectExtent l="0" t="0" r="0" b="0"/>
                      <wp:wrapNone/>
                      <wp:docPr id="500" name="Frame50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557530" cy="175260"/>
                      <wp:effectExtent l="0" t="0" r="0" b="0"/>
                      <wp:wrapNone/>
                      <wp:docPr id="501" name="Frame501"/>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9215" cy="175260"/>
                      <wp:effectExtent l="0" t="0" r="0" b="0"/>
                      <wp:wrapNone/>
                      <wp:docPr id="502" name="Frame5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3" name="Frame5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362585" cy="175260"/>
                      <wp:effectExtent l="0" t="0" r="0" b="0"/>
                      <wp:wrapNone/>
                      <wp:docPr id="504" name="Frame5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5"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53085" cy="175260"/>
                      <wp:effectExtent l="0" t="0" r="0" b="0"/>
                      <wp:wrapNone/>
                      <wp:docPr id="506" name="Frame50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0660" cy="175260"/>
                      <wp:effectExtent l="0" t="0" r="0" b="0"/>
                      <wp:wrapNone/>
                      <wp:docPr id="507" name="Frame50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1" w:type="dxa"/>
            <w:tcBorders/>
            <w:vAlign w:val="center"/>
          </w:tcPr>
          <w:p>
            <w:pPr>
              <w:pStyle w:val="TableContents"/>
              <w:bidi w:val="0"/>
              <w:spacing w:before="0" w:after="1"/>
              <w:ind w:left="0" w:right="0" w:hanging="0"/>
              <w:jc w:val="center"/>
              <w:rPr/>
            </w:pPr>
            <w:r>
              <w:rPr/>
              <w:t>​</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left"/>
              <w:rPr/>
            </w:pPr>
            <w:r>
              <w:rPr/>
              <w:t>​</w:t>
            </w:r>
          </w:p>
        </w:tc>
        <w:tc>
          <w:tcPr>
            <w:tcW w:w="141"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w:t>
            </w:r>
          </w:p>
        </w:tc>
        <w:tc>
          <w:tcPr>
            <w:tcW w:w="141"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2,738</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w:t>
            </w:r>
          </w:p>
        </w:tc>
        <w:tc>
          <w:tcPr>
            <w:tcW w:w="141"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11,681</w:t>
            </w:r>
          </w:p>
        </w:tc>
        <w:tc>
          <w:tcPr>
            <w:tcW w:w="141"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2,567</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16,215</w:t>
            </w:r>
          </w:p>
        </w:tc>
        <w:tc>
          <w:tcPr>
            <w:tcW w:w="141"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5,131</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xml:space="preserve"> General and administrative increased by $5.1 million during the three months ended March 31, 2026, compared to the three months ended March 31, 2025. General and administrative expenses for GevoND increased by $3.0 million to $4.0 million for the three months ended March 31, 2026, compared to $1.0 million in the prior year period. The increase was primarily due to the prior year period reflecting only two months of activity as a result of the timing of the acquisition. The current period also included approximately $1.2 million of costs related to clean fuel production tax credit transactions, tax opinion and insurance related expenses. General and administrative expenses for GevoRNG decreased by $0.2 million for the three months ended March 31, 2026, compared to the prior year period, primarily due to lower intercompany overhead allocation costs. General and administrative expense for the Gevo segment increased by $2.6 million, primarily due to $2.7 million in accrued executive severance costs and $0.7 million of debt modification expenses, partially offset by lower professional services costs.</w:t>
      </w:r>
    </w:p>
    <w:tbl>
      <w:tblPr>
        <w:tblW w:w="7827" w:type="dxa"/>
        <w:jc w:val="left"/>
        <w:tblInd w:w="0" w:type="dxa"/>
        <w:tblLayout w:type="fixed"/>
        <w:tblCellMar>
          <w:top w:w="0" w:type="dxa"/>
          <w:left w:w="0" w:type="dxa"/>
          <w:bottom w:w="0" w:type="dxa"/>
          <w:right w:w="0" w:type="dxa"/>
        </w:tblCellMar>
      </w:tblPr>
      <w:tblGrid>
        <w:gridCol w:w="2731"/>
        <w:gridCol w:w="109"/>
        <w:gridCol w:w="308"/>
        <w:gridCol w:w="834"/>
        <w:gridCol w:w="159"/>
        <w:gridCol w:w="308"/>
        <w:gridCol w:w="834"/>
        <w:gridCol w:w="109"/>
        <w:gridCol w:w="211"/>
        <w:gridCol w:w="691"/>
        <w:gridCol w:w="346"/>
        <w:gridCol w:w="871"/>
        <w:gridCol w:w="31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734185" cy="175260"/>
                      <wp:effectExtent l="0" t="0" r="0" b="0"/>
                      <wp:wrapNone/>
                      <wp:docPr id="508" name="Frame508"/>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9215" cy="175260"/>
                      <wp:effectExtent l="0" t="0" r="0" b="0"/>
                      <wp:wrapNone/>
                      <wp:docPr id="509" name="Frame5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95580" cy="175260"/>
                      <wp:effectExtent l="0" t="0" r="0" b="0"/>
                      <wp:wrapNone/>
                      <wp:docPr id="510" name="Frame510"/>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29590" cy="175260"/>
                      <wp:effectExtent l="0" t="0" r="0" b="0"/>
                      <wp:wrapNone/>
                      <wp:docPr id="511" name="Frame511"/>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00965" cy="175260"/>
                      <wp:effectExtent l="0" t="0" r="0" b="0"/>
                      <wp:wrapNone/>
                      <wp:docPr id="512" name="Frame512"/>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95580" cy="175260"/>
                      <wp:effectExtent l="0" t="0" r="0" b="0"/>
                      <wp:wrapNone/>
                      <wp:docPr id="513" name="Frame513"/>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29590" cy="175260"/>
                      <wp:effectExtent l="0" t="0" r="0" b="0"/>
                      <wp:wrapNone/>
                      <wp:docPr id="514" name="Frame514"/>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9215" cy="175260"/>
                      <wp:effectExtent l="0" t="0" r="0" b="0"/>
                      <wp:wrapNone/>
                      <wp:docPr id="515" name="Frame5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516"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38785" cy="175260"/>
                      <wp:effectExtent l="0" t="0" r="0" b="0"/>
                      <wp:wrapNone/>
                      <wp:docPr id="517" name="Frame5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53085" cy="175260"/>
                      <wp:effectExtent l="0" t="0" r="0" b="0"/>
                      <wp:wrapNone/>
                      <wp:docPr id="519" name="Frame51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0660" cy="175260"/>
                      <wp:effectExtent l="0" t="0" r="0" b="0"/>
                      <wp:wrapNone/>
                      <wp:docPr id="520" name="Frame5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9"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15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9"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GevoFuels</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15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w:t>
            </w:r>
          </w:p>
        </w:tc>
        <w:tc>
          <w:tcPr>
            <w:tcW w:w="159"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(1,921)</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project development costs</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3,040</w:t>
            </w:r>
          </w:p>
        </w:tc>
        <w:tc>
          <w:tcPr>
            <w:tcW w:w="159"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(1,962)</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xml:space="preserve">. Project development costs are primarily related to our ATJ projects and Verity, and consist mainly of employee expenses, preliminary engineering costs, and technical consulting fees. Project development costs decreased $2.0 million during the three months ended March 31, 2026, compared to the three months ended March 31, 2025, primarily due to a decrease in consulting and professional services fees. </w:t>
      </w:r>
    </w:p>
    <w:tbl>
      <w:tblPr>
        <w:tblW w:w="3375" w:type="dxa"/>
        <w:jc w:val="left"/>
        <w:tblInd w:w="0" w:type="dxa"/>
        <w:tblLayout w:type="fixed"/>
        <w:tblCellMar>
          <w:top w:w="0" w:type="dxa"/>
          <w:left w:w="0" w:type="dxa"/>
          <w:bottom w:w="0" w:type="dxa"/>
          <w:right w:w="0" w:type="dxa"/>
        </w:tblCellMar>
      </w:tblPr>
      <w:tblGrid>
        <w:gridCol w:w="124"/>
        <w:gridCol w:w="109"/>
        <w:gridCol w:w="488"/>
        <w:gridCol w:w="488"/>
        <w:gridCol w:w="488"/>
        <w:gridCol w:w="488"/>
        <w:gridCol w:w="491"/>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78740" cy="175260"/>
                      <wp:effectExtent l="0" t="0" r="0" b="0"/>
                      <wp:wrapNone/>
                      <wp:docPr id="521" name="Frame52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22" name="Frame5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309880" cy="175260"/>
                      <wp:effectExtent l="0" t="0" r="0" b="0"/>
                      <wp:wrapNone/>
                      <wp:docPr id="523" name="Frame523"/>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09880" cy="175260"/>
                      <wp:effectExtent l="0" t="0" r="0" b="0"/>
                      <wp:wrapNone/>
                      <wp:docPr id="524" name="Frame524"/>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309880" cy="175260"/>
                      <wp:effectExtent l="0" t="0" r="0" b="0"/>
                      <wp:wrapNone/>
                      <wp:docPr id="525" name="Frame525"/>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309880" cy="175260"/>
                      <wp:effectExtent l="0" t="0" r="0" b="0"/>
                      <wp:wrapNone/>
                      <wp:docPr id="526" name="Frame526"/>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11785" cy="175260"/>
                      <wp:effectExtent l="0" t="0" r="0" b="0"/>
                      <wp:wrapNone/>
                      <wp:docPr id="527" name="Frame527"/>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215" cy="175260"/>
                      <wp:effectExtent l="0" t="0" r="0" b="0"/>
                      <wp:wrapNone/>
                      <wp:docPr id="528" name="Frame5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9215" cy="175260"/>
                      <wp:effectExtent l="0" t="0" r="0" b="0"/>
                      <wp:wrapNone/>
                      <wp:docPr id="529" name="Frame5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9215" cy="175260"/>
                      <wp:effectExtent l="0" t="0" r="0" b="0"/>
                      <wp:wrapNone/>
                      <wp:docPr id="530" name="Frame5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9215" cy="175260"/>
                      <wp:effectExtent l="0" t="0" r="0" b="0"/>
                      <wp:wrapNone/>
                      <wp:docPr id="531" name="Frame5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9215" cy="175260"/>
                      <wp:effectExtent l="0" t="0" r="0" b="0"/>
                      <wp:wrapNone/>
                      <wp:docPr id="532" name="Frame5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97790" cy="175260"/>
                      <wp:effectExtent l="0" t="0" r="0" b="0"/>
                      <wp:wrapNone/>
                      <wp:docPr id="533" name="Frame5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472" w:type="dxa"/>
        <w:jc w:val="left"/>
        <w:tblInd w:w="0" w:type="dxa"/>
        <w:tblLayout w:type="fixed"/>
        <w:tblCellMar>
          <w:top w:w="0" w:type="dxa"/>
          <w:left w:w="0" w:type="dxa"/>
          <w:bottom w:w="0" w:type="dxa"/>
          <w:right w:w="0" w:type="dxa"/>
        </w:tblCellMar>
      </w:tblPr>
      <w:tblGrid>
        <w:gridCol w:w="1906"/>
        <w:gridCol w:w="109"/>
        <w:gridCol w:w="211"/>
        <w:gridCol w:w="691"/>
        <w:gridCol w:w="109"/>
        <w:gridCol w:w="211"/>
        <w:gridCol w:w="691"/>
        <w:gridCol w:w="109"/>
        <w:gridCol w:w="211"/>
        <w:gridCol w:w="691"/>
        <w:gridCol w:w="346"/>
        <w:gridCol w:w="871"/>
        <w:gridCol w:w="316"/>
      </w:tblGrid>
      <w:tr>
        <w:trPr/>
        <w:tc>
          <w:tcPr>
            <w:tcW w:w="19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(1,876)</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xml:space="preserve">. Interest expense increased $1.9 million during the three months ended March 31, 2026, compared to the three months ended March 31, 2025, primarily due to the Term Loan Amendment, which closed in February 2026. Although our debt balance did not increase significantly, the Term Loan Amendment accrues interest at a higher rate than the bonds that were repaid with the proceeds. Both GevoND and GevoRNG are borrowers and guarantors under the amended Term Loan, as such interest is allocated between the segments.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Loss on extinguishment of bonds. </w:t>
      </w:r>
      <w:r>
        <w:rPr>
          <w:rFonts w:ascii="Times New Roman;Times;serif" w:hAnsi="Times New Roman;Times;serif"/>
          <w:sz w:val="20"/>
        </w:rPr>
        <w:t>During the three months ended March 31, 2026, The Company recognized a $10.3 million loss on extinguishment of its Remarketed Bonds and Series 2025A Bonds at GevoRNG. The loss represents the amount paid to extinguish the bonds in excess of their carrying amounts. The Company paid a $6.4 million prepayment penalty and wrote off $3.9 million of unamortized debt issuance costs associated with the redemption of the bonds.</w:t>
      </w:r>
    </w:p>
    <w:tbl>
      <w:tblPr>
        <w:tblW w:w="8233" w:type="dxa"/>
        <w:jc w:val="left"/>
        <w:tblInd w:w="0" w:type="dxa"/>
        <w:tblLayout w:type="fixed"/>
        <w:tblCellMar>
          <w:top w:w="0" w:type="dxa"/>
          <w:left w:w="0" w:type="dxa"/>
          <w:bottom w:w="0" w:type="dxa"/>
          <w:right w:w="0" w:type="dxa"/>
        </w:tblCellMar>
      </w:tblPr>
      <w:tblGrid>
        <w:gridCol w:w="3136"/>
        <w:gridCol w:w="109"/>
        <w:gridCol w:w="338"/>
        <w:gridCol w:w="676"/>
        <w:gridCol w:w="175"/>
        <w:gridCol w:w="338"/>
        <w:gridCol w:w="917"/>
        <w:gridCol w:w="109"/>
        <w:gridCol w:w="211"/>
        <w:gridCol w:w="691"/>
        <w:gridCol w:w="346"/>
        <w:gridCol w:w="871"/>
        <w:gridCol w:w="316"/>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991360" cy="175260"/>
                      <wp:effectExtent l="0" t="0" r="0" b="0"/>
                      <wp:wrapNone/>
                      <wp:docPr id="534" name="Frame534"/>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9215" cy="175260"/>
                      <wp:effectExtent l="0" t="0" r="0" b="0"/>
                      <wp:wrapNone/>
                      <wp:docPr id="535" name="Frame5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4630" cy="175260"/>
                      <wp:effectExtent l="0" t="0" r="0" b="0"/>
                      <wp:wrapNone/>
                      <wp:docPr id="536" name="Frame536"/>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29260" cy="175260"/>
                      <wp:effectExtent l="0" t="0" r="0" b="0"/>
                      <wp:wrapNone/>
                      <wp:docPr id="537" name="Frame5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11125" cy="175260"/>
                      <wp:effectExtent l="0" t="0" r="0" b="0"/>
                      <wp:wrapNone/>
                      <wp:docPr id="538" name="Frame538"/>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4630" cy="175260"/>
                      <wp:effectExtent l="0" t="0" r="0" b="0"/>
                      <wp:wrapNone/>
                      <wp:docPr id="539" name="Frame539"/>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582295" cy="175260"/>
                      <wp:effectExtent l="0" t="0" r="0" b="0"/>
                      <wp:wrapNone/>
                      <wp:docPr id="540" name="Frame54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9215" cy="175260"/>
                      <wp:effectExtent l="0" t="0" r="0" b="0"/>
                      <wp:wrapNone/>
                      <wp:docPr id="541" name="Frame5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33985" cy="175260"/>
                      <wp:effectExtent l="0" t="0" r="0" b="0"/>
                      <wp:wrapNone/>
                      <wp:docPr id="542" name="Frame5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38785" cy="175260"/>
                      <wp:effectExtent l="0" t="0" r="0" b="0"/>
                      <wp:wrapNone/>
                      <wp:docPr id="543" name="Frame5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4"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553085" cy="175260"/>
                      <wp:effectExtent l="0" t="0" r="0" b="0"/>
                      <wp:wrapNone/>
                      <wp:docPr id="545" name="Frame54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0660" cy="175260"/>
                      <wp:effectExtent l="0" t="0" r="0" b="0"/>
                      <wp:wrapNone/>
                      <wp:docPr id="546" name="Frame5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5" w:type="dxa"/>
            <w:tcBorders/>
            <w:vAlign w:val="center"/>
          </w:tcPr>
          <w:p>
            <w:pPr>
              <w:pStyle w:val="TableContents"/>
              <w:bidi w:val="0"/>
              <w:spacing w:before="0" w:after="1"/>
              <w:ind w:left="0" w:right="0" w:hanging="0"/>
              <w:jc w:val="center"/>
              <w:rPr/>
            </w:pPr>
            <w:r>
              <w:rPr/>
              <w:t>​</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109"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75"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75"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175"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w:t>
            </w:r>
          </w:p>
        </w:tc>
        <w:tc>
          <w:tcPr>
            <w:tcW w:w="175" w:type="dxa"/>
            <w:tcBorders/>
            <w:vAlign w:val="center"/>
          </w:tcPr>
          <w:p>
            <w:pPr>
              <w:pStyle w:val="TableContents"/>
              <w:bidi w:val="0"/>
              <w:spacing w:before="0" w:after="1"/>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and investment income</w:t>
            </w:r>
          </w:p>
        </w:tc>
        <w:tc>
          <w:tcPr>
            <w:tcW w:w="109" w:type="dxa"/>
            <w:tcBorders/>
            <w:shd w:fill="CCEEFF" w:val="clear"/>
            <w:vAlign w:val="center"/>
          </w:tcPr>
          <w:p>
            <w:pPr>
              <w:pStyle w:val="TableContents"/>
              <w:bidi w:val="0"/>
              <w:spacing w:before="0" w:after="1"/>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w:t>
            </w:r>
          </w:p>
        </w:tc>
        <w:tc>
          <w:tcPr>
            <w:tcW w:w="175" w:type="dxa"/>
            <w:tcBorders/>
            <w:shd w:fill="CCEEFF" w:val="clear"/>
            <w:vAlign w:val="center"/>
          </w:tcPr>
          <w:p>
            <w:pPr>
              <w:pStyle w:val="TableContents"/>
              <w:bidi w:val="0"/>
              <w:spacing w:before="0" w:after="1"/>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(957)</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and investment income. </w:t>
      </w:r>
      <w:r>
        <w:rPr>
          <w:rFonts w:ascii="Times New Roman;Times;serif" w:hAnsi="Times New Roman;Times;serif"/>
          <w:sz w:val="20"/>
        </w:rPr>
        <w:t>Interest and investment income decreased $1.0 million during the three months ended March 31, 2026, compared to the three months ended March 31, 2025, primarily due to lower balances of cash and cash equivalents and restricted cash at Gevo during the three months ended March 31, 2026.</w:t>
      </w:r>
    </w:p>
    <w:tbl>
      <w:tblPr>
        <w:tblW w:w="7167" w:type="dxa"/>
        <w:jc w:val="left"/>
        <w:tblInd w:w="0" w:type="dxa"/>
        <w:tblLayout w:type="fixed"/>
        <w:tblCellMar>
          <w:top w:w="0" w:type="dxa"/>
          <w:left w:w="0" w:type="dxa"/>
          <w:bottom w:w="0" w:type="dxa"/>
          <w:right w:w="0" w:type="dxa"/>
        </w:tblCellMar>
      </w:tblPr>
      <w:tblGrid>
        <w:gridCol w:w="2071"/>
        <w:gridCol w:w="109"/>
        <w:gridCol w:w="292"/>
        <w:gridCol w:w="958"/>
        <w:gridCol w:w="151"/>
        <w:gridCol w:w="292"/>
        <w:gridCol w:w="750"/>
        <w:gridCol w:w="109"/>
        <w:gridCol w:w="211"/>
        <w:gridCol w:w="691"/>
        <w:gridCol w:w="346"/>
        <w:gridCol w:w="871"/>
        <w:gridCol w:w="31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315085" cy="175260"/>
                      <wp:effectExtent l="0" t="0" r="0" b="0"/>
                      <wp:wrapNone/>
                      <wp:docPr id="547" name="Frame547"/>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9215" cy="175260"/>
                      <wp:effectExtent l="0" t="0" r="0" b="0"/>
                      <wp:wrapNone/>
                      <wp:docPr id="548" name="Frame5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85420" cy="175260"/>
                      <wp:effectExtent l="0" t="0" r="0" b="0"/>
                      <wp:wrapNone/>
                      <wp:docPr id="549" name="Frame549"/>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08330" cy="175260"/>
                      <wp:effectExtent l="0" t="0" r="0" b="0"/>
                      <wp:wrapNone/>
                      <wp:docPr id="550" name="Frame550"/>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95885" cy="175260"/>
                      <wp:effectExtent l="0" t="0" r="0" b="0"/>
                      <wp:wrapNone/>
                      <wp:docPr id="551" name="Frame551"/>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85420" cy="175260"/>
                      <wp:effectExtent l="0" t="0" r="0" b="0"/>
                      <wp:wrapNone/>
                      <wp:docPr id="552" name="Frame552"/>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76250" cy="175260"/>
                      <wp:effectExtent l="0" t="0" r="0" b="0"/>
                      <wp:wrapNone/>
                      <wp:docPr id="553" name="Frame553"/>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9215" cy="175260"/>
                      <wp:effectExtent l="0" t="0" r="0" b="0"/>
                      <wp:wrapNone/>
                      <wp:docPr id="554" name="Frame5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3985" cy="175260"/>
                      <wp:effectExtent l="0" t="0" r="0" b="0"/>
                      <wp:wrapNone/>
                      <wp:docPr id="555" name="Frame5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438785" cy="175260"/>
                      <wp:effectExtent l="0" t="0" r="0" b="0"/>
                      <wp:wrapNone/>
                      <wp:docPr id="556" name="Frame5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19710" cy="175260"/>
                      <wp:effectExtent l="0" t="0" r="0" b="0"/>
                      <wp:wrapNone/>
                      <wp:docPr id="557" name="Frame5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553085" cy="175260"/>
                      <wp:effectExtent l="0" t="0" r="0" b="0"/>
                      <wp:wrapNone/>
                      <wp:docPr id="558" name="Frame55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0660" cy="175260"/>
                      <wp:effectExtent l="0" t="0" r="0" b="0"/>
                      <wp:wrapNone/>
                      <wp:docPr id="559" name="Frame55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0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1" w:type="dxa"/>
            <w:tcBorders/>
            <w:vAlign w:val="center"/>
          </w:tcPr>
          <w:p>
            <w:pPr>
              <w:pStyle w:val="TableContents"/>
              <w:bidi w:val="0"/>
              <w:spacing w:before="0" w:after="1"/>
              <w:ind w:left="0" w:right="0" w:hanging="0"/>
              <w:jc w:val="center"/>
              <w:rPr/>
            </w:pPr>
            <w:r>
              <w:rPr/>
              <w:t>​</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958" w:type="dxa"/>
            <w:tcBorders/>
            <w:shd w:fill="CCEEFF" w:val="clear"/>
            <w:vAlign w:val="center"/>
          </w:tcPr>
          <w:p>
            <w:pPr>
              <w:pStyle w:val="TableContents"/>
              <w:bidi w:val="0"/>
              <w:spacing w:before="0" w:after="1"/>
              <w:ind w:left="0" w:right="0" w:hanging="0"/>
              <w:jc w:val="left"/>
              <w:rPr/>
            </w:pPr>
            <w:r>
              <w:rPr/>
              <w:t>​</w:t>
            </w:r>
          </w:p>
        </w:tc>
        <w:tc>
          <w:tcPr>
            <w:tcW w:w="151"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151"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51"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GevoFuels segment</w:t>
            </w:r>
          </w:p>
        </w:tc>
        <w:tc>
          <w:tcPr>
            <w:tcW w:w="109"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c>
          <w:tcPr>
            <w:tcW w:w="151"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w:t>
            </w:r>
          </w:p>
        </w:tc>
        <w:tc>
          <w:tcPr>
            <w:tcW w:w="151"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109" w:type="dxa"/>
            <w:tcBorders/>
            <w:vAlign w:val="center"/>
          </w:tcPr>
          <w:p>
            <w:pPr>
              <w:pStyle w:val="TableContents"/>
              <w:bidi w:val="0"/>
              <w:spacing w:before="0" w:after="1"/>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w:t>
            </w:r>
          </w:p>
        </w:tc>
        <w:tc>
          <w:tcPr>
            <w:tcW w:w="151" w:type="dxa"/>
            <w:tcBorders/>
            <w:vAlign w:val="center"/>
          </w:tcPr>
          <w:p>
            <w:pPr>
              <w:pStyle w:val="TableContents"/>
              <w:bidi w:val="0"/>
              <w:spacing w:before="0" w:after="1"/>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(1,682)</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Other expense, net. </w:t>
      </w:r>
      <w:r>
        <w:rPr>
          <w:rFonts w:ascii="Times New Roman;Times;serif" w:hAnsi="Times New Roman;Times;serif"/>
          <w:sz w:val="20"/>
        </w:rPr>
        <w:t>Other expense, net increased by $1.7 million during the three months ended March 31, 2026. The increase of $1.0 million in the Gevo segment reflects the write off of deferred debt financing costs in connection with the Company’s withdrawal from the DOE loan guarantee process. The increase of $0.5 million in GevoFuels represents the write off of $0.5 million of construction in progress related to certain isobutanol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significant changes to our critical accounting estimates and policies since December 31, 2025. For a description of our other critical accounting policies and estimates that affect our significant judgments and estimates used in the preparation of our condensed consolidated financial statements, refer to “Management’s Discussion and Analysis of Financial Condition and Results of Operations—Critical Accounting Estimates” contained in our 2025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unaudited condensed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Principal Components of Our Cost Structure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Cost of Production. </w:t>
      </w:r>
      <w:r>
        <w:rPr>
          <w:rFonts w:ascii="Times New Roman;Times;serif" w:hAnsi="Times New Roman;Times;serif"/>
          <w:sz w:val="20"/>
        </w:rPr>
        <w:t>Our cost of production consists primarily of costs directly associated with the production of ethanol and related products, RNG and other renewable hydrocarbon products, including isobutanol, SAF, and isooctane. Such costs include direct materials, direct labor, other operating costs and certain plant overhead costs, which are partially offset by the generation of CFPCs. Direct materials include feedstock, denaturant and process chemicals. Direct labor includes compensation (including stock-based compensation) of personnel directly involved in production operations. Other operating costs include utilities and natural gas and wind power usage.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Research and Development. </w:t>
      </w:r>
      <w:r>
        <w:rPr>
          <w:rFonts w:ascii="Times New Roman;Times;serif" w:hAnsi="Times New Roman;Times;serif"/>
          <w:sz w:val="20"/>
        </w:rPr>
        <w:t>Our research and development expense consists of costs incurred to identify, develop and test our technologies for the production of renewable hydrocarbon products and the development of downstream applications thereof. Research and development expense includes personnel costs (including stock-based compensation), consultants and related contract research, facility costs, supplies, license fees paid to third parties for use of their intellectual property and patent rights and other overhead expenses incurred to support our research and development programs.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General and Administrative. </w:t>
      </w:r>
      <w:r>
        <w:rPr>
          <w:rFonts w:ascii="Times New Roman;Times;serif" w:hAnsi="Times New Roman;Times;serif"/>
          <w:sz w:val="20"/>
        </w:rPr>
        <w:t xml:space="preserve">General and administrative expense consists of personnel costs (including stock-based compensation), consulting and service provider expenses (including patent counsel-related costs), legal fees, marketing costs, insurance costs, occupancy-related costs, travel and relocation expenses and hiring expenses. Our corporate personnel, consisting of subject matter experts, including chemists, engineers, and sustainability experts, dedicate the majority of their time and efforts for the development of our growth projects.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Project Development Costs.</w:t>
      </w:r>
      <w:r>
        <w:rPr>
          <w:rFonts w:ascii="Times New Roman;Times;serif" w:hAnsi="Times New Roman;Times;serif"/>
          <w:sz w:val="20"/>
        </w:rPr>
        <w:t xml:space="preserve"> Project development costs consist of consulting, preliminary engineering costs, personnel expenses (including stock-based compensation) and research and development expenses to support the business activities of our ATJ and Verity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Depreciation and Amortization. </w:t>
      </w:r>
      <w:r>
        <w:rPr>
          <w:rFonts w:ascii="Times New Roman;Times;serif" w:hAnsi="Times New Roman;Times;serif"/>
          <w:sz w:val="20"/>
        </w:rPr>
        <w:t>Depreciation and amortization relates to property, plant and equipment associated with the production of ethanol, ethanol related products, RNG and other renewable hydrocarbon products, including isobutanol, SAF, and isooctane, as well as that used in product development.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March 31, 2026, we had cash and cash equivalents of $78.9 million. </w:t>
      </w:r>
      <w:r>
        <w:rPr>
          <w:rFonts w:ascii="Times New Roman;Times;serif" w:hAnsi="Times New Roman;Times;serif"/>
          <w:sz w:val="20"/>
          <w:shd w:fill="FFFFFF" w:val="clear"/>
        </w:rPr>
        <w:t>Our cash equivalents consist of investments in U.S. government money market funds. We expect to use our cash and cash equivalents for the following purposes: (i) identification, development, engineering, licensing, acquisition and construction of production facilities and the Company’s ATJ projects; (ii) operations and the completion of capital projects at Gevo North Dakota; (iii) potential investment in RNG projects; (iv) operating activities at the Company’s corporate headquarters in Colorado, including research and development work; (v) exploration of strategic acquisitions and additional financing, including project financing; and (vi) debt service obligations associated with our current debt and any future borrowings. We believe that as a result of our cash and cash equivalents balances and the performance of our current and expected operations, we will be able to meet our obligations and other potential cash requirements during the next 12 months from the date of this report.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borrowings under debt facilities, ethanol sales and interest income. Our current sources of cash include sales of ethanol and ethanol related co-products (including carbon credits), the sale of Section 45Z CFPC tax credits, RNG, environmental attributes, hydrocarbons and licensing fees. We may also fund future operations through additional private and/or public offerings of equity or debt securities.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Our transition to profitability is dependent upon, among other things, the successful development and commercialization of our projects,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 facilities.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major sources and uses of cash for each of the periods set forth below (in thousands):</w:t>
      </w:r>
    </w:p>
    <w:p>
      <w:pPr>
        <w:pStyle w:val="TextBody"/>
        <w:bidi w:val="0"/>
        <w:spacing w:before="0" w:after="240"/>
        <w:ind w:left="0" w:right="0" w:firstLine="360"/>
        <w:jc w:val="left"/>
        <w:rPr/>
      </w:pPr>
      <w:r>
        <w:rPr/>
        <w:t>​</w:t>
      </w:r>
    </w:p>
    <w:tbl>
      <w:tblPr>
        <w:tblW w:w="7072" w:type="dxa"/>
        <w:jc w:val="left"/>
        <w:tblInd w:w="0" w:type="dxa"/>
        <w:tblLayout w:type="fixed"/>
        <w:tblCellMar>
          <w:top w:w="0" w:type="dxa"/>
          <w:left w:w="0" w:type="dxa"/>
          <w:bottom w:w="0" w:type="dxa"/>
          <w:right w:w="0" w:type="dxa"/>
        </w:tblCellMar>
      </w:tblPr>
      <w:tblGrid>
        <w:gridCol w:w="4216"/>
        <w:gridCol w:w="346"/>
        <w:gridCol w:w="211"/>
        <w:gridCol w:w="796"/>
        <w:gridCol w:w="346"/>
        <w:gridCol w:w="211"/>
        <w:gridCol w:w="94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677160" cy="175260"/>
                      <wp:effectExtent l="0" t="0" r="0" b="0"/>
                      <wp:wrapNone/>
                      <wp:docPr id="560" name="Frame560"/>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19710" cy="175260"/>
                      <wp:effectExtent l="0" t="0" r="0" b="0"/>
                      <wp:wrapNone/>
                      <wp:docPr id="561"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62"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505460" cy="175260"/>
                      <wp:effectExtent l="0" t="0" r="0" b="0"/>
                      <wp:wrapNone/>
                      <wp:docPr id="563" name="Frame5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4"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3985" cy="175260"/>
                      <wp:effectExtent l="0" t="0" r="0" b="0"/>
                      <wp:wrapNone/>
                      <wp:docPr id="565" name="Frame5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00710" cy="175260"/>
                      <wp:effectExtent l="0" t="0" r="0" b="0"/>
                      <wp:wrapNone/>
                      <wp:docPr id="566" name="Frame56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(21,140)</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(24,048)</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(204,295)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104,242</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 xml:space="preserve">Our primary uses of cash from operating activities include costs associated with operating our ethanol and RNG production facilities, including feedstock procurement, utilities, maintenance, logistics, and related working capital requirements. We also incur personnel-related and research and development expenses as we continue to invest in renewable fuels and chemicals using ethanol and isobutanol as intermediates. As our operations have evolved, a significant portion of our operating cash flows is driven by production-related and working capital requirements associated with these facilities. </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March 31, 2026, net cash used in operating activities was $21.7 million compared to $24.0 million for the three months ended March 31, 2025. Non-cash charges primarily consisted of $6.7 million in depreciation and amortization, $2.1 million in stock-based compensation expense and $10.3 million loss on extinguishment of bonds. Production tax credits of $16.9 million were recognized under Section 45Z, which reduced cost of goods sold and increased operating cash flow on a non-cash basis. The accounts payable and accrued liability balance decreased $10.6 million.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2026, the Company made capital investments totaling $8.9 million for its ongoing projects. These investments are comprised of $5.7 million at Gevo, $0.7 million at GevoFuels, $0.1 million at GevoRNG and $2.4 million at GevoND. The investments primarily relate to the acquisition of property, plant, and equipment, and are aimed at advancing the Company’s strategic initiatives in renewable energy and related sectors.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substantially completed the engineering design on our ATJ projects and are proceeding with detailed engineering and modularization design. We are refining the project cost estimates with EPC partners to identify opportunities to reduce and negotiate the cost. We currently expect to finance the construction of ATJ plants at the subsidiary level using a combination of Company equity and third-party capital.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Gevo is in the process of identifying and performing early site development work for additional ATJ production locations. These potential sites include greenfield and brownfield (i.e., at an existing ethanol plant) locations that are advantageous in terms of potential economics, opportunities to decarbonize, and time to market.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March 31, 2025, </w:t>
      </w:r>
      <w:r>
        <w:rPr>
          <w:rFonts w:ascii="Times New Roman" w:hAnsi="Times New Roman"/>
          <w:sz w:val="20"/>
        </w:rPr>
        <w:t xml:space="preserve">we had $204.3 million of cash used in investing activities, comprised of our acquisition of the assets of Red Trail Energy of $198 million and investments in our capital projects of $5.8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March 31, 2026, the Company entered into an amendment to the credit agreement with affiliates of OIC for an additional borrowings of $70 million. The proceeds from the amendment were partially used to redeem the Remarketed Bonds and the Series 2025A Bonds at Gevo NW Iowa RNG.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ATJ plants at the subsidiary level using a combination of our own, third-party, and debt capital. The Company expects to retain an equity interest in the project and may invest equity in the project using the proceeds from the reimbursement of the Company’s ATJ project development expenditures. Cash distributions from future ATJ project earnings would be proportionate to Gevo’s ownership in such ATJ projects under this expected financing structure which would allow us to conserve and redeploy our capital on other growth projects, including other ATJ projects. We expect to apply similar development and financing strategies to future ATJ projects to enable growth of SAF production to meet demand for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2025, the Company entered into a credit agreement with affiliates of OIC for $105 million. The proceeds from this credit agreement were partially used to fund the acquisition of substantially all of the assets and certain liabilities of Red Trail Energy. Additionally, the lenders made an equity investment of $5 million in Gevo Intermediate HoldCo, LLC on January 31, 2025. This equity investment is reflected as a cash inflow within financing activities.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May 30, 2023, we authorized a stock repurchase program, under which we may repurchase up to $25 million of our common stock. The primary goal of the repurchase program is to allow us to opportunistically repurchase shares, while maintaining our ability to fund our development projects. Under the stock repurchase program, we may repurchase shares from time to time in the open market or through privately negotiated transactions. The timing, volume and nature of stock repurchases, if any, will be at our sole discretion and will be dependent on market conditions, applicable securities laws, and other factors. The stock repurchase program may be suspended or discontinued at any time and does not have an expiration date.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repurchase shares of common stock under the stock repurchase program during the three months ended March 31, 2026 and 2025. As of March 31, 2026, approximately $20.3 million remained available under the stock repurchase program.</w:t>
      </w:r>
    </w:p>
    <w:p>
      <w:pPr>
        <w:pStyle w:val="TextBody"/>
        <w:bidi w:val="0"/>
        <w:spacing w:before="0" w:after="240"/>
        <w:ind w:left="0" w:right="0" w:hanging="0"/>
        <w:jc w:val="left"/>
        <w:rPr>
          <w:rFonts w:ascii="Times New Roman;Times;serif" w:hAnsi="Times New Roman;Times;serif"/>
          <w:b/>
          <w:sz w:val="20"/>
        </w:rPr>
      </w:pPr>
      <w:bookmarkStart w:id="1540" w:name="Item3QuantitativeandQualitativeDisclosur"/>
      <w:bookmarkStart w:id="1541" w:name="_73b45c32_c065_462f_ba32_0e10a84b43ef"/>
      <w:bookmarkEnd w:id="1540"/>
      <w:bookmarkEnd w:id="1541"/>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 3. However, we note that we are exposed to market risks in the ordinary course of our business. These risks primarily consist of environmental attribute pricing, increased project costs, commodity pricing, interest rate, credit risk with our contract counterparties, and equity price risks. There have been no material changes since our disclosure in “Quantitative and Qualitative Disclosures About Market Risk” included in Part II, Item 7A of our 2025 Annual Report.</w:t>
      </w:r>
    </w:p>
    <w:p>
      <w:pPr>
        <w:pStyle w:val="TextBody"/>
        <w:bidi w:val="0"/>
        <w:spacing w:before="0" w:after="240"/>
        <w:ind w:left="0" w:right="0" w:hanging="0"/>
        <w:jc w:val="left"/>
        <w:rPr>
          <w:rFonts w:ascii="Times New Roman;Times;serif" w:hAnsi="Times New Roman;Times;serif"/>
          <w:b/>
          <w:sz w:val="20"/>
        </w:rPr>
      </w:pPr>
      <w:bookmarkStart w:id="1542" w:name="Item4ControlsandProcedures_150025"/>
      <w:bookmarkStart w:id="1543" w:name="_8e2f0fe7_05d5_4a31_8515_4e61f390e0a4"/>
      <w:bookmarkEnd w:id="1542"/>
      <w:bookmarkEnd w:id="1543"/>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disclosure controls and procedures, which as defined under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under the Exchange Act is accumulated and communicated to our management, including our Chief Executive Officer (principal executive officer) and Chief Financial Officer (principal financial officer), as appropriate to allow timely decisions regarding required disclosure.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previously reported in our Annual Report on Form 10-K for the year ended December 31, 2025, management identified a material weakness in the Company’s internal control over financial reporting related to information technology general controls within certain financial systems of a recently acquired entity. Specifically, deficiencies were identified in controls over privileged access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change management, and certain IT operations processes. As a result, certain automated controls and IT-dependent manual controls were ineffective.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31, 2026, Management has initiated remediation efforts, including enhancing user access controls, strengthening change management procedures, and integrating the acquired entity’s ERP system with the Company’s existing systems and applications.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March 31, 2026,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36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Except as disclosed above, there were no changes in our internal control over financial reporting that occurred during the three months ended March 31, 2026, that have materially affected, or are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1544" w:name="PARTIIOTHERINFORMATION_881509"/>
      <w:bookmarkStart w:id="1545" w:name="_2a330374_850a_4227_8eec_1a9b59176a53"/>
      <w:bookmarkEnd w:id="1544"/>
      <w:bookmarkEnd w:id="1545"/>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546" w:name="Item1LegalProceedings_687788"/>
      <w:bookmarkEnd w:id="1546"/>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discussion of legal matters is found in Note 19, Commitments and Contingencies, in the accompanying Notes to the Financial Statements included in Part I - Item 1. Financial Statements of this Report.</w:t>
      </w:r>
    </w:p>
    <w:p>
      <w:pPr>
        <w:pStyle w:val="TextBody"/>
        <w:bidi w:val="0"/>
        <w:spacing w:before="0" w:after="240"/>
        <w:ind w:left="0" w:right="0" w:hanging="0"/>
        <w:jc w:val="left"/>
        <w:rPr>
          <w:rFonts w:ascii="Times New Roman;Times;serif" w:hAnsi="Times New Roman;Times;serif"/>
          <w:b/>
          <w:sz w:val="20"/>
        </w:rPr>
      </w:pPr>
      <w:bookmarkStart w:id="1547" w:name="Item1ARiskFactors_410492"/>
      <w:bookmarkStart w:id="1548" w:name="_c9bc6b65_7f1f_4718_8abe_e651fb2d920e"/>
      <w:bookmarkEnd w:id="1547"/>
      <w:bookmarkEnd w:id="1548"/>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carefully consider the risk factors discussed in Part I, Item 1A. “Risk Factors” in our 2025 Annual Report, which could materially affect our business, financial condition, cash flows or future results. There have been no material changes in our risk factors included in our 2025 Annual Report. The risk factors in our 2025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240"/>
        <w:ind w:left="0" w:right="0" w:hanging="0"/>
        <w:jc w:val="left"/>
        <w:rPr>
          <w:rFonts w:ascii="Times New Roman;Times;serif" w:hAnsi="Times New Roman;Times;serif"/>
          <w:b/>
          <w:sz w:val="20"/>
        </w:rPr>
      </w:pPr>
      <w:bookmarkStart w:id="1549" w:name="Item2UnregisteredSalesofEquitySecurities"/>
      <w:bookmarkStart w:id="1550" w:name="_7b799a91_4239_46a3_9d14_ccba9aeca7d0"/>
      <w:bookmarkStart w:id="1551" w:name="_Item_2._Unregistered"/>
      <w:bookmarkEnd w:id="1549"/>
      <w:bookmarkEnd w:id="1550"/>
      <w:bookmarkEnd w:id="1551"/>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552" w:name="Item3DefaultsUponSeniorSecurities_300980"/>
      <w:bookmarkStart w:id="1553" w:name="_fcd4539f_74ab_4b18_b3c9_fd52c684e6ec"/>
      <w:bookmarkEnd w:id="1552"/>
      <w:bookmarkEnd w:id="1553"/>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554" w:name="Item4MineSafetyDisclosures_988747"/>
      <w:bookmarkStart w:id="1555" w:name="_ee08a718_4c72_450a_a549_951f3b2b289f"/>
      <w:bookmarkEnd w:id="1554"/>
      <w:bookmarkEnd w:id="1555"/>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56" w:name="Item5OtherInformation_31786"/>
      <w:bookmarkStart w:id="1557" w:name="_cea31f6d_22fd_44c3_bfc5_d3d88cbeeae4"/>
      <w:bookmarkEnd w:id="1556"/>
      <w:bookmarkEnd w:id="1557"/>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sz w:val="20"/>
        </w:rPr>
      </w:pPr>
      <w:bookmarkStart w:id="1558" w:name="Tc_7zrgzuMdFEmnTLHpfanAjQ_3_8"/>
      <w:bookmarkStart w:id="1559" w:name="Tc_bfywQbGAA0Ccl0EVT-S1hw_3_6"/>
      <w:bookmarkStart w:id="1560" w:name="Tc_nduxORgHMEKP91fSB15axA_3_0"/>
      <w:bookmarkStart w:id="1561" w:name="Tc_pBO7RZ2jkkm6rgKHKTuIiA_2_8"/>
      <w:bookmarkStart w:id="1562" w:name="Tc_fqHFO4dY70mfY8loC5vJtA_2_6"/>
      <w:bookmarkStart w:id="1563" w:name="Tc_fCPpRHmETEa-AOCS_rNJlw_2_0"/>
      <w:bookmarkStart w:id="1564" w:name="Tc_Ckv31Ep0vUOnfGUoy_l9_w_1_7"/>
      <w:bookmarkStart w:id="1565" w:name="Tc_CkKEln5KM0uWvR3IgPBFrg_1_5"/>
      <w:bookmarkStart w:id="1566" w:name="Tc_QOBQsHT5GE2NsGRDntiaBA_1_3"/>
      <w:bookmarkStart w:id="1567" w:name="Tc_K2YvFAJVKEOQ8Iuz5wJ5-A_1_1"/>
      <w:bookmarkStart w:id="1568" w:name="Tc_G4vC97XgFke9uUTN9h7DZA_1_0"/>
      <w:bookmarkStart w:id="1569" w:name="_4f8f6547_9c53_4af9_a1d8_c358c56bb7a4"/>
      <w:bookmarkEnd w:id="1558"/>
      <w:bookmarkEnd w:id="1559"/>
      <w:bookmarkEnd w:id="1560"/>
      <w:bookmarkEnd w:id="1561"/>
      <w:bookmarkEnd w:id="1562"/>
      <w:bookmarkEnd w:id="1563"/>
      <w:bookmarkEnd w:id="1564"/>
      <w:bookmarkEnd w:id="1565"/>
      <w:bookmarkEnd w:id="1566"/>
      <w:bookmarkEnd w:id="1567"/>
      <w:bookmarkEnd w:id="1568"/>
      <w:bookmarkEnd w:id="1569"/>
      <w:r>
        <w:rPr>
          <w:rFonts w:ascii="Times New Roman;Times;serif" w:hAnsi="Times New Roman;Times;serif"/>
          <w:sz w:val="20"/>
        </w:rPr>
        <w:t>During the three months ended March 31, 2026, the below directors and/or officers, as defined in Rule 16a-1(f), adopted, modified or terminated a “Rule 10b5-1 trading arrangement,” as defined in Item 408 of Regulation S-K. The Rule 10b5-1 trading arrangements were each intended to satisfy the affirmative defense in Rule 10b5-1(c)(1).</w:t>
      </w:r>
    </w:p>
    <w:tbl>
      <w:tblPr>
        <w:tblW w:w="10205" w:type="dxa"/>
        <w:jc w:val="left"/>
        <w:tblInd w:w="0" w:type="dxa"/>
        <w:tblLayout w:type="fixed"/>
        <w:tblCellMar>
          <w:top w:w="0" w:type="dxa"/>
          <w:left w:w="0" w:type="dxa"/>
          <w:bottom w:w="0" w:type="dxa"/>
          <w:right w:w="0" w:type="dxa"/>
        </w:tblCellMar>
      </w:tblPr>
      <w:tblGrid>
        <w:gridCol w:w="2711"/>
        <w:gridCol w:w="109"/>
        <w:gridCol w:w="931"/>
        <w:gridCol w:w="109"/>
        <w:gridCol w:w="1253"/>
        <w:gridCol w:w="109"/>
        <w:gridCol w:w="1776"/>
        <w:gridCol w:w="227"/>
        <w:gridCol w:w="2980"/>
      </w:tblGrid>
      <w:tr>
        <w:trPr/>
        <w:tc>
          <w:tcPr>
            <w:tcW w:w="27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9215" cy="175260"/>
                      <wp:effectExtent l="0" t="0" r="0" b="0"/>
                      <wp:wrapNone/>
                      <wp:docPr id="567" name="Frame5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9215" cy="175260"/>
                      <wp:effectExtent l="0" t="0" r="0" b="0"/>
                      <wp:wrapNone/>
                      <wp:docPr id="568" name="Frame5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9215" cy="175260"/>
                      <wp:effectExtent l="0" t="0" r="0" b="0"/>
                      <wp:wrapNone/>
                      <wp:docPr id="569" name="Frame5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7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44145" cy="175260"/>
                      <wp:effectExtent l="0" t="0" r="0" b="0"/>
                      <wp:wrapNone/>
                      <wp:docPr id="570" name="Frame57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0" w:type="dxa"/>
            <w:tcBorders/>
            <w:vAlign w:val="center"/>
          </w:tcPr>
          <w:p>
            <w:pPr>
              <w:pStyle w:val="TableContents"/>
              <w:bidi w:val="0"/>
              <w:spacing w:before="0" w:after="1"/>
              <w:ind w:left="0" w:right="0" w:hanging="0"/>
              <w:jc w:val="left"/>
              <w:rPr/>
            </w:pPr>
            <w:r>
              <w:rPr/>
              <w:t>​</w:t>
            </w:r>
          </w:p>
        </w:tc>
      </w:tr>
      <w:tr>
        <w:trPr/>
        <w:tc>
          <w:tcPr>
            <w:tcW w:w="27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Name and Title</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Action</w:t>
            </w:r>
          </w:p>
        </w:tc>
        <w:tc>
          <w:tcPr>
            <w:tcW w:w="136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88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Duration of Plan</w:t>
            </w:r>
          </w:p>
        </w:tc>
        <w:tc>
          <w:tcPr>
            <w:tcW w:w="320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Number of Shares</w:t>
              <w:br/>
              <w:t>of Common Stock to be Purchased or Sold</w:t>
            </w:r>
          </w:p>
        </w:tc>
      </w:tr>
      <w:tr>
        <w:trPr/>
        <w:tc>
          <w:tcPr>
            <w:tcW w:w="271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Patrick R. Gruber</w:t>
              <w:br/>
            </w:r>
            <w:r>
              <w:rPr>
                <w:rFonts w:ascii="Times New Roman;Times;serif" w:hAnsi="Times New Roman;Times;serif"/>
                <w:i/>
                <w:sz w:val="20"/>
              </w:rPr>
              <w:t>Chief Executive Officer</w:t>
            </w:r>
            <w:r>
              <w:rPr>
                <w:rFonts w:ascii="Times New Roman;Times;serif" w:hAnsi="Times New Roman;Times;serif"/>
                <w:sz w:val="20"/>
              </w:rPr>
              <w:t xml:space="preserve"> and Director</w:t>
            </w:r>
          </w:p>
        </w:tc>
        <w:tc>
          <w:tcPr>
            <w:tcW w:w="109"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Terminate</w:t>
            </w:r>
          </w:p>
        </w:tc>
        <w:tc>
          <w:tcPr>
            <w:tcW w:w="109"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1"/>
              <w:ind w:left="0" w:right="0" w:hanging="0"/>
              <w:jc w:val="left"/>
              <w:rPr/>
            </w:pPr>
            <w:r>
              <w:rPr/>
              <w:t>​</w:t>
            </w:r>
          </w:p>
        </w:tc>
        <w:tc>
          <w:tcPr>
            <w:tcW w:w="1253"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10, 2026</w:t>
            </w:r>
          </w:p>
        </w:tc>
        <w:tc>
          <w:tcPr>
            <w:tcW w:w="109"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1"/>
              <w:ind w:left="0" w:right="0" w:hanging="0"/>
              <w:jc w:val="left"/>
              <w:rPr/>
            </w:pPr>
            <w:r>
              <w:rPr/>
              <w:t>​</w:t>
            </w:r>
          </w:p>
        </w:tc>
        <w:tc>
          <w:tcPr>
            <w:tcW w:w="177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November 25, 2025</w:t>
            </w:r>
            <w:r>
              <w:rPr>
                <w:rFonts w:ascii="Times New Roman;Times;serif" w:hAnsi="Times New Roman;Times;serif"/>
                <w:sz w:val="20"/>
              </w:rPr>
              <w:t xml:space="preserve"> to </w:t>
              <w:br/>
              <w:t>November 25, 2026</w:t>
            </w:r>
          </w:p>
        </w:tc>
        <w:tc>
          <w:tcPr>
            <w:tcW w:w="227"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1"/>
              <w:ind w:left="0" w:right="0" w:hanging="0"/>
              <w:jc w:val="left"/>
              <w:rPr/>
            </w:pPr>
            <w:r>
              <w:rPr/>
              <w:t>​</w:t>
            </w:r>
          </w:p>
        </w:tc>
        <w:tc>
          <w:tcPr>
            <w:tcW w:w="2980"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Up to 4,381,557</w:t>
            </w:r>
          </w:p>
        </w:tc>
      </w:tr>
      <w:tr>
        <w:trPr/>
        <w:tc>
          <w:tcPr>
            <w:tcW w:w="27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Patrick R. Gruber</w:t>
              <w:br/>
              <w:t>Chief Executive Officer and Director</w:t>
            </w:r>
          </w:p>
        </w:tc>
        <w:tc>
          <w:tcPr>
            <w:tcW w:w="109"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Adopt</w:t>
            </w:r>
          </w:p>
        </w:tc>
        <w:tc>
          <w:tcPr>
            <w:tcW w:w="109"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1253"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10, 2026</w:t>
            </w:r>
          </w:p>
        </w:tc>
        <w:tc>
          <w:tcPr>
            <w:tcW w:w="109"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1776"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June 10, 2026</w:t>
            </w:r>
            <w:r>
              <w:rPr>
                <w:rFonts w:ascii="Times New Roman;Times;serif" w:hAnsi="Times New Roman;Times;serif"/>
                <w:sz w:val="20"/>
              </w:rPr>
              <w:t xml:space="preserve"> to </w:t>
              <w:br/>
              <w:t>June 9, 2027</w:t>
            </w:r>
          </w:p>
        </w:tc>
        <w:tc>
          <w:tcPr>
            <w:tcW w:w="227"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2980"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Up to 4,381,557</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set forth above, no director or officer, as defined in Rule 16a-1(f), adopted, modified and/or terminated a “Rule 10b5-1 trading arrangement,” or a “non-Rule 10b5-1 trading arrangement,” each as defined in Item 408 of Regulation S-K, during the three months ended March 31,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70" w:name="Item6Exhibits_75368"/>
      <w:bookmarkStart w:id="1571" w:name="_be524fc0_4c55_4313_b714_fb8ef723333d"/>
      <w:bookmarkEnd w:id="1570"/>
      <w:bookmarkEnd w:id="1571"/>
      <w:r>
        <w:rPr>
          <w:rFonts w:ascii="Times New Roman;Times;serif" w:hAnsi="Times New Roman;Times;serif"/>
          <w:b/>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exhibits listed below are filed or furnished as part of this report.</w:t>
      </w:r>
    </w:p>
    <w:tbl>
      <w:tblPr>
        <w:tblW w:w="10205" w:type="dxa"/>
        <w:jc w:val="left"/>
        <w:tblInd w:w="0" w:type="dxa"/>
        <w:tblLayout w:type="fixed"/>
        <w:tblCellMar>
          <w:top w:w="0" w:type="dxa"/>
          <w:left w:w="0" w:type="dxa"/>
          <w:bottom w:w="0" w:type="dxa"/>
          <w:right w:w="0" w:type="dxa"/>
        </w:tblCellMar>
      </w:tblPr>
      <w:tblGrid>
        <w:gridCol w:w="709"/>
        <w:gridCol w:w="346"/>
        <w:gridCol w:w="3440"/>
        <w:gridCol w:w="346"/>
        <w:gridCol w:w="526"/>
        <w:gridCol w:w="346"/>
        <w:gridCol w:w="704"/>
        <w:gridCol w:w="346"/>
        <w:gridCol w:w="1106"/>
        <w:gridCol w:w="346"/>
        <w:gridCol w:w="676"/>
        <w:gridCol w:w="346"/>
        <w:gridCol w:w="120"/>
        <w:gridCol w:w="570"/>
        <w:gridCol w:w="121"/>
        <w:gridCol w:w="157"/>
      </w:tblGrid>
      <w:tr>
        <w:trPr/>
        <w:tc>
          <w:tcPr>
            <w:tcW w:w="7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6"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c>
        <w:tc>
          <w:tcPr>
            <w:tcW w:w="570" w:type="dxa"/>
            <w:tcBorders/>
            <w:vAlign w:val="center"/>
          </w:tcPr>
          <w:p>
            <w:pPr>
              <w:pStyle w:val="TableContents"/>
              <w:bidi w:val="0"/>
              <w:spacing w:before="0" w:after="0"/>
              <w:ind w:left="0" w:right="0" w:hanging="0"/>
              <w:jc w:val="left"/>
              <w:rPr/>
            </w:pPr>
            <w:r>
              <w:rPr/>
              <w:t>​</w:t>
            </w:r>
          </w:p>
        </w:tc>
        <w:tc>
          <w:tcPr>
            <w:tcW w:w="278" w:type="dxa"/>
            <w:gridSpan w:val="2"/>
            <w:tcBorders/>
            <w:vAlign w:val="center"/>
          </w:tcPr>
          <w:p>
            <w:pPr>
              <w:pStyle w:val="TableContents"/>
              <w:bidi w:val="0"/>
              <w:spacing w:before="0" w:after="0"/>
              <w:ind w:left="0" w:right="0" w:hanging="0"/>
              <w:jc w:val="left"/>
              <w:rPr/>
            </w:pPr>
            <w:r>
              <w:rPr/>
              <w:t>​</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br/>
              <w:t>No.</w:t>
            </w:r>
          </w:p>
        </w:tc>
        <w:tc>
          <w:tcPr>
            <w:tcW w:w="346" w:type="dxa"/>
            <w:tcBorders/>
            <w:vAlign w:val="center"/>
          </w:tcPr>
          <w:p>
            <w:pPr>
              <w:pStyle w:val="TableHeading"/>
              <w:bidi w:val="0"/>
              <w:spacing w:before="0" w:after="0"/>
              <w:ind w:left="0" w:right="0" w:hanging="0"/>
              <w:jc w:val="left"/>
              <w:rPr/>
            </w:pPr>
            <w:r>
              <w:rPr/>
              <w:t>  ​ ​ ​</w:t>
            </w:r>
          </w:p>
        </w:tc>
        <w:tc>
          <w:tcPr>
            <w:tcW w:w="344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346" w:type="dxa"/>
            <w:tcBorders/>
            <w:vAlign w:val="center"/>
          </w:tcPr>
          <w:p>
            <w:pPr>
              <w:pStyle w:val="TableHeading"/>
              <w:bidi w:val="0"/>
              <w:spacing w:before="0" w:after="0"/>
              <w:ind w:left="0" w:right="0" w:hanging="0"/>
              <w:jc w:val="left"/>
              <w:rPr/>
            </w:pPr>
            <w:r>
              <w:rPr/>
              <w:t>  ​ ​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346" w:type="dxa"/>
            <w:tcBorders>
              <w:top w:val="single" w:sz="2" w:space="0" w:color="000000"/>
            </w:tcBorders>
            <w:tcMar>
              <w:top w:w="28" w:type="dxa"/>
            </w:tcMar>
            <w:vAlign w:val="center"/>
          </w:tcPr>
          <w:p>
            <w:pPr>
              <w:pStyle w:val="TableHeading"/>
              <w:bidi w:val="0"/>
              <w:spacing w:before="0" w:after="0"/>
              <w:ind w:left="0" w:right="0" w:hanging="0"/>
              <w:jc w:val="left"/>
              <w:rPr/>
            </w:pPr>
            <w:r>
              <w:rPr/>
              <w:t>  ​ ​ ​</w:t>
            </w:r>
          </w:p>
        </w:tc>
        <w:tc>
          <w:tcPr>
            <w:tcW w:w="704"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346" w:type="dxa"/>
            <w:tcBorders>
              <w:top w:val="single" w:sz="2" w:space="0" w:color="000000"/>
            </w:tcBorders>
            <w:tcMar>
              <w:top w:w="28" w:type="dxa"/>
            </w:tcMar>
            <w:vAlign w:val="center"/>
          </w:tcPr>
          <w:p>
            <w:pPr>
              <w:pStyle w:val="TableHeading"/>
              <w:bidi w:val="0"/>
              <w:spacing w:before="0" w:after="0"/>
              <w:ind w:left="0" w:right="0" w:hanging="0"/>
              <w:jc w:val="left"/>
              <w:rPr/>
            </w:pPr>
            <w:r>
              <w:rPr/>
              <w:t>  ​ ​ ​</w:t>
            </w:r>
          </w:p>
        </w:tc>
        <w:tc>
          <w:tcPr>
            <w:tcW w:w="11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 Date</w:t>
            </w:r>
          </w:p>
        </w:tc>
        <w:tc>
          <w:tcPr>
            <w:tcW w:w="346" w:type="dxa"/>
            <w:tcBorders>
              <w:top w:val="single" w:sz="2" w:space="0" w:color="000000"/>
            </w:tcBorders>
            <w:tcMar>
              <w:top w:w="28" w:type="dxa"/>
            </w:tcMar>
            <w:vAlign w:val="center"/>
          </w:tcPr>
          <w:p>
            <w:pPr>
              <w:pStyle w:val="TableHeading"/>
              <w:bidi w:val="0"/>
              <w:spacing w:before="0" w:after="0"/>
              <w:ind w:left="0" w:right="0" w:hanging="0"/>
              <w:jc w:val="left"/>
              <w:rPr/>
            </w:pPr>
            <w:r>
              <w:rPr/>
              <w:t>  ​ ​ ​</w:t>
            </w:r>
          </w:p>
        </w:tc>
        <w:tc>
          <w:tcPr>
            <w:tcW w:w="67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346" w:type="dxa"/>
            <w:tcBorders/>
            <w:vAlign w:val="center"/>
          </w:tcPr>
          <w:p>
            <w:pPr>
              <w:pStyle w:val="TableHeading"/>
              <w:bidi w:val="0"/>
              <w:spacing w:before="0" w:after="0"/>
              <w:ind w:left="0" w:right="0" w:hanging="0"/>
              <w:jc w:val="left"/>
              <w:rPr/>
            </w:pPr>
            <w:r>
              <w:rPr/>
              <w:t>  ​ ​ ​</w:t>
            </w:r>
          </w:p>
        </w:tc>
        <w:tc>
          <w:tcPr>
            <w:tcW w:w="81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br/>
              <w:t>Herewith</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2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Gevo, Inc.</w:t>
              </w:r>
            </w:hyperlink>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10-K</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46" w:type="dxa"/>
            <w:tcBorders/>
            <w:vAlign w:val="center"/>
          </w:tcPr>
          <w:p>
            <w:pPr>
              <w:pStyle w:val="TableHeading"/>
              <w:bidi w:val="0"/>
              <w:spacing w:before="0" w:after="0"/>
              <w:ind w:left="0" w:right="0" w:hanging="0"/>
              <w:jc w:val="center"/>
              <w:rPr/>
            </w:pPr>
            <w:r>
              <w:rPr/>
              <w:t>​</w:t>
            </w:r>
          </w:p>
        </w:tc>
        <w:tc>
          <w:tcPr>
            <w:tcW w:w="11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February 24, 2022</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Amended and Restated Bylaws of Gevo, Inc.</w:t>
              </w:r>
            </w:hyperlink>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46" w:type="dxa"/>
            <w:tcBorders/>
            <w:vAlign w:val="center"/>
          </w:tcPr>
          <w:p>
            <w:pPr>
              <w:pStyle w:val="TableHeading"/>
              <w:bidi w:val="0"/>
              <w:spacing w:before="0" w:after="0"/>
              <w:ind w:left="0" w:right="0" w:hanging="0"/>
              <w:jc w:val="center"/>
              <w:rPr/>
            </w:pPr>
            <w:r>
              <w:rPr/>
              <w:t>​</w:t>
            </w:r>
          </w:p>
        </w:tc>
        <w:tc>
          <w:tcPr>
            <w:tcW w:w="11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December 15, 2025</w:t>
            </w:r>
          </w:p>
        </w:tc>
        <w:tc>
          <w:tcPr>
            <w:tcW w:w="34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46" w:type="dxa"/>
            <w:tcBorders/>
            <w:vAlign w:val="center"/>
          </w:tcPr>
          <w:p>
            <w:pPr>
              <w:pStyle w:val="TableHeading"/>
              <w:bidi w:val="0"/>
              <w:spacing w:before="0" w:after="0"/>
              <w:ind w:left="0" w:right="0" w:hanging="0"/>
              <w:jc w:val="center"/>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18"/>
                </w:rPr>
                <w:t>Form of Gevo, Inc. Common Stock Certificate</w:t>
              </w:r>
            </w:hyperlink>
            <w:r>
              <w:rPr>
                <w:rFonts w:ascii="Times New Roman;Times;serif" w:hAnsi="Times New Roman;Times;serif"/>
                <w:b w:val="false"/>
                <w:sz w:val="18"/>
              </w:rPr>
              <w:t>.</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S-1</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333-168792</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January 19, 2011</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4.1</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Employment Agreement, amended and restated as of January 1, 2026, by and among Gevo, Inc. and Paul Bloom</w:t>
              </w:r>
            </w:hyperlink>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001-35073</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January 5, 2026</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10.1</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10.2</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Employment Agreement, dated January 1, 2026, by and among Gevo, Inc. and Oluwagbemileke Agiri</w:t>
              </w:r>
            </w:hyperlink>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001-35073</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January 5, 2026</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10.2</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10.3</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Omnibus Amendment Agreement, dated as of February 6, 2026</w:t>
              </w:r>
            </w:hyperlink>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February 11, 2026</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10.2</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Credit and Security Agreement, dated as of February 6, 2026</w:t>
              </w:r>
            </w:hyperlink>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February 11, 2026</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10.3</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31.1</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hyperlink w:anchor="gevo-20260331xex31d1.htm">
              <w:r>
                <w:rPr>
                  <w:rStyle w:val="InternetLink"/>
                  <w:rFonts w:ascii="Times New Roman;Times;serif" w:hAnsi="Times New Roman;Times;serif"/>
                  <w:b w:val="false"/>
                  <w:i w:val="false"/>
                  <w:caps w:val="false"/>
                  <w:smallCaps w:val="false"/>
                  <w:sz w:val="20"/>
                </w:rPr>
                <w:t>Section 302 Certification of the Principal Executive Officer.</w:t>
              </w:r>
            </w:hyperlink>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31.2</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hyperlink w:anchor="gevo-20260331xex31d2.htm">
              <w:r>
                <w:rPr>
                  <w:rStyle w:val="InternetLink"/>
                  <w:rFonts w:ascii="Times New Roman;Times;serif" w:hAnsi="Times New Roman;Times;serif"/>
                  <w:b w:val="false"/>
                  <w:i w:val="false"/>
                  <w:caps w:val="false"/>
                  <w:smallCaps w:val="false"/>
                  <w:sz w:val="20"/>
                </w:rPr>
                <w:t>Section 302 Certification of the Principal Financial Officer.</w:t>
              </w:r>
            </w:hyperlink>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32.1</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hyperlink w:anchor="gevo-20260331xex32d1.htm">
              <w:r>
                <w:rPr>
                  <w:rStyle w:val="InternetLink"/>
                  <w:rFonts w:ascii="Times New Roman;Times;serif" w:hAnsi="Times New Roman;Times;serif"/>
                  <w:b w:val="false"/>
                  <w:i w:val="false"/>
                  <w:caps w:val="false"/>
                  <w:smallCaps w:val="false"/>
                  <w:sz w:val="20"/>
                </w:rPr>
                <w:t>Section 906 Certification of the Principal Executive Officer and Principal Financial Officer.</w:t>
              </w:r>
            </w:hyperlink>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101.INS</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Instance Document (the Instance Document does not appear in the Interactive Data File because its XBRL tags are embedded within the Inline XBRL document)</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101.SCH</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Schema</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101.CAL</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Calculation Linkbase</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101.DEF</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Definition Linkbase</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101.LAB</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Label Linkbase</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101.PRE</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Presentation Linkbase</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pPr>
            <w:r>
              <w:rPr/>
              <w:t>  ​</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709"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46" w:type="dxa"/>
            <w:tcBorders/>
            <w:vAlign w:val="center"/>
          </w:tcPr>
          <w:p>
            <w:pPr>
              <w:pStyle w:val="TableHeading"/>
              <w:bidi w:val="0"/>
              <w:spacing w:before="0" w:after="0"/>
              <w:ind w:left="0" w:right="0" w:hanging="0"/>
              <w:jc w:val="left"/>
              <w:rPr/>
            </w:pPr>
            <w:r>
              <w:rPr/>
              <w:t>​</w:t>
            </w:r>
          </w:p>
        </w:tc>
        <w:tc>
          <w:tcPr>
            <w:tcW w:w="3440"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Cover Page Interactive Data File (embedded within the Inline XBRL document and contained in Exhibit 101)</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70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110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Certain schedules and exhibits have been omitted pursuant to Item 601(a)(5) of Regulation S-K. Gevo agrees to furnish supplementally a copy of any omitted schedule or exhibit to the SEC upon request.</w:t>
      </w:r>
    </w:p>
    <w:p>
      <w:pPr>
        <w:pStyle w:val="TextBody"/>
        <w:bidi w:val="0"/>
        <w:spacing w:before="0" w:after="0"/>
        <w:ind w:left="0" w:right="0" w:hanging="0"/>
        <w:jc w:val="left"/>
        <w:rPr/>
      </w:pPr>
      <w:r>
        <w:rPr/>
        <w:t>​</w:t>
      </w:r>
    </w:p>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Furnished herewith.</w:t>
            </w:r>
          </w:p>
        </w:tc>
      </w:tr>
    </w:tbl>
    <w:tbl>
      <w:tblPr>
        <w:tblW w:w="6137" w:type="dxa"/>
        <w:jc w:val="left"/>
        <w:tblInd w:w="0" w:type="dxa"/>
        <w:tblLayout w:type="fixed"/>
        <w:tblCellMar>
          <w:top w:w="0" w:type="dxa"/>
          <w:left w:w="0" w:type="dxa"/>
          <w:bottom w:w="0" w:type="dxa"/>
          <w:right w:w="0" w:type="dxa"/>
        </w:tblCellMar>
      </w:tblPr>
      <w:tblGrid>
        <w:gridCol w:w="226"/>
        <w:gridCol w:w="591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a management contract or compensatory plan or arrangement.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572" w:name="SIGNATURES_446651"/>
      <w:bookmarkStart w:id="1573" w:name="_18f94896_08da_4a5f_805a_419a3eeeb760"/>
      <w:bookmarkEnd w:id="1572"/>
      <w:bookmarkEnd w:id="1573"/>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5691" w:type="dxa"/>
        <w:jc w:val="left"/>
        <w:tblInd w:w="0" w:type="dxa"/>
        <w:tblLayout w:type="fixed"/>
        <w:tblCellMar>
          <w:top w:w="0" w:type="dxa"/>
          <w:left w:w="0" w:type="dxa"/>
          <w:bottom w:w="0" w:type="dxa"/>
          <w:right w:w="0" w:type="dxa"/>
        </w:tblCellMar>
      </w:tblPr>
      <w:tblGrid>
        <w:gridCol w:w="421"/>
        <w:gridCol w:w="5116"/>
        <w:gridCol w:w="154"/>
      </w:tblGrid>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Gevo, Inc.</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(REGISTRANT)</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Sylvia Gendenjamts</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center"/>
              <w:rPr/>
            </w:pPr>
            <w:r>
              <w:rPr/>
              <w:t>​</w:t>
            </w:r>
          </w:p>
        </w:tc>
        <w:tc>
          <w:tcPr>
            <w:tcW w:w="51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Sylvia Gendenjamts, CPA</w:t>
              <w:br/>
              <w:t>Vice President Accounting and Treasurer</w:t>
              <w:br/>
              <w:t>(Duly Authorized Officer and Principal Accounting Officer)</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120"/>
        <w:ind w:left="0" w:right="0" w:hanging="0"/>
        <w:jc w:val="right"/>
        <w:rPr>
          <w:rFonts w:ascii="Times New Roman;Times;serif" w:hAnsi="Times New Roman;Times;serif"/>
          <w:b/>
          <w:sz w:val="20"/>
        </w:rPr>
      </w:pPr>
      <w:bookmarkStart w:id="1574" w:name="gevo-20260331xex31d1.htm"/>
      <w:bookmarkStart w:id="1575" w:name="ksgevo20260331xex31d1"/>
      <w:bookmarkEnd w:id="1574"/>
      <w:bookmarkEnd w:id="1575"/>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Paul D. Bloom,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266" w:type="dxa"/>
        <w:jc w:val="left"/>
        <w:tblInd w:w="0" w:type="dxa"/>
        <w:tblLayout w:type="fixed"/>
        <w:tblCellMar>
          <w:top w:w="0" w:type="dxa"/>
          <w:left w:w="0" w:type="dxa"/>
          <w:bottom w:w="0" w:type="dxa"/>
          <w:right w:w="0" w:type="dxa"/>
        </w:tblCellMar>
      </w:tblPr>
      <w:tblGrid>
        <w:gridCol w:w="2266"/>
      </w:tblGrid>
      <w:tr>
        <w:trPr/>
        <w:tc>
          <w:tcPr>
            <w:tcW w:w="2266" w:type="dxa"/>
            <w:tcBorders/>
            <w:vAlign w:val="center"/>
          </w:tcPr>
          <w:p>
            <w:pPr>
              <w:pStyle w:val="TableContents"/>
              <w:bidi w:val="0"/>
              <w:spacing w:before="0" w:after="0"/>
              <w:ind w:left="0" w:right="0" w:hanging="0"/>
              <w:jc w:val="left"/>
              <w:rPr/>
            </w:pPr>
            <w:r>
              <w:rPr/>
              <w:t>​</w:t>
            </w:r>
          </w:p>
        </w:tc>
      </w:tr>
      <w:tr>
        <w:trPr/>
        <w:tc>
          <w:tcPr>
            <w:tcW w:w="226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Paul D. Bloom</w:t>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Paul D. Bloom</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576" w:name="gevo-20260331xex31d2.htm"/>
      <w:bookmarkStart w:id="1577" w:name="ksgevo20260331xex31d2"/>
      <w:bookmarkEnd w:id="1576"/>
      <w:bookmarkEnd w:id="1577"/>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Oluwagbemileke Agiri,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0" w:type="dxa"/>
          <w:right w:w="0" w:type="dxa"/>
        </w:tblCellMar>
      </w:tblPr>
      <w:tblGrid>
        <w:gridCol w:w="2386"/>
      </w:tblGrid>
      <w:tr>
        <w:trPr/>
        <w:tc>
          <w:tcPr>
            <w:tcW w:w="2386" w:type="dxa"/>
            <w:tcBorders/>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Oluwagbemileke Agiri</w:t>
            </w:r>
          </w:p>
        </w:tc>
      </w:tr>
      <w:tr>
        <w:trPr/>
        <w:tc>
          <w:tcPr>
            <w:tcW w:w="2386" w:type="dxa"/>
            <w:tcBorders>
              <w:top w:val="single" w:sz="2" w:space="0" w:color="000000"/>
            </w:tcBorders>
            <w:tcMar>
              <w:top w:w="28"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Oluwagbemileke Agiri</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578" w:name="gevo-20260331xex32d1.htm"/>
      <w:bookmarkStart w:id="1579" w:name="ksgevo20260331xex32d1"/>
      <w:bookmarkEnd w:id="1578"/>
      <w:bookmarkEnd w:id="1579"/>
      <w:r>
        <w:rPr>
          <w:rFonts w:ascii="Times New Roman;Times;serif" w:hAnsi="Times New Roman;Times;serif"/>
          <w:b/>
          <w:sz w:val="20"/>
        </w:rPr>
        <w:t>Exhibit 32.1</w:t>
      </w:r>
      <w:r>
        <w:br w:type="page"/>
      </w:r>
    </w:p>
    <w:p>
      <w:pPr>
        <w:pStyle w:val="TextBody"/>
        <w:bidi w:val="0"/>
        <w:spacing w:before="0" w:after="12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 SECTION 906 OF THE SARBANES-OXLEY ACT OF 2002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 Paul D. Bloom, Chief Executive Officer of Gevo, Inc. (the "Company"), and I, Oluwagbemileke Agiri, Chief Financial Officer of the Company, certify, pursuant to 18 U.S.C. Section 1350, as adopted pursuant to Section 906 of the Sarbanes-Oxley Act of 2002, that: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(1) The Quarterly Report on Form 10-Q of the Company for the quarter ended March 31, 2026 (the "Report"), fully complies with the requirements of Section 13(a) or 15(d) of the Securities Exchange Act of 1934, as amended;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for the period covered by the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0" w:type="dxa"/>
          <w:right w:w="0" w:type="dxa"/>
        </w:tblCellMar>
      </w:tblPr>
      <w:tblGrid>
        <w:gridCol w:w="2386"/>
      </w:tblGrid>
      <w:tr>
        <w:trPr/>
        <w:tc>
          <w:tcPr>
            <w:tcW w:w="2386" w:type="dxa"/>
            <w:tcBorders/>
            <w:vAlign w:val="center"/>
          </w:tcPr>
          <w:p>
            <w:pPr>
              <w:pStyle w:val="TableContents"/>
              <w:bidi w:val="0"/>
              <w:spacing w:before="0" w:after="2"/>
              <w:ind w:left="0" w:right="0" w:hanging="0"/>
              <w:jc w:val="left"/>
              <w:rPr/>
            </w:pPr>
            <w:r>
              <w:rPr/>
              <w:t>​</w:t>
            </w:r>
          </w:p>
          <w:p>
            <w:pPr>
              <w:pStyle w:val="TableContents"/>
              <w:bidi w:val="0"/>
              <w:spacing w:before="0" w:after="30"/>
              <w:ind w:left="0" w:right="0" w:hanging="0"/>
              <w:jc w:val="left"/>
              <w:rPr/>
            </w:pPr>
            <w:r>
              <w:rPr/>
              <w:t>​</w:t>
            </w:r>
          </w:p>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3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Paul D. Bloom</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Paul D. Bloom</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515110" cy="175260"/>
                      <wp:effectExtent l="0" t="0" r="0" b="0"/>
                      <wp:wrapNone/>
                      <wp:docPr id="571" name="Frame571"/>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
              <w:ind w:left="0" w:right="0" w:hanging="0"/>
              <w:jc w:val="left"/>
              <w:rPr>
                <w:rFonts w:ascii="Times New Roman;Times;serif" w:hAnsi="Times New Roman;Times;serif"/>
                <w:sz w:val="20"/>
              </w:rPr>
            </w:pPr>
            <w:r>
              <w:rPr>
                <w:rFonts w:ascii="Times New Roman;Times;serif" w:hAnsi="Times New Roman;Times;serif"/>
                <w:sz w:val="20"/>
              </w:rPr>
              <w:t>Date: May 7, 2026</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515110" cy="175260"/>
                      <wp:effectExtent l="0" t="0" r="0" b="0"/>
                      <wp:wrapNone/>
                      <wp:docPr id="572" name="Frame572"/>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515110" cy="175260"/>
                      <wp:effectExtent l="0" t="0" r="0" b="0"/>
                      <wp:wrapNone/>
                      <wp:docPr id="573" name="Frame573"/>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Oluwagbemileke Agiri</w:t>
            </w:r>
          </w:p>
        </w:tc>
      </w:tr>
      <w:tr>
        <w:trPr/>
        <w:tc>
          <w:tcPr>
            <w:tcW w:w="2386" w:type="dxa"/>
            <w:tcBorders>
              <w:top w:val="single" w:sz="2" w:space="0" w:color="000000"/>
            </w:tcBorders>
            <w:tcMar>
              <w:top w:w="28"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Oluwagbemileke Agiri</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515110" cy="175260"/>
                      <wp:effectExtent l="0" t="0" r="0" b="0"/>
                      <wp:wrapNone/>
                      <wp:docPr id="574" name="Frame574"/>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
              <w:ind w:left="0" w:right="0" w:hanging="0"/>
              <w:jc w:val="left"/>
              <w:rPr>
                <w:rFonts w:ascii="Times New Roman;Times;serif" w:hAnsi="Times New Roman;Times;serif"/>
                <w:sz w:val="20"/>
              </w:rPr>
            </w:pPr>
            <w:r>
              <w:rPr>
                <w:rFonts w:ascii="Times New Roman;Times;serif" w:hAnsi="Times New Roman;Times;serif"/>
                <w:sz w:val="20"/>
              </w:rPr>
              <w:t>Date: May 7, 2026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2380/000143774922004346/ex_337695.htm" TargetMode="External"/><Relationship Id="rId3" Type="http://schemas.openxmlformats.org/officeDocument/2006/relationships/hyperlink" Target="https://www.sec.gov/Archives/edgar/data/1392380/000110465925120909/tm2533409d1_ex3-1.htm" TargetMode="External"/><Relationship Id="rId4" Type="http://schemas.openxmlformats.org/officeDocument/2006/relationships/hyperlink" Target="https://www.sec.gov/Archives/edgar/data/1392380/000119312511009935/dex41.htm" TargetMode="External"/><Relationship Id="rId5" Type="http://schemas.openxmlformats.org/officeDocument/2006/relationships/hyperlink" Target="https://www.sec.gov/Archives/edgar/data/1392380/000110465926000442/tm2534603d1_ex10-1.htm" TargetMode="External"/><Relationship Id="rId6" Type="http://schemas.openxmlformats.org/officeDocument/2006/relationships/hyperlink" Target="https://www.sec.gov/Archives/edgar/data/1392380/000110465926000442/tm2534603d1_ex10-2.htm" TargetMode="External"/><Relationship Id="rId7" Type="http://schemas.openxmlformats.org/officeDocument/2006/relationships/hyperlink" Target="https://www.sec.gov/Archives/edgar/data/1392380/000110465926013096/tm265600d1_ex10-2.htm" TargetMode="External"/><Relationship Id="rId8" Type="http://schemas.openxmlformats.org/officeDocument/2006/relationships/hyperlink" Target="https://www.sec.gov/Archives/edgar/data/1392380/000110465926013096/tm265600d1_ex10-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24354</Words>
  <Characters>136086</Characters>
  <CharactersWithSpaces>163335</CharactersWithSpaces>
  <Paragraphs>7847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