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3900" w:right="1760" w:hanging="3892"/>
        <w:spacing w:after="0" w:line="501" w:lineRule="auto"/>
        <w:tabs>
          <w:tab w:leader="none" w:pos="49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320" w:right="1320" w:hanging="4312"/>
        <w:spacing w:after="0" w:line="517" w:lineRule="auto"/>
        <w:tabs>
          <w:tab w:leader="none" w:pos="49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AND EXCHANGE ACT OF 1934 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GEVO,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320" w:type="dxa"/>
            <w:vAlign w:val="bottom"/>
          </w:tcPr>
          <w:p>
            <w:pPr>
              <w:jc w:val="center"/>
              <w:ind w:right="1890"/>
              <w:spacing w:after="0"/>
              <w:rPr>
                <w:sz w:val="20"/>
                <w:szCs w:val="20"/>
                <w:color w:val="auto"/>
              </w:rPr>
            </w:pPr>
            <w:r>
              <w:rPr>
                <w:rFonts w:ascii="Arial" w:cs="Arial" w:eastAsia="Arial" w:hAnsi="Arial"/>
                <w:sz w:val="18"/>
                <w:szCs w:val="18"/>
                <w:b w:val="1"/>
                <w:bCs w:val="1"/>
                <w:color w:val="auto"/>
                <w:w w:val="93"/>
              </w:rPr>
              <w:t>Delaware</w:t>
            </w:r>
          </w:p>
        </w:tc>
        <w:tc>
          <w:tcPr>
            <w:tcW w:w="3360" w:type="dxa"/>
            <w:vAlign w:val="bottom"/>
          </w:tcPr>
          <w:p>
            <w:pPr>
              <w:jc w:val="center"/>
              <w:ind w:left="1870"/>
              <w:spacing w:after="0"/>
              <w:rPr>
                <w:sz w:val="20"/>
                <w:szCs w:val="20"/>
                <w:color w:val="auto"/>
              </w:rPr>
            </w:pPr>
            <w:r>
              <w:rPr>
                <w:rFonts w:ascii="Arial" w:cs="Arial" w:eastAsia="Arial" w:hAnsi="Arial"/>
                <w:sz w:val="18"/>
                <w:szCs w:val="18"/>
                <w:b w:val="1"/>
                <w:bCs w:val="1"/>
                <w:color w:val="auto"/>
                <w:w w:val="91"/>
              </w:rPr>
              <w:t>87-0747704</w:t>
            </w:r>
          </w:p>
        </w:tc>
      </w:tr>
      <w:tr>
        <w:trPr>
          <w:trHeight w:val="216"/>
        </w:trPr>
        <w:tc>
          <w:tcPr>
            <w:tcW w:w="432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(State or other jurisdiction of</w:t>
            </w:r>
          </w:p>
        </w:tc>
        <w:tc>
          <w:tcPr>
            <w:tcW w:w="3360" w:type="dxa"/>
            <w:vAlign w:val="bottom"/>
          </w:tcPr>
          <w:p>
            <w:pPr>
              <w:jc w:val="center"/>
              <w:ind w:left="18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32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incorporation or organization)</w:t>
            </w:r>
          </w:p>
        </w:tc>
        <w:tc>
          <w:tcPr>
            <w:tcW w:w="3360" w:type="dxa"/>
            <w:vAlign w:val="bottom"/>
          </w:tcPr>
          <w:p>
            <w:pPr>
              <w:jc w:val="center"/>
              <w:ind w:left="187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345 Inverness Drive South, Building C, Suite 310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Englewood, CO 80112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858-8358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including zip code, and telephone number, including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2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40"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540"/>
              <w:spacing w:after="0"/>
              <w:rPr>
                <w:sz w:val="20"/>
                <w:szCs w:val="20"/>
                <w:color w:val="auto"/>
              </w:rPr>
            </w:pPr>
            <w:r>
              <w:rPr>
                <w:rFonts w:ascii="Arial" w:cs="Arial" w:eastAsia="Arial" w:hAnsi="Arial"/>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25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540"/>
              <w:spacing w:after="0"/>
              <w:rPr>
                <w:sz w:val="20"/>
                <w:szCs w:val="20"/>
                <w:color w:val="auto"/>
              </w:rPr>
            </w:pPr>
            <w:r>
              <w:rPr>
                <w:rFonts w:ascii="Arial" w:cs="Arial" w:eastAsia="Arial" w:hAnsi="Arial"/>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660" w:type="dxa"/>
            <w:vAlign w:val="bottom"/>
          </w:tcPr>
          <w:p>
            <w:pPr>
              <w:ind w:left="1540"/>
              <w:spacing w:after="0"/>
              <w:rPr>
                <w:sz w:val="20"/>
                <w:szCs w:val="20"/>
                <w:color w:val="auto"/>
              </w:rPr>
            </w:pPr>
            <w:r>
              <w:rPr>
                <w:rFonts w:ascii="Arial" w:cs="Arial" w:eastAsia="Arial" w:hAnsi="Arial"/>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300" w:type="dxa"/>
        <w:tblCellMar>
          <w:top w:w="0" w:type="dxa"/>
          <w:left w:w="0" w:type="dxa"/>
          <w:bottom w:w="0" w:type="dxa"/>
          <w:right w:w="0" w:type="dxa"/>
        </w:tblCellMar>
      </w:tblPr>
      <w:tr>
        <w:trPr>
          <w:trHeight w:val="212"/>
        </w:trPr>
        <w:tc>
          <w:tcPr>
            <w:tcW w:w="4920" w:type="dxa"/>
            <w:vAlign w:val="bottom"/>
            <w:gridSpan w:val="3"/>
          </w:tcPr>
          <w:p>
            <w:pPr>
              <w:ind w:left="160"/>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4"/>
        </w:trPr>
        <w:tc>
          <w:tcPr>
            <w:tcW w:w="4920" w:type="dxa"/>
            <w:vAlign w:val="bottom"/>
            <w:gridSpan w:val="3"/>
          </w:tcPr>
          <w:p>
            <w:pPr>
              <w:jc w:val="center"/>
              <w:ind w:right="640"/>
              <w:spacing w:after="0" w:line="194" w:lineRule="exact"/>
              <w:rPr>
                <w:sz w:val="20"/>
                <w:szCs w:val="20"/>
                <w:color w:val="auto"/>
              </w:rPr>
            </w:pPr>
            <w:r>
              <w:rPr>
                <w:rFonts w:ascii="Arial" w:cs="Arial" w:eastAsia="Arial" w:hAnsi="Arial"/>
                <w:sz w:val="18"/>
                <w:szCs w:val="18"/>
                <w:b w:val="1"/>
                <w:bCs w:val="1"/>
                <w:color w:val="auto"/>
                <w:w w:val="89"/>
              </w:rPr>
              <w:t>Title of Each Class</w:t>
            </w:r>
          </w:p>
        </w:tc>
        <w:tc>
          <w:tcPr>
            <w:tcW w:w="1760" w:type="dxa"/>
            <w:vAlign w:val="bottom"/>
            <w:gridSpan w:val="2"/>
          </w:tcPr>
          <w:p>
            <w:pPr>
              <w:jc w:val="center"/>
              <w:ind w:right="520"/>
              <w:spacing w:after="0" w:line="194" w:lineRule="exact"/>
              <w:rPr>
                <w:sz w:val="20"/>
                <w:szCs w:val="20"/>
                <w:color w:val="auto"/>
              </w:rPr>
            </w:pPr>
            <w:r>
              <w:rPr>
                <w:rFonts w:ascii="Arial" w:cs="Arial" w:eastAsia="Arial" w:hAnsi="Arial"/>
                <w:sz w:val="18"/>
                <w:szCs w:val="18"/>
                <w:b w:val="1"/>
                <w:bCs w:val="1"/>
                <w:color w:val="auto"/>
                <w:w w:val="91"/>
              </w:rPr>
              <w:t>Trading Symbol</w:t>
            </w:r>
          </w:p>
        </w:tc>
        <w:tc>
          <w:tcPr>
            <w:tcW w:w="4420" w:type="dxa"/>
            <w:vAlign w:val="bottom"/>
            <w:gridSpan w:val="3"/>
          </w:tcPr>
          <w:p>
            <w:pPr>
              <w:jc w:val="center"/>
              <w:ind w:left="50"/>
              <w:spacing w:after="0" w:line="194" w:lineRule="exact"/>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10"/>
        </w:trPr>
        <w:tc>
          <w:tcPr>
            <w:tcW w:w="492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89"/>
              </w:rPr>
              <w:t>Common Stock, par value $0.01 per share</w:t>
            </w:r>
          </w:p>
        </w:tc>
        <w:tc>
          <w:tcPr>
            <w:tcW w:w="17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6"/>
              </w:rPr>
              <w:t>GEVO</w:t>
            </w:r>
          </w:p>
        </w:tc>
        <w:tc>
          <w:tcPr>
            <w:tcW w:w="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April 30, 2019, 11,885,524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02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GEVO, INC.</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902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FORM 10-Q</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2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FOR THE QUARTERLY PERIOD ENDED MARCH 31, 2019</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02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TABLE OF CONTENTS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02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PART I. FINANCIAL INFORMATION</w:t>
            </w:r>
          </w:p>
        </w:tc>
        <w:tc>
          <w:tcPr>
            <w:tcW w:w="1500" w:type="dxa"/>
            <w:vAlign w:val="bottom"/>
          </w:tcPr>
          <w:p>
            <w:pPr>
              <w:ind w:left="116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2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Consolidated Balance Sheets as of March 31, 2019 (unaudited) and December 31, 2018</w:t>
            </w: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Consolidated Statements of Operations for the three months ended March 31, 2019 and 2018 (unaudited)</w:t>
            </w: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Consolidated Statements of Cash Flows for the three months ended March 31, 2019 and 2018 (unaudited)</w:t>
            </w: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 (unaudited)</w:t>
            </w: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2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02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2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020" w:type="dxa"/>
            <w:vAlign w:val="bottom"/>
          </w:tcPr>
          <w:p>
            <w:pPr>
              <w:jc w:val="center"/>
              <w:ind w:left="510"/>
              <w:spacing w:after="0"/>
              <w:rPr>
                <w:sz w:val="20"/>
                <w:szCs w:val="20"/>
                <w:color w:val="auto"/>
              </w:rPr>
            </w:pPr>
            <w:r>
              <w:rPr>
                <w:rFonts w:ascii="Arial" w:cs="Arial" w:eastAsia="Arial" w:hAnsi="Arial"/>
                <w:sz w:val="18"/>
                <w:szCs w:val="18"/>
                <w:b w:val="1"/>
                <w:bCs w:val="1"/>
                <w:color w:val="auto"/>
              </w:rPr>
              <w:t>PART II. OTHER INFORMATION</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2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2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20" w:type="dxa"/>
            <w:vAlign w:val="bottom"/>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020" w:type="dxa"/>
            <w:vAlign w:val="bottom"/>
          </w:tcPr>
          <w:p>
            <w:pPr>
              <w:ind w:left="260"/>
              <w:spacing w:after="0"/>
              <w:rPr>
                <w:sz w:val="20"/>
                <w:szCs w:val="20"/>
                <w:color w:val="auto"/>
              </w:rPr>
            </w:pPr>
            <w:r>
              <w:rPr>
                <w:rFonts w:ascii="Arial" w:cs="Arial" w:eastAsia="Arial" w:hAnsi="Arial"/>
                <w:sz w:val="18"/>
                <w:szCs w:val="18"/>
                <w:color w:val="auto"/>
              </w:rPr>
              <w:t>Defaults Upon Senior Securities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20" w:type="dxa"/>
            <w:vAlign w:val="bottom"/>
          </w:tcPr>
          <w:p>
            <w:pPr>
              <w:ind w:left="260"/>
              <w:spacing w:after="0"/>
              <w:rPr>
                <w:sz w:val="20"/>
                <w:szCs w:val="20"/>
                <w:color w:val="auto"/>
              </w:rPr>
            </w:pPr>
            <w:r>
              <w:rPr>
                <w:rFonts w:ascii="Arial" w:cs="Arial" w:eastAsia="Arial" w:hAnsi="Arial"/>
                <w:sz w:val="18"/>
                <w:szCs w:val="18"/>
                <w:color w:val="auto"/>
              </w:rPr>
              <w:t>Mine Safety Disclosures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02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020" w:type="dxa"/>
            <w:vAlign w:val="bottom"/>
          </w:tcPr>
          <w:p>
            <w:pPr>
              <w:ind w:left="260"/>
              <w:spacing w:after="0"/>
              <w:rPr>
                <w:sz w:val="20"/>
                <w:szCs w:val="20"/>
                <w:color w:val="auto"/>
              </w:rPr>
            </w:pPr>
            <w:r>
              <w:rPr>
                <w:rFonts w:ascii="Arial" w:cs="Arial" w:eastAsia="Arial" w:hAnsi="Arial"/>
                <w:sz w:val="18"/>
                <w:szCs w:val="18"/>
                <w:color w:val="auto"/>
              </w:rPr>
              <w:t>Exhibits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Signatures</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020" w:type="dxa"/>
            <w:vAlign w:val="bottom"/>
          </w:tcPr>
          <w:p>
            <w:pPr>
              <w:jc w:val="center"/>
              <w:ind w:left="510"/>
              <w:spacing w:after="0"/>
              <w:rPr>
                <w:sz w:val="20"/>
                <w:szCs w:val="20"/>
                <w:color w:val="auto"/>
              </w:rPr>
            </w:pPr>
            <w:r>
              <w:rPr>
                <w:rFonts w:ascii="Arial" w:cs="Arial" w:eastAsia="Arial" w:hAnsi="Arial"/>
                <w:sz w:val="18"/>
                <w:szCs w:val="18"/>
                <w:color w:val="auto"/>
                <w:w w:val="99"/>
              </w:rPr>
              <w:t>2</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PART I. FINANCIAL INFORMATION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40" w:type="dxa"/>
            <w:vAlign w:val="bottom"/>
          </w:tcPr>
          <w:p>
            <w:pPr>
              <w:spacing w:after="0"/>
              <w:rPr>
                <w:sz w:val="24"/>
                <w:szCs w:val="24"/>
                <w:color w:val="auto"/>
              </w:rPr>
            </w:pPr>
          </w:p>
        </w:tc>
        <w:tc>
          <w:tcPr>
            <w:tcW w:w="4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GEVO, INC.</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4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Consolidated Balance Sheets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4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35"/>
        </w:trPr>
        <w:tc>
          <w:tcPr>
            <w:tcW w:w="34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Current assets:</w:t>
            </w: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35,466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4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w w:val="94"/>
              </w:rPr>
              <w:t>Prepaid expenses and other current assets</w:t>
            </w: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1,284</w:t>
            </w:r>
          </w:p>
        </w:tc>
      </w:tr>
      <w:tr>
        <w:trPr>
          <w:trHeight w:val="20"/>
        </w:trPr>
        <w:tc>
          <w:tcPr>
            <w:tcW w:w="34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4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38,710</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Deposits and other 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68,045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67,036</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1,289</w:t>
            </w:r>
          </w:p>
        </w:tc>
      </w:tr>
      <w:tr>
        <w:trPr>
          <w:trHeight w:val="210"/>
        </w:trPr>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111,463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2020 Notes (current), net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Notes embedded derivative liability</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2020 Notes (long-term), net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11)</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$0.01 par value per share; 250,000,000 authorized; 11,885,524 and 8,640,583 shares issued</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and outstanding at March 31, 2019 and December 31, 2018, respectively.</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(435,462)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(429,326)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111,463</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the accompanying Notes to the unaudited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5,664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Grant and other revenue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loss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(Loss) on exchange of debt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change in fair value of derivative warrant liability</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Gain from change in fair value of 2020 Notes embedded derivative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480"/>
              <w:spacing w:after="0"/>
              <w:rPr>
                <w:sz w:val="20"/>
                <w:szCs w:val="20"/>
                <w:color w:val="auto"/>
              </w:rPr>
            </w:pPr>
            <w:r>
              <w:rPr>
                <w:rFonts w:ascii="Arial" w:cs="Arial" w:eastAsia="Arial" w:hAnsi="Arial"/>
                <w:sz w:val="18"/>
                <w:szCs w:val="18"/>
                <w:color w:val="auto"/>
              </w:rPr>
              <w:t>Total other expense, net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(6,136)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(0.60)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Weighted-average number of common shares outstanding - basic and diluted</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10,153,873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1,126,737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the accompanying Notes to the unaudited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0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24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(6,136)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(Gain) from change in fair value of derivative warrant liability</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from change in fair value of 2020 Notes embedded derivative</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Loss on exchange of debt</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expense</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Accounts payable, accrued expenses, and long-term liabilities</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(5,708)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Acquisitions of property, plant and equipment</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(2,204)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9" w:lineRule="exact"/>
        <w:rPr>
          <w:sz w:val="20"/>
          <w:szCs w:val="20"/>
          <w:color w:val="auto"/>
        </w:rPr>
      </w:pPr>
    </w:p>
    <w:p>
      <w:pPr>
        <w:ind w:left="500" w:right="1860" w:hanging="323"/>
        <w:spacing w:after="0" w:line="323" w:lineRule="auto"/>
        <w:rPr>
          <w:sz w:val="20"/>
          <w:szCs w:val="20"/>
          <w:color w:val="auto"/>
        </w:rPr>
      </w:pPr>
      <w:r>
        <w:rPr>
          <w:rFonts w:ascii="Arial" w:cs="Arial" w:eastAsia="Arial" w:hAnsi="Arial"/>
          <w:sz w:val="17"/>
          <w:szCs w:val="17"/>
          <w:color w:val="auto"/>
        </w:rPr>
        <w:t>Proceeds from issuance of common stock and common stock warrants, net Net cash (used in)/provided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9,644</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(107)</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9,644</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426"/>
        </w:trPr>
        <w:tc>
          <w:tcPr>
            <w:tcW w:w="1500" w:type="dxa"/>
            <w:vAlign w:val="bottom"/>
          </w:tcPr>
          <w:p>
            <w:pPr>
              <w:jc w:val="right"/>
              <w:spacing w:after="0"/>
              <w:rPr>
                <w:sz w:val="20"/>
                <w:szCs w:val="20"/>
                <w:color w:val="auto"/>
              </w:rPr>
            </w:pPr>
            <w:r>
              <w:rPr>
                <w:rFonts w:ascii="Arial" w:cs="Arial" w:eastAsia="Arial" w:hAnsi="Arial"/>
                <w:sz w:val="18"/>
                <w:szCs w:val="18"/>
                <w:color w:val="auto"/>
              </w:rPr>
              <w:t>1,732</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(4,524)</w:t>
            </w:r>
          </w:p>
        </w:tc>
      </w:tr>
    </w:tbl>
    <w:p>
      <w:pPr>
        <w:spacing w:after="0" w:line="441"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33,734</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35,466</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7,029</w:t>
            </w:r>
          </w:p>
        </w:tc>
      </w:tr>
      <w:tr>
        <w:trPr>
          <w:trHeight w:val="20"/>
        </w:trPr>
        <w:tc>
          <w:tcPr>
            <w:tcW w:w="8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the accompanying Notes to the unaudited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and non-cash investing and financing transactions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7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interest capitalized</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Non-cash purchase of property, plant and equipment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1,316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Exchange of convertible debt into common stock</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w w:val="99"/>
              </w:rPr>
              <w:t>Fair value of right-to-use asset and related lease liability upon adoption of Topic 842 - Leases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the accompanying Notes to the unaudited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Financial Condition, Basis of Presentation and Reverse Stock Split</w:t>
      </w:r>
    </w:p>
    <w:p>
      <w:pPr>
        <w:spacing w:after="0" w:line="229" w:lineRule="exact"/>
        <w:rPr>
          <w:sz w:val="20"/>
          <w:szCs w:val="20"/>
          <w:color w:val="auto"/>
        </w:rPr>
      </w:pPr>
    </w:p>
    <w:p>
      <w:pPr>
        <w:ind w:left="140" w:right="140" w:firstLine="324"/>
        <w:spacing w:after="0" w:line="291"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Gevo, Inc. (“Gevo” or the “Company,” which, unless otherwise indicated, refers to Gevo, Inc. and its subsidiaries) is a renewable</w:t>
      </w:r>
      <w:r>
        <w:rPr>
          <w:rFonts w:ascii="Arial" w:cs="Arial" w:eastAsia="Arial" w:hAnsi="Arial"/>
          <w:sz w:val="16"/>
          <w:szCs w:val="16"/>
          <w:i w:val="1"/>
          <w:iCs w:val="1"/>
          <w:color w:val="auto"/>
        </w:rPr>
        <w:t xml:space="preserve"> </w:t>
      </w:r>
      <w:r>
        <w:rPr>
          <w:rFonts w:ascii="Arial" w:cs="Arial" w:eastAsia="Arial" w:hAnsi="Arial"/>
          <w:sz w:val="16"/>
          <w:szCs w:val="16"/>
          <w:color w:val="auto"/>
        </w:rPr>
        <w:t>chemicals and next generation “low-carbon” fuel company focused on the development and commercialization of renewable alternatives to petroleum-based products. Low-carbon fuels reduce the carbon intensity, or the level of greenhouse gas emissions (“GHG”), compared to standard fossil-based fuels across their lifecycle. The most common low-carbon fuels are renewable fuels. Gevo is focused on the development and production of mainstream fuels like gasoline and jet fuel using renewable feedstocks that have the potential to lower GHG at a meaningful scale and enhance agricultural production, including food and other related products. In addition to serving the low-carbon fuel markets, through Gevo's technology, Gevo can also serve markets for the production of chemical intermediate products for solvents, plastics and building block chemicals.</w:t>
      </w:r>
    </w:p>
    <w:p>
      <w:pPr>
        <w:spacing w:after="0" w:line="167" w:lineRule="exact"/>
        <w:rPr>
          <w:sz w:val="20"/>
          <w:szCs w:val="20"/>
          <w:color w:val="auto"/>
        </w:rPr>
      </w:pPr>
    </w:p>
    <w:p>
      <w:pPr>
        <w:ind w:left="140" w:right="400" w:firstLine="324"/>
        <w:spacing w:after="0" w:line="272" w:lineRule="auto"/>
        <w:rPr>
          <w:sz w:val="20"/>
          <w:szCs w:val="20"/>
          <w:color w:val="auto"/>
        </w:rPr>
      </w:pPr>
      <w:r>
        <w:rPr>
          <w:rFonts w:ascii="Arial" w:cs="Arial" w:eastAsia="Arial" w:hAnsi="Arial"/>
          <w:sz w:val="17"/>
          <w:szCs w:val="17"/>
          <w:color w:val="auto"/>
        </w:rPr>
        <w:t>In addition to its ethanol production capabilities, the Company developed proprietary technology that uses a combination of synthetic biology, metabolic engineering, chemistry and chemical engineering to make isobutanol and hydrocarbon products from isobutanol that can displace petrochemical incumbent products. The Company has been able to genetically engineer yeast, whereby the yeast produces isobutanol from carbohydrates. The Company’s technology converts its renewable isobutanol to alcohol-to-jet (“ATJ”), isooctane, isooctene, and para-xylene (building block for polyester) at its hydrocarbons demonstration plant located at South Hampton Resources, Inc’s facility in Silsbee, Texas (the “South Hampton Facility”). In addition the Company’s production facility located in Luverne, Minnesota (the “Luverne Facility”) has production capacity of about 20 million gallons per year of ethanol, 45-50 kilotons of animal feed, and 3 million pounds of corn oil.</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2019, the Company continues to engage in research and development, business development, business and financial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planning, optimizing operations for low-carbon ethanol, isobutanol, and related hydrocarbons production and raising capital to fund future expansion of</w:t>
      </w:r>
    </w:p>
    <w:p>
      <w:pPr>
        <w:spacing w:after="0" w:line="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its Luverne Facility. Ultimately, the Company believes that the attainment of profitable operations is dependent upon future events, including (i) completing certain capital improvements at the Luverne Facility to produce low-carbon ethanol side-by-side with low-carbon isobutanol; (ii) completing the Company’s development activities resulting in commercial production and sales of low-carbon ethanol, isobutanol, or isobutanol derived products and/or technology; (iii) obtaining adequate financing to complete the Company’s development activities, including the build out of low-carbon ethanol capacity and further isobutanol and hydrocarbon capacity; (iv) gaining market acceptance and demand for the Company’s products and services; (v) attracting and retaining qualified personnel; and (vi) the achievement of a level of revenues adequate to support the Company’s cost structure.</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Financial Condition</w:t>
      </w:r>
      <w:r>
        <w:rPr>
          <w:rFonts w:ascii="Arial" w:cs="Arial" w:eastAsia="Arial" w:hAnsi="Arial"/>
          <w:sz w:val="17"/>
          <w:szCs w:val="17"/>
          <w:color w:val="auto"/>
        </w:rPr>
        <w:t>. For the three months ended March 31, 2019 and 2018, the Company incurred a consolidated net loss of $6.1 million and</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$2.5 million, respectively, and had an accumulated deficit of $435.5 million at March 31, 2019. The Company’s cash and cash equivalents at March 31, 2019 totaled $35.5 million and are expected to be used for the following purposes: (i) operating activities of the Luverne Facility; (ii) operating activities at the Company’s corporate headquarters in Colorado, including research and development work; (iii) capital expenditures primarily associated with the Luverne Facility, including capital expenditures to “de-carbonize” the Luverne Facility; (iv) exploration of strategic alternatives and new financings; and (v) debt service and repayment obligations.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 w:name="page8"/>
    <w:bookmarkEnd w:id="7"/>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20" w:right="40" w:firstLine="475"/>
        <w:spacing w:after="0" w:line="290"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multiple sales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cash. Management intends to fund future operations through additional private and/or public offerings of debt or equity securities. In addition, the Company may seek additional capital through arrangements with strategic partners or from other sources, it may seek to restructure its debt and it will continue to address its cost structure. Notwithstanding, there can be no assurance that the Company will be able to raise additional funds, or achieve or sustain profitability or positive cash flows from operations.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At-the-Market Offering Program. </w:t>
      </w:r>
      <w:r>
        <w:rPr>
          <w:rFonts w:ascii="Arial" w:cs="Arial" w:eastAsia="Arial" w:hAnsi="Arial"/>
          <w:sz w:val="17"/>
          <w:szCs w:val="17"/>
          <w:color w:val="auto"/>
        </w:rPr>
        <w:t>In February 2018, the Company commenced an at-the-market offering program, which allows it to sell and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issue shares of its common stock from time-to-time. The at-the-market offering program was amended multiple times during 2018 to increase the available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capacity under the at-the-market offering program by an aggregate of approximately $84.9 million. During the three months ended March 31, 2019, the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Company issued 3,244,941 shares of common stock under the at-the-market offering program for gross proceeds of $9.9 million. The Company paid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commissions to its sales agent of approximately $0.2 million and incurred other offering related expenses of $0.01 million during the three months ended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2019.</w:t>
      </w:r>
    </w:p>
    <w:p>
      <w:pPr>
        <w:spacing w:after="0" w:line="211" w:lineRule="exact"/>
        <w:rPr>
          <w:sz w:val="20"/>
          <w:szCs w:val="20"/>
          <w:color w:val="auto"/>
        </w:rPr>
      </w:pPr>
    </w:p>
    <w:p>
      <w:pPr>
        <w:ind w:left="20" w:right="40" w:firstLine="486"/>
        <w:spacing w:after="0" w:line="272" w:lineRule="auto"/>
        <w:rPr>
          <w:sz w:val="20"/>
          <w:szCs w:val="20"/>
          <w:color w:val="auto"/>
        </w:rPr>
      </w:pPr>
      <w:r>
        <w:rPr>
          <w:rFonts w:ascii="Arial" w:cs="Arial" w:eastAsia="Arial" w:hAnsi="Arial"/>
          <w:sz w:val="17"/>
          <w:szCs w:val="17"/>
          <w:color w:val="auto"/>
        </w:rPr>
        <w:t>As of March 31, 2019, the Company had remaining capacity to issue and sell up to approximately $34.7 million of additional shares of common stock under the at-the-market offering program. However, pursuant to Instruction I.B.6 to Form S-3, because the Company’s market capitalization was below $75.0 million as of March 27, 2019, the date the Company filed its Annual Report on Form 10-K for the year ended December 31, 2018, the Company may only sell securities via Form S-3 if the aggregate market value of the securities sold by or on behalf of the Company during the twelve-month period immediately prior to and including the date of the sale is no more than one-third of all common voting and nonvoting equity held by non-affiliates of the Company. Given the amount of common stock sold by the Company under the at-the-market offering program in 2018, the Company is currently unable to issue and sell additional shares of common stock under the at-the-market offering program.</w:t>
      </w:r>
    </w:p>
    <w:p>
      <w:pPr>
        <w:spacing w:after="0" w:line="178" w:lineRule="exact"/>
        <w:rPr>
          <w:sz w:val="20"/>
          <w:szCs w:val="20"/>
          <w:color w:val="auto"/>
        </w:rPr>
      </w:pPr>
    </w:p>
    <w:p>
      <w:pPr>
        <w:ind w:left="20" w:right="20" w:firstLine="313"/>
        <w:spacing w:after="0" w:line="271"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unaudited consolidated financial statements of the Company (which include the accounts of its wholly-owned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Gevo Development, LLC (“Gevo Development”) and Agri-Energy, LLC (“Agri-Energy”) have been prepared, without audit, pursuant to the rules and regulations of the U.S. Securities and Exchange Commission (the “SEC”). Accordingly, they do not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at March 31, 2019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2018.</w:t>
      </w:r>
    </w:p>
    <w:p>
      <w:pPr>
        <w:spacing w:after="0" w:line="179"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i w:val="1"/>
          <w:iCs w:val="1"/>
          <w:color w:val="auto"/>
        </w:rPr>
        <w:t xml:space="preserve">Reverse Stock Split. </w:t>
      </w:r>
      <w:r>
        <w:rPr>
          <w:rFonts w:ascii="Arial" w:cs="Arial" w:eastAsia="Arial" w:hAnsi="Arial"/>
          <w:sz w:val="16"/>
          <w:szCs w:val="16"/>
          <w:color w:val="auto"/>
        </w:rPr>
        <w:t>On June 1, 2018, the Company effected a reverse stock split of the outstanding shares of its common stock by a ratio of one-for-twenty (the “Reverse Stock Split”), and its common stock began trading on the Nasdaq Capital Market on a Reverse Stock Split-basis on June 4, 2018. Unless otherwise indicated, all share amounts, per share data, share prices, exercise prices and conversion rates set forth in these notes and the accompanying unaudited consolidated financial statements have, where applicable, been adjusted retroactively to reflect this Reverse Stock Split.</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20" w:firstLine="313"/>
        <w:spacing w:after="0" w:line="288" w:lineRule="auto"/>
        <w:rPr>
          <w:sz w:val="20"/>
          <w:szCs w:val="20"/>
          <w:color w:val="auto"/>
        </w:rPr>
      </w:pPr>
      <w:r>
        <w:rPr>
          <w:rFonts w:ascii="Arial" w:cs="Arial" w:eastAsia="Arial" w:hAnsi="Arial"/>
          <w:sz w:val="16"/>
          <w:szCs w:val="16"/>
          <w:b w:val="1"/>
          <w:bCs w:val="1"/>
          <w:i w:val="1"/>
          <w:iCs w:val="1"/>
          <w:color w:val="auto"/>
        </w:rPr>
        <w:t xml:space="preserve">Financial Instruments - Credit Losses (Topic 326). Measurement of Credit Losses on Financial Instruments. </w:t>
      </w:r>
      <w:r>
        <w:rPr>
          <w:rFonts w:ascii="Arial" w:cs="Arial" w:eastAsia="Arial" w:hAnsi="Arial"/>
          <w:sz w:val="16"/>
          <w:szCs w:val="16"/>
          <w:color w:val="auto"/>
        </w:rPr>
        <w:t>In June 2016, the Financial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Standards Board ("FASB") issued Accounting Standards Update No. 2016-13, </w:t>
      </w:r>
      <w:r>
        <w:rPr>
          <w:rFonts w:ascii="Arial" w:cs="Arial" w:eastAsia="Arial" w:hAnsi="Arial"/>
          <w:sz w:val="16"/>
          <w:szCs w:val="16"/>
          <w:i w:val="1"/>
          <w:iCs w:val="1"/>
          <w:color w:val="auto"/>
        </w:rPr>
        <w:t>Financial Instruments - Credit Losses (Topic 326) Measurement of Credits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Financial Instruments </w:t>
      </w:r>
      <w:r>
        <w:rPr>
          <w:rFonts w:ascii="Arial" w:cs="Arial" w:eastAsia="Arial" w:hAnsi="Arial"/>
          <w:sz w:val="16"/>
          <w:szCs w:val="16"/>
          <w:color w:val="auto"/>
        </w:rPr>
        <w:t>(“ASU 2016-13”), which replaces accounting for credit losses for most financial assets, including trade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and certain other instruments that are not measured at fair value through income. ASU 2016-13 replaces the current “incurred loss” model, in which losses are recognized when a loss is incurred as of the date of the balance sheet, to an “expected credit loss” model, which includes a broader range of information to estimate expected credit losses over the lifetime of the financial asset. It is expected that the adoption of this standard will primarily apply to the valuation of the Company’s trade accounts receivables. The Company sells primarily to a small quantity of large customers with significant balance sheets and those financial assets are often settled within one-to-two weeks after the completion of the corresponding sales transaction. While the Company is in the process of evaluating the impact, if any, that the adoption of this standard will have on the Company’s financial statements, it does not currently anticipate that this will have a material impact on the Company’s consolidated financial statements.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76200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20" w:top="118" w:right="2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r>
        <w:rPr>
          <w:rFonts w:ascii="Arial" w:cs="Arial" w:eastAsia="Arial" w:hAnsi="Arial"/>
          <w:sz w:val="18"/>
          <w:szCs w:val="18"/>
          <w:b w:val="1"/>
          <w:bCs w:val="1"/>
          <w:color w:val="auto"/>
        </w:rPr>
        <w:t>.</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b w:val="1"/>
          <w:bCs w:val="1"/>
          <w:i w:val="1"/>
          <w:iCs w:val="1"/>
          <w:color w:val="auto"/>
        </w:rPr>
        <w:t>Leases (Topic 842)</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2016, the FASB issued ASU No. 2016-02, Topic 842 Leases (“ASU 2016-02”). ASU 2016-02 requires most contracts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convey over a period of time the right to use or control the use of an asset to be recognized on a company’s financial statements. The objective is to increase transparency and comparability among organizations by recognizing lease assets and lease liabilities on the balance sheet and disclosing key information about leasing arrangements. ASU 2016-02 was effective for fiscal years beginning after December 15, 2018, including interim periods within those fiscal years. The standard required using the modified retrospective transition method and apply ASU 2016-02 either at the (i) latter of the earliest comparative period presented in the financial statements or commencement date of the lease, or (ii) beginning of the period of adoption. The Company adopted the standard effective January 1, 2019 with no retrospective adjustment to prior periods presented in the financial statements. There was no impact to the opening balance of retained earnings as of January 1, 2019 as a result of the adoption of this standard.</w:t>
      </w:r>
    </w:p>
    <w:p>
      <w:pPr>
        <w:spacing w:after="0" w:line="176"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As a result of adopting ASU 2016-02, the Company recognized $1.2 million in right-to-use assets and related lease liabilities at January 1, 2019. The Company elected to both (i) elect the short term lease scope exception for leases with original terms of twelve months or less and (ii) the package of practical expedients, which included the ability to classify leases as operating under the new standard, ASU 2016-02</w:t>
      </w:r>
      <w:r>
        <w:rPr>
          <w:rFonts w:ascii="Arial" w:cs="Arial" w:eastAsia="Arial" w:hAnsi="Arial"/>
          <w:sz w:val="16"/>
          <w:szCs w:val="16"/>
          <w:i w:val="1"/>
          <w:iCs w:val="1"/>
          <w:color w:val="auto"/>
        </w:rPr>
        <w:t>,</w:t>
      </w:r>
      <w:r>
        <w:rPr>
          <w:rFonts w:ascii="Arial" w:cs="Arial" w:eastAsia="Arial" w:hAnsi="Arial"/>
          <w:sz w:val="16"/>
          <w:szCs w:val="16"/>
          <w:color w:val="auto"/>
        </w:rPr>
        <w:t xml:space="preserve"> for those leases existing prior to January 1, 2019 that were previously classified as operating under </w:t>
      </w:r>
      <w:r>
        <w:rPr>
          <w:rFonts w:ascii="Arial" w:cs="Arial" w:eastAsia="Arial" w:hAnsi="Arial"/>
          <w:sz w:val="16"/>
          <w:szCs w:val="16"/>
          <w:i w:val="1"/>
          <w:iCs w:val="1"/>
          <w:color w:val="auto"/>
        </w:rPr>
        <w:t>Topic 840 - Leases</w:t>
      </w:r>
      <w:r>
        <w:rPr>
          <w:rFonts w:ascii="Arial" w:cs="Arial" w:eastAsia="Arial" w:hAnsi="Arial"/>
          <w:sz w:val="16"/>
          <w:szCs w:val="16"/>
          <w:color w:val="auto"/>
        </w:rPr>
        <w:t>, the superseded accounting standard for the accounting for leases.</w:t>
      </w:r>
    </w:p>
    <w:p>
      <w:pPr>
        <w:spacing w:after="0" w:line="15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b w:val="1"/>
          <w:bCs w:val="1"/>
          <w:i w:val="1"/>
          <w:iCs w:val="1"/>
          <w:color w:val="auto"/>
        </w:rPr>
        <w:t xml:space="preserve">Derivatives and Hedging (Topic </w:t>
      </w:r>
      <w:r>
        <w:rPr>
          <w:rFonts w:ascii="Arial" w:cs="Arial" w:eastAsia="Arial" w:hAnsi="Arial"/>
          <w:sz w:val="16"/>
          <w:szCs w:val="16"/>
          <w:b w:val="1"/>
          <w:bCs w:val="1"/>
          <w:color w:val="auto"/>
        </w:rPr>
        <w:t>815</w:t>
      </w:r>
      <w:r>
        <w:rPr>
          <w:rFonts w:ascii="Arial" w:cs="Arial" w:eastAsia="Arial" w:hAnsi="Arial"/>
          <w:sz w:val="16"/>
          <w:szCs w:val="16"/>
          <w:b w:val="1"/>
          <w:bCs w:val="1"/>
          <w:i w:val="1"/>
          <w:iCs w:val="1"/>
          <w:color w:val="auto"/>
        </w:rPr>
        <w:t xml:space="preserve">). Accounting for Certain Financial Instruments with Down Round Provisions. </w:t>
      </w:r>
      <w:r>
        <w:rPr>
          <w:rFonts w:ascii="Arial" w:cs="Arial" w:eastAsia="Arial" w:hAnsi="Arial"/>
          <w:sz w:val="16"/>
          <w:szCs w:val="16"/>
          <w:color w:val="auto"/>
        </w:rPr>
        <w:t>In July 2017, the FASB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Accounting Standards Update No. 2017-11, </w:t>
      </w:r>
      <w:r>
        <w:rPr>
          <w:rFonts w:ascii="Arial" w:cs="Arial" w:eastAsia="Arial" w:hAnsi="Arial"/>
          <w:sz w:val="16"/>
          <w:szCs w:val="16"/>
          <w:i w:val="1"/>
          <w:iCs w:val="1"/>
          <w:color w:val="auto"/>
        </w:rPr>
        <w:t>Derivatives and Hedging (Topic</w:t>
      </w:r>
      <w:r>
        <w:rPr>
          <w:rFonts w:ascii="Arial" w:cs="Arial" w:eastAsia="Arial" w:hAnsi="Arial"/>
          <w:sz w:val="16"/>
          <w:szCs w:val="16"/>
          <w:color w:val="auto"/>
        </w:rPr>
        <w:t xml:space="preserve"> 815</w:t>
      </w:r>
      <w:r>
        <w:rPr>
          <w:rFonts w:ascii="Arial" w:cs="Arial" w:eastAsia="Arial" w:hAnsi="Arial"/>
          <w:sz w:val="16"/>
          <w:szCs w:val="16"/>
          <w:i w:val="1"/>
          <w:iCs w:val="1"/>
          <w:color w:val="auto"/>
        </w:rPr>
        <w:t>) Accounting for Certain Financial Instruments with Down Round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Provisions </w:t>
      </w:r>
      <w:r>
        <w:rPr>
          <w:rFonts w:ascii="Arial" w:cs="Arial" w:eastAsia="Arial" w:hAnsi="Arial"/>
          <w:sz w:val="16"/>
          <w:szCs w:val="16"/>
          <w:color w:val="auto"/>
        </w:rPr>
        <w:t>(“ASU 2017-11”), which was effective for fiscal years beginning after December 15, 2018, simplifies the accounting for certain equity-linked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embedded features with down round features that reduce the exercise price when the pricing of a future round of financing is lower. Currently, the existence of such features require classification outside of equity and recognition of changes in the fair value of the instrument in earnings each reporting period. This standard eliminates the need to remeasure the instruments at fair value and allows classification within equity. The adoption of this standard has not materially impacted the Company’s accounting, as current liability classified financial instruments and embedded derivatives that require separation from the host instrument have features other than down-round provisions that require current accounting and classification.</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9" w:lineRule="exact"/>
        <w:rPr>
          <w:sz w:val="20"/>
          <w:szCs w:val="20"/>
          <w:color w:val="auto"/>
        </w:rPr>
      </w:pPr>
    </w:p>
    <w:p>
      <w:pPr>
        <w:ind w:right="60" w:firstLine="475"/>
        <w:spacing w:after="0" w:line="302" w:lineRule="auto"/>
        <w:rPr>
          <w:sz w:val="20"/>
          <w:szCs w:val="20"/>
          <w:color w:val="auto"/>
        </w:rPr>
      </w:pPr>
      <w:r>
        <w:rPr>
          <w:rFonts w:ascii="Arial" w:cs="Arial" w:eastAsia="Arial" w:hAnsi="Arial"/>
          <w:sz w:val="16"/>
          <w:szCs w:val="16"/>
          <w:color w:val="auto"/>
        </w:rPr>
        <w:t>Basic earnings (loss) per share is computed by dividing the net loss for the period by the weighted-average number of common shares outstanding during the period. Diluted earnings (loss) per share (“EPS”) includes the dilutive effect of common stock equivalents and is computed using the weighted-average number of common stock and common stock equivalents outstanding during the reporting period. Diluted EPS for the three months ended March 31, 2019 and 2018 excluded common stock equivalents because the effect of their inclusion would be anti-dilutive, or would decrease the reported loss per share.</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securities outstanding that could potentially dilute the calculation of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14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2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 liability classified (see Note 6)</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55,963</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359,619</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Warrant to purchase common stock - equity classified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2020 Notes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1,044,134</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1,404,675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2,311</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132,559</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284,300</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0"/>
        </w:trPr>
        <w:tc>
          <w:tcPr>
            <w:tcW w:w="8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1,519,273</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1,766,797</w:t>
            </w:r>
          </w:p>
        </w:tc>
      </w:tr>
      <w:tr>
        <w:trPr>
          <w:trHeight w:val="20"/>
        </w:trPr>
        <w:tc>
          <w:tcPr>
            <w:tcW w:w="8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Other Revenues</w:t>
      </w:r>
    </w:p>
    <w:p>
      <w:pPr>
        <w:spacing w:after="0" w:line="229" w:lineRule="exact"/>
        <w:rPr>
          <w:sz w:val="20"/>
          <w:szCs w:val="20"/>
          <w:color w:val="auto"/>
        </w:rPr>
      </w:pPr>
    </w:p>
    <w:p>
      <w:pPr>
        <w:jc w:val="both"/>
        <w:ind w:right="180" w:firstLine="567"/>
        <w:spacing w:after="0" w:line="342" w:lineRule="auto"/>
        <w:rPr>
          <w:sz w:val="20"/>
          <w:szCs w:val="20"/>
          <w:color w:val="auto"/>
        </w:rPr>
      </w:pPr>
      <w:r>
        <w:rPr>
          <w:rFonts w:ascii="Arial" w:cs="Arial" w:eastAsia="Arial" w:hAnsi="Arial"/>
          <w:sz w:val="16"/>
          <w:szCs w:val="16"/>
          <w:color w:val="auto"/>
        </w:rPr>
        <w:t>The Company’s current and historical revenues have consisted of the following: (a) ethanol sales and related products revenue, net; (b) hydrocarbon revenue; and (c) grant and other revenue, which primarily has historically consisted of revenues from governmental and cooperative research grants.</w:t>
      </w:r>
    </w:p>
    <w:p>
      <w:pPr>
        <w:spacing w:after="0" w:line="124" w:lineRule="exact"/>
        <w:rPr>
          <w:sz w:val="20"/>
          <w:szCs w:val="20"/>
          <w:color w:val="auto"/>
        </w:rPr>
      </w:pPr>
    </w:p>
    <w:p>
      <w:pPr>
        <w:jc w:val="both"/>
        <w:ind w:right="180" w:firstLine="567"/>
        <w:spacing w:after="0" w:line="264" w:lineRule="auto"/>
        <w:rPr>
          <w:sz w:val="20"/>
          <w:szCs w:val="20"/>
          <w:color w:val="auto"/>
        </w:rPr>
      </w:pPr>
      <w:r>
        <w:rPr>
          <w:rFonts w:ascii="Arial" w:cs="Arial" w:eastAsia="Arial" w:hAnsi="Arial"/>
          <w:sz w:val="18"/>
          <w:szCs w:val="18"/>
          <w:i w:val="1"/>
          <w:iCs w:val="1"/>
          <w:color w:val="auto"/>
        </w:rPr>
        <w:t xml:space="preserve">Ethanol sales and related products revenues. </w:t>
      </w:r>
      <w:r>
        <w:rPr>
          <w:rFonts w:ascii="Arial" w:cs="Arial" w:eastAsia="Arial" w:hAnsi="Arial"/>
          <w:sz w:val="18"/>
          <w:szCs w:val="18"/>
          <w:color w:val="auto"/>
        </w:rPr>
        <w:t>Ethanol sales and related products revenues are sold to customers on a “free-on-board, shipping point”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Each transaction occurs independent of any other sale, and once sold, there are no future obligations on the part of the Company to provide post-sale support or promises to deliver future goods or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40" w:firstLine="567"/>
        <w:spacing w:after="0" w:line="264" w:lineRule="auto"/>
        <w:rPr>
          <w:sz w:val="20"/>
          <w:szCs w:val="20"/>
          <w:color w:val="auto"/>
        </w:rPr>
      </w:pPr>
      <w:r>
        <w:rPr>
          <w:rFonts w:ascii="Arial" w:cs="Arial" w:eastAsia="Arial" w:hAnsi="Arial"/>
          <w:sz w:val="18"/>
          <w:szCs w:val="18"/>
          <w:i w:val="1"/>
          <w:iCs w:val="1"/>
          <w:color w:val="auto"/>
        </w:rPr>
        <w:t xml:space="preserve">Hydrocarbon revenue. </w:t>
      </w:r>
      <w:r>
        <w:rPr>
          <w:rFonts w:ascii="Arial" w:cs="Arial" w:eastAsia="Arial" w:hAnsi="Arial"/>
          <w:sz w:val="18"/>
          <w:szCs w:val="18"/>
          <w:color w:val="auto"/>
        </w:rPr>
        <w:t>Hydrocarbon revenues include sales of ATJ, isooctene and isooctane and is sold mostly on a “free-on-board, shipping point”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Each transaction occurs independent of any other sale, and once sold, there are no future obligations on the part of the Company to provide post-sale support or promises to deliver future goods or services.</w:t>
      </w:r>
    </w:p>
    <w:p>
      <w:pPr>
        <w:spacing w:after="0" w:line="181" w:lineRule="exact"/>
        <w:rPr>
          <w:sz w:val="20"/>
          <w:szCs w:val="20"/>
          <w:color w:val="auto"/>
        </w:rPr>
      </w:pPr>
    </w:p>
    <w:p>
      <w:pPr>
        <w:ind w:right="140" w:firstLine="567"/>
        <w:spacing w:after="0" w:line="276" w:lineRule="auto"/>
        <w:rPr>
          <w:sz w:val="20"/>
          <w:szCs w:val="20"/>
          <w:color w:val="auto"/>
        </w:rPr>
      </w:pPr>
      <w:r>
        <w:rPr>
          <w:rFonts w:ascii="Arial" w:cs="Arial" w:eastAsia="Arial" w:hAnsi="Arial"/>
          <w:sz w:val="17"/>
          <w:szCs w:val="17"/>
          <w:i w:val="1"/>
          <w:iCs w:val="1"/>
          <w:color w:val="auto"/>
        </w:rPr>
        <w:t xml:space="preserve">Grant and other revenues. </w:t>
      </w:r>
      <w:r>
        <w:rPr>
          <w:rFonts w:ascii="Arial" w:cs="Arial" w:eastAsia="Arial" w:hAnsi="Arial"/>
          <w:sz w:val="17"/>
          <w:szCs w:val="17"/>
          <w:color w:val="auto"/>
        </w:rPr>
        <w:t>Grant and other revenues primarily have historically consisted of governmental and cooperative research grants,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Northwest Advanced Renewables Alliance</w:t>
      </w:r>
      <w:r>
        <w:rPr>
          <w:rFonts w:ascii="Arial" w:cs="Arial" w:eastAsia="Arial" w:hAnsi="Arial"/>
          <w:sz w:val="17"/>
          <w:szCs w:val="17"/>
          <w:color w:val="auto"/>
        </w:rPr>
        <w:t xml:space="preserve"> grant, funded by the United States Department of Agriculture, comprised the majority of those revenues since 2014. After reviewing this arrangement, the Company has concluded that this grant consists of a non-reciprocal arrangement, and therefore, does not qualify as a contract pursuant to Topic 606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 Other revenues have included historically occasional short-term (less than one-year) consulting services and leases of certain storage facilities located at the Company's Luverne Facility.</w:t>
      </w:r>
    </w:p>
    <w:p>
      <w:pPr>
        <w:spacing w:after="0" w:line="173"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Three Months Ended March 31, 2019</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Contracts with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Major Goods/Service Line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Customers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5,664</w:t>
            </w: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Hydrocarbon revenue</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Timing of Revenue Recognition</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Goods transferred at a point in time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Operating Segment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Gevo</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739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Gevo Development / Agri-Energy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5,664</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Geographic Region</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5,664</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5,664</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Three Months Ended March 31, 2018</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Contracts with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Major Goods/Service Line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Customers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8,218</w:t>
            </w: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Hydrocarbon revenue</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8,243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8,243</w:t>
            </w: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Timing of Revenue Recognition</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Goods transferred at a point in time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8,218</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8,218</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8,243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8,243</w:t>
            </w: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Operating Segment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Gevo</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Gevo Development / Agri-Energy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8,218</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8,243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8,243</w:t>
            </w: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Geographic Region</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8,243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8,243</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8,243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8,243</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i w:val="1"/>
          <w:iCs w:val="1"/>
          <w:color w:val="auto"/>
        </w:rPr>
        <w:t xml:space="preserve">Goods transferred at a point-in-time. </w:t>
      </w:r>
      <w:r>
        <w:rPr>
          <w:rFonts w:ascii="Arial" w:cs="Arial" w:eastAsia="Arial" w:hAnsi="Arial"/>
          <w:sz w:val="18"/>
          <w:szCs w:val="18"/>
          <w:color w:val="auto"/>
        </w:rPr>
        <w:t>For the three months ended March 31, 2019 and 2018, there were no contracts with customers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variable or for which there were multiple performance obligations for any given contract. Accordingly, the entire transaction price is allocated to the goods transferred. As of March 31, 2019 and December 31, 2018, there were no remaining unfulfilled or partially fulfilled performance obligations.</w:t>
      </w:r>
    </w:p>
    <w:p>
      <w:pPr>
        <w:spacing w:after="0" w:line="18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Arial" w:cs="Arial" w:eastAsia="Arial" w:hAnsi="Arial"/>
          <w:sz w:val="18"/>
          <w:szCs w:val="18"/>
          <w:i w:val="1"/>
          <w:iCs w:val="1"/>
          <w:color w:val="auto"/>
        </w:rPr>
        <w:t>free-on-board, shipping point".</w:t>
      </w:r>
      <w:r>
        <w:rPr>
          <w:rFonts w:ascii="Arial" w:cs="Arial" w:eastAsia="Arial" w:hAnsi="Arial"/>
          <w:sz w:val="18"/>
          <w:szCs w:val="18"/>
          <w:color w:val="auto"/>
        </w:rPr>
        <w:t xml:space="preserve"> All material contracts have payment terms of between one to three months, and there are no return or refund rights.</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 xml:space="preserve">Services transferred over time. </w:t>
      </w:r>
      <w:r>
        <w:rPr>
          <w:rFonts w:ascii="Arial" w:cs="Arial" w:eastAsia="Arial" w:hAnsi="Arial"/>
          <w:sz w:val="16"/>
          <w:szCs w:val="16"/>
          <w:color w:val="auto"/>
        </w:rPr>
        <w:t>For the three months ended March 31, 2019 and 2018, there were no contracts for which consideration was variable or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there were multiple performance obligation for any given contract. Accordingly, the entire transaction price is allocated to the individual service performance obligation. As of March 31, 2019 and December 31, 2018, there were no material unfulfilled or partially fulfilled performance obligations.</w:t>
      </w:r>
    </w:p>
    <w:p>
      <w:pPr>
        <w:spacing w:after="0" w:line="14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the three months ended March 31, 2019 and 2018, revenues were recognized ratably over time, as the performance obligation was satisfied and benefit to the customer was transferred on a ratable basis over time.</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Contract Assets and Trade Receivables. </w:t>
      </w:r>
      <w:r>
        <w:rPr>
          <w:rFonts w:ascii="Arial" w:cs="Arial" w:eastAsia="Arial" w:hAnsi="Arial"/>
          <w:sz w:val="17"/>
          <w:szCs w:val="17"/>
          <w:color w:val="auto"/>
        </w:rPr>
        <w:t>As of March 31, 2019 and December 31, 2018, there were no contract assets or liabilities as all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The Company did not incur any impairment losses on any receivables as all amounts owed were paid or current as of March 31, 2019 and December 31, 2018.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Right-to-Use Assets and Related Liabilities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The Company enters into various arrangements which constitute a lease as defined by Topic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Right-to-use assets, which represent the Company’s right to use an underlying asset for the term of the contract; and (b) a corresponding lease liability which represents the Company’s obligation to make the lease payments arising from the contract, measured on a discounted basis.</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contracts for the Company are comprised of facility, equipment and transportation leases necessary to conduct the Company’s day-to-day operations for which the Company maintains control of right-to-use assets and incurs the related liabilities.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elected to adopt both the (a) short-term lease exemption for those leases with initial terms of twelve months or less; and (b) the practical expedient to not separate lease components from non-lease components, if applicable. Those leases which qualify for the short-term scope exception consist of certain residential rents for executive apartments, certain of the Company’s railcar leases, and other equipment leases. There were no leases containing variable lease payments, and none of the Company’s leases contained extension or termination options which were necessary in determining the value of the right-to-use asset and related liabilities. The Company assumed a 12.00% discount rate based, which is consistent with the stated rate on the Company’s 2020 Notes (as defined below) and best approximation of the rate implicit in the Company’s leases.</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Upon adoption of Topic 842 - Leases, the Company recognized a total of $1.2 million of right-to-use assets and related lease liabilities. Within the unaudited consolidated balance sheet at March 31, 2019, (i) $0.3 million of right-to-use assets with a remaining term of less than twelve months are included in Prepaid and other current assets, (ii) $0.5 million of right-to-use assets with a remaining term of exceeding twelve months are included in Deposits and other assets, and for the related lease liabilities, (iii) $0.6 million are included in Accounts payable and accrued liabilities for the current portion and (iv) $0.3 million are included in Other long-term liabilities for the non-current portion.</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There are two contractual agreements related to equipment improvements at the Luverne Facility that were not recognized as of March 31, 2019 as a result of operating contingencies which must be satisfied before the Company is obligated under the terms of the contract. The total estimated fair value of unrecognized right-to-use assets and related lease liabilities relating to these contracts was approximately $3.0 million as of March 31, 2019.</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 costs by lease category and (b) other quantitative information relating to the Company’s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March 31, 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Financing lease cost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Variable lease cost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(Gains) and losses on sale and leaseback transactions, net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paid for the measurement of lease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Financing cash flows from financing leases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Right-to-use assets obtained in exchange for new finance lease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Right-to-use assets obtained in exchange for new operating lease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remaining lease term, financing leases (months)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Weighted-average remaining lease term, operating leases (months)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discount rate - financing leases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Weighted-average discount rate - operating leases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661"/>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5. Inventories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w w:val="96"/>
              </w:rPr>
              <w:t>The following table sets forth the components of the Company’s inventory balances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Corn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Enzymes and other inputs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Ethanol</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Isobutanol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Jet Fuels, Isooctane and Isooctene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Distiller's grains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 - Agri-Energy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Work in process - Gevo</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Spare parts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3,187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Work in process inventory includes unfinished jet fuel, isooctane, and isooctene inventory.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Plant machinery and equipment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16,285</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Site improvements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Luverne retrofit asset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70,842</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Lab equipment, furniture and fixtures and vehicles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6,574</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Demonstration plant</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Computer, office equipment and software</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   to   5</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114,764</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(47,728)</w:t>
            </w: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68,045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67,036</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Included in cost of goods sold is depreciation of $1.6 million and $1.6 million during the three months ended March 31, 2019 and 2018, respectively.</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Included in operating expenses is depreciation of $0.1 million and $0.1 million during the three months ended March 31, 2019 and 2018, respectively.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 and Derivative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 Embedded Derivative</w:t>
      </w:r>
    </w:p>
    <w:p>
      <w:pPr>
        <w:spacing w:after="0" w:line="225" w:lineRule="exact"/>
        <w:rPr>
          <w:sz w:val="20"/>
          <w:szCs w:val="20"/>
          <w:color w:val="auto"/>
        </w:rPr>
      </w:pPr>
    </w:p>
    <w:p>
      <w:pPr>
        <w:ind w:right="40" w:firstLine="475"/>
        <w:spacing w:after="0" w:line="255" w:lineRule="auto"/>
        <w:rPr>
          <w:sz w:val="20"/>
          <w:szCs w:val="20"/>
          <w:color w:val="auto"/>
        </w:rPr>
      </w:pPr>
      <w:r>
        <w:rPr>
          <w:rFonts w:ascii="Arial" w:cs="Arial" w:eastAsia="Arial" w:hAnsi="Arial"/>
          <w:sz w:val="18"/>
          <w:szCs w:val="18"/>
          <w:color w:val="auto"/>
        </w:rPr>
        <w:t>In June 2017, the Company issued 12% convertible senior secured notes due 2020 (the “2020 Notes”) in exchange for its 12.0% convertible senior secured notes due 2017 (the “2017 Notes”). The 2020 Notes contain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 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89" w:lineRule="exact"/>
        <w:rPr>
          <w:sz w:val="20"/>
          <w:szCs w:val="20"/>
          <w:color w:val="auto"/>
        </w:rPr>
      </w:pPr>
    </w:p>
    <w:p>
      <w:pPr>
        <w:ind w:right="60" w:firstLine="475"/>
        <w:spacing w:after="0" w:line="257" w:lineRule="auto"/>
        <w:rPr>
          <w:sz w:val="20"/>
          <w:szCs w:val="20"/>
          <w:color w:val="auto"/>
        </w:rPr>
      </w:pPr>
      <w:r>
        <w:rPr>
          <w:rFonts w:ascii="Arial" w:cs="Arial" w:eastAsia="Arial" w:hAnsi="Arial"/>
          <w:sz w:val="18"/>
          <w:szCs w:val="18"/>
          <w:color w:val="auto"/>
        </w:rPr>
        <w:t>Embedded derivatives are separated from the host contract and the 2020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meet these criteria and, as such, must be valued separate and apart from the 2020 Notes as one embedded derivative and recorded at fair value each reporting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Company used a binomial lattice model in order to estimate the fair value of the embedded derivative in the 2020 Notes. A binomial lattice model generates two probable outcomes, whether up or down, arising at each point in time, starting from the date of valuation until the maturity date. A lattice was initially used to determine if the 2020 Notes would be converted by the holder, called by the issuer, or held at each decision point. Within the lattice model, the following assumptions are made: (i) the 2020 Notes will be converted by the holder if the conversion value plus the holder’s Make-Whole Payment is greater than the holding value; or (ii) the 2020 Notes will be called by the issuer if (a) the stock price exceeds 150% of the then in-effect conversion price over a ten-business day period and (b) if the holding value is greater than the conversion value plus the Make-Whole Payment at the time.</w:t>
      </w:r>
    </w:p>
    <w:p>
      <w:pPr>
        <w:spacing w:after="0" w:line="16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Using this lattice model, the Company valued the embedded derivative using a “with-and-without method”, where the value of the 2020 Notes including the embedded derivative is defined as the “with”, and the value of the 2020 Notes excluding the embedded derivative is defined as the “without”. This method estimates the value of the embedded derivative by comparing the difference in the values between the 2020 Notes with the embedded derivative and the value of the 2020 Notes without the embedded derivative. The lattice model requires the following inputs: (i) price of Gevo common stock; (ii) Conversion Rate (as defined in the 2020 Notes Indenture); (iii) Conversion Price (as defined in the 2020 Notes Indenture); (iv) maturity date; (v) risk-free interest rate; (vi) estimated stock volatility; and (vii) estimated credit spread for the Company.</w:t>
      </w:r>
    </w:p>
    <w:p>
      <w:pPr>
        <w:spacing w:after="0" w:line="178" w:lineRule="exact"/>
        <w:rPr>
          <w:sz w:val="20"/>
          <w:szCs w:val="20"/>
          <w:color w:val="auto"/>
        </w:rPr>
      </w:pPr>
    </w:p>
    <w:p>
      <w:pPr>
        <w:ind w:right="20" w:firstLine="475"/>
        <w:spacing w:after="0" w:line="259" w:lineRule="auto"/>
        <w:rPr>
          <w:sz w:val="20"/>
          <w:szCs w:val="20"/>
          <w:color w:val="auto"/>
        </w:rPr>
      </w:pPr>
      <w:r>
        <w:rPr>
          <w:rFonts w:ascii="Arial" w:cs="Arial" w:eastAsia="Arial" w:hAnsi="Arial"/>
          <w:sz w:val="18"/>
          <w:szCs w:val="18"/>
          <w:color w:val="auto"/>
        </w:rPr>
        <w:t>As of March 31, 2019, the estimated fair value of the embedded derivatives was $0.1 million. Any change in the estimated fair value of the embedded derivatives represents an unrealized gain which has been recorded as $0.2 million from the change in fair value of embedded derivatives in the consolidated statements of operations for the three months ended March 31, 2019, respectively. The Company recorded the estimated fair value of the embedded derivative with the 2020 Notes, net in the consolidated balance sheets.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inputs to the lattice model that were used to value the embedded derivatives.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Conversion Rate per $1,000</w:t>
            </w:r>
          </w:p>
        </w:tc>
        <w:tc>
          <w:tcPr>
            <w:tcW w:w="2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67.95</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67.95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Conversion Price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Maturity date</w:t>
            </w:r>
          </w:p>
        </w:tc>
        <w:tc>
          <w:tcPr>
            <w:tcW w:w="2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March 15, 2020</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March 15, 2020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Estimated stock volatility</w:t>
            </w:r>
          </w:p>
        </w:tc>
        <w:tc>
          <w:tcPr>
            <w:tcW w:w="2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spread</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Changes in certain inputs into the lattice model can have a significant impact on changes in the estimated fair value of the embedded featured within the 2020 Notes. For example, the estimated fair value will generally decrease with: (1) a decline in the stock price; (2) decreases in the estimated stock volatility; and (3) a decrease in the estimated credit spread.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information pertaining to shares issued upon the exercise of such warrants as of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Issued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 as</w:t>
            </w: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Price as of</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upon Warrant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3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Warrants on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Exercises as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3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Issuance Date</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March 31, 2019</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2019 (1)</w:t>
            </w:r>
          </w:p>
        </w:tc>
        <w:tc>
          <w:tcPr>
            <w:tcW w:w="100" w:type="dxa"/>
            <w:vAlign w:val="bottom"/>
          </w:tcPr>
          <w:p>
            <w:pPr>
              <w:spacing w:after="0"/>
              <w:rPr>
                <w:sz w:val="20"/>
                <w:szCs w:val="20"/>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2014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08/05/2014</w:t>
            </w:r>
          </w:p>
        </w:tc>
        <w:tc>
          <w:tcPr>
            <w:tcW w:w="12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08/05/2019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Series A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02/03/2015</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02/03/2020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1240" w:type="dxa"/>
            <w:vAlign w:val="bottom"/>
          </w:tcPr>
          <w:p>
            <w:pPr>
              <w:jc w:val="right"/>
              <w:spacing w:after="0"/>
              <w:rPr>
                <w:sz w:val="20"/>
                <w:szCs w:val="20"/>
                <w:color w:val="auto"/>
              </w:rPr>
            </w:pPr>
            <w:r>
              <w:rPr>
                <w:rFonts w:ascii="Arial" w:cs="Arial" w:eastAsia="Arial" w:hAnsi="Arial"/>
                <w:sz w:val="18"/>
                <w:szCs w:val="18"/>
                <w:color w:val="auto"/>
              </w:rPr>
              <w:t>5,542</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5,222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05/19/2015</w:t>
            </w:r>
          </w:p>
        </w:tc>
        <w:tc>
          <w:tcPr>
            <w:tcW w:w="12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05/19/2020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Series D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12/11/2015</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12/11/2020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25,125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25,078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Series F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04/01/2016</w:t>
            </w:r>
          </w:p>
        </w:tc>
        <w:tc>
          <w:tcPr>
            <w:tcW w:w="12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04/01/2021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14,041</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Series I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09/13/2016</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09/13/2021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220.00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35,650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35,650</w:t>
            </w:r>
          </w:p>
        </w:tc>
      </w:tr>
      <w:tr>
        <w:trPr>
          <w:trHeight w:val="21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K Warrants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02/17/2017</w:t>
            </w:r>
          </w:p>
        </w:tc>
        <w:tc>
          <w:tcPr>
            <w:tcW w:w="12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2/17/2022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312,516</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308,660</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408,141</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352,178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55,963</w:t>
            </w:r>
          </w:p>
        </w:tc>
      </w:tr>
      <w:tr>
        <w:trPr>
          <w:trHeight w:val="20"/>
        </w:trPr>
        <w:tc>
          <w:tcPr>
            <w:tcW w:w="3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right="1540" w:hanging="472"/>
        <w:spacing w:after="0" w:line="50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table does not include 6 equity-classified warrants issued between 2008 through 2012, with strike prices of $345 per share. The agreements governing the above warrants include the following terms:</w:t>
      </w:r>
    </w:p>
    <w:p>
      <w:pPr>
        <w:ind w:left="1340" w:right="280" w:hanging="670"/>
        <w:spacing w:after="0" w:line="286" w:lineRule="auto"/>
        <w:tabs>
          <w:tab w:leader="none" w:pos="1340" w:val="left"/>
        </w:tabs>
        <w:numPr>
          <w:ilvl w:val="1"/>
          <w:numId w:val="3"/>
        </w:numPr>
        <w:rPr>
          <w:rFonts w:ascii="Arial" w:cs="Arial" w:eastAsia="Arial" w:hAnsi="Arial"/>
          <w:sz w:val="17"/>
          <w:szCs w:val="17"/>
          <w:color w:val="auto"/>
        </w:rPr>
      </w:pPr>
      <w:r>
        <w:rPr>
          <w:rFonts w:ascii="Arial" w:cs="Arial" w:eastAsia="Arial" w:hAnsi="Arial"/>
          <w:sz w:val="17"/>
          <w:szCs w:val="17"/>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65" w:lineRule="exact"/>
        <w:rPr>
          <w:rFonts w:ascii="Arial" w:cs="Arial" w:eastAsia="Arial" w:hAnsi="Arial"/>
          <w:sz w:val="17"/>
          <w:szCs w:val="17"/>
          <w:color w:val="auto"/>
        </w:rPr>
      </w:pPr>
    </w:p>
    <w:p>
      <w:pPr>
        <w:ind w:left="1340" w:right="180" w:hanging="670"/>
        <w:spacing w:after="0" w:line="286" w:lineRule="auto"/>
        <w:tabs>
          <w:tab w:leader="none" w:pos="1340" w:val="left"/>
        </w:tabs>
        <w:numPr>
          <w:ilvl w:val="1"/>
          <w:numId w:val="3"/>
        </w:numPr>
        <w:rPr>
          <w:rFonts w:ascii="Arial" w:cs="Arial" w:eastAsia="Arial" w:hAnsi="Arial"/>
          <w:sz w:val="17"/>
          <w:szCs w:val="17"/>
          <w:color w:val="auto"/>
        </w:rPr>
      </w:pPr>
      <w:r>
        <w:rPr>
          <w:rFonts w:ascii="Arial" w:cs="Arial" w:eastAsia="Arial" w:hAnsi="Arial"/>
          <w:sz w:val="17"/>
          <w:szCs w:val="17"/>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65" w:lineRule="exact"/>
        <w:rPr>
          <w:rFonts w:ascii="Arial" w:cs="Arial" w:eastAsia="Arial" w:hAnsi="Arial"/>
          <w:sz w:val="17"/>
          <w:szCs w:val="17"/>
          <w:color w:val="auto"/>
        </w:rPr>
      </w:pPr>
    </w:p>
    <w:p>
      <w:pPr>
        <w:ind w:left="1340" w:right="80" w:hanging="670"/>
        <w:spacing w:after="0" w:line="312" w:lineRule="auto"/>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340" w:hanging="670"/>
        <w:spacing w:after="0" w:line="290" w:lineRule="auto"/>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warrants exercised during the three months ended March 31, 2019.</w:t>
      </w:r>
    </w:p>
    <w:p>
      <w:pPr>
        <w:spacing w:after="0" w:line="225" w:lineRule="exact"/>
        <w:rPr>
          <w:sz w:val="20"/>
          <w:szCs w:val="20"/>
          <w:color w:val="auto"/>
        </w:rPr>
      </w:pPr>
    </w:p>
    <w:p>
      <w:pPr>
        <w:ind w:right="100" w:firstLine="475"/>
        <w:spacing w:after="0" w:line="277" w:lineRule="auto"/>
        <w:rPr>
          <w:sz w:val="20"/>
          <w:szCs w:val="20"/>
          <w:color w:val="auto"/>
        </w:rPr>
      </w:pPr>
      <w:r>
        <w:rPr>
          <w:rFonts w:ascii="Arial" w:cs="Arial" w:eastAsia="Arial" w:hAnsi="Arial"/>
          <w:sz w:val="18"/>
          <w:szCs w:val="18"/>
          <w:color w:val="auto"/>
        </w:rPr>
        <w:t>As of March 31, 2019, all of the Series B Warrants, Series E Warrants, Series G Warrants, Series H Warrants, Series J Warrants, Series L Warrants and Series M Warrants for which the exercise price had been adjusted were either fully exercised or expired.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9" w:lineRule="exact"/>
        <w:rPr>
          <w:sz w:val="20"/>
          <w:szCs w:val="20"/>
          <w:color w:val="auto"/>
        </w:rPr>
      </w:pPr>
    </w:p>
    <w:p>
      <w:pPr>
        <w:ind w:right="660" w:firstLine="475"/>
        <w:spacing w:after="0" w:line="277"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legal-related fees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production fees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utilities and supplies payable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taxes payable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lease obligations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liabilities *</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5,147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r>
      <w:tr>
        <w:trPr>
          <w:trHeight w:val="20"/>
        </w:trPr>
        <w:tc>
          <w:tcPr>
            <w:tcW w:w="8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right="80" w:hanging="672"/>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accrued liabilities consist of franchise taxes, audit fees, and a variety of other expenses, none of which individually represent greater than five percent of total current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580" w:firstLine="8"/>
        <w:spacing w:after="0" w:line="604" w:lineRule="auto"/>
        <w:tabs>
          <w:tab w:leader="none" w:pos="1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2020 </w:t>
      </w:r>
      <w:r>
        <w:rPr>
          <w:rFonts w:ascii="Arial" w:cs="Arial" w:eastAsia="Arial" w:hAnsi="Arial"/>
          <w:sz w:val="15"/>
          <w:szCs w:val="15"/>
          <w:b w:val="1"/>
          <w:bCs w:val="1"/>
          <w:i w:val="1"/>
          <w:iCs w:val="1"/>
          <w:color w:val="auto"/>
        </w:rPr>
        <w:t>Notes</w:t>
      </w:r>
    </w:p>
    <w:p>
      <w:pPr>
        <w:ind w:left="480"/>
        <w:spacing w:after="0"/>
        <w:rPr>
          <w:rFonts w:ascii="Arial" w:cs="Arial" w:eastAsia="Arial" w:hAnsi="Arial"/>
          <w:sz w:val="15"/>
          <w:szCs w:val="15"/>
          <w:b w:val="1"/>
          <w:bCs w:val="1"/>
          <w:color w:val="auto"/>
        </w:rPr>
      </w:pPr>
      <w:r>
        <w:rPr>
          <w:rFonts w:ascii="Arial" w:cs="Arial" w:eastAsia="Arial" w:hAnsi="Arial"/>
          <w:sz w:val="16"/>
          <w:szCs w:val="16"/>
          <w:color w:val="auto"/>
        </w:rPr>
        <w:t>The following table sets forth information pertaining to the 2020 Notes which is included in the Company’s consolidated balance sheets (in thousands).</w:t>
      </w:r>
    </w:p>
    <w:p>
      <w:pPr>
        <w:sectPr>
          <w:pgSz w:w="11900" w:h="16838" w:orient="portrait"/>
          <w:cols w:equalWidth="0" w:num="1">
            <w:col w:w="11420"/>
          </w:cols>
          <w:pgMar w:left="240" w:top="118" w:right="2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Balance - December 31, 2018 Amortization of debt discount Amortization of debt issue costs Paid-in-kind interest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Total 2020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Notes and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Notes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Notes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Debt</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Debt Issue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Total 2020</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Embedded</w:t>
            </w:r>
          </w:p>
        </w:tc>
        <w:tc>
          <w:tcPr>
            <w:tcW w:w="0" w:type="dxa"/>
            <w:vAlign w:val="bottom"/>
          </w:tcPr>
          <w:p>
            <w:pPr>
              <w:spacing w:after="0"/>
              <w:rPr>
                <w:sz w:val="1"/>
                <w:szCs w:val="1"/>
                <w:color w:val="auto"/>
              </w:rPr>
            </w:pPr>
          </w:p>
        </w:tc>
      </w:tr>
      <w:tr>
        <w:trPr>
          <w:trHeight w:val="234"/>
        </w:trPr>
        <w:tc>
          <w:tcPr>
            <w:tcW w:w="12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of 2020 Notes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Discount</w:t>
            </w:r>
          </w:p>
        </w:tc>
        <w:tc>
          <w:tcPr>
            <w:tcW w:w="1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Derivative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Derivative</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272</w:t>
            </w:r>
          </w:p>
        </w:tc>
        <w:tc>
          <w:tcPr>
            <w:tcW w:w="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272</w:t>
            </w:r>
          </w:p>
        </w:tc>
        <w:tc>
          <w:tcPr>
            <w:tcW w:w="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-572770</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-272415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20" w:space="720"/>
            <w:col w:w="8080"/>
          </w:cols>
          <w:pgMar w:left="240" w:top="118" w:right="239" w:bottom="906"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34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Change in fair value of 2020 Notes</w:t>
            </w:r>
          </w:p>
        </w:tc>
        <w:tc>
          <w:tcPr>
            <w:tcW w:w="3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3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Balance - March 31, 2019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13,844</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12,964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13,112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75"/>
        <w:spacing w:after="0" w:line="268" w:lineRule="auto"/>
        <w:rPr>
          <w:sz w:val="20"/>
          <w:szCs w:val="20"/>
          <w:color w:val="auto"/>
        </w:rPr>
      </w:pPr>
      <w:r>
        <w:rPr>
          <w:rFonts w:ascii="Arial" w:cs="Arial" w:eastAsia="Arial" w:hAnsi="Arial"/>
          <w:sz w:val="17"/>
          <w:szCs w:val="17"/>
          <w:color w:val="auto"/>
        </w:rPr>
        <w:t>On April 19, 2017, the Company entered into an Exchange and Purchase Agreement (the “Purchase Agreement”) with WB Gevo, LTD, (the “Holder”), the holder of the 2017 Notes, which were issued under that certain Indenture dated as of June 6, 2014, by and among the Company, the guarantors party thereto, and Wilmington Savings Fund Society, FSB, as trustee and as collateral trustee (as supplemented, the “2017 Notes Indenture”), and Whitebox Advisors LLC, in its capacity as representative of the Holder (“Whitebox”). Pursuant to the terms of the Purchase Agreement, the Holder, subject to certain conditions, including approval of the transaction by the Company’s stockholders (which was received on June 15, 2017), agreed to exchange all of the outstanding principal amount of the 2017 Notes for an equal principal amount of the 2020 Notes, plus an amount in cash equal to the accrued and unpaid interest (other than interest paid in kind) on the 2017 Notes (the “Exchange”). Pursuant to the Purchase Agreement, the Company also granted the Holder an option (the “Purchase Option”) to purchase up to an additional aggregate principal amount of $5.0 million of 2020 Notes (the “Option Notes”), at a purchase price equal to the aggregate principal amount of such Option Notes purchased, having identical terms (other than with respect to the issue date and restrictions on transfer relating to compliance with applicable securities law) to the 2020 Notes issued, at any time on or within ninety (90) days of the closing of the Exchange. The right to purchase Option Notes expired as of September 30, 2017. On June 20, 2017, the Company completed the Exchange, terminated the 2017 Notes Indenture and cancelled the 2017 Notes. The Company recognized an approximately $4.0 million loss which has been recorded as loss on exchange or conversion of debt within the consolidated statements of operations.</w:t>
      </w:r>
    </w:p>
    <w:p>
      <w:pPr>
        <w:spacing w:after="0" w:line="188" w:lineRule="exact"/>
        <w:rPr>
          <w:sz w:val="20"/>
          <w:szCs w:val="20"/>
          <w:color w:val="auto"/>
        </w:rPr>
      </w:pPr>
    </w:p>
    <w:p>
      <w:pPr>
        <w:ind w:right="20" w:firstLine="475"/>
        <w:spacing w:after="0" w:line="290" w:lineRule="auto"/>
        <w:rPr>
          <w:sz w:val="20"/>
          <w:szCs w:val="20"/>
          <w:color w:val="auto"/>
        </w:rPr>
      </w:pPr>
      <w:r>
        <w:rPr>
          <w:rFonts w:ascii="Arial" w:cs="Arial" w:eastAsia="Arial" w:hAnsi="Arial"/>
          <w:sz w:val="16"/>
          <w:szCs w:val="16"/>
          <w:color w:val="auto"/>
        </w:rPr>
        <w:t>The 2020 Notes will mature on March 15, 2020 and are secured by a first lien on substantially all of the Company’s assets. The 2020 Notes bear interest at a rate equal to 12% per annum (with 2% potentially payable as PIK Interest (as defined and described below) at the Company’s option), payable on March 31, June 30, September 30, and December 31 of each year. Under certain circumstances, the Company has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 In the event the Company pays any portion of the interest due on the 2020 Notes as PIK Interest, the maximum aggregate principal amount of 2020 Notes that could be convertible into shares of the Company’s common stock will be increased. Additional shares of the Company’s common stock may also become issuable pursuant to the 2020 Notes in the event the Company is required to make certain make-whole payments as provided in the 2020 Notes Indenture.</w:t>
      </w:r>
    </w:p>
    <w:p>
      <w:pPr>
        <w:spacing w:after="0" w:line="166" w:lineRule="exact"/>
        <w:rPr>
          <w:sz w:val="20"/>
          <w:szCs w:val="20"/>
          <w:color w:val="auto"/>
        </w:rPr>
      </w:pPr>
    </w:p>
    <w:p>
      <w:pPr>
        <w:ind w:right="20" w:firstLine="475"/>
        <w:spacing w:after="0" w:line="264" w:lineRule="auto"/>
        <w:rPr>
          <w:sz w:val="20"/>
          <w:szCs w:val="20"/>
          <w:color w:val="auto"/>
        </w:rPr>
      </w:pPr>
      <w:r>
        <w:rPr>
          <w:rFonts w:ascii="Arial" w:cs="Arial" w:eastAsia="Arial" w:hAnsi="Arial"/>
          <w:sz w:val="18"/>
          <w:szCs w:val="18"/>
          <w:color w:val="auto"/>
        </w:rPr>
        <w:t>The 2020 Notes are convertible into shares of the Company’s common stock, subject to certain terms and conditions. The initial conversion price of the 2020 Notes is equal to $14.72 per share of common stock, or 0.0679 shares of common stock per $1 principal amount of 2020 Notes (the “Conversion Price”).</w:t>
      </w:r>
    </w:p>
    <w:p>
      <w:pPr>
        <w:spacing w:after="0" w:line="181" w:lineRule="exact"/>
        <w:rPr>
          <w:sz w:val="20"/>
          <w:szCs w:val="20"/>
          <w:color w:val="auto"/>
        </w:rPr>
      </w:pPr>
    </w:p>
    <w:p>
      <w:pPr>
        <w:ind w:right="160" w:firstLine="475"/>
        <w:spacing w:after="0" w:line="293" w:lineRule="auto"/>
        <w:rPr>
          <w:sz w:val="20"/>
          <w:szCs w:val="20"/>
          <w:color w:val="auto"/>
        </w:rPr>
      </w:pPr>
      <w:r>
        <w:rPr>
          <w:rFonts w:ascii="Arial" w:cs="Arial" w:eastAsia="Arial" w:hAnsi="Arial"/>
          <w:sz w:val="16"/>
          <w:szCs w:val="16"/>
          <w:color w:val="auto"/>
        </w:rPr>
        <w:t>Each Holder has agreed not to convert its 2020 Notes into shares of Company common stock to the extent that, after giving effect to such conversion, the number of shares of common stock beneficially owned by such Holder and its affiliates would exceed 4.99% of Company common stock outstanding at the time of such conversion (the “4.99% Ownership Limitation”); provided that a Holder may, at its option and upon sixty-one (61) days’ prior notice to the Company, increase such threshold to 9.99% (the “9.99% Ownership Limitation”). If a conversion of 2020 Notes by Whitebox would exceed the 4.99% Ownership Limitation or the 9.99% Ownership Limitation, as applicable, the Purchase Agreement contains a provision granting the holder a fully funded prepaid warrant for such common stock with a term of nine months, subject to a 6 month extension, which it can draw down from time to time.</w:t>
      </w:r>
    </w:p>
    <w:p>
      <w:pPr>
        <w:spacing w:after="0" w:line="165" w:lineRule="exact"/>
        <w:rPr>
          <w:sz w:val="20"/>
          <w:szCs w:val="20"/>
          <w:color w:val="auto"/>
        </w:rPr>
      </w:pPr>
    </w:p>
    <w:p>
      <w:pPr>
        <w:ind w:right="300" w:firstLine="475"/>
        <w:spacing w:after="0" w:line="259" w:lineRule="auto"/>
        <w:rPr>
          <w:sz w:val="20"/>
          <w:szCs w:val="20"/>
          <w:color w:val="auto"/>
        </w:rPr>
      </w:pPr>
      <w:r>
        <w:rPr>
          <w:rFonts w:ascii="Arial" w:cs="Arial" w:eastAsia="Arial" w:hAnsi="Arial"/>
          <w:sz w:val="18"/>
          <w:szCs w:val="18"/>
          <w:color w:val="auto"/>
        </w:rPr>
        <w:t>The 2020 Notes do not contain any anti-dilution adjustments for future equity issuances that are below the Conversion Price, and adjustments to the Conversion Price will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7" w:lineRule="exact"/>
        <w:rPr>
          <w:sz w:val="20"/>
          <w:szCs w:val="20"/>
          <w:color w:val="auto"/>
        </w:rPr>
      </w:pPr>
    </w:p>
    <w:p>
      <w:pPr>
        <w:ind w:right="360" w:firstLine="475"/>
        <w:spacing w:after="0" w:line="277" w:lineRule="auto"/>
        <w:rPr>
          <w:sz w:val="20"/>
          <w:szCs w:val="20"/>
          <w:color w:val="auto"/>
        </w:rPr>
      </w:pPr>
      <w:r>
        <w:rPr>
          <w:rFonts w:ascii="Arial" w:cs="Arial" w:eastAsia="Arial" w:hAnsi="Arial"/>
          <w:sz w:val="18"/>
          <w:szCs w:val="18"/>
          <w:color w:val="auto"/>
        </w:rPr>
        <w:t>Under certain circumstances, the Company may file one or more registration statements on Form S-3 or amend filings in order to register shares of common stock for sale or resale, as necessary in connection with the 2020 Notes.</w:t>
      </w:r>
    </w:p>
    <w:p>
      <w:pPr>
        <w:sectPr>
          <w:pgSz w:w="11900" w:h="16838" w:orient="portrait"/>
          <w:cols w:equalWidth="0" w:num="1">
            <w:col w:w="11420"/>
          </w:cols>
          <w:pgMar w:left="240" w:top="118" w:right="239" w:bottom="906"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06"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right="20" w:firstLine="475"/>
        <w:spacing w:after="0" w:line="277" w:lineRule="auto"/>
        <w:rPr>
          <w:sz w:val="20"/>
          <w:szCs w:val="20"/>
          <w:color w:val="auto"/>
        </w:rPr>
      </w:pPr>
      <w:r>
        <w:rPr>
          <w:rFonts w:ascii="Arial" w:cs="Arial" w:eastAsia="Arial" w:hAnsi="Arial"/>
          <w:sz w:val="18"/>
          <w:szCs w:val="18"/>
          <w:color w:val="auto"/>
        </w:rPr>
        <w:t>The Company records stock-based compensation expense during the requisite service period for share-based payment awards granted to employees and non-employees.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Company’s stock-based compensation expense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employee stock purchase plan awards</w:t>
            </w:r>
          </w:p>
        </w:tc>
        <w:tc>
          <w:tcPr>
            <w:tcW w:w="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stock-based compensation</w:t>
            </w:r>
          </w:p>
        </w:tc>
        <w:tc>
          <w:tcPr>
            <w:tcW w:w="1080" w:type="dxa"/>
            <w:vAlign w:val="bottom"/>
            <w:gridSpan w:val="2"/>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263</w:t>
            </w:r>
          </w:p>
        </w:tc>
        <w:tc>
          <w:tcPr>
            <w:tcW w:w="142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jc w:val="both"/>
        <w:ind w:right="440" w:firstLine="475"/>
        <w:spacing w:after="0" w:line="312" w:lineRule="auto"/>
        <w:rPr>
          <w:sz w:val="20"/>
          <w:szCs w:val="20"/>
          <w:color w:val="auto"/>
        </w:rPr>
      </w:pPr>
      <w:r>
        <w:rPr>
          <w:rFonts w:ascii="Arial" w:cs="Arial" w:eastAsia="Arial" w:hAnsi="Arial"/>
          <w:sz w:val="16"/>
          <w:szCs w:val="16"/>
          <w:i w:val="1"/>
          <w:iCs w:val="1"/>
          <w:color w:val="auto"/>
        </w:rPr>
        <w:t>Legal Matters</w:t>
      </w:r>
      <w:r>
        <w:rPr>
          <w:rFonts w:ascii="Arial" w:cs="Arial" w:eastAsia="Arial" w:hAnsi="Arial"/>
          <w:sz w:val="16"/>
          <w:szCs w:val="16"/>
          <w:color w:val="auto"/>
        </w:rPr>
        <w:t>. From time to time, the Company has been, and may again become, involved in legal proceedings arising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business. The Company is not presently a party to any litigation that it believes to be material and is not aware of any pending or threatened litigation against the Company that it believes could have a material adverse effect on its business, operating results, financial condition or cash flows.</w:t>
      </w:r>
    </w:p>
    <w:p>
      <w:pPr>
        <w:spacing w:after="0" w:line="147" w:lineRule="exact"/>
        <w:rPr>
          <w:sz w:val="20"/>
          <w:szCs w:val="20"/>
          <w:color w:val="auto"/>
        </w:rPr>
      </w:pPr>
    </w:p>
    <w:p>
      <w:pPr>
        <w:ind w:right="140" w:firstLine="475"/>
        <w:spacing w:after="0" w:line="259"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 Upon adoption of ASU 2016-02, the Company identified three lease agreements that qualify as “operating” based on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commencement date for each lease. These include the lease for the Company’s office and research facility in Englewood, Colorado, with a term expiring in July 2021 and leases of plant equipment and transportation equipment with expiration dates in June 2019 used by Agri-Energy at the Luverne Facility.</w:t>
      </w:r>
    </w:p>
    <w:p>
      <w:pPr>
        <w:spacing w:after="0" w:line="187" w:lineRule="exact"/>
        <w:rPr>
          <w:sz w:val="20"/>
          <w:szCs w:val="20"/>
          <w:color w:val="auto"/>
        </w:rPr>
      </w:pPr>
    </w:p>
    <w:p>
      <w:pPr>
        <w:ind w:right="100" w:firstLine="475"/>
        <w:spacing w:after="0" w:line="264" w:lineRule="auto"/>
        <w:rPr>
          <w:sz w:val="20"/>
          <w:szCs w:val="20"/>
          <w:color w:val="auto"/>
        </w:rPr>
      </w:pPr>
      <w:r>
        <w:rPr>
          <w:rFonts w:ascii="Arial" w:cs="Arial" w:eastAsia="Arial" w:hAnsi="Arial"/>
          <w:sz w:val="18"/>
          <w:szCs w:val="18"/>
          <w:color w:val="auto"/>
        </w:rPr>
        <w:t>All other leases qualified for the short-term scope exemption. These consist of corporate apartments in Colorado, which have initial lease terms of less than twelve months, and additional leases of transportation equipment located both at the Luverne Facility and the South Hampton Facility with original lease terms of less than twelve months.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Rent expense for the three months ended March 31, 2019 and 2018 was $0.4 million and $0.4 million, respectively.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table below shows the future minimum payments under non-cancelable short-term and operating leases and at March 31, 2019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Short-Term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2019 (remaining)</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2020</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2022</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4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440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639</w:t>
            </w:r>
          </w:p>
        </w:tc>
        <w:tc>
          <w:tcPr>
            <w:tcW w:w="120" w:type="dxa"/>
            <w:vAlign w:val="bottom"/>
          </w:tcPr>
          <w:p>
            <w:pPr>
              <w:spacing w:after="0"/>
              <w:rPr>
                <w:sz w:val="17"/>
                <w:szCs w:val="17"/>
                <w:color w:val="auto"/>
              </w:rPr>
            </w:pPr>
          </w:p>
        </w:tc>
        <w:tc>
          <w:tcPr>
            <w:tcW w:w="3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400" w:type="dxa"/>
            <w:vAlign w:val="bottom"/>
            <w:vMerge w:val="restart"/>
          </w:tcPr>
          <w:p>
            <w:pPr>
              <w:jc w:val="right"/>
              <w:ind w:right="203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0" w:firstLine="475"/>
        <w:spacing w:after="0" w:line="342" w:lineRule="auto"/>
        <w:rPr>
          <w:sz w:val="20"/>
          <w:szCs w:val="20"/>
          <w:color w:val="auto"/>
        </w:rPr>
      </w:pPr>
      <w:r>
        <w:rPr>
          <w:rFonts w:ascii="Arial" w:cs="Arial" w:eastAsia="Arial" w:hAnsi="Arial"/>
          <w:sz w:val="16"/>
          <w:szCs w:val="16"/>
          <w:color w:val="auto"/>
        </w:rPr>
        <w:t>The Company entered into a five-year software licensing agreement on April 2, 2018 with future contractual payment obligations totaling approximately $0.6 million. This licensing agreement is accounted for as an intangible asset and is out of the scope of ASU 2016-02 - Leases.</w:t>
      </w:r>
    </w:p>
    <w:p>
      <w:pPr>
        <w:spacing w:after="0" w:line="124" w:lineRule="exact"/>
        <w:rPr>
          <w:sz w:val="20"/>
          <w:szCs w:val="20"/>
          <w:color w:val="auto"/>
        </w:rPr>
      </w:pPr>
    </w:p>
    <w:p>
      <w:pPr>
        <w:ind w:right="140" w:firstLine="475"/>
        <w:spacing w:after="0" w:line="342" w:lineRule="auto"/>
        <w:rPr>
          <w:sz w:val="20"/>
          <w:szCs w:val="20"/>
          <w:color w:val="auto"/>
        </w:rPr>
      </w:pPr>
      <w:r>
        <w:rPr>
          <w:rFonts w:ascii="Arial" w:cs="Arial" w:eastAsia="Arial" w:hAnsi="Arial"/>
          <w:sz w:val="16"/>
          <w:szCs w:val="16"/>
          <w:i w:val="1"/>
          <w:iCs w:val="1"/>
          <w:color w:val="auto"/>
        </w:rPr>
        <w:t>Indemnifications</w:t>
      </w:r>
      <w:r>
        <w:rPr>
          <w:rFonts w:ascii="Arial" w:cs="Arial" w:eastAsia="Arial" w:hAnsi="Arial"/>
          <w:sz w:val="16"/>
          <w:szCs w:val="16"/>
          <w:color w:val="auto"/>
        </w:rPr>
        <w:t>. In the ordinary course of its business, the Company makes certain indemnities under which it may be required to make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certain transactions. As of March 31, 2019 and December 31, 2018, the Company did not have any liabilities associated with indemnities.</w:t>
      </w:r>
    </w:p>
    <w:p>
      <w:pPr>
        <w:spacing w:after="0" w:line="124" w:lineRule="exact"/>
        <w:rPr>
          <w:sz w:val="20"/>
          <w:szCs w:val="20"/>
          <w:color w:val="auto"/>
        </w:rPr>
      </w:pPr>
    </w:p>
    <w:p>
      <w:pPr>
        <w:ind w:right="40" w:firstLine="475"/>
        <w:spacing w:after="0" w:line="277" w:lineRule="auto"/>
        <w:rPr>
          <w:sz w:val="20"/>
          <w:szCs w:val="20"/>
          <w:color w:val="auto"/>
        </w:rPr>
      </w:pPr>
      <w:r>
        <w:rPr>
          <w:rFonts w:ascii="Arial" w:cs="Arial" w:eastAsia="Arial" w:hAnsi="Arial"/>
          <w:sz w:val="18"/>
          <w:szCs w:val="18"/>
          <w:color w:val="auto"/>
        </w:rPr>
        <w:t>Certain of the Company’s financial instruments consist of cash and cash equivalents, accounts receivable, and accounts payable, for which the carrying value on the Company’s balance sheet approximates their fair values due to the short maturities.</w:t>
      </w:r>
    </w:p>
    <w:p>
      <w:pPr>
        <w:spacing w:after="0" w:line="170" w:lineRule="exact"/>
        <w:rPr>
          <w:sz w:val="20"/>
          <w:szCs w:val="20"/>
          <w:color w:val="auto"/>
        </w:rPr>
      </w:pPr>
    </w:p>
    <w:p>
      <w:pPr>
        <w:ind w:right="40" w:firstLine="475"/>
        <w:spacing w:after="0" w:line="273" w:lineRule="auto"/>
        <w:rPr>
          <w:sz w:val="20"/>
          <w:szCs w:val="20"/>
          <w:color w:val="auto"/>
        </w:rPr>
      </w:pPr>
      <w:r>
        <w:rPr>
          <w:rFonts w:ascii="Arial" w:cs="Arial" w:eastAsia="Arial" w:hAnsi="Arial"/>
          <w:sz w:val="17"/>
          <w:szCs w:val="17"/>
          <w:color w:val="auto"/>
        </w:rPr>
        <w:t>In addition, the Company, as permitted under Delaware law and in accordance with its amended and restated certificate of incorporation and amended and restated bylaws,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78" w:lineRule="exact"/>
        <w:rPr>
          <w:sz w:val="20"/>
          <w:szCs w:val="20"/>
          <w:color w:val="auto"/>
        </w:rPr>
      </w:pPr>
    </w:p>
    <w:p>
      <w:pPr>
        <w:ind w:firstLine="475"/>
        <w:spacing w:after="0" w:line="27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March 31, 2019 or December 31, 2018.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right="20" w:firstLine="475"/>
        <w:spacing w:after="0" w:line="257"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5" w:lineRule="exact"/>
        <w:rPr>
          <w:sz w:val="20"/>
          <w:szCs w:val="20"/>
          <w:color w:val="auto"/>
        </w:rPr>
      </w:pPr>
    </w:p>
    <w:p>
      <w:pPr>
        <w:ind w:right="280" w:firstLine="475"/>
        <w:spacing w:after="0" w:line="342"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580" w:firstLine="447"/>
        <w:spacing w:after="0" w:line="277" w:lineRule="auto"/>
        <w:rPr>
          <w:sz w:val="20"/>
          <w:szCs w:val="20"/>
          <w:color w:val="auto"/>
        </w:rPr>
      </w:pPr>
      <w:r>
        <w:rPr>
          <w:rFonts w:ascii="Arial" w:cs="Arial" w:eastAsia="Arial" w:hAnsi="Arial"/>
          <w:sz w:val="18"/>
          <w:szCs w:val="18"/>
          <w:color w:val="auto"/>
        </w:rPr>
        <w:t>These tables present the carrying value and fair value, by fair value hierarchy, of our financial instruments, excluding cash and cash equivalents, accounts receivable and accounts payable at March 31, 2019 and December 31, 2018, respectively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2"/>
              </w:rPr>
              <w:t>Fair Value Measurements at March 31,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Inputs (Level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Embedded Derivative Liability</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Total Recurring Fair Value Measurements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Non-Recurring Fair Value Measurements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0"/>
              </w:rPr>
              <w:t>Fair Value Measurements at December 31,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Inputs (Level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Embedded Derivative Liability</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Total Recurring Fair Value Measurements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Non-Recurring Fair Value Measurements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74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changes to those fair value measurements using Level 3 inputs for the three months ended March 31, 2019.</w:t>
      </w:r>
    </w:p>
    <w:p>
      <w:pPr>
        <w:spacing w:after="0" w:line="221"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Fair Value Measurements Using</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Significant Unobservable Inputs</w:t>
      </w:r>
    </w:p>
    <w:p>
      <w:pPr>
        <w:spacing w:after="0" w:line="9"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(Level 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Derivative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2020 Notes</w:t>
            </w:r>
          </w:p>
        </w:tc>
      </w:tr>
      <w:tr>
        <w:trPr>
          <w:trHeight w:val="216"/>
        </w:trPr>
        <w:tc>
          <w:tcPr>
            <w:tcW w:w="8120" w:type="dxa"/>
            <w:vAlign w:val="bottom"/>
          </w:tcPr>
          <w:p>
            <w:pPr>
              <w:spacing w:after="0"/>
              <w:rPr>
                <w:sz w:val="18"/>
                <w:szCs w:val="18"/>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Warrant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Embedded</w:t>
            </w:r>
          </w:p>
        </w:tc>
      </w:tr>
      <w:tr>
        <w:trPr>
          <w:trHeight w:val="234"/>
        </w:trPr>
        <w:tc>
          <w:tcPr>
            <w:tcW w:w="8120" w:type="dxa"/>
            <w:vAlign w:val="bottom"/>
          </w:tcPr>
          <w:p>
            <w:pPr>
              <w:spacing w:after="0"/>
              <w:rPr>
                <w:sz w:val="20"/>
                <w:szCs w:val="20"/>
                <w:color w:val="auto"/>
              </w:rPr>
            </w:pPr>
          </w:p>
        </w:tc>
        <w:tc>
          <w:tcPr>
            <w:tcW w:w="12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6"/>
              </w:rPr>
              <w:t>Liability</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2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Total (gains) or losses for the period</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Included in earnings</w:t>
            </w: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8120" w:type="dxa"/>
            <w:vAlign w:val="bottom"/>
          </w:tcPr>
          <w:p>
            <w:pPr>
              <w:ind w:left="500"/>
              <w:spacing w:after="0"/>
              <w:rPr>
                <w:sz w:val="20"/>
                <w:szCs w:val="20"/>
                <w:color w:val="auto"/>
              </w:rPr>
            </w:pPr>
            <w:r>
              <w:rPr>
                <w:rFonts w:ascii="Arial" w:cs="Arial" w:eastAsia="Arial" w:hAnsi="Arial"/>
                <w:sz w:val="18"/>
                <w:szCs w:val="18"/>
                <w:color w:val="auto"/>
              </w:rPr>
              <w:t>Included in other comprehensive income</w:t>
            </w:r>
          </w:p>
        </w:tc>
        <w:tc>
          <w:tcPr>
            <w:tcW w:w="12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issues, sales and settlements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500"/>
              <w:spacing w:after="0"/>
              <w:rPr>
                <w:sz w:val="20"/>
                <w:szCs w:val="20"/>
                <w:color w:val="auto"/>
              </w:rPr>
            </w:pPr>
            <w:r>
              <w:rPr>
                <w:rFonts w:ascii="Arial" w:cs="Arial" w:eastAsia="Arial" w:hAnsi="Arial"/>
                <w:sz w:val="18"/>
                <w:szCs w:val="18"/>
                <w:color w:val="auto"/>
              </w:rPr>
              <w:t>Purchases</w:t>
            </w:r>
          </w:p>
        </w:tc>
        <w:tc>
          <w:tcPr>
            <w:tcW w:w="12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Issues</w:t>
            </w: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500"/>
              <w:spacing w:after="0"/>
              <w:rPr>
                <w:sz w:val="20"/>
                <w:szCs w:val="20"/>
                <w:color w:val="auto"/>
              </w:rPr>
            </w:pPr>
            <w:r>
              <w:rPr>
                <w:rFonts w:ascii="Arial" w:cs="Arial" w:eastAsia="Arial" w:hAnsi="Arial"/>
                <w:sz w:val="18"/>
                <w:szCs w:val="18"/>
                <w:color w:val="auto"/>
              </w:rPr>
              <w:t>Sales</w:t>
            </w:r>
          </w:p>
        </w:tc>
        <w:tc>
          <w:tcPr>
            <w:tcW w:w="12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Settlements</w:t>
            </w: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0"/>
        </w:trPr>
        <w:tc>
          <w:tcPr>
            <w:tcW w:w="8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75"/>
        <w:spacing w:after="0" w:line="264"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inventory at fair value only when the Company’s cost of corn purchased exceeds the market value for corn.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determines the market value of corn and dry distiller’s grain based upon Level 1 inputs using quoted market prices. The Company records its ethanol, isobutanol and hydrocarbon inventory at market using Level 2 inputs.</w:t>
      </w:r>
    </w:p>
    <w:p>
      <w:pPr>
        <w:spacing w:after="0" w:line="181" w:lineRule="exact"/>
        <w:rPr>
          <w:sz w:val="20"/>
          <w:szCs w:val="20"/>
          <w:color w:val="auto"/>
        </w:rPr>
      </w:pPr>
    </w:p>
    <w:p>
      <w:pPr>
        <w:ind w:right="100" w:firstLine="475"/>
        <w:spacing w:after="0" w:line="302" w:lineRule="auto"/>
        <w:rPr>
          <w:sz w:val="20"/>
          <w:szCs w:val="20"/>
          <w:color w:val="auto"/>
        </w:rPr>
      </w:pPr>
      <w:r>
        <w:rPr>
          <w:rFonts w:ascii="Arial" w:cs="Arial" w:eastAsia="Arial" w:hAnsi="Arial"/>
          <w:sz w:val="16"/>
          <w:szCs w:val="16"/>
          <w:color w:val="auto"/>
        </w:rPr>
        <w:t xml:space="preserve">2020 </w:t>
      </w:r>
      <w:r>
        <w:rPr>
          <w:rFonts w:ascii="Arial" w:cs="Arial" w:eastAsia="Arial" w:hAnsi="Arial"/>
          <w:sz w:val="16"/>
          <w:szCs w:val="16"/>
          <w:i w:val="1"/>
          <w:iCs w:val="1"/>
          <w:color w:val="auto"/>
        </w:rPr>
        <w:t>Notes Embedded Derivative</w:t>
      </w:r>
      <w:r>
        <w:rPr>
          <w:rFonts w:ascii="Arial" w:cs="Arial" w:eastAsia="Arial" w:hAnsi="Arial"/>
          <w:sz w:val="16"/>
          <w:szCs w:val="16"/>
          <w:color w:val="auto"/>
        </w:rPr>
        <w:t>. The Company had estimated the fair value of the embedded derivative on a stand-alone basis to be $0.1 million at March 31, 2019 and $0.45 million at December 31, 2018 based upon Level 3 inputs. Changes in the fair value of the embedded derivative is recognized each reporting period as a “</w:t>
      </w:r>
      <w:r>
        <w:rPr>
          <w:rFonts w:ascii="Arial" w:cs="Arial" w:eastAsia="Arial" w:hAnsi="Arial"/>
          <w:sz w:val="16"/>
          <w:szCs w:val="16"/>
          <w:i w:val="1"/>
          <w:iCs w:val="1"/>
          <w:color w:val="auto"/>
        </w:rPr>
        <w:t>Change in fair value of</w:t>
      </w:r>
      <w:r>
        <w:rPr>
          <w:rFonts w:ascii="Arial" w:cs="Arial" w:eastAsia="Arial" w:hAnsi="Arial"/>
          <w:sz w:val="16"/>
          <w:szCs w:val="16"/>
          <w:color w:val="auto"/>
        </w:rPr>
        <w:t xml:space="preserve"> 2020 </w:t>
      </w:r>
      <w:r>
        <w:rPr>
          <w:rFonts w:ascii="Arial" w:cs="Arial" w:eastAsia="Arial" w:hAnsi="Arial"/>
          <w:sz w:val="16"/>
          <w:szCs w:val="16"/>
          <w:i w:val="1"/>
          <w:iCs w:val="1"/>
          <w:color w:val="auto"/>
        </w:rPr>
        <w:t>Notes embedded derivative</w:t>
      </w:r>
      <w:r>
        <w:rPr>
          <w:rFonts w:ascii="Arial" w:cs="Arial" w:eastAsia="Arial" w:hAnsi="Arial"/>
          <w:sz w:val="16"/>
          <w:szCs w:val="16"/>
          <w:color w:val="auto"/>
        </w:rPr>
        <w:t>” in the consolidated Statements of Operations and Statements of Cash Flows. See Note 6, Embedded Derivatives and Derivative Warrant Liabilities, for the fair value inputs used to estimate the fair value of the embedded derivative.</w:t>
      </w:r>
    </w:p>
    <w:p>
      <w:pPr>
        <w:spacing w:after="0" w:line="154" w:lineRule="exact"/>
        <w:rPr>
          <w:sz w:val="20"/>
          <w:szCs w:val="20"/>
          <w:color w:val="auto"/>
        </w:rPr>
      </w:pPr>
    </w:p>
    <w:p>
      <w:pPr>
        <w:ind w:right="20" w:firstLine="475"/>
        <w:spacing w:after="0" w:line="257" w:lineRule="auto"/>
        <w:rPr>
          <w:sz w:val="20"/>
          <w:szCs w:val="20"/>
          <w:color w:val="auto"/>
        </w:rPr>
      </w:pPr>
      <w:r>
        <w:rPr>
          <w:rFonts w:ascii="Arial" w:cs="Arial" w:eastAsia="Arial" w:hAnsi="Arial"/>
          <w:sz w:val="18"/>
          <w:szCs w:val="18"/>
          <w:i w:val="1"/>
          <w:iCs w:val="1"/>
          <w:color w:val="auto"/>
        </w:rPr>
        <w:t>Derivative Warrant Liability</w:t>
      </w:r>
      <w:r>
        <w:rPr>
          <w:rFonts w:ascii="Arial" w:cs="Arial" w:eastAsia="Arial" w:hAnsi="Arial"/>
          <w:sz w:val="18"/>
          <w:szCs w:val="18"/>
          <w:color w:val="auto"/>
        </w:rPr>
        <w:t>. Prior to 2017, the Company estimated the fair value of the Series A Warrants, Series F Warrants and Series K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using a Monte- Carlo model (Level 3). For all other warrants the Company valued these using a standard Black-Scholes model (Level 2). However, beginning in the first quarter 2017, the Company valued the Series F Warrants and Series K Warrants using a Monte-Carlo model (Level 3) and other warrants using Black-Scholes models comprised of some inputs requiring the use of Monte-Carlo models (Level 3). The Company has estimated the fair value of the derivative warrant liability to be $0.02 million as of March 31, 2019 and December 31, 2018.</w:t>
      </w:r>
    </w:p>
    <w:p>
      <w:pPr>
        <w:spacing w:after="0" w:line="188" w:lineRule="exact"/>
        <w:rPr>
          <w:sz w:val="20"/>
          <w:szCs w:val="20"/>
          <w:color w:val="auto"/>
        </w:rPr>
      </w:pPr>
    </w:p>
    <w:p>
      <w:pPr>
        <w:jc w:val="both"/>
        <w:ind w:right="440" w:firstLine="517"/>
        <w:spacing w:after="0" w:line="264"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determined that it has two operating segments: (i) Gevo segment; and (ii) Gevo Development/Agri-Energy segment.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organizes its business segments based on the nature of the products and services offered through each of its consolidated legal entities.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segments are eliminated in consolidation.</w:t>
      </w:r>
    </w:p>
    <w:p>
      <w:pPr>
        <w:spacing w:after="0" w:line="211" w:lineRule="exact"/>
        <w:rPr>
          <w:sz w:val="20"/>
          <w:szCs w:val="20"/>
          <w:color w:val="auto"/>
        </w:rPr>
      </w:pPr>
    </w:p>
    <w:p>
      <w:pPr>
        <w:ind w:right="220" w:firstLine="475"/>
        <w:spacing w:after="0" w:line="279" w:lineRule="auto"/>
        <w:rPr>
          <w:sz w:val="20"/>
          <w:szCs w:val="20"/>
          <w:color w:val="auto"/>
        </w:rPr>
      </w:pPr>
      <w:r>
        <w:rPr>
          <w:rFonts w:ascii="Arial" w:cs="Arial" w:eastAsia="Arial" w:hAnsi="Arial"/>
          <w:sz w:val="17"/>
          <w:szCs w:val="17"/>
          <w:b w:val="1"/>
          <w:bCs w:val="1"/>
          <w:i w:val="1"/>
          <w:iCs w:val="1"/>
          <w:color w:val="auto"/>
        </w:rPr>
        <w:t>Gevo Segment</w:t>
      </w:r>
      <w:r>
        <w:rPr>
          <w:rFonts w:ascii="Arial" w:cs="Arial" w:eastAsia="Arial" w:hAnsi="Arial"/>
          <w:sz w:val="17"/>
          <w:szCs w:val="17"/>
          <w:color w:val="auto"/>
        </w:rPr>
        <w:t>. The Gevo segment is responsible for all research and development activities related to the future production of isobutanol,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20" w:firstLine="475"/>
        <w:spacing w:after="0" w:line="277" w:lineRule="auto"/>
        <w:rPr>
          <w:sz w:val="20"/>
          <w:szCs w:val="20"/>
          <w:color w:val="auto"/>
        </w:rPr>
      </w:pPr>
      <w:r>
        <w:rPr>
          <w:rFonts w:ascii="Arial" w:cs="Arial" w:eastAsia="Arial" w:hAnsi="Arial"/>
          <w:sz w:val="18"/>
          <w:szCs w:val="18"/>
          <w:b w:val="1"/>
          <w:bCs w:val="1"/>
          <w:i w:val="1"/>
          <w:iCs w:val="1"/>
          <w:color w:val="auto"/>
        </w:rPr>
        <w:t>Gevo Development/Agri-Energy Segment</w:t>
      </w:r>
      <w:r>
        <w:rPr>
          <w:rFonts w:ascii="Arial" w:cs="Arial" w:eastAsia="Arial" w:hAnsi="Arial"/>
          <w:sz w:val="18"/>
          <w:szCs w:val="18"/>
          <w:color w:val="auto"/>
        </w:rPr>
        <w:t>. The Gevo Development/Agri-Energy segment is currently responsible for the operation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Luverne Facility and the production of ethanol, isobutanol and related products.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Gevo</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2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4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Loss from operations:</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2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(2,673)</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Gevo Development / Agri-Energy</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3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(5,628)</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Gevo</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Depreciation expense:</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2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Gevo Development / Agri-Energy</w:t>
            </w:r>
          </w:p>
        </w:tc>
        <w:tc>
          <w:tcPr>
            <w:tcW w:w="2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40" w:type="dxa"/>
            <w:vAlign w:val="bottom"/>
            <w:tcBorders>
              <w:left w:val="single" w:sz="8" w:color="CCEEFF"/>
            </w:tcBorders>
            <w:shd w:val="clear" w:color="auto" w:fill="CCEEFF"/>
          </w:tcPr>
          <w:p>
            <w:pPr>
              <w:spacing w:after="0"/>
              <w:rPr>
                <w:sz w:val="21"/>
                <w:szCs w:val="21"/>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plant, property and equipment:</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Gevo</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2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2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Gevo</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109,312</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Intercompany eliminations</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(140,834)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(146,046)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111,463</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 noted for the unaudited consolidated financial statements for the quarter ended March 31, 2019.</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line="22" w:lineRule="exact"/>
        <w:rPr>
          <w:sz w:val="20"/>
          <w:szCs w:val="20"/>
          <w:color w:val="auto"/>
        </w:rPr>
      </w:pPr>
    </w:p>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324"/>
        <w:spacing w:after="0" w:line="284"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risks and uncertainties related to our ability to sell our products, our ability to expand or continue production of ethanol and isobutanol at our production facility in Luverne, Minnesota (the “Luverne Facility”), our ability to meet our production, financial and operational guidance, our strategy to pursue low-carbon ethanol for sale into California, our ability to replace our fossil-based energy sources with renewable energy sources at the Luverne Facility, our ability and plans to construct a commercial hydrocarbon facility to produce alcohol-to-jet fuel (“ATJ”), our ability to raise additional funds to continue operations and/or expand the Luverne Facility, our ability to produce ethanol and isobutanol on a commercial level and at a profit, achievement of advances in our technology platform, the success of our retrofit production model, the availability of suitable and cost-competitive feedstocks, our ability to gain market acceptance for our products, the expected cost-competitiveness and relative performance attributes of our ethanol and isobutanol and the products derived from isobutanol,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2. “Management’s Discussion and Analysis of Financial Condition and Results of Operations” our Annual Report on Form 10-K for the year ended December 31, 2018 (our “Annual Report”), and subsequent reports on Form 10-Q. All forward-looking statements in this Report are qualified entirely by the cautionary statements included in this Report and such other filings. These risks and uncertainties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the context requires otherwise, in this Report the terms “we,” “us,” “our” and the “Company” refer to Gevo, Inc. and its subsidiaries.</w:t>
      </w:r>
    </w:p>
    <w:p>
      <w:pPr>
        <w:spacing w:after="0" w:line="225" w:lineRule="exact"/>
        <w:rPr>
          <w:sz w:val="20"/>
          <w:szCs w:val="20"/>
          <w:color w:val="auto"/>
        </w:rPr>
      </w:pPr>
    </w:p>
    <w:p>
      <w:pPr>
        <w:ind w:left="20" w:right="120" w:firstLine="313"/>
        <w:spacing w:after="0" w:line="286" w:lineRule="auto"/>
        <w:rPr>
          <w:sz w:val="20"/>
          <w:szCs w:val="20"/>
          <w:color w:val="auto"/>
        </w:rPr>
      </w:pPr>
      <w:r>
        <w:rPr>
          <w:rFonts w:ascii="Arial" w:cs="Arial" w:eastAsia="Arial" w:hAnsi="Arial"/>
          <w:sz w:val="17"/>
          <w:szCs w:val="17"/>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June 1, 2018, we effected a reverse stock split of the outstanding shares of our common stock by a ratio of one-for-twenty (the “Reverse Stock Split”) and our common stock began trading on the Nasdaq Capital Market on a Reverse Stock Split-basis on June 4, 2018. Unless otherwise indicated, all share amounts, per share data, share prices, exercise prices and conversion rates set forth herein have, where applicable, been adjusted retroactively to reflect the Reverse Stock Split.</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We are a next generation “low-carbon” fuel company focused on the development and commercialization of renewable alternatives to petroleum-based products. Low-carbon fuels reduce the carbon intensity, or the level of greenhouse gas emissions, compared to standard fossil-based fuels across their lifecycle. The most common low-carbon fuels are renewable fuels. We are focused on the development and production of mainstream fuels like jet fuel and gasoline using renewable feedstocks that have the potential to lower greenhouse gas emissions at a meaningful scale and enhance agricultural production, including food and other related products. In addition to serving the low-carbon fuel markets, we can also serve markets for the production of chemical intermediate products for solvents, plastics, and building block chemicals using our technologies.</w:t>
      </w:r>
    </w:p>
    <w:p>
      <w:pPr>
        <w:spacing w:after="0" w:line="178"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Our proven production technologies target what we believe to be large potential markets of renewable fuels and related chemicals that can compete directly against petrochemical products depending on the price of oil and the value of carbon intensity reductions. Renewable fuels are one of the few fuel products where the value for renewable carbon has already been established, particularly in the United States and the European Union. We believe that the demand for low-carbon fuels and renewable chemicals will continue to grow in the future.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Latest Highlights and Developments</w:t>
      </w:r>
    </w:p>
    <w:p>
      <w:pPr>
        <w:spacing w:after="0" w:line="229" w:lineRule="exact"/>
        <w:rPr>
          <w:sz w:val="20"/>
          <w:szCs w:val="20"/>
          <w:color w:val="auto"/>
        </w:rPr>
      </w:pPr>
    </w:p>
    <w:p>
      <w:pPr>
        <w:ind w:left="900" w:hanging="440"/>
        <w:spacing w:after="0" w:line="270"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April 4, 2019, we executed a binding, definitive Construction License Agreement with Praj Industries Ltd. (“ Praj”), pursuant to which we will commercialize the production of renewable isobutanol using sugary-based feedstocks, such as juice, syrup and molasses made of sugarcane and sugar beets (the “Construction License Agreement”). Pursuant to the Construction License Agreement, Praj will provide engineering procurement and construction services to certain third party customers using a process design package that incorporates our proprietary isobutanol biocatalyst and is designed for use with sugary-based feedstocks (the “PDP”). The PDP is jointly owned by us and Praj. We have granted a license to Praj that would allow Praj to provide such services to certain third party customers. In connection with the Construction License Agreement, Gevo and Praj have also entered into a new Joint Development Agreement and a new Development License Agreement, dated April 4, 2019, to continue their joint development efforts to produce isobutanol using sugarcane juice, sugarcane syrup, sugarcane molasses, sugar beet juice, sugar beet syrup, sugar beet molasses, sugar beet pulp, cassava, rice, wheat, sorghum, bagasse, rice straw, wheat straw, corn stover, cotton stalk and empty fruit bunches.</w:t>
      </w:r>
    </w:p>
    <w:p>
      <w:pPr>
        <w:spacing w:after="0" w:line="177" w:lineRule="exact"/>
        <w:rPr>
          <w:rFonts w:ascii="Arial" w:cs="Arial" w:eastAsia="Arial" w:hAnsi="Arial"/>
          <w:sz w:val="17"/>
          <w:szCs w:val="17"/>
          <w:color w:val="auto"/>
        </w:rPr>
      </w:pPr>
    </w:p>
    <w:p>
      <w:pPr>
        <w:ind w:left="900" w:right="140" w:hanging="440"/>
        <w:spacing w:after="0" w:line="297"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April 4, 2019, we also executed a Memorandum of Understanding (“MOU”) with Praj Industries Ltd. to commercialize our renewable hydrocarbon products in India, including our ATJ and renewable isooctane, derived from our renewable isobutanol. The MOU contemplates two phases. In phase one, Praj will implement a pilot plant in India for the purpose of introducing our technology to potential customers. Following phase one, we expect to enter into a commercial license agreement for the production of renewable hydrocarbons. Together, we expect to use a combination of their respective technologies for the conversion of sugars to renewable hydrocarbon products.</w:t>
      </w:r>
    </w:p>
    <w:p>
      <w:pPr>
        <w:sectPr>
          <w:pgSz w:w="11900" w:h="16860" w:orient="portrait"/>
          <w:cols w:equalWidth="0" w:num="1">
            <w:col w:w="11440"/>
          </w:cols>
          <w:pgMar w:left="220" w:top="118"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Luverne Facility Update</w:t>
      </w:r>
    </w:p>
    <w:p>
      <w:pPr>
        <w:spacing w:after="0" w:line="225" w:lineRule="exact"/>
        <w:rPr>
          <w:sz w:val="20"/>
          <w:szCs w:val="20"/>
          <w:color w:val="auto"/>
        </w:rPr>
      </w:pPr>
    </w:p>
    <w:p>
      <w:pPr>
        <w:ind w:left="140" w:right="100" w:firstLine="324"/>
        <w:spacing w:after="0" w:line="288" w:lineRule="auto"/>
        <w:rPr>
          <w:sz w:val="20"/>
          <w:szCs w:val="20"/>
          <w:color w:val="auto"/>
        </w:rPr>
      </w:pPr>
      <w:r>
        <w:rPr>
          <w:rFonts w:ascii="Arial" w:cs="Arial" w:eastAsia="Arial" w:hAnsi="Arial"/>
          <w:sz w:val="16"/>
          <w:szCs w:val="16"/>
          <w:color w:val="auto"/>
        </w:rPr>
        <w:t>As previously announced, we are undertaking several initiatives to improve the profitability of the Luverne Facility. Specifically, we are adapting and optimizing the Luverne Facility’s energy and equipment infrastructure to use lower amounts of lower fossil-based energy sources to lower the carbon intensity score of our products and decrease our production costs. We are also installing a process, the Shockwave Process, to fractionate corn to enable more feed and food products to be sold from the Luverne Facility that should increase revenues and profitability at the Luverne Facility. The Shockwave Process is expected to be operational during the first half of 2019. In addition, we are currently evaluating the implementation of one or more of the following systems or technologies to further lower our use of fossil-based energy sources at the Luverne Facility: combined heat and power systems; manure biogas, wind power and certain other expansion and energy reduction technologies. We expect that by approximately the end of 2020 we will have completed certain projects at our Luverne Facility to improve the carbon intensity score of our products that will increase the value of our ethanol and related products and that should translate into increased revenues for us as a result of the credits associated with our renewable fuels under LCFS and/or RFS. We expect this 'de-carbonization' process will benefit future production expansions at the Luverne Facility if implemented.</w:t>
      </w:r>
    </w:p>
    <w:p>
      <w:pPr>
        <w:spacing w:after="0" w:line="169"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As previously disclosed, during 2017, we hired a third-party engineering firm to test the structural integrity of two of our three carbon</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steel production fermentation vessels. The results of the testing indicate that one of these fermentation vessels had at least one more year of life</w:t>
      </w:r>
    </w:p>
    <w:p>
      <w:pPr>
        <w:spacing w:after="0" w:line="32" w:lineRule="exact"/>
        <w:rPr>
          <w:sz w:val="20"/>
          <w:szCs w:val="20"/>
          <w:color w:val="auto"/>
        </w:rPr>
      </w:pPr>
    </w:p>
    <w:p>
      <w:pPr>
        <w:ind w:left="140" w:right="120"/>
        <w:spacing w:after="0" w:line="255" w:lineRule="auto"/>
        <w:rPr>
          <w:sz w:val="20"/>
          <w:szCs w:val="20"/>
          <w:color w:val="auto"/>
        </w:rPr>
      </w:pPr>
      <w:r>
        <w:rPr>
          <w:rFonts w:ascii="Arial" w:cs="Arial" w:eastAsia="Arial" w:hAnsi="Arial"/>
          <w:sz w:val="18"/>
          <w:szCs w:val="18"/>
          <w:color w:val="auto"/>
        </w:rPr>
        <w:t>before needing repair, and the other one had approximately two months of life remaining. In April 2019, we had an inspection done on a third carbon steel fermenter. Based on this inspection, we decided to retire this fermenter and use one of the recently repaired fermenters. Besides these three carbon steel production fermenters, we have two stainless steel production fermenters.</w:t>
      </w:r>
    </w:p>
    <w:p>
      <w:pPr>
        <w:spacing w:after="0" w:line="190" w:lineRule="exact"/>
        <w:rPr>
          <w:sz w:val="20"/>
          <w:szCs w:val="20"/>
          <w:color w:val="auto"/>
        </w:rPr>
      </w:pPr>
    </w:p>
    <w:p>
      <w:pPr>
        <w:ind w:left="140" w:right="120" w:firstLine="324"/>
        <w:spacing w:after="0" w:line="308" w:lineRule="auto"/>
        <w:rPr>
          <w:sz w:val="20"/>
          <w:szCs w:val="20"/>
          <w:color w:val="auto"/>
        </w:rPr>
      </w:pPr>
      <w:r>
        <w:rPr>
          <w:rFonts w:ascii="Arial" w:cs="Arial" w:eastAsia="Arial" w:hAnsi="Arial"/>
          <w:sz w:val="17"/>
          <w:szCs w:val="17"/>
          <w:color w:val="auto"/>
        </w:rPr>
        <w:t>Recently, we decided to repair two of the carbon steel fermentation vessels. Repairs are expected to be completed by the second quarter of 2019, at an estimated cost of approximately $0.6 million. After the repairs, the estimated useful life of the vessels is expected to be twenty-years.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For the three months ended March 31, 2019 and 2018, we incurred a consolidated net loss of $6.1 million and $2.5 million, respectively, and had an accumulated deficit of $435.5 million at March 31, 2019. Our cash and cash equivalents at March 31, 2019 totaled $35.5 million which is primarily being used for the following: (i) operating activities of our Luverne Facility; (ii) operating activities at our corporate headquarters in Colorado, including research and development work; (iii) capital expenditures primarily associated with the Luverne Facility, including capital expenditures to “de-carbonize” the Luverne Facility; (iv) exploration of strategic alternatives and new financings; and (v) debt service and repayment obligations.</w:t>
      </w:r>
    </w:p>
    <w:p>
      <w:pPr>
        <w:spacing w:after="0" w:line="173"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3"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build-out and Retrofit of the Luverne Facility or a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5,664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8,218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Grant and other revenue</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loss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(Loss) on exchange of debt</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change in fair value of derivative warrant liability</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from change in fair value of 2020 Notes embedded derivative</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(2,502)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313"/>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from the sale of ethanol, isobutanol and related products for the three months ended March 31, 2019 was $5.6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$2.6 million from the three months ended March 31, 2018. This decrease was primarily the result of a combination of (i) decreased sales volumes of ethanol and distiller grains and (ii) a decline in ethanol prices for the three months ended March 31, 2019 compared with the same period ended March 31,</w:t>
      </w:r>
    </w:p>
    <w:p>
      <w:pPr>
        <w:ind w:right="380"/>
        <w:spacing w:after="0" w:line="261" w:lineRule="auto"/>
        <w:rPr>
          <w:sz w:val="20"/>
          <w:szCs w:val="20"/>
          <w:color w:val="auto"/>
        </w:rPr>
      </w:pPr>
      <w:r>
        <w:rPr>
          <w:rFonts w:ascii="Arial" w:cs="Arial" w:eastAsia="Arial" w:hAnsi="Arial"/>
          <w:sz w:val="18"/>
          <w:szCs w:val="18"/>
          <w:color w:val="auto"/>
        </w:rPr>
        <w:t>2018. During the three months ended March 31, 2019, we sold 3.7 million gallons of ethanol compared to 4.9 million gallons of ethanol sold in the three months ended March 31, 2018.</w:t>
      </w:r>
    </w:p>
    <w:p>
      <w:pPr>
        <w:spacing w:after="0" w:line="184" w:lineRule="exact"/>
        <w:rPr>
          <w:sz w:val="20"/>
          <w:szCs w:val="20"/>
          <w:color w:val="auto"/>
        </w:rPr>
      </w:pPr>
    </w:p>
    <w:p>
      <w:pPr>
        <w:jc w:val="both"/>
        <w:ind w:right="100" w:firstLine="313"/>
        <w:spacing w:after="0" w:line="264" w:lineRule="auto"/>
        <w:rPr>
          <w:sz w:val="20"/>
          <w:szCs w:val="20"/>
          <w:color w:val="auto"/>
        </w:rPr>
      </w:pPr>
      <w:r>
        <w:rPr>
          <w:rFonts w:ascii="Arial" w:cs="Arial" w:eastAsia="Arial" w:hAnsi="Arial"/>
          <w:sz w:val="18"/>
          <w:szCs w:val="18"/>
          <w:color w:val="auto"/>
        </w:rPr>
        <w:t>Hydrocarbon revenues are comprised of ATJ, isooctane and isooctene sales. Hydrocarbon sales increased by $0.7 million during the three months ended March 31, 2019 as a result of greater shipments of finished products from our demonstration plant located at the South Hampton Resources, Inc. facility near Houston, Texas (the “South Hampton Facility”).</w:t>
      </w:r>
    </w:p>
    <w:p>
      <w:pPr>
        <w:spacing w:after="0" w:line="181" w:lineRule="exact"/>
        <w:rPr>
          <w:sz w:val="20"/>
          <w:szCs w:val="20"/>
          <w:color w:val="auto"/>
        </w:rPr>
      </w:pPr>
    </w:p>
    <w:p>
      <w:pPr>
        <w:ind w:right="420" w:firstLine="313"/>
        <w:spacing w:after="0" w:line="277" w:lineRule="auto"/>
        <w:rPr>
          <w:sz w:val="20"/>
          <w:szCs w:val="20"/>
          <w:color w:val="auto"/>
        </w:rPr>
      </w:pPr>
      <w:r>
        <w:rPr>
          <w:rFonts w:ascii="Arial" w:cs="Arial" w:eastAsia="Arial" w:hAnsi="Arial"/>
          <w:sz w:val="18"/>
          <w:szCs w:val="18"/>
          <w:color w:val="auto"/>
        </w:rPr>
        <w:t>Grant and other revenue was $0.0 million during the three months ended March 31, 2019, a decrease of less than $0.1 million from the three months ended March 31, 2018.</w:t>
      </w:r>
    </w:p>
    <w:p>
      <w:pPr>
        <w:spacing w:after="0" w:line="170" w:lineRule="exact"/>
        <w:rPr>
          <w:sz w:val="20"/>
          <w:szCs w:val="20"/>
          <w:color w:val="auto"/>
        </w:rPr>
      </w:pPr>
    </w:p>
    <w:p>
      <w:pPr>
        <w:ind w:right="180" w:firstLine="313"/>
        <w:spacing w:after="0" w:line="25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was $9.0 million during the three months ended March 31, 2019, compared with $10.6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a decrease of approximately $1.6 million, primarily the result of decreased production for the three months ended March 31, 2019 compared to March 31, 2018 in response to an unfavorable commodity environment for the three months ended March 31, 2019. Cost of goods sold included approximately $7.4 million associated with the production of ethanol and related products and approximately $1.6 million in depreciation expense during the three months ended March 31, 2019.</w:t>
      </w:r>
    </w:p>
    <w:p>
      <w:pPr>
        <w:spacing w:after="0" w:line="188" w:lineRule="exact"/>
        <w:rPr>
          <w:sz w:val="20"/>
          <w:szCs w:val="20"/>
          <w:color w:val="auto"/>
        </w:rPr>
      </w:pPr>
    </w:p>
    <w:p>
      <w:pPr>
        <w:ind w:right="180" w:firstLine="313"/>
        <w:spacing w:after="0" w:line="277"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increased by approximately $0.2 million during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compared with the three months ended March 31, 2018, due primarily to an increase in consulting expenses.</w:t>
      </w:r>
    </w:p>
    <w:p>
      <w:pPr>
        <w:spacing w:after="0" w:line="170"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increased by approximately $0.2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2019, compared with the three months ended March 31, 2018, due primarily to an increase in stock compensation expense.</w:t>
      </w:r>
    </w:p>
    <w:p>
      <w:pPr>
        <w:spacing w:after="0" w:line="124" w:lineRule="exact"/>
        <w:rPr>
          <w:sz w:val="20"/>
          <w:szCs w:val="20"/>
          <w:color w:val="auto"/>
        </w:rPr>
      </w:pPr>
    </w:p>
    <w:p>
      <w:pPr>
        <w:ind w:right="140" w:firstLine="313"/>
        <w:spacing w:after="0" w:line="31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during the three months ended March 31, 2019 was $0.8 million, a decrease of $0.1 million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2018, due to the exchange of approximately $3.2 million of our 12% convertible senior secured notes due 2020 (the “2020 Notes”) for our common stock during 2018, which resulted in a decrease in the outstanding principal amount of the 2020 Notes as of March 31, 2019.</w:t>
      </w:r>
    </w:p>
    <w:p>
      <w:pPr>
        <w:sectPr>
          <w:pgSz w:w="11900" w:h="16838" w:orient="portrait"/>
          <w:cols w:equalWidth="0" w:num="1">
            <w:col w:w="11420"/>
          </w:cols>
          <w:pgMar w:left="240" w:top="118" w:right="239"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 w:name="page28"/>
    <w:bookmarkEnd w:id="27"/>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20" w:right="260" w:firstLine="475"/>
        <w:spacing w:after="0" w:line="308" w:lineRule="auto"/>
        <w:rPr>
          <w:sz w:val="20"/>
          <w:szCs w:val="20"/>
          <w:color w:val="auto"/>
        </w:rPr>
      </w:pPr>
      <w:r>
        <w:rPr>
          <w:rFonts w:ascii="Arial" w:cs="Arial" w:eastAsia="Arial" w:hAnsi="Arial"/>
          <w:sz w:val="17"/>
          <w:szCs w:val="17"/>
          <w:i w:val="1"/>
          <w:iCs w:val="1"/>
          <w:color w:val="auto"/>
        </w:rPr>
        <w:t xml:space="preserve">(Loss)/Gain from change in fair value of derivative warrant liability. </w:t>
      </w:r>
      <w:r>
        <w:rPr>
          <w:rFonts w:ascii="Arial" w:cs="Arial" w:eastAsia="Arial" w:hAnsi="Arial"/>
          <w:sz w:val="17"/>
          <w:szCs w:val="17"/>
          <w:color w:val="auto"/>
        </w:rPr>
        <w:t>During the three months ended March 31, 2019 we incurred a $1,000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gain on changes in the fair value of the derivative warrant liability, primarily due to the decrease in the price of our common stock.</w:t>
      </w:r>
    </w:p>
    <w:p>
      <w:pPr>
        <w:spacing w:after="0" w:line="147" w:lineRule="exact"/>
        <w:rPr>
          <w:sz w:val="20"/>
          <w:szCs w:val="20"/>
          <w:color w:val="auto"/>
        </w:rPr>
      </w:pPr>
    </w:p>
    <w:p>
      <w:pPr>
        <w:ind w:left="20" w:firstLine="475"/>
        <w:spacing w:after="0" w:line="264" w:lineRule="auto"/>
        <w:rPr>
          <w:sz w:val="20"/>
          <w:szCs w:val="20"/>
          <w:color w:val="auto"/>
        </w:rPr>
      </w:pPr>
      <w:r>
        <w:rPr>
          <w:rFonts w:ascii="Arial" w:cs="Arial" w:eastAsia="Arial" w:hAnsi="Arial"/>
          <w:sz w:val="18"/>
          <w:szCs w:val="18"/>
          <w:i w:val="1"/>
          <w:iCs w:val="1"/>
          <w:color w:val="auto"/>
        </w:rPr>
        <w:t xml:space="preserve">(Loss) from change in fair value of the 2020 Notes embedded derivative. </w:t>
      </w:r>
      <w:r>
        <w:rPr>
          <w:rFonts w:ascii="Arial" w:cs="Arial" w:eastAsia="Arial" w:hAnsi="Arial"/>
          <w:sz w:val="18"/>
          <w:szCs w:val="18"/>
          <w:color w:val="auto"/>
        </w:rPr>
        <w:t>During the three months ended March 31, 2019, the estimated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2020 Notes embedded derivative liability decreased, resulting in a non-cash gain of $0.2 million, primarily due to the decrease in the price of our common stock since the June 20, 2017 issuance date.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 Cost of Goods Sold and Operating Expenses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20" w:right="120" w:firstLine="475"/>
        <w:spacing w:after="0" w:line="264" w:lineRule="auto"/>
        <w:rPr>
          <w:sz w:val="20"/>
          <w:szCs w:val="20"/>
          <w:color w:val="auto"/>
        </w:rPr>
      </w:pPr>
      <w:r>
        <w:rPr>
          <w:rFonts w:ascii="Arial" w:cs="Arial" w:eastAsia="Arial" w:hAnsi="Arial"/>
          <w:sz w:val="18"/>
          <w:szCs w:val="18"/>
          <w:color w:val="auto"/>
        </w:rPr>
        <w:t>During the three months ended March 31, 2019 and 2018, we generated revenue from: (i) the sale of ethanol, isobutanol and related products; (ii) hydrocarbon sales, consisting primarily of the sale of ATJ fuel, isooctane and isooctene derived from our isobutanol for purposes of certification and testing; and (iii) government grants and research and development programs.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Goods Sold and Gross Loss</w:t>
      </w:r>
    </w:p>
    <w:p>
      <w:pPr>
        <w:spacing w:after="0" w:line="225" w:lineRule="exact"/>
        <w:rPr>
          <w:sz w:val="20"/>
          <w:szCs w:val="20"/>
          <w:color w:val="auto"/>
        </w:rPr>
      </w:pPr>
    </w:p>
    <w:p>
      <w:pPr>
        <w:ind w:left="20" w:firstLine="475"/>
        <w:spacing w:after="0" w:line="279" w:lineRule="auto"/>
        <w:rPr>
          <w:sz w:val="20"/>
          <w:szCs w:val="20"/>
          <w:color w:val="auto"/>
        </w:rPr>
      </w:pPr>
      <w:r>
        <w:rPr>
          <w:rFonts w:ascii="Arial" w:cs="Arial" w:eastAsia="Arial" w:hAnsi="Arial"/>
          <w:sz w:val="17"/>
          <w:szCs w:val="17"/>
          <w:color w:val="auto"/>
        </w:rPr>
        <w:t>Cost of goods sold during the three months ended March 31, 2019 and 2018 primarily includes costs directly associated with isobutanol production and ethanol production at the Luverne Facility, such as costs for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gross loss is defined as our total revenue less our cost of goods sold.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20" w:right="20" w:firstLine="475"/>
        <w:spacing w:after="0" w:line="293" w:lineRule="auto"/>
        <w:rPr>
          <w:sz w:val="20"/>
          <w:szCs w:val="20"/>
          <w:color w:val="auto"/>
        </w:rPr>
      </w:pPr>
      <w:r>
        <w:rPr>
          <w:rFonts w:ascii="Arial" w:cs="Arial" w:eastAsia="Arial" w:hAnsi="Arial"/>
          <w:sz w:val="16"/>
          <w:szCs w:val="16"/>
          <w:color w:val="auto"/>
        </w:rPr>
        <w:t>Our research and development costs consist of expenses incurred to identify, develop and test our technologies for the 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 Research and development expenses also include upfront fees and milestone payments made under licensing agreements and payments for sponsored research and university research gifts to support research at academic institutions.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left="20" w:right="140" w:firstLine="313"/>
        <w:spacing w:after="0" w:line="259"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consulting and service provider expenses (including patent counsel-related costs), legal fees, marketing costs, corporate insurance costs, occupancy-related costs, depreciation and amortization expenses on property, plant and equipment not used in our product development programs or recorded in cost of goods sold, travel and relocation and hiring expenses.</w:t>
      </w:r>
    </w:p>
    <w:p>
      <w:pPr>
        <w:spacing w:after="0" w:line="187" w:lineRule="exact"/>
        <w:rPr>
          <w:sz w:val="20"/>
          <w:szCs w:val="20"/>
          <w:color w:val="auto"/>
        </w:rPr>
      </w:pPr>
    </w:p>
    <w:p>
      <w:pPr>
        <w:ind w:left="20" w:right="40" w:firstLine="313"/>
        <w:spacing w:after="0" w:line="277" w:lineRule="auto"/>
        <w:rPr>
          <w:sz w:val="20"/>
          <w:szCs w:val="20"/>
          <w:color w:val="auto"/>
        </w:rPr>
      </w:pPr>
      <w:r>
        <w:rPr>
          <w:rFonts w:ascii="Arial" w:cs="Arial" w:eastAsia="Arial" w:hAnsi="Arial"/>
          <w:sz w:val="18"/>
          <w:szCs w:val="18"/>
          <w:color w:val="auto"/>
        </w:rPr>
        <w:t>We also record selling, general and administrative expenses for the operations of the Luverne Facility that include administrative and oversight expenses, certain personnel-related expenses, insurance and other operating expenses.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Since our inception in 2005, we have devoted most of our cash resources to manufacturing ethanol, isobutanol and related products, research and development and selling, general and administrative activities related to the commercialization of ethanol, isobutanol, as well as related products from renewable feedstocks. We have incurred losses since inception and expect to incur losses through at least 2020. We have financed our operations primarily with proceeds from multiple sales of equity and debt securities, borrowings under debt facilities and product sales.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76200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20" w:top="118" w:right="259" w:bottom="1440" w:gutter="0" w:footer="0" w:header="0"/>
        </w:sectPr>
      </w:pPr>
    </w:p>
    <w:bookmarkStart w:id="28" w:name="page29"/>
    <w:bookmarkEnd w:id="28"/>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20" w:right="40" w:firstLine="313"/>
        <w:spacing w:after="0" w:line="255" w:lineRule="auto"/>
        <w:rPr>
          <w:sz w:val="20"/>
          <w:szCs w:val="20"/>
          <w:color w:val="auto"/>
        </w:rPr>
      </w:pPr>
      <w:r>
        <w:rPr>
          <w:rFonts w:ascii="Arial" w:cs="Arial" w:eastAsia="Arial" w:hAnsi="Arial"/>
          <w:sz w:val="18"/>
          <w:szCs w:val="18"/>
          <w:color w:val="auto"/>
        </w:rPr>
        <w:t>The continued operation of our business, including any expansion of the Luverne Facility,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access to sufficient capital, repayment of our current debt, completion of our development activities resulting in sales of isobutanol or isobutanol-derived products and/or technology, achieving market acceptance and demand for our products and services and attracting and retaining qualified personnel. Such additional capital may not be available to us on acceptable terms or at all.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2019, we had an accumulated deficit of $435.5 million with cash and cash equivalents totaling $35.5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10"/>
        </w:trPr>
        <w:tc>
          <w:tcPr>
            <w:tcW w:w="5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(2,204)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20" w:right="20" w:firstLine="475"/>
        <w:spacing w:after="0" w:line="286" w:lineRule="auto"/>
        <w:rPr>
          <w:sz w:val="20"/>
          <w:szCs w:val="20"/>
          <w:color w:val="auto"/>
        </w:rPr>
      </w:pPr>
      <w:r>
        <w:rPr>
          <w:rFonts w:ascii="Arial" w:cs="Arial" w:eastAsia="Arial" w:hAnsi="Arial"/>
          <w:sz w:val="17"/>
          <w:szCs w:val="17"/>
          <w:color w:val="auto"/>
        </w:rPr>
        <w:t>Our primary uses of cash from operating activities are personnel-related expenses, research and development expenses, which include costs incurred under development agreements; costs and expenses for the production of isobutanol, ethanol and related products, logistics costs, costs associated with further processing of isobutanol and costs associated with the operation of the South Hampton Facility and debt service payments.</w:t>
      </w:r>
    </w:p>
    <w:p>
      <w:pPr>
        <w:spacing w:after="0" w:line="166" w:lineRule="exact"/>
        <w:rPr>
          <w:sz w:val="20"/>
          <w:szCs w:val="20"/>
          <w:color w:val="auto"/>
        </w:rPr>
      </w:pPr>
    </w:p>
    <w:p>
      <w:pPr>
        <w:ind w:left="20" w:right="500" w:firstLine="475"/>
        <w:spacing w:after="0" w:line="277" w:lineRule="auto"/>
        <w:rPr>
          <w:sz w:val="20"/>
          <w:szCs w:val="20"/>
          <w:color w:val="auto"/>
        </w:rPr>
      </w:pPr>
      <w:r>
        <w:rPr>
          <w:rFonts w:ascii="Arial" w:cs="Arial" w:eastAsia="Arial" w:hAnsi="Arial"/>
          <w:sz w:val="18"/>
          <w:szCs w:val="18"/>
          <w:color w:val="auto"/>
        </w:rPr>
        <w:t>During the three months ended March 31, 2019, we used $5.7 million in cash from operating activities primarily resulting from a net loss of $6.1 million, a $1.6 million increase in working capital items, and approximately $2.0 million in non-cash operating activities.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20" w:right="180" w:firstLine="475"/>
        <w:spacing w:after="0" w:line="277" w:lineRule="auto"/>
        <w:rPr>
          <w:sz w:val="20"/>
          <w:szCs w:val="20"/>
          <w:color w:val="auto"/>
        </w:rPr>
      </w:pPr>
      <w:r>
        <w:rPr>
          <w:rFonts w:ascii="Arial" w:cs="Arial" w:eastAsia="Arial" w:hAnsi="Arial"/>
          <w:sz w:val="18"/>
          <w:szCs w:val="18"/>
          <w:color w:val="auto"/>
        </w:rPr>
        <w:t>During the three months ended March 31, 2019, we used $2.2 million in cash from investing activities related primarily to capital expenditures at our Luverne Facility.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three months ended March 31, 2019, we raised approximately $9.6 million associated with financing activities, which consisted entirely of $9.6 million of net proceeds from sales under our “at-the-market” offering program discussed below.</w:t>
      </w:r>
    </w:p>
    <w:p>
      <w:pPr>
        <w:spacing w:after="0" w:line="170" w:lineRule="exact"/>
        <w:rPr>
          <w:sz w:val="20"/>
          <w:szCs w:val="20"/>
          <w:color w:val="auto"/>
        </w:rPr>
      </w:pPr>
    </w:p>
    <w:p>
      <w:pPr>
        <w:ind w:right="160" w:firstLine="324"/>
        <w:spacing w:after="0" w:line="285" w:lineRule="auto"/>
        <w:rPr>
          <w:sz w:val="20"/>
          <w:szCs w:val="20"/>
          <w:color w:val="auto"/>
        </w:rPr>
      </w:pPr>
      <w:r>
        <w:rPr>
          <w:rFonts w:ascii="Arial" w:cs="Arial" w:eastAsia="Arial" w:hAnsi="Arial"/>
          <w:sz w:val="16"/>
          <w:szCs w:val="16"/>
          <w:i w:val="1"/>
          <w:iCs w:val="1"/>
          <w:color w:val="auto"/>
        </w:rPr>
        <w:t xml:space="preserve">At-the-Market Offering Program. </w:t>
      </w:r>
      <w:r>
        <w:rPr>
          <w:rFonts w:ascii="Arial" w:cs="Arial" w:eastAsia="Arial" w:hAnsi="Arial"/>
          <w:sz w:val="16"/>
          <w:szCs w:val="16"/>
          <w:color w:val="auto"/>
        </w:rPr>
        <w:t>In February 2018, we commenced an at-the-market offering program, which allows us to sell and issue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from time-to-time. The at-the-market offering program was amended multiple times during 2018 to increase the available capacity under the at-the-market offering program by an aggregate of approximately $84.9 million. During the three months ended March 31, 2019, we issued 3,244,941 shares of common stock under the at-the-market offering program for gross proceeds of $9.9 million. We paid commissions to our sales agent of approximately $0.2 million and incurred other offering related expenses of $0.01 million during the three months ended March 31, 2019. As of March 31, 2019, we</w:t>
      </w:r>
    </w:p>
    <w:p>
      <w:pPr>
        <w:spacing w:after="0" w:line="2"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had remaining capacity to issue and sell up to approximately $34.7 million of additional shares of common stock under the at-the-market offering program. However, pursuant to Instruction I.B.6. to Form S-3, because the our market capitalization was below $75.0 million as of March 27, 2019, the date we filed our Annual Report on Form 10-K for the year ended December 31, 2018, we may only sell securities via Form S-3 if the aggregate market value of the securities sold by or on behalf of us during the 12-month period immediately prior to and including the date of the sale is no more than one-third of all common voting and nonvoting equity held by non-affiliates of us. Given the amount of common stock sold by us under the at-the-market offering program in 2018, we are currently unable to issue and sell additional shares of common stock under the at-the-market offering program.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2020 Notes</w:t>
      </w:r>
    </w:p>
    <w:p>
      <w:pPr>
        <w:spacing w:after="0" w:line="22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On April 19, 2017, we entered into an Exchange and Purchase Agreement (the “Purchase Agreement”) with WB Gevo, LTD, the holder of our 12.0% convertible senior secured notes due 2017 (such notes, the “2017 Notes” and, such holder, the “Holder”), and Whitebox Advisors LLC, in its capacity as representative of the Holder (“Whitebox”). Pursuant to the terms of the Purchase Agreement, the Holder, subject to certain conditions, including approval of the transaction by our stockholders (which was received on June 15, 2017), agreed to exchange all of the outstanding principal amount of the 2017 Notes for an equal principal amount of our newly created 2020 Notes, plus an amount in cash equal to the accrued and unpaid interest (other than interest paid in kind) on the 2017 Notes (the “Exchange”). On June 20, 2017, we completed the Exchange, terminated the 2017 Notes Indenture and cancelled the 2017 Notes. As of March 31, 2019 and December 31, 2018, the outstanding principal on the 2020 Notes, including PIK Interest (as defined and described below), was $13.8 million and $13.8 million, respectively.</w:t>
      </w:r>
    </w:p>
    <w:p>
      <w:pPr>
        <w:sectPr>
          <w:pgSz w:w="11900" w:h="16838" w:orient="portrait"/>
          <w:cols w:equalWidth="0" w:num="1">
            <w:col w:w="11440"/>
          </w:cols>
          <w:pgMar w:left="220" w:top="118" w:right="2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type w:val="continuous"/>
        </w:sectPr>
      </w:pPr>
    </w:p>
    <w:bookmarkStart w:id="29" w:name="page30"/>
    <w:bookmarkEnd w:id="29"/>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2020 Notes will mature on March 15, 2020. The 2020 Notes bear interest at a rate equal to 12% per annum (with 2% potentially payable as PIK Interest at our option), payable on March 31, June 30, September 30, and December 31 of each year. Under certain circumstances, we have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8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2020 Notes are convertible into shares of our common stock, subject to certain terms and conditions. The initial conversion price of the 2020 Notes is equal to $14.72 per share of common stock, or 0.0679 shares of common stock per $1 principal amount of 2020 Notes.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 of the 2020 Notes.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20" w:right="120" w:firstLine="475"/>
        <w:spacing w:after="0" w:line="257" w:lineRule="auto"/>
        <w:rPr>
          <w:sz w:val="20"/>
          <w:szCs w:val="20"/>
          <w:color w:val="auto"/>
        </w:rPr>
      </w:pPr>
      <w:r>
        <w:rPr>
          <w:rFonts w:ascii="Arial" w:cs="Arial" w:eastAsia="Arial" w:hAnsi="Arial"/>
          <w:sz w:val="18"/>
          <w:szCs w:val="18"/>
          <w:color w:val="auto"/>
        </w:rPr>
        <w:t>Except for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(see Note 4) there have been no significant changes to our critical accounting policies since December 31, 2018. However, see Note 1, </w:t>
      </w:r>
      <w:r>
        <w:rPr>
          <w:rFonts w:ascii="Arial" w:cs="Arial" w:eastAsia="Arial" w:hAnsi="Arial"/>
          <w:sz w:val="18"/>
          <w:szCs w:val="18"/>
          <w:i w:val="1"/>
          <w:iCs w:val="1"/>
          <w:color w:val="auto"/>
        </w:rPr>
        <w:t>Nature of Business, Financial Condition and Basis of Presentation,</w:t>
      </w:r>
      <w:r>
        <w:rPr>
          <w:rFonts w:ascii="Arial" w:cs="Arial" w:eastAsia="Arial" w:hAnsi="Arial"/>
          <w:sz w:val="18"/>
          <w:szCs w:val="18"/>
          <w:color w:val="auto"/>
        </w:rPr>
        <w:t xml:space="preserve"> to our consolidated financial statements included herein for a discussion of recently issued accounting pronouncements and their impact or future potential impact on our financial results, if determinable. For a description of critical accounting policies that affect our significant judgments and estimates used in the preparation of our consolidated financial statements, refer to our Annual Report.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future commitments arising from our contractual obligations at March 31, 2019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Less than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year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1 - 3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4 - 5 years</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Principal debt payments (1)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Interest payments on debt (2)</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Insurance &amp; Maintenance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10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10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18,345</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700" w:hanging="67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cash principal payments due to the holders of the 2020 Notes.</w:t>
      </w:r>
    </w:p>
    <w:p>
      <w:pPr>
        <w:spacing w:after="0" w:line="225" w:lineRule="exact"/>
        <w:rPr>
          <w:rFonts w:ascii="Arial" w:cs="Arial" w:eastAsia="Arial" w:hAnsi="Arial"/>
          <w:sz w:val="18"/>
          <w:szCs w:val="18"/>
          <w:color w:val="auto"/>
        </w:rPr>
      </w:pPr>
    </w:p>
    <w:p>
      <w:pPr>
        <w:ind w:left="700" w:hanging="67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interest payments due to the holders of the 2020 Notes.</w:t>
      </w:r>
    </w:p>
    <w:p>
      <w:pPr>
        <w:spacing w:after="0" w:line="225" w:lineRule="exact"/>
        <w:rPr>
          <w:rFonts w:ascii="Arial" w:cs="Arial" w:eastAsia="Arial" w:hAnsi="Arial"/>
          <w:sz w:val="18"/>
          <w:szCs w:val="18"/>
          <w:color w:val="auto"/>
        </w:rPr>
      </w:pPr>
    </w:p>
    <w:p>
      <w:pPr>
        <w:ind w:left="700" w:right="60" w:hanging="672"/>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commitments for operating leases related to our leased facility in Englewood, Colorado and our lease for rail cars in Luverne, Minnesota for ethanol and isobutanol shipments.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above reflects only payment obligations that are fixed and determinable as of March 31,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900" w:firstLine="475"/>
        <w:spacing w:after="0" w:line="277" w:lineRule="auto"/>
        <w:rPr>
          <w:sz w:val="20"/>
          <w:szCs w:val="20"/>
          <w:color w:val="auto"/>
        </w:rPr>
      </w:pPr>
      <w:r>
        <w:rPr>
          <w:rFonts w:ascii="Arial" w:cs="Arial" w:eastAsia="Arial" w:hAnsi="Arial"/>
          <w:sz w:val="18"/>
          <w:szCs w:val="18"/>
          <w:color w:val="auto"/>
        </w:rPr>
        <w:t>As of March 31, 2019, we did not have any material off-balance sheet arrangements, except for operating lease obligations disclosed in our commitment and contingencies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75"/>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Principal Financial Officer, as appropriate, to allow timely decisions regarding required financial disclosures.</w:t>
      </w:r>
    </w:p>
    <w:p>
      <w:pPr>
        <w:spacing w:after="0" w:line="188" w:lineRule="exact"/>
        <w:rPr>
          <w:sz w:val="20"/>
          <w:szCs w:val="20"/>
          <w:color w:val="auto"/>
        </w:rPr>
      </w:pPr>
    </w:p>
    <w:p>
      <w:pPr>
        <w:ind w:right="180" w:firstLine="475"/>
        <w:spacing w:after="0" w:line="272" w:lineRule="auto"/>
        <w:rPr>
          <w:sz w:val="20"/>
          <w:szCs w:val="20"/>
          <w:color w:val="auto"/>
        </w:rPr>
      </w:pPr>
      <w:r>
        <w:rPr>
          <w:rFonts w:ascii="Arial" w:cs="Arial" w:eastAsia="Arial" w:hAnsi="Arial"/>
          <w:sz w:val="17"/>
          <w:szCs w:val="17"/>
          <w:color w:val="auto"/>
        </w:rPr>
        <w:t>Management, including the participation of our Chief Executive Officer and our Principal Financial Officer, conducted an evaluation of the effectiveness of our disclosure controls and procedures as of the end of the period covered by this report. Based on this evaluation, our Chief Executive Officer and Principal Financial Officer concluded that our disclosure controls and procedures were effective as of March 31, 2019.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47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2019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75"/>
        <w:spacing w:after="0" w:line="264"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75"/>
        <w:spacing w:after="0" w:line="259" w:lineRule="auto"/>
        <w:rPr>
          <w:sz w:val="20"/>
          <w:szCs w:val="20"/>
          <w:color w:val="auto"/>
        </w:rPr>
      </w:pPr>
      <w:r>
        <w:rPr>
          <w:rFonts w:ascii="Arial" w:cs="Arial" w:eastAsia="Arial" w:hAnsi="Arial"/>
          <w:sz w:val="18"/>
          <w:szCs w:val="18"/>
          <w:color w:val="auto"/>
        </w:rPr>
        <w:t>You should carefully consider the risk factors discussed in Part I, Item 1A. “Risk Factors” in our Annual Report, which could materially affect our business, financial condition, cash flows or future results.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9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Included</w:t>
            </w:r>
          </w:p>
        </w:tc>
      </w:tr>
      <w:tr>
        <w:trPr>
          <w:trHeight w:val="251"/>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Herewith</w:t>
            </w:r>
          </w:p>
        </w:tc>
      </w:tr>
      <w:tr>
        <w:trPr>
          <w:trHeight w:val="190"/>
        </w:trPr>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160"/>
              <w:spacing w:after="0" w:line="189" w:lineRule="exact"/>
              <w:rPr>
                <w:sz w:val="20"/>
                <w:szCs w:val="20"/>
                <w:color w:val="auto"/>
              </w:rPr>
            </w:pPr>
            <w:r>
              <w:rPr>
                <w:rFonts w:ascii="Arial" w:cs="Arial" w:eastAsia="Arial" w:hAnsi="Arial"/>
                <w:sz w:val="18"/>
                <w:szCs w:val="18"/>
                <w:b w:val="1"/>
                <w:bCs w:val="1"/>
                <w:color w:val="auto"/>
              </w:rPr>
              <w:t>File No.</w:t>
            </w:r>
          </w:p>
        </w:tc>
        <w:tc>
          <w:tcPr>
            <w:tcW w:w="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Filing Date</w:t>
            </w:r>
          </w:p>
        </w:tc>
        <w:tc>
          <w:tcPr>
            <w:tcW w:w="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r>
      <w:tr>
        <w:trPr>
          <w:trHeight w:val="172"/>
        </w:trPr>
        <w:tc>
          <w:tcPr>
            <w:tcW w:w="34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340" w:type="dxa"/>
            <w:vAlign w:val="bottom"/>
            <w:tcBorders>
              <w:bottom w:val="single" w:sz="8" w:color="0000EE"/>
            </w:tcBorders>
            <w:gridSpan w:val="10"/>
          </w:tcPr>
          <w:p>
            <w:pPr>
              <w:spacing w:after="0" w:line="172"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Amended and Restated Certificate of Incorporation of Gevo,</w:t>
              </w:r>
            </w:hyperlink>
          </w:p>
        </w:tc>
        <w:tc>
          <w:tcPr>
            <w:tcW w:w="300" w:type="dxa"/>
            <w:vAlign w:val="bottom"/>
            <w:tcBorders>
              <w:right w:val="single" w:sz="8" w:color="auto"/>
            </w:tcBorders>
            <w:gridSpan w:val="2"/>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3.1</w:t>
            </w: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March 29, 2011</w:t>
            </w: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10, 2013</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July 9, 2014</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3.4</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April 22, 2015</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3.5</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January 6, 2017</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3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460" w:type="dxa"/>
            <w:vAlign w:val="bottom"/>
            <w:tcBorders>
              <w:top w:val="single" w:sz="8" w:color="0000EE"/>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r>
      <w:tr>
        <w:trPr>
          <w:trHeight w:val="150"/>
        </w:trPr>
        <w:tc>
          <w:tcPr>
            <w:tcW w:w="3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gridSpan w:val="12"/>
          </w:tcPr>
          <w:p>
            <w:pPr>
              <w:spacing w:after="0" w:line="150" w:lineRule="exact"/>
              <w:rPr>
                <w:rFonts w:ascii="Arial" w:cs="Arial" w:eastAsia="Arial" w:hAnsi="Arial"/>
                <w:sz w:val="17"/>
                <w:szCs w:val="17"/>
                <w:color w:val="0000EE"/>
                <w:w w:val="96"/>
              </w:rPr>
            </w:pPr>
            <w:hyperlink r:id="rId56">
              <w:r>
                <w:rPr>
                  <w:rFonts w:ascii="Arial" w:cs="Arial" w:eastAsia="Arial" w:hAnsi="Arial"/>
                  <w:sz w:val="17"/>
                  <w:szCs w:val="17"/>
                  <w:color w:val="0000EE"/>
                  <w:w w:val="96"/>
                </w:rPr>
                <w:t>Certificate of Amendment to Amended and Restated Certificate</w:t>
              </w:r>
            </w:hyperlink>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001-35073</w:t>
            </w:r>
          </w:p>
        </w:tc>
        <w:tc>
          <w:tcPr>
            <w:tcW w:w="6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3"/>
              </w:rPr>
              <w:t>June 4, 2018</w:t>
            </w:r>
          </w:p>
        </w:tc>
        <w:tc>
          <w:tcPr>
            <w:tcW w:w="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2"/>
              </w:rPr>
              <w:t>3.1</w:t>
            </w:r>
          </w:p>
        </w:tc>
        <w:tc>
          <w:tcPr>
            <w:tcW w:w="1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3.6</w:t>
            </w: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3.7</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rPr>
            </w:pPr>
            <w:hyperlink r:id="rId57">
              <w:r>
                <w:rPr>
                  <w:rFonts w:ascii="Arial" w:cs="Arial" w:eastAsia="Arial" w:hAnsi="Arial"/>
                  <w:sz w:val="18"/>
                  <w:szCs w:val="18"/>
                  <w:color w:val="0000EE"/>
                </w:rPr>
                <w:t>Amended and Restated Bylaws of Gevo, Inc.</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March 29, 2011</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4.1</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rPr>
            </w:pPr>
            <w:hyperlink r:id="rId58">
              <w:r>
                <w:rPr>
                  <w:rFonts w:ascii="Arial" w:cs="Arial" w:eastAsia="Arial" w:hAnsi="Arial"/>
                  <w:sz w:val="18"/>
                  <w:szCs w:val="18"/>
                  <w:color w:val="0000EE"/>
                </w:rPr>
                <w:t>Form of the Gevo, Inc. Common Stock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January 19, 2011</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8"/>
              </w:rPr>
            </w:pPr>
            <w:hyperlink r:id="rId59">
              <w:r>
                <w:rPr>
                  <w:rFonts w:ascii="Arial" w:cs="Arial" w:eastAsia="Arial" w:hAnsi="Arial"/>
                  <w:sz w:val="18"/>
                  <w:szCs w:val="18"/>
                  <w:color w:val="0000EE"/>
                  <w:w w:val="98"/>
                </w:rPr>
                <w:t>Fifth Amended and Restated Investors’ Rights Agreement,</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12, 2010</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dated March 26, 2010.</w:t>
              </w:r>
            </w:hyperlink>
          </w:p>
        </w:tc>
        <w:tc>
          <w:tcPr>
            <w:tcW w:w="440" w:type="dxa"/>
            <w:vAlign w:val="bottom"/>
            <w:tcBorders>
              <w:right w:val="single" w:sz="8" w:color="auto"/>
            </w:tcBorders>
            <w:gridSpan w:val="4"/>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240" w:type="dxa"/>
            <w:vAlign w:val="bottom"/>
            <w:tcBorders>
              <w:bottom w:val="single" w:sz="8" w:color="0000EE"/>
            </w:tcBorders>
            <w:gridSpan w:val="9"/>
          </w:tcPr>
          <w:p>
            <w:pPr>
              <w:spacing w:after="0"/>
              <w:rPr>
                <w:rFonts w:ascii="Arial" w:cs="Arial" w:eastAsia="Arial" w:hAnsi="Arial"/>
                <w:sz w:val="18"/>
                <w:szCs w:val="18"/>
                <w:color w:val="0000EE"/>
                <w:w w:val="88"/>
              </w:rPr>
            </w:pPr>
            <w:hyperlink r:id="rId60">
              <w:r>
                <w:rPr>
                  <w:rFonts w:ascii="Arial" w:cs="Arial" w:eastAsia="Arial" w:hAnsi="Arial"/>
                  <w:sz w:val="18"/>
                  <w:szCs w:val="18"/>
                  <w:color w:val="0000EE"/>
                  <w:w w:val="88"/>
                </w:rPr>
                <w:t>Stock Issuance and Stockholder’s Rights Agreement, dated</w:t>
              </w:r>
            </w:hyperlink>
          </w:p>
        </w:tc>
        <w:tc>
          <w:tcPr>
            <w:tcW w:w="400" w:type="dxa"/>
            <w:vAlign w:val="bottom"/>
            <w:tcBorders>
              <w:right w:val="single" w:sz="8" w:color="auto"/>
            </w:tcBorders>
            <w:gridSpan w:val="3"/>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12, 2010</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2"/>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July 12, 2005, by and between Gevo, Inc. and California</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Institute of Technology.</w:t>
              </w:r>
            </w:hyperlink>
          </w:p>
        </w:tc>
        <w:tc>
          <w:tcPr>
            <w:tcW w:w="600" w:type="dxa"/>
            <w:vAlign w:val="bottom"/>
            <w:tcBorders>
              <w:right w:val="single" w:sz="8" w:color="auto"/>
            </w:tcBorders>
            <w:gridSpan w:val="5"/>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740" w:type="dxa"/>
            <w:vAlign w:val="bottom"/>
            <w:gridSpan w:val="13"/>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Included</w:t>
            </w:r>
          </w:p>
        </w:tc>
      </w:tr>
      <w:tr>
        <w:trPr>
          <w:trHeight w:val="251"/>
        </w:trPr>
        <w:tc>
          <w:tcPr>
            <w:tcW w:w="1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8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Herewith</w:t>
            </w:r>
          </w:p>
        </w:tc>
      </w:tr>
      <w:tr>
        <w:trPr>
          <w:trHeight w:val="190"/>
        </w:trPr>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2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92"/>
              </w:rPr>
              <w:t>File No.</w:t>
            </w:r>
          </w:p>
        </w:tc>
        <w:tc>
          <w:tcPr>
            <w:tcW w:w="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91"/>
              </w:rPr>
              <w:t>Filing Date</w:t>
            </w:r>
          </w:p>
        </w:tc>
        <w:tc>
          <w:tcPr>
            <w:tcW w:w="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r>
      <w:tr>
        <w:trPr>
          <w:trHeight w:val="388"/>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4"/>
              </w:rPr>
            </w:pPr>
            <w:hyperlink r:id="rId61">
              <w:r>
                <w:rPr>
                  <w:rFonts w:ascii="Arial" w:cs="Arial" w:eastAsia="Arial" w:hAnsi="Arial"/>
                  <w:sz w:val="18"/>
                  <w:szCs w:val="18"/>
                  <w:color w:val="0000EE"/>
                  <w:w w:val="94"/>
                </w:rPr>
                <w:t>Exchange and Purchase Agreement, dated April 19, 2017, by</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April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right w:val="single" w:sz="8" w:color="auto"/>
            </w:tcBorders>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and among Gevo, Inc., the guarantors party thereto, the holders</w:t>
              </w:r>
            </w:hyperlink>
          </w:p>
        </w:tc>
        <w:tc>
          <w:tcPr>
            <w:tcW w:w="140" w:type="dxa"/>
            <w:vAlign w:val="bottom"/>
            <w:tcBorders>
              <w:right w:val="single" w:sz="8" w:color="auto"/>
            </w:tcBorders>
            <w:gridSpan w:val="4"/>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named in Schedule I thereto, and Whitebox Advisors LLC, in its</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capacity as representative of the holders.</w:t>
              </w:r>
            </w:hyperlink>
          </w:p>
        </w:tc>
        <w:tc>
          <w:tcPr>
            <w:tcW w:w="60" w:type="dxa"/>
            <w:vAlign w:val="bottom"/>
            <w:tcBorders>
              <w:right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auto"/>
                <w:w w:val="92"/>
              </w:rPr>
            </w:pPr>
            <w:hyperlink r:id="rId62">
              <w:r>
                <w:rPr>
                  <w:rFonts w:ascii="Arial" w:cs="Arial" w:eastAsia="Arial" w:hAnsi="Arial"/>
                  <w:sz w:val="18"/>
                  <w:szCs w:val="18"/>
                  <w:color w:val="auto"/>
                  <w:w w:val="92"/>
                </w:rPr>
                <w:t>I</w:t>
              </w:r>
              <w:r>
                <w:rPr>
                  <w:rFonts w:ascii="Arial" w:cs="Arial" w:eastAsia="Arial" w:hAnsi="Arial"/>
                  <w:sz w:val="18"/>
                  <w:szCs w:val="18"/>
                  <w:color w:val="0000EE"/>
                  <w:w w:val="92"/>
                </w:rPr>
                <w:t>ndenture, dated June 20, 2017, by and among Gevo, Inc., the</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guarantors party thereto, and Wilmington Savings Fund Society,</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FSB, as trustee and collateral trustee.</w:t>
              </w:r>
            </w:hyperlink>
          </w:p>
        </w:tc>
        <w:tc>
          <w:tcPr>
            <w:tcW w:w="80" w:type="dxa"/>
            <w:vAlign w:val="bottom"/>
            <w:tcBorders>
              <w:right w:val="single" w:sz="8" w:color="auto"/>
            </w:tcBorders>
            <w:gridSpan w:val="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5"/>
              </w:rPr>
            </w:pPr>
            <w:hyperlink r:id="rId63">
              <w:r>
                <w:rPr>
                  <w:rFonts w:ascii="Arial" w:cs="Arial" w:eastAsia="Arial" w:hAnsi="Arial"/>
                  <w:sz w:val="18"/>
                  <w:szCs w:val="18"/>
                  <w:color w:val="0000EE"/>
                  <w:w w:val="95"/>
                </w:rPr>
                <w:t>Registration Rights Agreement, dated June 20, 2017, by and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among Gevo, Inc. and the investors named therein.</w:t>
              </w:r>
            </w:hyperlink>
          </w:p>
        </w:tc>
        <w:tc>
          <w:tcPr>
            <w:tcW w:w="300" w:type="dxa"/>
            <w:vAlign w:val="bottom"/>
            <w:tcBorders>
              <w:right w:val="single" w:sz="8" w:color="auto"/>
            </w:tcBorders>
            <w:gridSpan w:val="8"/>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4.7</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Common Stock Unit Warrant Agreement, dated August 5, 2014,</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August 6, 2014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by and between Gevo, Inc. and the American Stock Transfer &amp;</w:t>
              </w:r>
            </w:hyperlink>
          </w:p>
        </w:tc>
        <w:tc>
          <w:tcPr>
            <w:tcW w:w="80" w:type="dxa"/>
            <w:vAlign w:val="bottom"/>
            <w:tcBorders>
              <w:top w:val="single" w:sz="8" w:color="0000EE"/>
            </w:tcBorders>
            <w:gridSpan w:val="3"/>
          </w:tcPr>
          <w:p>
            <w:pPr>
              <w:spacing w:after="0"/>
              <w:rPr>
                <w:sz w:val="17"/>
                <w:szCs w:val="17"/>
                <w:color w:val="auto"/>
              </w:rPr>
            </w:pPr>
          </w:p>
        </w:tc>
        <w:tc>
          <w:tcPr>
            <w:tcW w:w="80" w:type="dxa"/>
            <w:vAlign w:val="bottom"/>
            <w:tcBorders>
              <w:right w:val="single" w:sz="8" w:color="auto"/>
            </w:tcBorders>
            <w:gridSpan w:val="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Trust Company, LLC.</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2015 Common Stock Unit Series A Warrant Agreement, dated</w:t>
              </w:r>
            </w:hyperlink>
          </w:p>
        </w:tc>
        <w:tc>
          <w:tcPr>
            <w:tcW w:w="200" w:type="dxa"/>
            <w:vAlign w:val="bottom"/>
            <w:tcBorders>
              <w:right w:val="single" w:sz="8" w:color="auto"/>
            </w:tcBorders>
            <w:gridSpan w:val="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February 4,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February 3, 2015, by and between Gevo, Inc. and the American</w:t>
              </w:r>
            </w:hyperlink>
          </w:p>
        </w:tc>
        <w:tc>
          <w:tcPr>
            <w:tcW w:w="120" w:type="dxa"/>
            <w:vAlign w:val="bottom"/>
            <w:tcBorders>
              <w:right w:val="single" w:sz="8" w:color="auto"/>
            </w:tcBorders>
            <w:gridSpan w:val="3"/>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Stock Transfer &amp; Trust Company, LLC.</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2015 Common Stock Unit Series C Warrant Agreement, dated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May 20,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42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May 19, 2015 by and between Gevo, Inc. and the American</w:t>
              </w:r>
            </w:hyperlink>
          </w:p>
        </w:tc>
        <w:tc>
          <w:tcPr>
            <w:tcW w:w="220" w:type="dxa"/>
            <w:vAlign w:val="bottom"/>
            <w:tcBorders>
              <w:right w:val="single" w:sz="8" w:color="auto"/>
            </w:tcBorders>
            <w:gridSpan w:val="7"/>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2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Stock Transfer &amp; Trust Company LLC.</w:t>
              </w:r>
            </w:hyperlink>
          </w:p>
        </w:tc>
        <w:tc>
          <w:tcPr>
            <w:tcW w:w="400" w:type="dxa"/>
            <w:vAlign w:val="bottom"/>
            <w:tcBorders>
              <w:right w:val="single" w:sz="8" w:color="auto"/>
            </w:tcBorders>
            <w:gridSpan w:val="9"/>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4.10</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rPr>
            </w:pPr>
            <w:hyperlink r:id="rId67">
              <w:r>
                <w:rPr>
                  <w:rFonts w:ascii="Arial" w:cs="Arial" w:eastAsia="Arial" w:hAnsi="Arial"/>
                  <w:sz w:val="18"/>
                  <w:szCs w:val="18"/>
                  <w:color w:val="0000EE"/>
                </w:rPr>
                <w:t>Form of Series D Warrant to Purchase Common Stock.</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December 15,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4.11</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rPr>
            </w:pPr>
            <w:hyperlink r:id="rId68">
              <w:r>
                <w:rPr>
                  <w:rFonts w:ascii="Arial" w:cs="Arial" w:eastAsia="Arial" w:hAnsi="Arial"/>
                  <w:sz w:val="18"/>
                  <w:szCs w:val="18"/>
                  <w:color w:val="0000EE"/>
                </w:rPr>
                <w:t>Form of Amendment No. 1 to Series D Warrant</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13, 2016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40" w:type="dxa"/>
            <w:vAlign w:val="bottom"/>
            <w:gridSpan w:val="13"/>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Filed</w:t>
            </w:r>
          </w:p>
        </w:tc>
      </w:tr>
      <w:tr>
        <w:trPr>
          <w:trHeight w:val="251"/>
        </w:trPr>
        <w:tc>
          <w:tcPr>
            <w:tcW w:w="1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7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92"/>
              </w:rPr>
              <w:t>File No.</w:t>
            </w:r>
          </w:p>
        </w:tc>
        <w:tc>
          <w:tcPr>
            <w:tcW w:w="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91"/>
              </w:rPr>
              <w:t>Filing Date</w:t>
            </w:r>
          </w:p>
        </w:tc>
        <w:tc>
          <w:tcPr>
            <w:tcW w:w="7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388"/>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4.12</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8"/>
          </w:tcPr>
          <w:p>
            <w:pPr>
              <w:spacing w:after="0"/>
              <w:rPr>
                <w:rFonts w:ascii="Arial" w:cs="Arial" w:eastAsia="Arial" w:hAnsi="Arial"/>
                <w:sz w:val="18"/>
                <w:szCs w:val="18"/>
                <w:color w:val="0000EE"/>
              </w:rPr>
            </w:pPr>
            <w:hyperlink r:id="rId69">
              <w:r>
                <w:rPr>
                  <w:rFonts w:ascii="Arial" w:cs="Arial" w:eastAsia="Arial" w:hAnsi="Arial"/>
                  <w:sz w:val="18"/>
                  <w:szCs w:val="18"/>
                  <w:color w:val="0000EE"/>
                </w:rPr>
                <w:t>Form of Series F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April 5, 2016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17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413</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8"/>
          </w:tcPr>
          <w:p>
            <w:pPr>
              <w:spacing w:after="0"/>
              <w:rPr>
                <w:rFonts w:ascii="Arial" w:cs="Arial" w:eastAsia="Arial" w:hAnsi="Arial"/>
                <w:sz w:val="18"/>
                <w:szCs w:val="18"/>
                <w:color w:val="0000EE"/>
              </w:rPr>
            </w:pPr>
            <w:hyperlink r:id="rId70">
              <w:r>
                <w:rPr>
                  <w:rFonts w:ascii="Arial" w:cs="Arial" w:eastAsia="Arial" w:hAnsi="Arial"/>
                  <w:sz w:val="18"/>
                  <w:szCs w:val="18"/>
                  <w:color w:val="0000EE"/>
                </w:rPr>
                <w:t>Form of Series I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September 15, 2016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17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4.14</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8"/>
          </w:tcPr>
          <w:p>
            <w:pPr>
              <w:spacing w:after="0"/>
              <w:rPr>
                <w:rFonts w:ascii="Arial" w:cs="Arial" w:eastAsia="Arial" w:hAnsi="Arial"/>
                <w:sz w:val="18"/>
                <w:szCs w:val="18"/>
                <w:color w:val="0000EE"/>
              </w:rPr>
            </w:pPr>
            <w:hyperlink r:id="rId71">
              <w:r>
                <w:rPr>
                  <w:rFonts w:ascii="Arial" w:cs="Arial" w:eastAsia="Arial" w:hAnsi="Arial"/>
                  <w:sz w:val="18"/>
                  <w:szCs w:val="18"/>
                  <w:color w:val="0000EE"/>
                </w:rPr>
                <w:t>Form of Series K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February 22, 2017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17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8"/>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Section 302 Certification of the Principal Executive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17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31.2</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Section 302 Certification of the Principal Financial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17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8"/>
          </w:tcPr>
          <w:p>
            <w:pPr>
              <w:spacing w:after="0" w:line="170"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Section 906 Certification of the Principal Executive Officer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Principal Financial Officer.**</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412"/>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w w:val="93"/>
              </w:rPr>
              <w:t>Financial statements from the Quarterly Report on Form 10-Q</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w w:val="96"/>
              </w:rPr>
              <w:t>of Gevo, Inc. for the quarterly period ended March 31, 2019,</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w w:val="96"/>
              </w:rPr>
              <w:t>formatted in XBRL: (i) the Consolidated Balance Sheets, (ii)</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the Consolidated Statements of Operations, (iii)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w w:val="93"/>
              </w:rPr>
              <w:t>Consolidated Statements of Cash Flows, and (iv) Notes to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7"/>
        </w:trPr>
        <w:tc>
          <w:tcPr>
            <w:tcW w:w="3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7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Bradford K. Towne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7" w:lineRule="exact"/>
        <w:rPr>
          <w:sz w:val="20"/>
          <w:szCs w:val="20"/>
          <w:color w:val="auto"/>
        </w:rPr>
      </w:pPr>
    </w:p>
    <w:p>
      <w:pPr>
        <w:jc w:val="center"/>
        <w:ind w:right="5640"/>
        <w:spacing w:after="0"/>
        <w:rPr>
          <w:sz w:val="20"/>
          <w:szCs w:val="20"/>
          <w:color w:val="auto"/>
        </w:rPr>
      </w:pPr>
      <w:r>
        <w:rPr>
          <w:rFonts w:ascii="Arial" w:cs="Arial" w:eastAsia="Arial" w:hAnsi="Arial"/>
          <w:sz w:val="18"/>
          <w:szCs w:val="18"/>
          <w:b w:val="1"/>
          <w:bCs w:val="1"/>
          <w:color w:val="auto"/>
        </w:rPr>
        <w:t>Bradford K. Towne</w:t>
      </w:r>
    </w:p>
    <w:p>
      <w:pPr>
        <w:spacing w:after="0" w:line="9" w:lineRule="exact"/>
        <w:rPr>
          <w:sz w:val="20"/>
          <w:szCs w:val="20"/>
          <w:color w:val="auto"/>
        </w:rPr>
      </w:pPr>
    </w:p>
    <w:p>
      <w:pPr>
        <w:jc w:val="center"/>
        <w:ind w:right="5640"/>
        <w:spacing w:after="0"/>
        <w:rPr>
          <w:sz w:val="20"/>
          <w:szCs w:val="20"/>
          <w:color w:val="auto"/>
        </w:rPr>
      </w:pPr>
      <w:r>
        <w:rPr>
          <w:rFonts w:ascii="Arial" w:cs="Arial" w:eastAsia="Arial" w:hAnsi="Arial"/>
          <w:sz w:val="18"/>
          <w:szCs w:val="18"/>
          <w:b w:val="1"/>
          <w:bCs w:val="1"/>
          <w:i w:val="1"/>
          <w:iCs w:val="1"/>
          <w:color w:val="auto"/>
        </w:rPr>
        <w:t>Chief Accounting Officer</w:t>
      </w:r>
    </w:p>
    <w:p>
      <w:pPr>
        <w:spacing w:after="0" w:line="9" w:lineRule="exact"/>
        <w:rPr>
          <w:sz w:val="20"/>
          <w:szCs w:val="20"/>
          <w:color w:val="auto"/>
        </w:rPr>
      </w:pPr>
    </w:p>
    <w:p>
      <w:pPr>
        <w:jc w:val="center"/>
        <w:ind w:right="564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60"/>
          </w:cols>
          <w:pgMar w:left="240" w:top="118" w:right="8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5"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40" w:right="840" w:hanging="432"/>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060" w:hanging="432"/>
        <w:spacing w:after="0" w:line="34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40" w:right="700" w:hanging="432"/>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60" w:right="760" w:hanging="420"/>
        <w:spacing w:after="0" w:line="286" w:lineRule="auto"/>
        <w:tabs>
          <w:tab w:leader="none" w:pos="8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60" w:right="880" w:hanging="420"/>
        <w:spacing w:after="0" w:line="264" w:lineRule="auto"/>
        <w:tabs>
          <w:tab w:leader="none" w:pos="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60" w:right="680" w:hanging="420"/>
        <w:spacing w:after="0" w:line="342" w:lineRule="auto"/>
        <w:tabs>
          <w:tab w:leader="none" w:pos="8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60" w:right="1000" w:hanging="420"/>
        <w:spacing w:after="0" w:line="286" w:lineRule="auto"/>
        <w:tabs>
          <w:tab w:leader="none" w:pos="8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40" w:right="660" w:hanging="432"/>
        <w:spacing w:after="0" w:line="34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60" w:right="940" w:hanging="420"/>
        <w:spacing w:after="0" w:line="342" w:lineRule="auto"/>
        <w:tabs>
          <w:tab w:leader="none" w:pos="8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60" w:right="1180" w:hanging="420"/>
        <w:spacing w:after="0" w:line="277" w:lineRule="auto"/>
        <w:tabs>
          <w:tab w:leader="none" w:pos="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Patrick R. Gruber</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8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80"/>
          </w:cols>
          <w:pgMar w:left="240" w:top="121"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Bradford K. Towne, certify that:</w:t>
      </w:r>
    </w:p>
    <w:p>
      <w:pPr>
        <w:spacing w:after="0" w:line="22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20" w:right="1000" w:hanging="412"/>
        <w:spacing w:after="0" w:line="26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20" w:right="1220" w:hanging="412"/>
        <w:spacing w:after="0" w:line="342"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1160" w:hanging="412"/>
        <w:spacing w:after="0" w:line="291"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840" w:right="1120" w:hanging="413"/>
        <w:spacing w:after="0" w:line="286" w:lineRule="auto"/>
        <w:tabs>
          <w:tab w:leader="none" w:pos="8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1040" w:hanging="413"/>
        <w:spacing w:after="0" w:line="264"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40" w:right="1100" w:hanging="413"/>
        <w:spacing w:after="0" w:line="264"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840" w:right="1160" w:hanging="413"/>
        <w:spacing w:after="0" w:line="286" w:lineRule="auto"/>
        <w:tabs>
          <w:tab w:leader="none" w:pos="8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1120" w:hanging="412"/>
        <w:spacing w:after="0" w:line="26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40" w:right="1080" w:hanging="413"/>
        <w:spacing w:after="0" w:line="342" w:lineRule="auto"/>
        <w:tabs>
          <w:tab w:leader="none" w:pos="8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320" w:hanging="413"/>
        <w:spacing w:after="0" w:line="277"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Bradford K. Towne</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Bradford K. Towne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95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right="700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jc w:val="center"/>
        <w:ind w:right="700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38" w:name="page39"/>
    <w:bookmarkEnd w:id="38"/>
    <w:p>
      <w:pPr>
        <w:ind w:left="103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Patrick R. Gruber, Chief Executive Officer of Gevo, Inc. (the “Registrant”), and I, Bradford K. Towne, Chief Accounting Officer of the Registrant, certify, pursuant to 18 U.S.C. Section 1350, as adopted pursuant to Section 906 of the Sarbanes-Oxley Act of 2002, that:</w:t>
      </w:r>
    </w:p>
    <w:p>
      <w:pPr>
        <w:spacing w:after="0" w:line="170" w:lineRule="exact"/>
        <w:rPr>
          <w:sz w:val="20"/>
          <w:szCs w:val="20"/>
          <w:color w:val="auto"/>
        </w:rPr>
      </w:pPr>
    </w:p>
    <w:p>
      <w:pPr>
        <w:ind w:right="40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2019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for the period covered by the Report.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PATRICK R. GRUBER</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BRADFORD K. TOWNE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Bradford K. Towne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80"/>
      </w:cols>
      <w:pgMar w:left="24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51" Type="http://schemas.openxmlformats.org/officeDocument/2006/relationships/hyperlink" Target="http://www.sec.gov/Archives/edgar/data/1392380/000119312511080096/dex31.htm" TargetMode="External"/><Relationship Id="rId52" Type="http://schemas.openxmlformats.org/officeDocument/2006/relationships/hyperlink" Target="http://www.sec.gov/Archives/edgar/data/1392380/000119312513253079/d551467dex31.htm" TargetMode="External"/><Relationship Id="rId53" Type="http://schemas.openxmlformats.org/officeDocument/2006/relationships/hyperlink" Target="http://www.sec.gov/Archives/edgar/data/1392380/000119312514264256/d755894dex31.htm" TargetMode="External"/><Relationship Id="rId54" Type="http://schemas.openxmlformats.org/officeDocument/2006/relationships/hyperlink" Target="http://www.sec.gov/Archives/edgar/data/1392380/000119312515141952/d913731dex31.htm" TargetMode="External"/><Relationship Id="rId55" Type="http://schemas.openxmlformats.org/officeDocument/2006/relationships/hyperlink" Target="http://www.sec.gov/Archives/edgar/data/1392380/000119312517004580/d318985dex31.htm" TargetMode="External"/><Relationship Id="rId56" Type="http://schemas.openxmlformats.org/officeDocument/2006/relationships/hyperlink" Target="http://www.sec.gov/Archives/edgar/data/1392380/000143774918011163/ex_115837.htm" TargetMode="External"/><Relationship Id="rId57" Type="http://schemas.openxmlformats.org/officeDocument/2006/relationships/hyperlink" Target="http://www.sec.gov/Archives/edgar/data/1392380/000119312511080096/dex32.htm" TargetMode="External"/><Relationship Id="rId58" Type="http://schemas.openxmlformats.org/officeDocument/2006/relationships/hyperlink" Target="http://www.sec.gov/Archives/edgar/data/1392380/000119312511009935/dex41.htm" TargetMode="External"/><Relationship Id="rId59" Type="http://schemas.openxmlformats.org/officeDocument/2006/relationships/hyperlink" Target="http://www.sec.gov/Archives/edgar/data/1392380/000119312510187275/dex42.htm" TargetMode="External"/><Relationship Id="rId60" Type="http://schemas.openxmlformats.org/officeDocument/2006/relationships/hyperlink" Target="http://www.sec.gov/Archives/edgar/data/1392380/000119312510187275/dex43.htm" TargetMode="External"/><Relationship Id="rId61" Type="http://schemas.openxmlformats.org/officeDocument/2006/relationships/hyperlink" Target="http://www.sec.gov/Archives/edgar/data/1392380/000119312517130693/d367648dex41.htm" TargetMode="External"/><Relationship Id="rId62" Type="http://schemas.openxmlformats.org/officeDocument/2006/relationships/hyperlink" Target="http://www.sec.gov/Archives/edgar/data/1392380/000119312517208168/d384272dex41.htm" TargetMode="External"/><Relationship Id="rId63" Type="http://schemas.openxmlformats.org/officeDocument/2006/relationships/hyperlink" Target="http://www.sec.gov/Archives/edgar/data/1392380/000119312517208168/d384272dex42.htm" TargetMode="External"/><Relationship Id="rId64" Type="http://schemas.openxmlformats.org/officeDocument/2006/relationships/hyperlink" Target="http://www.sec.gov/Archives/edgar/data/1392380/000119312514296181/d767821dex41.htm" TargetMode="External"/><Relationship Id="rId65" Type="http://schemas.openxmlformats.org/officeDocument/2006/relationships/hyperlink" Target="http://www.sec.gov/Archives/edgar/data/1392380/000119312515033797/d854127dex41.htm" TargetMode="External"/><Relationship Id="rId66" Type="http://schemas.openxmlformats.org/officeDocument/2006/relationships/hyperlink" Target="http://www.sec.gov/Archives/edgar/data/1392380/000119312515195316/d929992dex41.htm" TargetMode="External"/><Relationship Id="rId67" Type="http://schemas.openxmlformats.org/officeDocument/2006/relationships/hyperlink" Target="http://www.sec.gov/Archives/edgar/data/1392380/000119312515403779/d97590dex41.htm" TargetMode="External"/><Relationship Id="rId68" Type="http://schemas.openxmlformats.org/officeDocument/2006/relationships/hyperlink" Target="http://www.sec.gov/Archives/edgar/data/1392380/000119312516619452/d201378dex41.htm" TargetMode="External"/><Relationship Id="rId69" Type="http://schemas.openxmlformats.org/officeDocument/2006/relationships/hyperlink" Target="http://www.sec.gov/Archives/edgar/data/1392380/000119312516530726/d158752dex41.htm" TargetMode="External"/><Relationship Id="rId70" Type="http://schemas.openxmlformats.org/officeDocument/2006/relationships/hyperlink" Target="http://www.sec.gov/Archives/edgar/data/1392380/000119312516711029/d256125dex41.htm" TargetMode="External"/><Relationship Id="rId71" Type="http://schemas.openxmlformats.org/officeDocument/2006/relationships/hyperlink" Target="http://www.sec.gov/Archives/edgar/data/1392380/000119312517052235/d35059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2019-12-28T12:33:24Z</dcterms:created>
  <dcterms:modified xsi:type="dcterms:W3CDTF">2019-12-28T12:33:24Z</dcterms:modified>
</cp:coreProperties>
</file>