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3840" w:right="1720" w:hanging="3833"/>
        <w:spacing w:after="0" w:line="495" w:lineRule="auto"/>
        <w:tabs>
          <w:tab w:leader="none" w:pos="49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left="2920" w:right="1280" w:hanging="2913"/>
        <w:spacing w:after="0" w:line="487" w:lineRule="auto"/>
        <w:tabs>
          <w:tab w:leader="none" w:pos="49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For the transition period from ________________ to ________________</w:t>
      </w: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GEVO,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40" w:type="dxa"/>
            <w:vAlign w:val="bottom"/>
            <w:gridSpan w:val="2"/>
          </w:tcPr>
          <w:p>
            <w:pPr>
              <w:jc w:val="center"/>
              <w:ind w:right="831"/>
              <w:spacing w:after="0"/>
              <w:rPr>
                <w:sz w:val="20"/>
                <w:szCs w:val="20"/>
                <w:color w:val="auto"/>
              </w:rPr>
            </w:pPr>
            <w:r>
              <w:rPr>
                <w:rFonts w:ascii="Arial" w:cs="Arial" w:eastAsia="Arial" w:hAnsi="Arial"/>
                <w:sz w:val="18"/>
                <w:szCs w:val="18"/>
                <w:b w:val="1"/>
                <w:bCs w:val="1"/>
                <w:color w:val="auto"/>
                <w:w w:val="91"/>
              </w:rPr>
              <w:t>Delaware</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gridSpan w:val="2"/>
          </w:tcPr>
          <w:p>
            <w:pPr>
              <w:jc w:val="right"/>
              <w:ind w:right="1851"/>
              <w:spacing w:after="0"/>
              <w:rPr>
                <w:sz w:val="20"/>
                <w:szCs w:val="20"/>
                <w:color w:val="auto"/>
              </w:rPr>
            </w:pPr>
            <w:r>
              <w:rPr>
                <w:rFonts w:ascii="Arial" w:cs="Arial" w:eastAsia="Arial" w:hAnsi="Arial"/>
                <w:sz w:val="18"/>
                <w:szCs w:val="18"/>
                <w:b w:val="1"/>
                <w:bCs w:val="1"/>
                <w:color w:val="auto"/>
              </w:rPr>
              <w:t>87-0747704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440" w:type="dxa"/>
            <w:vAlign w:val="bottom"/>
            <w:gridSpan w:val="3"/>
          </w:tcPr>
          <w:p>
            <w:pPr>
              <w:jc w:val="center"/>
              <w:ind w:left="411"/>
              <w:spacing w:after="0"/>
              <w:rPr>
                <w:sz w:val="20"/>
                <w:szCs w:val="20"/>
                <w:color w:val="auto"/>
              </w:rPr>
            </w:pPr>
            <w:r>
              <w:rPr>
                <w:rFonts w:ascii="Arial" w:cs="Arial" w:eastAsia="Arial" w:hAnsi="Arial"/>
                <w:sz w:val="18"/>
                <w:szCs w:val="18"/>
                <w:b w:val="1"/>
                <w:bCs w:val="1"/>
                <w:color w:val="auto"/>
                <w:w w:val="89"/>
              </w:rPr>
              <w:t>(State or other jurisdiction of</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440" w:type="dxa"/>
            <w:vAlign w:val="bottom"/>
            <w:gridSpan w:val="3"/>
          </w:tcPr>
          <w:p>
            <w:pPr>
              <w:jc w:val="center"/>
              <w:ind w:left="391"/>
              <w:spacing w:after="0"/>
              <w:rPr>
                <w:sz w:val="20"/>
                <w:szCs w:val="20"/>
                <w:color w:val="auto"/>
              </w:rPr>
            </w:pPr>
            <w:r>
              <w:rPr>
                <w:rFonts w:ascii="Arial" w:cs="Arial" w:eastAsia="Arial" w:hAnsi="Arial"/>
                <w:sz w:val="18"/>
                <w:szCs w:val="18"/>
                <w:b w:val="1"/>
                <w:bCs w:val="1"/>
                <w:color w:val="auto"/>
                <w:w w:val="90"/>
              </w:rPr>
              <w:t>incorporation or organization)</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0"/>
              </w:rPr>
              <w:t>Identification No.)</w:t>
            </w:r>
          </w:p>
        </w:tc>
        <w:tc>
          <w:tcPr>
            <w:tcW w:w="0" w:type="dxa"/>
            <w:vAlign w:val="bottom"/>
          </w:tcPr>
          <w:p>
            <w:pPr>
              <w:spacing w:after="0"/>
              <w:rPr>
                <w:sz w:val="1"/>
                <w:szCs w:val="1"/>
                <w:color w:val="auto"/>
              </w:rPr>
            </w:pPr>
          </w:p>
        </w:tc>
      </w:tr>
      <w:tr>
        <w:trPr>
          <w:trHeight w:val="837"/>
        </w:trPr>
        <w:tc>
          <w:tcPr>
            <w:tcW w:w="300" w:type="dxa"/>
            <w:vAlign w:val="bottom"/>
          </w:tcPr>
          <w:p>
            <w:pPr>
              <w:spacing w:after="0"/>
              <w:rPr>
                <w:sz w:val="24"/>
                <w:szCs w:val="24"/>
                <w:color w:val="auto"/>
              </w:rPr>
            </w:pPr>
          </w:p>
        </w:tc>
        <w:tc>
          <w:tcPr>
            <w:tcW w:w="4440" w:type="dxa"/>
            <w:vAlign w:val="bottom"/>
            <w:gridSpan w:val="3"/>
          </w:tcPr>
          <w:p>
            <w:pPr>
              <w:jc w:val="center"/>
              <w:ind w:left="411"/>
              <w:spacing w:after="0"/>
              <w:rPr>
                <w:sz w:val="20"/>
                <w:szCs w:val="20"/>
                <w:color w:val="auto"/>
              </w:rPr>
            </w:pPr>
            <w:r>
              <w:rPr>
                <w:rFonts w:ascii="Arial" w:cs="Arial" w:eastAsia="Arial" w:hAnsi="Arial"/>
                <w:sz w:val="18"/>
                <w:szCs w:val="18"/>
                <w:b w:val="1"/>
                <w:bCs w:val="1"/>
                <w:color w:val="auto"/>
                <w:w w:val="89"/>
              </w:rPr>
              <w:t>345 Inverness Drive South, Building C, Suite 310</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40" w:type="dxa"/>
            <w:vAlign w:val="bottom"/>
            <w:gridSpan w:val="2"/>
          </w:tcPr>
          <w:p>
            <w:pPr>
              <w:jc w:val="center"/>
              <w:ind w:right="831"/>
              <w:spacing w:after="0"/>
              <w:rPr>
                <w:sz w:val="20"/>
                <w:szCs w:val="20"/>
                <w:color w:val="auto"/>
              </w:rPr>
            </w:pPr>
            <w:r>
              <w:rPr>
                <w:rFonts w:ascii="Arial" w:cs="Arial" w:eastAsia="Arial" w:hAnsi="Arial"/>
                <w:sz w:val="18"/>
                <w:szCs w:val="18"/>
                <w:b w:val="1"/>
                <w:bCs w:val="1"/>
                <w:color w:val="auto"/>
                <w:w w:val="90"/>
              </w:rPr>
              <w:t>Englewood, CO</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gridSpan w:val="2"/>
          </w:tcPr>
          <w:p>
            <w:pPr>
              <w:jc w:val="right"/>
              <w:ind w:right="2051"/>
              <w:spacing w:after="0"/>
              <w:rPr>
                <w:sz w:val="20"/>
                <w:szCs w:val="20"/>
                <w:color w:val="auto"/>
              </w:rPr>
            </w:pPr>
            <w:r>
              <w:rPr>
                <w:rFonts w:ascii="Arial" w:cs="Arial" w:eastAsia="Arial" w:hAnsi="Arial"/>
                <w:sz w:val="18"/>
                <w:szCs w:val="18"/>
                <w:b w:val="1"/>
                <w:bCs w:val="1"/>
                <w:color w:val="auto"/>
              </w:rPr>
              <w:t>80112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440" w:type="dxa"/>
            <w:vAlign w:val="bottom"/>
            <w:gridSpan w:val="3"/>
          </w:tcPr>
          <w:p>
            <w:pPr>
              <w:jc w:val="center"/>
              <w:ind w:left="411"/>
              <w:spacing w:after="0"/>
              <w:rPr>
                <w:sz w:val="20"/>
                <w:szCs w:val="20"/>
                <w:color w:val="auto"/>
              </w:rPr>
            </w:pPr>
            <w:r>
              <w:rPr>
                <w:rFonts w:ascii="Arial" w:cs="Arial" w:eastAsia="Arial" w:hAnsi="Arial"/>
                <w:sz w:val="18"/>
                <w:szCs w:val="18"/>
                <w:b w:val="1"/>
                <w:bCs w:val="1"/>
                <w:color w:val="auto"/>
                <w:w w:val="87"/>
              </w:rPr>
              <w:t>(Address of principal executive offices)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gridSpan w:val="2"/>
          </w:tcPr>
          <w:p>
            <w:pPr>
              <w:jc w:val="center"/>
              <w:ind w:left="31"/>
              <w:spacing w:after="0"/>
              <w:rPr>
                <w:sz w:val="20"/>
                <w:szCs w:val="20"/>
                <w:color w:val="auto"/>
              </w:rPr>
            </w:pPr>
            <w:r>
              <w:rPr>
                <w:rFonts w:ascii="Arial" w:cs="Arial" w:eastAsia="Arial" w:hAnsi="Arial"/>
                <w:sz w:val="18"/>
                <w:szCs w:val="18"/>
                <w:b w:val="1"/>
                <w:bCs w:val="1"/>
                <w:color w:val="auto"/>
                <w:w w:val="90"/>
              </w:rPr>
              <w:t>(303) 858-8358</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80" w:type="dxa"/>
            <w:vAlign w:val="bottom"/>
            <w:gridSpan w:val="4"/>
          </w:tcPr>
          <w:p>
            <w:pPr>
              <w:jc w:val="center"/>
              <w:ind w:left="931"/>
              <w:spacing w:after="0"/>
              <w:rPr>
                <w:sz w:val="20"/>
                <w:szCs w:val="20"/>
                <w:color w:val="auto"/>
              </w:rPr>
            </w:pPr>
            <w:r>
              <w:rPr>
                <w:rFonts w:ascii="Arial" w:cs="Arial" w:eastAsia="Arial" w:hAnsi="Arial"/>
                <w:sz w:val="18"/>
                <w:szCs w:val="18"/>
                <w:b w:val="1"/>
                <w:bCs w:val="1"/>
                <w:color w:val="auto"/>
                <w:w w:val="88"/>
              </w:rPr>
              <w:t>(Registrant's telephone number,</w:t>
            </w: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including area code)</w:t>
            </w:r>
          </w:p>
        </w:tc>
        <w:tc>
          <w:tcPr>
            <w:tcW w:w="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300" w:type="dxa"/>
            <w:vAlign w:val="bottom"/>
          </w:tcPr>
          <w:p>
            <w:pPr>
              <w:spacing w:after="0"/>
              <w:rPr>
                <w:sz w:val="24"/>
                <w:szCs w:val="24"/>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440" w:type="dxa"/>
            <w:vAlign w:val="bottom"/>
            <w:gridSpan w:val="3"/>
          </w:tcPr>
          <w:p>
            <w:pPr>
              <w:jc w:val="center"/>
              <w:ind w:right="131"/>
              <w:spacing w:after="0" w:line="192" w:lineRule="exact"/>
              <w:rPr>
                <w:sz w:val="20"/>
                <w:szCs w:val="20"/>
                <w:color w:val="auto"/>
              </w:rPr>
            </w:pPr>
            <w:r>
              <w:rPr>
                <w:rFonts w:ascii="Arial" w:cs="Arial" w:eastAsia="Arial" w:hAnsi="Arial"/>
                <w:sz w:val="18"/>
                <w:szCs w:val="18"/>
                <w:b w:val="1"/>
                <w:bCs w:val="1"/>
                <w:color w:val="auto"/>
                <w:w w:val="88"/>
              </w:rPr>
              <w:t>Title of Each Class</w:t>
            </w:r>
          </w:p>
        </w:tc>
        <w:tc>
          <w:tcPr>
            <w:tcW w:w="420" w:type="dxa"/>
            <w:vAlign w:val="bottom"/>
          </w:tcPr>
          <w:p>
            <w:pPr>
              <w:spacing w:after="0"/>
              <w:rPr>
                <w:sz w:val="16"/>
                <w:szCs w:val="16"/>
                <w:color w:val="auto"/>
              </w:rPr>
            </w:pPr>
          </w:p>
        </w:tc>
        <w:tc>
          <w:tcPr>
            <w:tcW w:w="1940" w:type="dxa"/>
            <w:vAlign w:val="bottom"/>
            <w:gridSpan w:val="2"/>
          </w:tcPr>
          <w:p>
            <w:pPr>
              <w:jc w:val="center"/>
              <w:ind w:right="720"/>
              <w:spacing w:after="0" w:line="192" w:lineRule="exact"/>
              <w:rPr>
                <w:sz w:val="20"/>
                <w:szCs w:val="20"/>
                <w:color w:val="auto"/>
              </w:rPr>
            </w:pPr>
            <w:r>
              <w:rPr>
                <w:rFonts w:ascii="Arial" w:cs="Arial" w:eastAsia="Arial" w:hAnsi="Arial"/>
                <w:sz w:val="18"/>
                <w:szCs w:val="18"/>
                <w:b w:val="1"/>
                <w:bCs w:val="1"/>
                <w:color w:val="auto"/>
                <w:w w:val="89"/>
              </w:rPr>
              <w:t>Trading Symbol</w:t>
            </w:r>
          </w:p>
        </w:tc>
        <w:tc>
          <w:tcPr>
            <w:tcW w:w="4140" w:type="dxa"/>
            <w:vAlign w:val="bottom"/>
            <w:gridSpan w:val="4"/>
          </w:tcPr>
          <w:p>
            <w:pPr>
              <w:jc w:val="center"/>
              <w:ind w:right="100"/>
              <w:spacing w:after="0" w:line="192" w:lineRule="exact"/>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4440" w:type="dxa"/>
            <w:vAlign w:val="bottom"/>
            <w:tcBorders>
              <w:bottom w:val="single" w:sz="8" w:color="auto"/>
            </w:tcBorders>
            <w:gridSpan w:val="3"/>
          </w:tcPr>
          <w:p>
            <w:pPr>
              <w:jc w:val="center"/>
              <w:ind w:right="111"/>
              <w:spacing w:after="0"/>
              <w:rPr>
                <w:sz w:val="20"/>
                <w:szCs w:val="20"/>
                <w:color w:val="auto"/>
              </w:rPr>
            </w:pPr>
            <w:r>
              <w:rPr>
                <w:rFonts w:ascii="Arial" w:cs="Arial" w:eastAsia="Arial" w:hAnsi="Arial"/>
                <w:sz w:val="18"/>
                <w:szCs w:val="18"/>
                <w:color w:val="auto"/>
                <w:w w:val="88"/>
              </w:rPr>
              <w:t>Common Stock, par value $0.01 per share</w:t>
            </w:r>
          </w:p>
        </w:tc>
        <w:tc>
          <w:tcPr>
            <w:tcW w:w="4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8"/>
                <w:szCs w:val="18"/>
                <w:color w:val="auto"/>
                <w:w w:val="96"/>
              </w:rPr>
              <w:t>GEVO</w:t>
            </w: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9"/>
              </w:rPr>
              <w:t>Nasdaq Capital Market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200" w:firstLine="4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left="140" w:right="220" w:firstLine="3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80" w:firstLine="48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ind w:right="160" w:firstLine="4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left="4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April 30, 2020, 14,883,077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241935</wp:posOffset>
            </wp:positionV>
            <wp:extent cx="713422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25400"/>
                    </a:xfrm>
                    <a:prstGeom prst="rect">
                      <a:avLst/>
                    </a:prstGeom>
                    <a:noFill/>
                  </pic:spPr>
                </pic:pic>
              </a:graphicData>
            </a:graphic>
          </wp:anchor>
        </w:drawing>
      </w:r>
    </w:p>
    <w:p>
      <w:pPr>
        <w:sectPr>
          <w:pgSz w:w="11900" w:h="16838" w:orient="portrait"/>
          <w:cols w:equalWidth="0" w:num="1">
            <w:col w:w="11240"/>
          </w:cols>
          <w:pgMar w:left="320" w:top="686" w:right="339" w:bottom="10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180" w:type="dxa"/>
            <w:vAlign w:val="bottom"/>
          </w:tcPr>
          <w:p>
            <w:pPr>
              <w:jc w:val="center"/>
              <w:ind w:left="231"/>
              <w:spacing w:after="0"/>
              <w:rPr>
                <w:sz w:val="20"/>
                <w:szCs w:val="20"/>
                <w:color w:val="auto"/>
              </w:rPr>
            </w:pPr>
            <w:r>
              <w:rPr>
                <w:rFonts w:ascii="Arial" w:cs="Arial" w:eastAsia="Arial" w:hAnsi="Arial"/>
                <w:sz w:val="18"/>
                <w:szCs w:val="18"/>
                <w:b w:val="1"/>
                <w:bCs w:val="1"/>
                <w:color w:val="auto"/>
                <w:w w:val="99"/>
              </w:rPr>
              <w:t>GEVO, INC.</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80" w:type="dxa"/>
            <w:vAlign w:val="bottom"/>
          </w:tcPr>
          <w:p>
            <w:pPr>
              <w:spacing w:after="0"/>
              <w:rPr>
                <w:sz w:val="24"/>
                <w:szCs w:val="24"/>
                <w:color w:val="auto"/>
              </w:rPr>
            </w:pPr>
          </w:p>
        </w:tc>
        <w:tc>
          <w:tcPr>
            <w:tcW w:w="9180" w:type="dxa"/>
            <w:vAlign w:val="bottom"/>
          </w:tcPr>
          <w:p>
            <w:pPr>
              <w:jc w:val="center"/>
              <w:ind w:left="211"/>
              <w:spacing w:after="0"/>
              <w:rPr>
                <w:sz w:val="20"/>
                <w:szCs w:val="20"/>
                <w:color w:val="auto"/>
              </w:rPr>
            </w:pPr>
            <w:r>
              <w:rPr>
                <w:rFonts w:ascii="Arial" w:cs="Arial" w:eastAsia="Arial" w:hAnsi="Arial"/>
                <w:sz w:val="18"/>
                <w:szCs w:val="18"/>
                <w:b w:val="1"/>
                <w:bCs w:val="1"/>
                <w:color w:val="auto"/>
                <w:w w:val="97"/>
              </w:rPr>
              <w:t>FORM 10-Q</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180" w:type="dxa"/>
            <w:vAlign w:val="bottom"/>
          </w:tcPr>
          <w:p>
            <w:pPr>
              <w:jc w:val="center"/>
              <w:ind w:left="211"/>
              <w:spacing w:after="0"/>
              <w:rPr>
                <w:sz w:val="20"/>
                <w:szCs w:val="20"/>
                <w:color w:val="auto"/>
              </w:rPr>
            </w:pPr>
            <w:r>
              <w:rPr>
                <w:rFonts w:ascii="Arial" w:cs="Arial" w:eastAsia="Arial" w:hAnsi="Arial"/>
                <w:sz w:val="18"/>
                <w:szCs w:val="18"/>
                <w:b w:val="1"/>
                <w:bCs w:val="1"/>
                <w:color w:val="auto"/>
                <w:w w:val="98"/>
              </w:rPr>
              <w:t>FOR THE QUARTERLY PERIOD ENDED MARCH 31, 2020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180" w:type="dxa"/>
            <w:vAlign w:val="bottom"/>
          </w:tcPr>
          <w:p>
            <w:pPr>
              <w:jc w:val="center"/>
              <w:ind w:left="231"/>
              <w:spacing w:after="0"/>
              <w:rPr>
                <w:sz w:val="20"/>
                <w:szCs w:val="20"/>
                <w:color w:val="auto"/>
              </w:rPr>
            </w:pPr>
            <w:r>
              <w:rPr>
                <w:rFonts w:ascii="Arial" w:cs="Arial" w:eastAsia="Arial" w:hAnsi="Arial"/>
                <w:sz w:val="18"/>
                <w:szCs w:val="18"/>
                <w:b w:val="1"/>
                <w:bCs w:val="1"/>
                <w:color w:val="auto"/>
                <w:w w:val="97"/>
              </w:rPr>
              <w:t>TABLE OF CONTENTS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180" w:type="dxa"/>
            <w:vAlign w:val="bottom"/>
            <w:vMerge w:val="restart"/>
          </w:tcPr>
          <w:p>
            <w:pPr>
              <w:jc w:val="center"/>
              <w:ind w:left="211"/>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1180" w:type="dxa"/>
            <w:vAlign w:val="bottom"/>
          </w:tcPr>
          <w:p>
            <w:pPr>
              <w:ind w:left="7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1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2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180" w:type="dxa"/>
            <w:vAlign w:val="bottom"/>
          </w:tcPr>
          <w:p>
            <w:pPr>
              <w:ind w:left="2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as of March 31, 2020 (unaudited) and December 31, 2019</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180" w:type="dxa"/>
            <w:vAlign w:val="bottom"/>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March 31, 2020 and 2019 (unaudited)</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180" w:type="dxa"/>
            <w:vAlign w:val="bottom"/>
          </w:tcPr>
          <w:p>
            <w:pPr>
              <w:ind w:left="26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Statements of Stockholders' Equity for the three months ended March 31, 2020 and 2019 (unaudited)</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180" w:type="dxa"/>
            <w:vAlign w:val="bottom"/>
          </w:tcPr>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three months ended March 31, 2020 and 2019 (unaudited)</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9180" w:type="dxa"/>
            <w:vAlign w:val="bottom"/>
          </w:tcPr>
          <w:p>
            <w:pPr>
              <w:ind w:left="2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2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2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38</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2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38</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180" w:type="dxa"/>
            <w:vAlign w:val="bottom"/>
          </w:tcPr>
          <w:p>
            <w:pPr>
              <w:jc w:val="center"/>
              <w:ind w:left="231"/>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 OTHER INFORMATION</w:t>
              </w:r>
            </w:hyperlink>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2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39</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ind w:left="2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39</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2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Unregistered Sales of Equity Securities and Use of Proceeds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2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Defaults Upon Senior Securities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2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Mine Safety Disclosures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ind w:left="2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Information</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tcPr>
          <w:p>
            <w:pPr>
              <w:ind w:left="2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41</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180" w:type="dxa"/>
            <w:vAlign w:val="bottom"/>
          </w:tcPr>
          <w:p>
            <w:pPr>
              <w:ind w:left="2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Signatures</w:t>
              </w:r>
            </w:hyperlink>
          </w:p>
        </w:tc>
        <w:tc>
          <w:tcPr>
            <w:tcW w:w="1180" w:type="dxa"/>
            <w:vAlign w:val="bottom"/>
          </w:tcPr>
          <w:p>
            <w:pPr>
              <w:jc w:val="center"/>
              <w:ind w:left="531"/>
              <w:spacing w:after="0"/>
              <w:rPr>
                <w:sz w:val="20"/>
                <w:szCs w:val="20"/>
                <w:color w:val="auto"/>
              </w:rPr>
            </w:pPr>
            <w:r>
              <w:rPr>
                <w:rFonts w:ascii="Arial" w:cs="Arial" w:eastAsia="Arial" w:hAnsi="Arial"/>
                <w:sz w:val="18"/>
                <w:szCs w:val="18"/>
                <w:color w:val="auto"/>
                <w:w w:val="79"/>
              </w:rPr>
              <w:t>44</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180" w:type="dxa"/>
            <w:vAlign w:val="bottom"/>
          </w:tcPr>
          <w:p>
            <w:pPr>
              <w:jc w:val="center"/>
              <w:ind w:left="211"/>
              <w:spacing w:after="0"/>
              <w:rPr>
                <w:sz w:val="20"/>
                <w:szCs w:val="20"/>
                <w:color w:val="auto"/>
              </w:rPr>
            </w:pPr>
            <w:r>
              <w:rPr>
                <w:rFonts w:ascii="Arial" w:cs="Arial" w:eastAsia="Arial" w:hAnsi="Arial"/>
                <w:sz w:val="18"/>
                <w:szCs w:val="18"/>
                <w:color w:val="auto"/>
                <w:w w:val="79"/>
              </w:rPr>
              <w:t>2</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auto"/>
            </w:tcBorders>
          </w:tcPr>
          <w:p>
            <w:pPr>
              <w:spacing w:after="0"/>
              <w:rPr>
                <w:sz w:val="9"/>
                <w:szCs w:val="9"/>
                <w:color w:val="auto"/>
              </w:rPr>
            </w:pPr>
          </w:p>
        </w:tc>
        <w:tc>
          <w:tcPr>
            <w:tcW w:w="9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67"/>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9"/>
              </w:rPr>
              <w:t>GEVO, INC.</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86"/>
              </w:rPr>
              <w:t>Consolidated Balance Sheets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30"/>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3,838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15,959</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24,228</w:t>
            </w:r>
          </w:p>
        </w:tc>
      </w:tr>
      <w:tr>
        <w:trPr>
          <w:trHeight w:val="213"/>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65,855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66,696</w:t>
            </w:r>
          </w:p>
        </w:tc>
      </w:tr>
      <w:tr>
        <w:trPr>
          <w:trHeight w:val="227"/>
        </w:trPr>
        <w:tc>
          <w:tcPr>
            <w:tcW w:w="8000" w:type="dxa"/>
            <w:vAlign w:val="bottom"/>
          </w:tcPr>
          <w:p>
            <w:pPr>
              <w:spacing w:after="0"/>
              <w:rPr>
                <w:sz w:val="20"/>
                <w:szCs w:val="20"/>
                <w:color w:val="auto"/>
              </w:rPr>
            </w:pPr>
            <w:r>
              <w:rPr>
                <w:rFonts w:ascii="Arial" w:cs="Arial" w:eastAsia="Arial" w:hAnsi="Arial"/>
                <w:sz w:val="18"/>
                <w:szCs w:val="18"/>
                <w:color w:val="auto"/>
              </w:rPr>
              <w:t>Investment in Juhl</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4"/>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47"/>
        </w:trPr>
        <w:tc>
          <w:tcPr>
            <w:tcW w:w="80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84,162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93,359</w:t>
            </w:r>
          </w:p>
        </w:tc>
      </w:tr>
      <w:tr>
        <w:trPr>
          <w:trHeight w:val="194"/>
        </w:trPr>
        <w:tc>
          <w:tcPr>
            <w:tcW w:w="80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5,678</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2020/21 Notes (current), net</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14,050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Notes (current), net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2020/21 Notes embedded derivative liability</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payable - other (current)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19,002</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20,094</w:t>
            </w:r>
          </w:p>
        </w:tc>
      </w:tr>
      <w:tr>
        <w:trPr>
          <w:trHeight w:val="213"/>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Loans payable - other (long-term)</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19,669</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20,855</w:t>
            </w:r>
          </w:p>
        </w:tc>
      </w:tr>
      <w:tr>
        <w:trPr>
          <w:trHeight w:val="207"/>
        </w:trPr>
        <w:tc>
          <w:tcPr>
            <w:tcW w:w="80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w w:val="94"/>
              </w:rPr>
              <w:t>Common stock, $0.01 par value per share; 250,000,000 authorized; 14,614,890 and 14,083,232 shares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March 31, 2020 and December 31, 2019, respectively.</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531,587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530,349</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(467,239)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(457,986)</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64,493</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r>
      <w:tr>
        <w:trPr>
          <w:trHeight w:val="247"/>
        </w:trPr>
        <w:tc>
          <w:tcPr>
            <w:tcW w:w="800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84,162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93,359</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1"/>
        </w:trPr>
        <w:tc>
          <w:tcPr>
            <w:tcW w:w="9680" w:type="dxa"/>
            <w:vAlign w:val="bottom"/>
            <w:gridSpan w:val="4"/>
          </w:tcPr>
          <w:p>
            <w:pPr>
              <w:jc w:val="center"/>
              <w:ind w:left="1491"/>
              <w:spacing w:after="0"/>
              <w:rPr>
                <w:sz w:val="20"/>
                <w:szCs w:val="20"/>
                <w:color w:val="auto"/>
              </w:rPr>
            </w:pPr>
            <w:r>
              <w:rPr>
                <w:rFonts w:ascii="Arial" w:cs="Arial" w:eastAsia="Arial" w:hAnsi="Arial"/>
                <w:sz w:val="21"/>
                <w:szCs w:val="21"/>
                <w:color w:val="auto"/>
                <w:w w:val="91"/>
              </w:rPr>
              <w:t>See the accompanying Notes to the unaudited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8000" w:type="dxa"/>
            <w:vAlign w:val="bottom"/>
          </w:tcPr>
          <w:p>
            <w:pPr>
              <w:jc w:val="center"/>
              <w:ind w:left="3151"/>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9"/>
              </w:rPr>
              <w:t>GEVO,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7"/>
              </w:rPr>
              <w:t>Consolidated Statements of Operations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08"/>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3,700</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0"/>
        </w:trPr>
        <w:tc>
          <w:tcPr>
            <w:tcW w:w="80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3,825</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14"/>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8,139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8,961</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Gross loss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(4,314)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(2,558)</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r>
      <w:tr>
        <w:trPr>
          <w:trHeight w:val="227"/>
        </w:trPr>
        <w:tc>
          <w:tcPr>
            <w:tcW w:w="80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2,783</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r>
      <w:tr>
        <w:trPr>
          <w:trHeight w:val="214"/>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expenses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3,662</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(5,628)</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(Loss) on modification of 2020 Notes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change in fair value of derivative warrant liability</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w w:val="98"/>
              </w:rPr>
              <w:t>(Loss) gain from change in fair value of 2020/21 Notes and 2020 Notes embedded derivative liability</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3"/>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(1,277)</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(9,253)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(6,136)</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(0.64)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14,472,798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10,153,873</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9680" w:type="dxa"/>
            <w:vAlign w:val="bottom"/>
            <w:gridSpan w:val="4"/>
          </w:tcPr>
          <w:p>
            <w:pPr>
              <w:jc w:val="center"/>
              <w:ind w:left="1490"/>
              <w:spacing w:after="0"/>
              <w:rPr>
                <w:sz w:val="20"/>
                <w:szCs w:val="20"/>
                <w:color w:val="auto"/>
              </w:rPr>
            </w:pPr>
            <w:r>
              <w:rPr>
                <w:rFonts w:ascii="Arial" w:cs="Arial" w:eastAsia="Arial" w:hAnsi="Arial"/>
                <w:sz w:val="21"/>
                <w:szCs w:val="21"/>
                <w:color w:val="auto"/>
                <w:w w:val="91"/>
              </w:rPr>
              <w:t>See the accompanying Notes to the unaudited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4620" w:type="dxa"/>
            <w:vAlign w:val="bottom"/>
          </w:tcPr>
          <w:p>
            <w:pPr>
              <w:spacing w:after="0"/>
              <w:rPr>
                <w:sz w:val="24"/>
                <w:szCs w:val="24"/>
                <w:color w:val="auto"/>
              </w:rPr>
            </w:pPr>
          </w:p>
        </w:tc>
        <w:tc>
          <w:tcPr>
            <w:tcW w:w="1560" w:type="dxa"/>
            <w:vAlign w:val="bottom"/>
            <w:gridSpan w:val="3"/>
          </w:tcPr>
          <w:p>
            <w:pPr>
              <w:jc w:val="center"/>
              <w:ind w:left="371"/>
              <w:spacing w:after="0"/>
              <w:rPr>
                <w:sz w:val="20"/>
                <w:szCs w:val="20"/>
                <w:color w:val="auto"/>
              </w:rPr>
            </w:pPr>
            <w:r>
              <w:rPr>
                <w:rFonts w:ascii="Arial" w:cs="Arial" w:eastAsia="Arial" w:hAnsi="Arial"/>
                <w:sz w:val="18"/>
                <w:szCs w:val="18"/>
                <w:b w:val="1"/>
                <w:bCs w:val="1"/>
                <w:color w:val="auto"/>
                <w:w w:val="99"/>
              </w:rPr>
              <w:t>GEVO, INC.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7560" w:type="dxa"/>
            <w:vAlign w:val="bottom"/>
            <w:gridSpan w:val="8"/>
          </w:tcPr>
          <w:p>
            <w:pPr>
              <w:jc w:val="center"/>
              <w:ind w:left="3591"/>
              <w:spacing w:after="0"/>
              <w:rPr>
                <w:sz w:val="20"/>
                <w:szCs w:val="20"/>
                <w:color w:val="auto"/>
              </w:rPr>
            </w:pPr>
            <w:r>
              <w:rPr>
                <w:rFonts w:ascii="Arial" w:cs="Arial" w:eastAsia="Arial" w:hAnsi="Arial"/>
                <w:sz w:val="18"/>
                <w:szCs w:val="18"/>
                <w:b w:val="1"/>
                <w:bCs w:val="1"/>
                <w:color w:val="auto"/>
                <w:w w:val="88"/>
              </w:rPr>
              <w:t>Consolidated Statements of Stockholders’ Equity</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60" w:type="dxa"/>
            <w:vAlign w:val="bottom"/>
            <w:gridSpan w:val="6"/>
          </w:tcPr>
          <w:p>
            <w:pPr>
              <w:jc w:val="center"/>
              <w:ind w:left="3911"/>
              <w:spacing w:after="0"/>
              <w:rPr>
                <w:sz w:val="20"/>
                <w:szCs w:val="20"/>
                <w:color w:val="auto"/>
              </w:rPr>
            </w:pPr>
            <w:r>
              <w:rPr>
                <w:rFonts w:ascii="Arial" w:cs="Arial" w:eastAsia="Arial" w:hAnsi="Arial"/>
                <w:sz w:val="18"/>
                <w:szCs w:val="18"/>
                <w:b w:val="1"/>
                <w:bCs w:val="1"/>
                <w:color w:val="auto"/>
                <w:w w:val="87"/>
              </w:rPr>
              <w:t>(In thousands, except share amounts)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560" w:type="dxa"/>
            <w:vAlign w:val="bottom"/>
            <w:gridSpan w:val="3"/>
          </w:tcPr>
          <w:p>
            <w:pPr>
              <w:jc w:val="center"/>
              <w:ind w:left="351"/>
              <w:spacing w:after="0"/>
              <w:rPr>
                <w:sz w:val="20"/>
                <w:szCs w:val="20"/>
                <w:color w:val="auto"/>
              </w:rPr>
            </w:pPr>
            <w:r>
              <w:rPr>
                <w:rFonts w:ascii="Arial" w:cs="Arial" w:eastAsia="Arial" w:hAnsi="Arial"/>
                <w:sz w:val="18"/>
                <w:szCs w:val="18"/>
                <w:b w:val="1"/>
                <w:bCs w:val="1"/>
                <w:color w:val="auto"/>
                <w:w w:val="89"/>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4620" w:type="dxa"/>
            <w:vAlign w:val="bottom"/>
          </w:tcPr>
          <w:p>
            <w:pPr>
              <w:spacing w:after="0"/>
              <w:rPr>
                <w:sz w:val="24"/>
                <w:szCs w:val="24"/>
                <w:color w:val="auto"/>
              </w:rPr>
            </w:pPr>
          </w:p>
        </w:tc>
        <w:tc>
          <w:tcPr>
            <w:tcW w:w="2640" w:type="dxa"/>
            <w:vAlign w:val="bottom"/>
            <w:gridSpan w:val="5"/>
          </w:tcPr>
          <w:p>
            <w:pPr>
              <w:ind w:left="6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Stockholders’</w:t>
            </w:r>
          </w:p>
        </w:tc>
      </w:tr>
      <w:tr>
        <w:trPr>
          <w:trHeight w:val="207"/>
        </w:trPr>
        <w:tc>
          <w:tcPr>
            <w:tcW w:w="4620" w:type="dxa"/>
            <w:vAlign w:val="bottom"/>
          </w:tcPr>
          <w:p>
            <w:pPr>
              <w:spacing w:after="0"/>
              <w:rPr>
                <w:sz w:val="17"/>
                <w:szCs w:val="17"/>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07"/>
        </w:trPr>
        <w:tc>
          <w:tcPr>
            <w:tcW w:w="46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14,083,232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530,349</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(457,986)</w:t>
            </w:r>
          </w:p>
        </w:tc>
        <w:tc>
          <w:tcPr>
            <w:tcW w:w="2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r>
      <w:tr>
        <w:trPr>
          <w:trHeight w:val="213"/>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Issuance of common stock, net of issue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425,776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w w:val="96"/>
              </w:rPr>
              <w:t>Issuance of common stock under stock plans, net of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105,882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(9,253)</w:t>
            </w:r>
          </w:p>
        </w:tc>
      </w:tr>
      <w:tr>
        <w:trPr>
          <w:trHeight w:val="20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14,614,890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531,587</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(467,239)</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64,493</w:t>
            </w:r>
          </w:p>
        </w:tc>
      </w:tr>
      <w:tr>
        <w:trPr>
          <w:trHeight w:val="194"/>
        </w:trPr>
        <w:tc>
          <w:tcPr>
            <w:tcW w:w="46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8,640,583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518,027</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(429,326)</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88,787</w:t>
            </w: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net of issue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9,644</w:t>
            </w: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(6,136)</w:t>
            </w:r>
          </w:p>
        </w:tc>
      </w:tr>
      <w:tr>
        <w:trPr>
          <w:trHeight w:val="20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11,885,524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527,872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(435,462)</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92,529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6"/>
        </w:trPr>
        <w:tc>
          <w:tcPr>
            <w:tcW w:w="8700" w:type="dxa"/>
            <w:vAlign w:val="bottom"/>
            <w:gridSpan w:val="10"/>
          </w:tcPr>
          <w:p>
            <w:pPr>
              <w:jc w:val="center"/>
              <w:ind w:left="2451"/>
              <w:spacing w:after="0"/>
              <w:rPr>
                <w:sz w:val="20"/>
                <w:szCs w:val="20"/>
                <w:color w:val="auto"/>
              </w:rPr>
            </w:pPr>
            <w:r>
              <w:rPr>
                <w:rFonts w:ascii="Arial" w:cs="Arial" w:eastAsia="Arial" w:hAnsi="Arial"/>
                <w:sz w:val="18"/>
                <w:szCs w:val="18"/>
                <w:color w:val="auto"/>
                <w:w w:val="88"/>
              </w:rPr>
              <w:t>See the accompanying Notes to the unaudited Consolidated 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4620" w:type="dxa"/>
            <w:vAlign w:val="bottom"/>
          </w:tcPr>
          <w:p>
            <w:pPr>
              <w:spacing w:after="0"/>
              <w:rPr>
                <w:sz w:val="24"/>
                <w:szCs w:val="24"/>
                <w:color w:val="auto"/>
              </w:rPr>
            </w:pPr>
          </w:p>
        </w:tc>
        <w:tc>
          <w:tcPr>
            <w:tcW w:w="1140" w:type="dxa"/>
            <w:vAlign w:val="bottom"/>
          </w:tcPr>
          <w:p>
            <w:pPr>
              <w:jc w:val="center"/>
              <w:ind w:left="771"/>
              <w:spacing w:after="0"/>
              <w:rPr>
                <w:sz w:val="20"/>
                <w:szCs w:val="20"/>
                <w:color w:val="auto"/>
              </w:rPr>
            </w:pPr>
            <w:r>
              <w:rPr>
                <w:rFonts w:ascii="Arial" w:cs="Arial" w:eastAsia="Arial" w:hAnsi="Arial"/>
                <w:sz w:val="18"/>
                <w:szCs w:val="18"/>
                <w:color w:val="auto"/>
                <w:w w:val="79"/>
              </w:rPr>
              <w:t>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9"/>
              </w:rPr>
              <w:t>GEVO,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7"/>
              </w:rPr>
              <w:t>Consolidated Statements of Cash Flows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08"/>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(9,253)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(6,136)</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(Gain) from change in fair value of derivative warrant liability</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from change in fair value of 2020/21 Notes and 2020 Notes embedded derivative liability</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Accounts payable, accrued expenses, and long-term liabilities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jc w:val="center"/>
              <w:ind w:right="4051"/>
              <w:spacing w:after="0"/>
              <w:rPr>
                <w:sz w:val="20"/>
                <w:szCs w:val="20"/>
                <w:color w:val="auto"/>
              </w:rPr>
            </w:pPr>
            <w:r>
              <w:rPr>
                <w:rFonts w:ascii="Arial" w:cs="Arial" w:eastAsia="Arial" w:hAnsi="Arial"/>
                <w:sz w:val="18"/>
                <w:szCs w:val="18"/>
                <w:color w:val="auto"/>
                <w:w w:val="89"/>
              </w:rPr>
              <w:t>Net cash used in operating activities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(6,988)</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(5,708)</w:t>
            </w:r>
          </w:p>
        </w:tc>
      </w:tr>
      <w:tr>
        <w:trPr>
          <w:trHeight w:val="20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Acquisitions of property, plant and equipment</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(2,204)</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jc w:val="center"/>
              <w:ind w:right="4071"/>
              <w:spacing w:after="0"/>
              <w:rPr>
                <w:sz w:val="20"/>
                <w:szCs w:val="20"/>
                <w:color w:val="auto"/>
              </w:rPr>
            </w:pPr>
            <w:r>
              <w:rPr>
                <w:rFonts w:ascii="Arial" w:cs="Arial" w:eastAsia="Arial" w:hAnsi="Arial"/>
                <w:sz w:val="18"/>
                <w:szCs w:val="18"/>
                <w:color w:val="auto"/>
                <w:w w:val="90"/>
              </w:rPr>
              <w:t>Net cash used in investing activities</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(2,204)</w:t>
            </w:r>
          </w:p>
        </w:tc>
      </w:tr>
      <w:tr>
        <w:trPr>
          <w:trHeight w:val="20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and equity offering costs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9,878</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loans payable - other</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jc w:val="center"/>
              <w:ind w:right="4031"/>
              <w:spacing w:after="0"/>
              <w:rPr>
                <w:sz w:val="20"/>
                <w:szCs w:val="20"/>
                <w:color w:val="auto"/>
              </w:rPr>
            </w:pPr>
            <w:r>
              <w:rPr>
                <w:rFonts w:ascii="Arial" w:cs="Arial" w:eastAsia="Arial" w:hAnsi="Arial"/>
                <w:sz w:val="18"/>
                <w:szCs w:val="18"/>
                <w:color w:val="auto"/>
                <w:w w:val="91"/>
              </w:rPr>
              <w:t>Net cash provided by financing activities</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9,644</w:t>
            </w:r>
          </w:p>
        </w:tc>
      </w:tr>
      <w:tr>
        <w:trPr>
          <w:trHeight w:val="207"/>
        </w:trPr>
        <w:tc>
          <w:tcPr>
            <w:tcW w:w="8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(7,013)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13"/>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r>
      <w:tr>
        <w:trPr>
          <w:trHeight w:val="247"/>
        </w:trPr>
        <w:tc>
          <w:tcPr>
            <w:tcW w:w="80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 of period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9,289</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35,466</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4"/>
        </w:trPr>
        <w:tc>
          <w:tcPr>
            <w:tcW w:w="9680" w:type="dxa"/>
            <w:vAlign w:val="bottom"/>
            <w:gridSpan w:val="4"/>
          </w:tcPr>
          <w:p>
            <w:pPr>
              <w:jc w:val="center"/>
              <w:ind w:left="1491"/>
              <w:spacing w:after="0"/>
              <w:rPr>
                <w:sz w:val="20"/>
                <w:szCs w:val="20"/>
                <w:color w:val="auto"/>
              </w:rPr>
            </w:pPr>
            <w:r>
              <w:rPr>
                <w:rFonts w:ascii="Arial" w:cs="Arial" w:eastAsia="Arial" w:hAnsi="Arial"/>
                <w:sz w:val="21"/>
                <w:szCs w:val="21"/>
                <w:color w:val="auto"/>
                <w:w w:val="91"/>
              </w:rPr>
              <w:t>See the accompanying Notes to the unaudited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8000" w:type="dxa"/>
            <w:vAlign w:val="bottom"/>
          </w:tcPr>
          <w:p>
            <w:pPr>
              <w:jc w:val="center"/>
              <w:ind w:left="3151"/>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8000" w:type="dxa"/>
            <w:vAlign w:val="bottom"/>
          </w:tcPr>
          <w:p>
            <w:pPr>
              <w:jc w:val="center"/>
              <w:ind w:left="3131"/>
              <w:spacing w:after="0"/>
              <w:rPr>
                <w:sz w:val="20"/>
                <w:szCs w:val="20"/>
                <w:color w:val="auto"/>
              </w:rPr>
            </w:pPr>
            <w:r>
              <w:rPr>
                <w:rFonts w:ascii="Arial" w:cs="Arial" w:eastAsia="Arial" w:hAnsi="Arial"/>
                <w:sz w:val="18"/>
                <w:szCs w:val="18"/>
                <w:b w:val="1"/>
                <w:bCs w:val="1"/>
                <w:color w:val="auto"/>
                <w:w w:val="99"/>
              </w:rPr>
              <w:t>GEVO, INC.</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87"/>
              </w:rPr>
              <w:t>Consolidated Statements of Cash Flows - Continued</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7"/>
              </w:rPr>
              <w:t>(in thousands)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9"/>
              </w:rPr>
              <w:t>(unaudited)</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 and financing transactions</w:t>
            </w: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207"/>
        </w:trPr>
        <w:tc>
          <w:tcPr>
            <w:tcW w:w="80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60" w:type="dxa"/>
            <w:vAlign w:val="bottom"/>
          </w:tcPr>
          <w:p>
            <w:pPr>
              <w:jc w:val="right"/>
              <w:ind w:right="903"/>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 of property, plant and equipment</w:t>
            </w: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Original issue discount paid with 2020/21 Notes</w:t>
            </w:r>
          </w:p>
        </w:tc>
        <w:tc>
          <w:tcPr>
            <w:tcW w:w="1060" w:type="dxa"/>
            <w:vAlign w:val="bottom"/>
          </w:tcPr>
          <w:p>
            <w:pPr>
              <w:jc w:val="right"/>
              <w:ind w:right="903"/>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purchased with financing lease</w:t>
            </w: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8000" w:type="dxa"/>
            <w:vAlign w:val="bottom"/>
          </w:tcPr>
          <w:p>
            <w:pPr>
              <w:spacing w:after="0"/>
              <w:rPr>
                <w:sz w:val="20"/>
                <w:szCs w:val="20"/>
                <w:color w:val="auto"/>
              </w:rPr>
            </w:pPr>
            <w:r>
              <w:rPr>
                <w:rFonts w:ascii="Arial" w:cs="Arial" w:eastAsia="Arial" w:hAnsi="Arial"/>
                <w:sz w:val="18"/>
                <w:szCs w:val="18"/>
                <w:color w:val="auto"/>
              </w:rPr>
              <w:t>Fair value of right-to-use asset and related lease liability upon adoption of ASC 842 - Leases</w:t>
            </w:r>
          </w:p>
        </w:tc>
        <w:tc>
          <w:tcPr>
            <w:tcW w:w="1060" w:type="dxa"/>
            <w:vAlign w:val="bottom"/>
          </w:tcPr>
          <w:p>
            <w:pPr>
              <w:jc w:val="right"/>
              <w:ind w:right="903"/>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the accompanying Notes to the unaudited Consolidated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and Basis of Presentation</w:t>
      </w:r>
    </w:p>
    <w:p>
      <w:pPr>
        <w:spacing w:after="0" w:line="224" w:lineRule="exact"/>
        <w:rPr>
          <w:sz w:val="20"/>
          <w:szCs w:val="20"/>
          <w:color w:val="auto"/>
        </w:rPr>
      </w:pPr>
    </w:p>
    <w:p>
      <w:pPr>
        <w:ind w:right="20" w:firstLine="480"/>
        <w:spacing w:after="0" w:line="266" w:lineRule="auto"/>
        <w:rPr>
          <w:sz w:val="20"/>
          <w:szCs w:val="20"/>
          <w:color w:val="auto"/>
        </w:rPr>
      </w:pPr>
      <w:r>
        <w:rPr>
          <w:rFonts w:ascii="Arial" w:cs="Arial" w:eastAsia="Arial" w:hAnsi="Arial"/>
          <w:sz w:val="17"/>
          <w:szCs w:val="17"/>
          <w:i w:val="1"/>
          <w:iCs w:val="1"/>
          <w:color w:val="auto"/>
        </w:rPr>
        <w:t>Nature of Business</w:t>
      </w:r>
      <w:r>
        <w:rPr>
          <w:rFonts w:ascii="Arial" w:cs="Arial" w:eastAsia="Arial" w:hAnsi="Arial"/>
          <w:sz w:val="17"/>
          <w:szCs w:val="17"/>
          <w:color w:val="auto"/>
        </w:rPr>
        <w:t>. Gevo, Inc. (“Gevo” or the “Company,” which, unless otherwise indicated, refers to Gevo, Inc. and its subsidiaries) is a growth-oriented renewable fuels company that is commercializing the next generation of renewable low-carbon liquid transportation fuels with the potential to achieve “net zero” greenhouse gas (“GHG”) footprint and address global needs of reducing GHG emissions with sustainable alternatives to petroleum fuels. As next generation renewable fuels, Gevo’s hydrocarbon transportation fuels have the advantage of being “drop-in” substitutes for conventional fuels that are derived from crude oil, working seamlessly and without modification in existing fossil-fuel based engines, supply chains and storage infrastructure. In addition to the potential of net zero carbon emissions across the whole of the fuel life-cycle, Gevo’s renewable fuels eliminate other pollutants associated with the burning of traditional fossil fuels such as particulates and sulfur, while delivering superior performance. Gevo believes that the world is substantially under-supplied with low-carbon, drop-in renewable fuels that can be immediately used in existing transportation engines and infrastructure, and Gevo is uniquely positioned to grow in serving that demand.</w:t>
      </w:r>
    </w:p>
    <w:p>
      <w:pPr>
        <w:spacing w:after="0" w:line="185" w:lineRule="exact"/>
        <w:rPr>
          <w:sz w:val="20"/>
          <w:szCs w:val="20"/>
          <w:color w:val="auto"/>
        </w:rPr>
      </w:pPr>
    </w:p>
    <w:p>
      <w:pPr>
        <w:ind w:right="80" w:firstLine="480"/>
        <w:spacing w:after="0" w:line="268" w:lineRule="auto"/>
        <w:rPr>
          <w:sz w:val="20"/>
          <w:szCs w:val="20"/>
          <w:color w:val="auto"/>
        </w:rPr>
      </w:pPr>
      <w:r>
        <w:rPr>
          <w:rFonts w:ascii="Arial" w:cs="Arial" w:eastAsia="Arial" w:hAnsi="Arial"/>
          <w:sz w:val="17"/>
          <w:szCs w:val="17"/>
          <w:color w:val="auto"/>
        </w:rPr>
        <w:t>Gevo’s production processes and fuel products have been proven to work. Gevo uses low-carbon, renewable resource-based carbohydrates as raw materials. In the near-term, Gevo’s feedstocks will primarily consist of non-food corn. As Gevo’s technology is applied globally, feedstocks can consist of sugar cane, molasses or other cellulosic sugars derived from wood, agricultural residues and waste. Gevo’s patented fermentation yeast biocatalyst produces isobutanol, a four-carbon alcohol, via the fermentation of renewable plant biomass carbohydrates. The resulting renewable isobutanol has a variety of direct applications but, more importantly to Gevo’s fundamental strategy, serves as a building block to make renewable gasoline and jet fuel using simple and common chemical conversion processes. Gevo also plans to reduce or eliminate fossil-based process energy inputs by replacing them with renewable energy such as wind-powered electricity and renewable natural gas (“RNG”).</w:t>
      </w:r>
    </w:p>
    <w:p>
      <w:pPr>
        <w:spacing w:after="0" w:line="180" w:lineRule="exact"/>
        <w:rPr>
          <w:sz w:val="20"/>
          <w:szCs w:val="20"/>
          <w:color w:val="auto"/>
        </w:rPr>
      </w:pPr>
    </w:p>
    <w:p>
      <w:pPr>
        <w:ind w:right="80" w:firstLine="480"/>
        <w:spacing w:after="0" w:line="289" w:lineRule="auto"/>
        <w:rPr>
          <w:sz w:val="20"/>
          <w:szCs w:val="20"/>
          <w:color w:val="auto"/>
        </w:rPr>
      </w:pPr>
      <w:r>
        <w:rPr>
          <w:rFonts w:ascii="Arial" w:cs="Arial" w:eastAsia="Arial" w:hAnsi="Arial"/>
          <w:sz w:val="16"/>
          <w:szCs w:val="16"/>
          <w:color w:val="auto"/>
        </w:rPr>
        <w:t>Ultimately, the Company believes that the attainment of profitable operations is dependent upon future events, including (i) completing certain capital improvements at the Company’s production facility located in Luverne, Minnesota (the "Luverne Facility") to increase the production capacity of renewable gasoline and jet fuel and other related products that can be made from isobutanol; (ii) completing the Company's development activities resulting in commercial production and sales of renewable hydrocarbon products; (iii) obtaining adequate financing to complete the Company's development activities, including the build out of renewable hydrocarbon capacity; (iv) gaining market acceptance and demand for the Company's products and services; (v) attracting and retaining qualified personnel; and (vi) achieving a level of revenues adequate to support the Company's cost structure.</w:t>
      </w:r>
    </w:p>
    <w:p>
      <w:pPr>
        <w:spacing w:after="0" w:line="165" w:lineRule="exact"/>
        <w:rPr>
          <w:sz w:val="20"/>
          <w:szCs w:val="20"/>
          <w:color w:val="auto"/>
        </w:rPr>
      </w:pPr>
    </w:p>
    <w:p>
      <w:pPr>
        <w:ind w:right="160" w:firstLine="480"/>
        <w:spacing w:after="0" w:line="252"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The novel coronavirus ("COVID-19") pandemic has had an adverse impact on global commercial activity, including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industry and its supply chain, and has contributed to significant volatility in the financial markets including, among other effects, a decline in the equity markets and reduced liquidity generally for many companies, including the Company. In light of the potential future disruption to the Company's business operations and those of its customers, suppliers and other third parties with whom the Company interacts, the Company considered the impact of the COVID-19 pandemic on its business. This analysis considered the Company's resilience and continuity plans, financial modeling and stress testing of liquidity and financial resources.</w:t>
      </w:r>
    </w:p>
    <w:p>
      <w:pPr>
        <w:spacing w:after="0" w:line="190"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color w:val="auto"/>
        </w:rPr>
        <w:t>The analysis concluded that the COVID-19 pandemic did not have a material adverse impact to the Company's financial results for the first quarter of 2020. Although the COVID-19 pandemic did not have a material adverse impact to the Company’s financial results for the first quarter of 2020, the Company expects that the impact of the COVID-19 pandemic on general economic activity could negatively impact its revenue and operating results for the remainder of 2020. For example, in March 2020, following a temporary suspension of ethanol production at the Luverne Facility, the Company ultimately suspended production for the foreseeable future due to the impact of COVID-19 on the economy and its industry as a whole. There is also a risk that COVID-19 could have a material adverse impact on customer demand and cash flow for the remainder of 2020 and beyond. The Company will continue to monitor the situation and assess possible implications to its business and its stakeholders and will take appropriate actions to help mitigate adverse consequences. The extent to which COVID-19 impacts its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82" w:lineRule="exact"/>
        <w:rPr>
          <w:sz w:val="20"/>
          <w:szCs w:val="20"/>
          <w:color w:val="auto"/>
        </w:rPr>
      </w:pPr>
    </w:p>
    <w:p>
      <w:pPr>
        <w:ind w:right="20" w:firstLine="480"/>
        <w:spacing w:after="0" w:line="286" w:lineRule="auto"/>
        <w:rPr>
          <w:sz w:val="20"/>
          <w:szCs w:val="20"/>
          <w:color w:val="auto"/>
        </w:rPr>
      </w:pPr>
      <w:r>
        <w:rPr>
          <w:rFonts w:ascii="Arial" w:cs="Arial" w:eastAsia="Arial" w:hAnsi="Arial"/>
          <w:sz w:val="16"/>
          <w:szCs w:val="16"/>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quarter and beyond as the COVID-19 pandemic has impacted the industries in which the Company operates. These estimates and assumptions include the collectability of billed and unbilled receivables, the estimation of revenue and tangible and intangible assets. With regard to collectability, the Company believes it may face atypical delays in client payments going forward. In addition, management believes that the demand for certain discretionary lines of business may decrease, and that such decrease will impact our financial results in succeeding periods. Non-discretionary lines of business may also be adversely affected, for example because reduced economic activity or disruption in hydrocarbon markets reduces demand for or the extent of renewable alcohol-to-jet fuel (“ATJ”), isooctane and isooctene. The Company believes that these trends and uncertainties are comparable to those faced by other registrants as a result of the pandemic.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Following a temporary suspension of ethanol production at the Luverne Facility, the Company ultimately suspended production for the foreseeable future due to the impact of COVID-19, including its effect on the economy and the Company’s industry as a whole. With these steps, the Company expects to save several million dollars of cash burn during 2020.</w:t>
      </w:r>
    </w:p>
    <w:p>
      <w:pPr>
        <w:spacing w:after="0" w:line="186" w:lineRule="exact"/>
        <w:rPr>
          <w:sz w:val="20"/>
          <w:szCs w:val="20"/>
          <w:color w:val="auto"/>
        </w:rPr>
      </w:pPr>
    </w:p>
    <w:p>
      <w:pPr>
        <w:ind w:right="20" w:firstLine="480"/>
        <w:spacing w:after="0" w:line="286" w:lineRule="auto"/>
        <w:rPr>
          <w:sz w:val="20"/>
          <w:szCs w:val="20"/>
          <w:color w:val="auto"/>
        </w:rPr>
      </w:pPr>
      <w:r>
        <w:rPr>
          <w:rFonts w:ascii="Arial" w:cs="Arial" w:eastAsia="Arial" w:hAnsi="Arial"/>
          <w:sz w:val="16"/>
          <w:szCs w:val="16"/>
          <w:color w:val="auto"/>
        </w:rPr>
        <w:t>In response to the impact of the COVID-19 pandemic, the Company reduced its workforce in March 2020, impacting 26 people at the Luverne Facility and four people at the Company's corporate headquarters. (See "</w:t>
      </w:r>
      <w:r>
        <w:rPr>
          <w:rFonts w:ascii="Arial" w:cs="Arial" w:eastAsia="Arial" w:hAnsi="Arial"/>
          <w:sz w:val="16"/>
          <w:szCs w:val="16"/>
          <w:i w:val="1"/>
          <w:iCs w:val="1"/>
          <w:color w:val="auto"/>
        </w:rPr>
        <w:t>Restructuring Expenses</w:t>
      </w:r>
      <w:r>
        <w:rPr>
          <w:rFonts w:ascii="Arial" w:cs="Arial" w:eastAsia="Arial" w:hAnsi="Arial"/>
          <w:sz w:val="16"/>
          <w:szCs w:val="16"/>
          <w:color w:val="auto"/>
        </w:rPr>
        <w:t>" below.) The Company also reduced, and each of Patrick R. Gruber, its Chief Executive Officer, Christopher M. Ryan, its President, Chief Operating Officer and Chief Technology Officer, L. Lynn Smull, its Chief Financial Officer, Timothy J. Cesarek, its Chief Commercial Officer, Geoffrey T. Williams, Jr., its General Counsel and Secretary, and Carolyn M. Romero, its Vice President - Controller and Principal Accounting Officer (collectively, the “Officers”) accepted 20% reductions to their base salaries. These reductions became effective as of April 1, 2020 for a period of 90 days thereafter. In connection with the 20% salary reduction, the Officers were granted Company stock in the form of restricted stock awards in an amount equal to the 20% reduction. Certain remaining employees that earn above a certain dollar threshold also agreed to take a 20% salary reduction over the next three months, with the 20% portion to be paid in the form of restricted stock awards.</w:t>
      </w:r>
    </w:p>
    <w:p>
      <w:pPr>
        <w:spacing w:after="0" w:line="167" w:lineRule="exact"/>
        <w:rPr>
          <w:sz w:val="20"/>
          <w:szCs w:val="20"/>
          <w:color w:val="auto"/>
        </w:rPr>
      </w:pPr>
    </w:p>
    <w:p>
      <w:pPr>
        <w:ind w:right="80" w:firstLine="480"/>
        <w:spacing w:after="0" w:line="269" w:lineRule="auto"/>
        <w:rPr>
          <w:sz w:val="20"/>
          <w:szCs w:val="20"/>
          <w:color w:val="auto"/>
        </w:rPr>
      </w:pPr>
      <w:r>
        <w:rPr>
          <w:rFonts w:ascii="Arial" w:cs="Arial" w:eastAsia="Arial" w:hAnsi="Arial"/>
          <w:sz w:val="17"/>
          <w:szCs w:val="17"/>
          <w:color w:val="auto"/>
        </w:rPr>
        <w:t>In addition, in connection with the impact that the COVID-19 pandemic has had on the economy and on the resulting disruption to the airline industry specifically, the Company and Delta Air Lines, Inc. (“Delta”) amended portions of the Company's previously disclosed Fuel Sales Agreement (the “Delta Agreement”) on April 22, 2020 (the “Delta Amendment”). The Delta Amendment provides that Delta may terminate the Delta Agreement if the Company does not notify Delta by June 30, 2024 that the facility for the production, refining and delivery of ATJ with a nameplate capacity of up to 12 million gallons per year (the “Facility”) has achieved commercial operation and the ability to produce and deliver the ATJ purchased pursuant to the Delta Agreement (the date upon which such operation occurs is referred to as the “Commencement Date”).</w:t>
      </w:r>
    </w:p>
    <w:p>
      <w:pPr>
        <w:spacing w:after="0" w:line="180"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The Delta Amendment also revises the credit support terms in the Delta Agreement to state that the Company and Delta will work to mutually agree upon credit support terms for the take or pay that are acceptable to the Company’s lender to enable the Company to obtain third party financing prior to the earlier of the time that the Company obtains financing for construction of the Facility or otherwise issues a notice to commence construction of the Facility. If the Company and Delta are unable to agree on reasonable credit support terms, the Company may terminate the Delta Agreement. The balance of Delta’s credit support obligations were deleted.</w:t>
      </w:r>
    </w:p>
    <w:p>
      <w:pPr>
        <w:spacing w:after="0" w:line="190" w:lineRule="exact"/>
        <w:rPr>
          <w:sz w:val="20"/>
          <w:szCs w:val="20"/>
          <w:color w:val="auto"/>
        </w:rPr>
      </w:pPr>
    </w:p>
    <w:p>
      <w:pPr>
        <w:ind w:right="80" w:firstLine="480"/>
        <w:spacing w:after="0" w:line="269" w:lineRule="auto"/>
        <w:rPr>
          <w:sz w:val="20"/>
          <w:szCs w:val="20"/>
          <w:color w:val="auto"/>
        </w:rPr>
      </w:pPr>
      <w:r>
        <w:rPr>
          <w:rFonts w:ascii="Arial" w:cs="Arial" w:eastAsia="Arial" w:hAnsi="Arial"/>
          <w:sz w:val="17"/>
          <w:szCs w:val="17"/>
          <w:color w:val="auto"/>
        </w:rPr>
        <w:t>In addition, the Delta Amendment revises the ATJ pricing in the Delta Agreement to the extent that if Brent Crude is below a certain cutoff price as of the date that is 60 days prior to the Commencement Date (the “Commencement Notice Date”), then the pricing adjusts based upon a formula related to the Brent crude prices as of the Commencement Notice Date. The Delta Amendment also provides that, if as of the Commencement Notice Date, the Brent Crude price is below the price adjustment range, Delta may eliminate the take-or-pay requirements of the Delta Agreement, which includes eliminating Delta’s obligation to take-or-pay the 10 million gallons per year of ATJ. Instead, the Delta Agreement would require the Company and Delta to agree at that time on the volumes and price of any ATJ to be sold under the Delta Agreement.</w:t>
      </w:r>
    </w:p>
    <w:p>
      <w:pPr>
        <w:spacing w:after="0" w:line="180" w:lineRule="exact"/>
        <w:rPr>
          <w:sz w:val="20"/>
          <w:szCs w:val="20"/>
          <w:color w:val="auto"/>
        </w:rPr>
      </w:pPr>
    </w:p>
    <w:p>
      <w:pPr>
        <w:jc w:val="both"/>
        <w:ind w:right="100" w:firstLine="480"/>
        <w:spacing w:after="0" w:line="284" w:lineRule="auto"/>
        <w:rPr>
          <w:sz w:val="20"/>
          <w:szCs w:val="20"/>
          <w:color w:val="auto"/>
        </w:rPr>
      </w:pPr>
      <w:r>
        <w:rPr>
          <w:rFonts w:ascii="Arial" w:cs="Arial" w:eastAsia="Arial" w:hAnsi="Arial"/>
          <w:sz w:val="16"/>
          <w:szCs w:val="16"/>
          <w:i w:val="1"/>
          <w:iCs w:val="1"/>
          <w:color w:val="auto"/>
        </w:rPr>
        <w:t xml:space="preserve">Restructuring Expenses. </w:t>
      </w:r>
      <w:r>
        <w:rPr>
          <w:rFonts w:ascii="Arial" w:cs="Arial" w:eastAsia="Arial" w:hAnsi="Arial"/>
          <w:sz w:val="16"/>
          <w:szCs w:val="16"/>
          <w:color w:val="auto"/>
        </w:rPr>
        <w:t>During the first quarter of 2020, the Company temporarily suspended and ultimately suspended for the foreseeable future its</w:t>
      </w:r>
      <w:r>
        <w:rPr>
          <w:rFonts w:ascii="Arial" w:cs="Arial" w:eastAsia="Arial" w:hAnsi="Arial"/>
          <w:sz w:val="16"/>
          <w:szCs w:val="16"/>
          <w:i w:val="1"/>
          <w:iCs w:val="1"/>
          <w:color w:val="auto"/>
        </w:rPr>
        <w:t xml:space="preserve"> </w:t>
      </w:r>
      <w:r>
        <w:rPr>
          <w:rFonts w:ascii="Arial" w:cs="Arial" w:eastAsia="Arial" w:hAnsi="Arial"/>
          <w:sz w:val="16"/>
          <w:szCs w:val="16"/>
          <w:color w:val="auto"/>
        </w:rPr>
        <w:t>ethanol production at the Luverne Facility. In addition, due to the impact of the COVID-19 pandemic on the global economy and the Company’s industry, in March 2020, the Company reduced its workforce, impacting 26 people at the Luverne Facility and four people at the Company's corporate headquarters.</w:t>
      </w:r>
    </w:p>
    <w:p>
      <w:pPr>
        <w:ind w:right="20"/>
        <w:spacing w:after="0" w:line="255" w:lineRule="auto"/>
        <w:rPr>
          <w:sz w:val="20"/>
          <w:szCs w:val="20"/>
          <w:color w:val="auto"/>
        </w:rPr>
      </w:pPr>
      <w:r>
        <w:rPr>
          <w:rFonts w:ascii="Arial" w:cs="Arial" w:eastAsia="Arial" w:hAnsi="Arial"/>
          <w:sz w:val="18"/>
          <w:szCs w:val="18"/>
          <w:color w:val="auto"/>
        </w:rPr>
        <w:t>Affected employees were offered a severance package which included a one-time payment, one month of health insurance and acceleration of vesting for any unvested restricted stock awards.</w:t>
      </w:r>
    </w:p>
    <w:p>
      <w:pPr>
        <w:spacing w:after="0" w:line="188" w:lineRule="exact"/>
        <w:rPr>
          <w:sz w:val="20"/>
          <w:szCs w:val="20"/>
          <w:color w:val="auto"/>
        </w:rPr>
      </w:pPr>
    </w:p>
    <w:p>
      <w:pPr>
        <w:jc w:val="both"/>
        <w:ind w:right="180" w:firstLine="480"/>
        <w:spacing w:after="0" w:line="281" w:lineRule="auto"/>
        <w:rPr>
          <w:sz w:val="20"/>
          <w:szCs w:val="20"/>
          <w:color w:val="auto"/>
        </w:rPr>
      </w:pPr>
      <w:r>
        <w:rPr>
          <w:rFonts w:ascii="Arial" w:cs="Arial" w:eastAsia="Arial" w:hAnsi="Arial"/>
          <w:sz w:val="17"/>
          <w:szCs w:val="17"/>
          <w:color w:val="auto"/>
        </w:rPr>
        <w:t xml:space="preserve">The Company incurred $0.1 million related to severance costs and $0.2 million related to lease agreements for which it will no longer receive value during the three months ended March 31, 2020, which are recorded as </w:t>
      </w:r>
      <w:r>
        <w:rPr>
          <w:rFonts w:ascii="Arial" w:cs="Arial" w:eastAsia="Arial" w:hAnsi="Arial"/>
          <w:sz w:val="17"/>
          <w:szCs w:val="17"/>
          <w:i w:val="1"/>
          <w:iCs w:val="1"/>
          <w:color w:val="auto"/>
        </w:rPr>
        <w:t>Restructuring expenses</w:t>
      </w:r>
      <w:r>
        <w:rPr>
          <w:rFonts w:ascii="Arial" w:cs="Arial" w:eastAsia="Arial" w:hAnsi="Arial"/>
          <w:sz w:val="17"/>
          <w:szCs w:val="17"/>
          <w:color w:val="auto"/>
        </w:rPr>
        <w:t xml:space="preserve"> on the Consolidated Statements of Operations. Restructuring expense totaled $0.02 million and $0.3 million for Gevo and Gevo Development/Agri-Energy segments, respectively.</w:t>
      </w:r>
    </w:p>
    <w:p>
      <w:pPr>
        <w:spacing w:after="0" w:line="167"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The Company intends to continue developing its hydrocarbon business, including the planned expansion of the Luverne Facility, and the Company expects to move forward in securing the project funding needed to expand the Luverne Facility. The expansion is designed to allow the Company to produce large quantities of low carbon isobutanol, sustainable aviation fuel and renewable isooctane. The Company also expects to continue engineering efforts for the expansion of isobutanol production and the construction of a commercial renewable hydrocarbon production facility, as well as additional decarbonization projects, at the Luverne Facility.</w:t>
      </w:r>
    </w:p>
    <w:p>
      <w:pPr>
        <w:spacing w:after="0" w:line="190" w:lineRule="exact"/>
        <w:rPr>
          <w:sz w:val="20"/>
          <w:szCs w:val="20"/>
          <w:color w:val="auto"/>
        </w:rPr>
      </w:pPr>
    </w:p>
    <w:p>
      <w:pPr>
        <w:ind w:right="120" w:firstLine="480"/>
        <w:spacing w:after="0" w:line="270" w:lineRule="auto"/>
        <w:rPr>
          <w:sz w:val="20"/>
          <w:szCs w:val="20"/>
          <w:color w:val="auto"/>
        </w:rPr>
      </w:pPr>
      <w:r>
        <w:rPr>
          <w:rFonts w:ascii="Arial" w:cs="Arial" w:eastAsia="Arial" w:hAnsi="Arial"/>
          <w:sz w:val="18"/>
          <w:szCs w:val="18"/>
          <w:color w:val="auto"/>
        </w:rPr>
        <w:t xml:space="preserve">As of March 31, 2020, the Company had the following liabilities outstanding related to the restructuring expenses included in </w:t>
      </w:r>
      <w:r>
        <w:rPr>
          <w:rFonts w:ascii="Arial" w:cs="Arial" w:eastAsia="Arial" w:hAnsi="Arial"/>
          <w:sz w:val="18"/>
          <w:szCs w:val="18"/>
          <w:i w:val="1"/>
          <w:iCs w:val="1"/>
          <w:color w:val="auto"/>
        </w:rPr>
        <w:t>"Accounts payable and</w:t>
      </w:r>
      <w:r>
        <w:rPr>
          <w:rFonts w:ascii="Arial" w:cs="Arial" w:eastAsia="Arial" w:hAnsi="Arial"/>
          <w:sz w:val="18"/>
          <w:szCs w:val="18"/>
          <w:color w:val="auto"/>
        </w:rPr>
        <w:t xml:space="preserve"> </w:t>
      </w:r>
      <w:r>
        <w:rPr>
          <w:rFonts w:ascii="Arial" w:cs="Arial" w:eastAsia="Arial" w:hAnsi="Arial"/>
          <w:sz w:val="18"/>
          <w:szCs w:val="18"/>
          <w:i w:val="1"/>
          <w:iCs w:val="1"/>
          <w:color w:val="auto"/>
        </w:rPr>
        <w:t>accrued liabilities</w:t>
      </w:r>
      <w:r>
        <w:rPr>
          <w:rFonts w:ascii="Arial" w:cs="Arial" w:eastAsia="Arial" w:hAnsi="Arial"/>
          <w:sz w:val="18"/>
          <w:szCs w:val="18"/>
          <w:color w:val="auto"/>
        </w:rPr>
        <w:t>" in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March 31,</w:t>
            </w:r>
          </w:p>
        </w:tc>
      </w:tr>
      <w:tr>
        <w:trPr>
          <w:trHeight w:val="227"/>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Additions</w:t>
            </w:r>
          </w:p>
        </w:tc>
        <w:tc>
          <w:tcPr>
            <w:tcW w:w="920" w:type="dxa"/>
            <w:vAlign w:val="bottom"/>
          </w:tcPr>
          <w:p>
            <w:pPr>
              <w:jc w:val="right"/>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8"/>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Severance (including payroll taxes)</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agreements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0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3" w:lineRule="exact"/>
        <w:rPr>
          <w:sz w:val="20"/>
          <w:szCs w:val="20"/>
          <w:color w:val="auto"/>
        </w:rPr>
      </w:pPr>
    </w:p>
    <w:p>
      <w:pPr>
        <w:ind w:right="140" w:firstLine="640"/>
        <w:spacing w:after="0" w:line="253" w:lineRule="auto"/>
        <w:rPr>
          <w:sz w:val="20"/>
          <w:szCs w:val="20"/>
          <w:color w:val="auto"/>
        </w:rPr>
      </w:pPr>
      <w:r>
        <w:rPr>
          <w:rFonts w:ascii="Arial" w:cs="Arial" w:eastAsia="Arial" w:hAnsi="Arial"/>
          <w:sz w:val="18"/>
          <w:szCs w:val="18"/>
          <w:i w:val="1"/>
          <w:iCs w:val="1"/>
          <w:color w:val="auto"/>
        </w:rPr>
        <w:t>Financial Condition</w:t>
      </w:r>
      <w:r>
        <w:rPr>
          <w:rFonts w:ascii="Arial" w:cs="Arial" w:eastAsia="Arial" w:hAnsi="Arial"/>
          <w:sz w:val="18"/>
          <w:szCs w:val="18"/>
          <w:color w:val="auto"/>
        </w:rPr>
        <w:t>. For the three months ended March 31, 2020 and 2019, the Company incurred a consolidated net loss of $9.3 million and $6.1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and had an accumulated deficit of $467.2 million as of March 31, 2020. The Company’s cash and cash equivalents as of March 31, 2020 totaled $9.3 million and are expected to be used for the following purposes: (i) operating activities at the Company’s corporate headquarters in Colorado, including research and development work; (ii) development projects associated with RNG; (iii) exploration of strategic alternatives and new financings; (iv) debt service obligations; and (v) maintaining the Luverne Facility;</w:t>
      </w:r>
    </w:p>
    <w:p>
      <w:pPr>
        <w:sectPr>
          <w:pgSz w:w="11900" w:h="16838" w:orient="portrait"/>
          <w:cols w:equalWidth="0" w:num="1">
            <w:col w:w="11240"/>
          </w:cols>
          <w:pgMar w:left="320" w:top="125" w:right="339" w:bottom="336"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336"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140" w:right="140" w:firstLine="480"/>
        <w:spacing w:after="0" w:line="266" w:lineRule="auto"/>
        <w:rPr>
          <w:sz w:val="20"/>
          <w:szCs w:val="20"/>
          <w:color w:val="auto"/>
        </w:rPr>
      </w:pPr>
      <w:r>
        <w:rPr>
          <w:rFonts w:ascii="Arial" w:cs="Arial" w:eastAsia="Arial" w:hAnsi="Arial"/>
          <w:sz w:val="17"/>
          <w:szCs w:val="17"/>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capital. Management intends to fund future operations through additional private and/or public offerings of debt or equity securities. In addition, the Company may seek additional capital through arrangements with strategic partners or from other sources, it may seek to restructure its debt and it will continue to address its cost structure. Notwithstanding, there can be no assurance that the Company will be able to raise additional funds or achieve or sustain profitability or positive cash flows from operations.</w:t>
      </w:r>
    </w:p>
    <w:p>
      <w:pPr>
        <w:spacing w:after="0" w:line="185" w:lineRule="exact"/>
        <w:rPr>
          <w:sz w:val="20"/>
          <w:szCs w:val="20"/>
          <w:color w:val="auto"/>
        </w:rPr>
      </w:pPr>
    </w:p>
    <w:p>
      <w:pPr>
        <w:ind w:right="120" w:firstLine="480"/>
        <w:spacing w:after="0" w:line="289" w:lineRule="auto"/>
        <w:rPr>
          <w:sz w:val="20"/>
          <w:szCs w:val="20"/>
          <w:color w:val="auto"/>
        </w:rPr>
      </w:pPr>
      <w:r>
        <w:rPr>
          <w:rFonts w:ascii="Arial" w:cs="Arial" w:eastAsia="Arial" w:hAnsi="Arial"/>
          <w:sz w:val="16"/>
          <w:szCs w:val="16"/>
          <w:color w:val="auto"/>
        </w:rPr>
        <w:t>Existing working capital was not sufficient to meet the cash requirements to fund planned operations through the period that is one year after the date the Company’s financial statements for the three months ended March 31, 2020 were issued. These conditions raise substantial doubt about the Company’s ability to continue as a going concern. The Company’s inability to continue as a going concern may potentially affect the Company’s rights and obligations under its senior secured debt and issued and outstanding convertible notes. The accompanying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65" w:lineRule="exact"/>
        <w:rPr>
          <w:sz w:val="20"/>
          <w:szCs w:val="20"/>
          <w:color w:val="auto"/>
        </w:rPr>
      </w:pPr>
    </w:p>
    <w:p>
      <w:pPr>
        <w:ind w:right="160" w:firstLine="480"/>
        <w:spacing w:after="0" w:line="258"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the Company commenced an at-the-market offering program, which allows it to sell and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from time-to-time. In August 2019, the at-the-market offering program was amended to provide available capacity under the at-the-market offering program of $10.7 million.</w:t>
      </w:r>
    </w:p>
    <w:p>
      <w:pPr>
        <w:spacing w:after="0" w:line="186" w:lineRule="exact"/>
        <w:rPr>
          <w:sz w:val="20"/>
          <w:szCs w:val="20"/>
          <w:color w:val="auto"/>
        </w:rPr>
      </w:pPr>
    </w:p>
    <w:p>
      <w:pPr>
        <w:jc w:val="both"/>
        <w:ind w:firstLine="480"/>
        <w:spacing w:after="0" w:line="258" w:lineRule="auto"/>
        <w:rPr>
          <w:sz w:val="20"/>
          <w:szCs w:val="20"/>
          <w:color w:val="auto"/>
        </w:rPr>
      </w:pPr>
      <w:r>
        <w:rPr>
          <w:rFonts w:ascii="Arial" w:cs="Arial" w:eastAsia="Arial" w:hAnsi="Arial"/>
          <w:sz w:val="18"/>
          <w:szCs w:val="18"/>
          <w:color w:val="auto"/>
        </w:rPr>
        <w:t>During the three months ended March 31, 2020, the Company issued 425,776 shares of common stock under the at-the-market offering program for total proceeds of $0.9 million, net of commissions and other offering related expenses. As of March 31, 2020, the Company has remaining capacity to issue up to approximately $7.8 million of common stock under the at-the-market offering program.</w:t>
      </w:r>
    </w:p>
    <w:p>
      <w:pPr>
        <w:spacing w:after="0" w:line="186"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(which include the accounts of its wholly-owned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Gevo Development, LLC (“Gevo Development”) and Agri-Energy, LLC (“Agri-Energy”)) have been prepared, without audit, pursuant to the rules and regulations of the U.S. Securities and Exchange Commission (the “SEC”). Accordingly, they do not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at March 31, 2020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2019.</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There is no provision for income taxes because the Company has incurred operating losses since inception.</w:t>
      </w:r>
    </w:p>
    <w:p>
      <w:pPr>
        <w:spacing w:after="0" w:line="220" w:lineRule="exact"/>
        <w:rPr>
          <w:sz w:val="20"/>
          <w:szCs w:val="20"/>
          <w:color w:val="auto"/>
        </w:rPr>
      </w:pPr>
    </w:p>
    <w:p>
      <w:pPr>
        <w:ind w:right="200" w:firstLine="480"/>
        <w:spacing w:after="0" w:line="306" w:lineRule="auto"/>
        <w:rPr>
          <w:sz w:val="20"/>
          <w:szCs w:val="20"/>
          <w:color w:val="auto"/>
        </w:rPr>
      </w:pPr>
      <w:r>
        <w:rPr>
          <w:rFonts w:ascii="Arial" w:cs="Arial" w:eastAsia="Arial" w:hAnsi="Arial"/>
          <w:sz w:val="16"/>
          <w:szCs w:val="16"/>
          <w:i w:val="1"/>
          <w:iCs w:val="1"/>
          <w:color w:val="auto"/>
        </w:rPr>
        <w:t xml:space="preserve">Concentration of Business Risk. </w:t>
      </w:r>
      <w:r>
        <w:rPr>
          <w:rFonts w:ascii="Arial" w:cs="Arial" w:eastAsia="Arial" w:hAnsi="Arial"/>
          <w:sz w:val="16"/>
          <w:szCs w:val="16"/>
          <w:color w:val="auto"/>
        </w:rPr>
        <w:t>As of March 31, 2020, one customer, Air Total International SA, comprised approximately 52%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trade accounts receivable, respectively. As of December 31, 2019, three customers, Eco-Energy, LLC (Eco-Energy"), Purina Animal Nutrition, LLC ("Purina"), and HCS Group GmbH ("HCS") comprised 57%, 13% and 15% of the Company's outstanding trade accounts receivable, respectively.</w:t>
      </w:r>
    </w:p>
    <w:p>
      <w:pPr>
        <w:spacing w:after="0" w:line="150" w:lineRule="exact"/>
        <w:rPr>
          <w:sz w:val="20"/>
          <w:szCs w:val="20"/>
          <w:color w:val="auto"/>
        </w:rPr>
      </w:pPr>
    </w:p>
    <w:p>
      <w:pPr>
        <w:jc w:val="both"/>
        <w:ind w:right="620" w:firstLine="480"/>
        <w:spacing w:after="0" w:line="306" w:lineRule="auto"/>
        <w:rPr>
          <w:sz w:val="20"/>
          <w:szCs w:val="20"/>
          <w:color w:val="auto"/>
        </w:rPr>
      </w:pPr>
      <w:r>
        <w:rPr>
          <w:rFonts w:ascii="Arial" w:cs="Arial" w:eastAsia="Arial" w:hAnsi="Arial"/>
          <w:sz w:val="16"/>
          <w:szCs w:val="16"/>
          <w:color w:val="auto"/>
        </w:rPr>
        <w:t>For the three months ended March 31, 2020 and 2019, Eco-Energy accounted for approximately 73% and 68% of the Company's consolidated revenue, respectively. Purina represented approximately 22% and 18% of the Company's consolidated revenue for the three months ended March 31, 2020 and 2019, respectively. All are customers of the Company's Gevo Development/Agri-Energy segment (see Note 14).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4" w:lineRule="exact"/>
        <w:rPr>
          <w:sz w:val="20"/>
          <w:szCs w:val="20"/>
          <w:color w:val="auto"/>
        </w:rPr>
      </w:pPr>
    </w:p>
    <w:p>
      <w:pPr>
        <w:ind w:right="20" w:firstLine="469"/>
        <w:spacing w:after="0" w:line="296" w:lineRule="auto"/>
        <w:rPr>
          <w:sz w:val="20"/>
          <w:szCs w:val="20"/>
          <w:color w:val="auto"/>
        </w:rPr>
      </w:pPr>
      <w:r>
        <w:rPr>
          <w:rFonts w:ascii="Arial" w:cs="Arial" w:eastAsia="Arial" w:hAnsi="Arial"/>
          <w:sz w:val="16"/>
          <w:szCs w:val="16"/>
          <w:color w:val="auto"/>
        </w:rPr>
        <w:t>Basic earnings (loss) per share is computed by dividing the net loss for the period by the weighted-average number of common shares outstanding during the period. Diluted earnings (loss) per share (“EPS”) includes the dilutive effect of common stock equivalents and is computed using the weighted-average number of common stock and common stock equivalents outstanding during the reporting period. Diluted EPS for the three months ended March 31, 2020 and 2019 excluded common stock equivalents because the effect of their inclusion would be anti-dilutive, or would decrease the reported loss per share.</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20" w:type="dxa"/>
            <w:vAlign w:val="bottom"/>
          </w:tcPr>
          <w:p>
            <w:pPr>
              <w:spacing w:after="0"/>
              <w:rPr>
                <w:sz w:val="20"/>
                <w:szCs w:val="20"/>
                <w:color w:val="auto"/>
              </w:rPr>
            </w:pPr>
          </w:p>
        </w:tc>
        <w:tc>
          <w:tcPr>
            <w:tcW w:w="194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8"/>
        </w:trPr>
        <w:tc>
          <w:tcPr>
            <w:tcW w:w="8220" w:type="dxa"/>
            <w:vAlign w:val="bottom"/>
          </w:tcPr>
          <w:p>
            <w:pPr>
              <w:spacing w:after="0"/>
              <w:rPr>
                <w:sz w:val="18"/>
                <w:szCs w:val="18"/>
                <w:color w:val="auto"/>
              </w:rPr>
            </w:pPr>
          </w:p>
        </w:tc>
        <w:tc>
          <w:tcPr>
            <w:tcW w:w="14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7"/>
        </w:trPr>
        <w:tc>
          <w:tcPr>
            <w:tcW w:w="8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Warrants to purchase common stock - liability classified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54,669</w:t>
            </w:r>
          </w:p>
        </w:tc>
        <w:tc>
          <w:tcPr>
            <w:tcW w:w="4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55,963</w:t>
            </w:r>
          </w:p>
        </w:tc>
      </w:tr>
      <w:tr>
        <w:trPr>
          <w:trHeight w:val="21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 equity classified</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Conversion of 2020/21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6,713,817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2020 Notes</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1,044,134</w:t>
            </w: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c>
          <w:tcPr>
            <w:tcW w:w="4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2,311</w:t>
            </w:r>
          </w:p>
        </w:tc>
      </w:tr>
      <w:tr>
        <w:trPr>
          <w:trHeight w:val="227"/>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132,566</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132,559</w:t>
            </w: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284,300</w:t>
            </w:r>
          </w:p>
        </w:tc>
      </w:tr>
      <w:tr>
        <w:trPr>
          <w:trHeight w:val="247"/>
        </w:trPr>
        <w:tc>
          <w:tcPr>
            <w:tcW w:w="8220" w:type="dxa"/>
            <w:vAlign w:val="bottom"/>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3"/>
        </w:trPr>
        <w:tc>
          <w:tcPr>
            <w:tcW w:w="82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6,902,613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1,519,273</w:t>
            </w:r>
          </w:p>
        </w:tc>
      </w:tr>
      <w:tr>
        <w:trPr>
          <w:trHeight w:val="20"/>
        </w:trPr>
        <w:tc>
          <w:tcPr>
            <w:tcW w:w="8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Other Revenues</w:t>
      </w:r>
    </w:p>
    <w:p>
      <w:pPr>
        <w:spacing w:after="0" w:line="224" w:lineRule="exact"/>
        <w:rPr>
          <w:sz w:val="20"/>
          <w:szCs w:val="20"/>
          <w:color w:val="auto"/>
        </w:rPr>
      </w:pPr>
    </w:p>
    <w:p>
      <w:pPr>
        <w:ind w:right="140" w:firstLine="560"/>
        <w:spacing w:after="0" w:line="333" w:lineRule="auto"/>
        <w:rPr>
          <w:sz w:val="20"/>
          <w:szCs w:val="20"/>
          <w:color w:val="auto"/>
        </w:rPr>
      </w:pPr>
      <w:r>
        <w:rPr>
          <w:rFonts w:ascii="Arial" w:cs="Arial" w:eastAsia="Arial" w:hAnsi="Arial"/>
          <w:sz w:val="16"/>
          <w:szCs w:val="16"/>
          <w:color w:val="auto"/>
        </w:rPr>
        <w:t>The Company’s current and historical revenues have consisted of the following: (a) ethanol sales and related products revenue, net; (b) hydrocarbon revenue; and (c) grant and other revenue, which primarily has historically consisted of revenues from governmental and cooperative research grants.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Ethanol sales and related products revenues. </w:t>
      </w:r>
      <w:r>
        <w:rPr>
          <w:rFonts w:ascii="Arial" w:cs="Arial" w:eastAsia="Arial" w:hAnsi="Arial"/>
          <w:sz w:val="17"/>
          <w:szCs w:val="17"/>
          <w:color w:val="auto"/>
        </w:rPr>
        <w:t>Ethanol sales and related products revenues are sold to customers on a free-on-board, shipping</w:t>
      </w:r>
    </w:p>
    <w:p>
      <w:pPr>
        <w:spacing w:after="0" w:line="3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Hydrocarbon revenue. </w:t>
      </w:r>
      <w:r>
        <w:rPr>
          <w:rFonts w:ascii="Arial" w:cs="Arial" w:eastAsia="Arial" w:hAnsi="Arial"/>
          <w:sz w:val="17"/>
          <w:szCs w:val="17"/>
          <w:color w:val="auto"/>
        </w:rPr>
        <w:t>Hydrocarbon revenues include sales of ATJ, isooctene and isooctane and is sold mostly on a free-on-board, shipping</w:t>
      </w:r>
    </w:p>
    <w:p>
      <w:pPr>
        <w:spacing w:after="0" w:line="3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65" w:lineRule="exact"/>
        <w:rPr>
          <w:sz w:val="20"/>
          <w:szCs w:val="20"/>
          <w:color w:val="auto"/>
        </w:rPr>
      </w:pPr>
    </w:p>
    <w:p>
      <w:pPr>
        <w:ind w:right="700" w:firstLine="560"/>
        <w:spacing w:after="0" w:line="270"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jc w:val="center"/>
              <w:ind w:left="731"/>
              <w:spacing w:after="0"/>
              <w:rPr>
                <w:sz w:val="20"/>
                <w:szCs w:val="20"/>
                <w:color w:val="auto"/>
              </w:rPr>
            </w:pPr>
            <w:r>
              <w:rPr>
                <w:rFonts w:ascii="Arial" w:cs="Arial" w:eastAsia="Arial" w:hAnsi="Arial"/>
                <w:sz w:val="18"/>
                <w:szCs w:val="18"/>
                <w:b w:val="1"/>
                <w:bCs w:val="1"/>
                <w:color w:val="auto"/>
                <w:w w:val="91"/>
              </w:rPr>
              <w:t>Three Months Ended March 31, 2020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20" w:type="dxa"/>
            <w:vAlign w:val="bottom"/>
          </w:tcPr>
          <w:p>
            <w:pPr>
              <w:jc w:val="center"/>
              <w:ind w:left="1191"/>
              <w:spacing w:after="0"/>
              <w:rPr>
                <w:sz w:val="20"/>
                <w:szCs w:val="20"/>
                <w:color w:val="auto"/>
              </w:rPr>
            </w:pPr>
            <w:r>
              <w:rPr>
                <w:rFonts w:ascii="Arial" w:cs="Arial" w:eastAsia="Arial" w:hAnsi="Arial"/>
                <w:sz w:val="18"/>
                <w:szCs w:val="18"/>
                <w:b w:val="1"/>
                <w:bCs w:val="1"/>
                <w:color w:val="auto"/>
                <w:w w:val="90"/>
              </w:rPr>
              <w:t>Major Goods/Service Line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Other Revenues</w:t>
            </w:r>
          </w:p>
        </w:tc>
        <w:tc>
          <w:tcPr>
            <w:tcW w:w="5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08"/>
        </w:trPr>
        <w:tc>
          <w:tcPr>
            <w:tcW w:w="4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3,700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20"/>
        </w:trPr>
        <w:tc>
          <w:tcPr>
            <w:tcW w:w="49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3"/>
        </w:trPr>
        <w:tc>
          <w:tcPr>
            <w:tcW w:w="49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r>
      <w:tr>
        <w:trPr>
          <w:trHeight w:val="194"/>
        </w:trPr>
        <w:tc>
          <w:tcPr>
            <w:tcW w:w="4920" w:type="dxa"/>
            <w:vAlign w:val="bottom"/>
            <w:tcBorders>
              <w:top w:val="single" w:sz="8" w:color="CCEEFF"/>
              <w:bottom w:val="single" w:sz="8" w:color="auto"/>
            </w:tcBorders>
          </w:tcPr>
          <w:p>
            <w:pPr>
              <w:jc w:val="center"/>
              <w:ind w:left="1191"/>
              <w:spacing w:after="0" w:line="194" w:lineRule="exact"/>
              <w:rPr>
                <w:sz w:val="20"/>
                <w:szCs w:val="20"/>
                <w:color w:val="auto"/>
              </w:rPr>
            </w:pPr>
            <w:r>
              <w:rPr>
                <w:rFonts w:ascii="Arial" w:cs="Arial" w:eastAsia="Arial" w:hAnsi="Arial"/>
                <w:sz w:val="18"/>
                <w:szCs w:val="18"/>
                <w:b w:val="1"/>
                <w:bCs w:val="1"/>
                <w:color w:val="auto"/>
                <w:w w:val="88"/>
              </w:rPr>
              <w:t>Timing of Revenue Recognition</w:t>
            </w:r>
          </w:p>
        </w:tc>
        <w:tc>
          <w:tcPr>
            <w:tcW w:w="1280" w:type="dxa"/>
            <w:vAlign w:val="bottom"/>
            <w:tcBorders>
              <w:top w:val="single" w:sz="8" w:color="CCEEFF"/>
              <w:bottom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4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3,825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731"/>
              <w:spacing w:after="0"/>
              <w:rPr>
                <w:sz w:val="20"/>
                <w:szCs w:val="20"/>
                <w:color w:val="auto"/>
              </w:rPr>
            </w:pPr>
            <w:r>
              <w:rPr>
                <w:rFonts w:ascii="Arial" w:cs="Arial" w:eastAsia="Arial" w:hAnsi="Arial"/>
                <w:sz w:val="18"/>
                <w:szCs w:val="18"/>
                <w:b w:val="1"/>
                <w:bCs w:val="1"/>
                <w:color w:val="auto"/>
                <w:w w:val="91"/>
              </w:rPr>
              <w:t>Three Months Ended March 31, 2019</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20" w:type="dxa"/>
            <w:vAlign w:val="bottom"/>
            <w:tcBorders>
              <w:bottom w:val="single" w:sz="8" w:color="auto"/>
            </w:tcBorders>
          </w:tcPr>
          <w:p>
            <w:pPr>
              <w:jc w:val="center"/>
              <w:ind w:left="1191"/>
              <w:spacing w:after="0"/>
              <w:rPr>
                <w:sz w:val="20"/>
                <w:szCs w:val="20"/>
                <w:color w:val="auto"/>
              </w:rPr>
            </w:pPr>
            <w:r>
              <w:rPr>
                <w:rFonts w:ascii="Arial" w:cs="Arial" w:eastAsia="Arial" w:hAnsi="Arial"/>
                <w:sz w:val="18"/>
                <w:szCs w:val="18"/>
                <w:b w:val="1"/>
                <w:bCs w:val="1"/>
                <w:color w:val="auto"/>
                <w:w w:val="90"/>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Customers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8"/>
              </w:rPr>
              <w:t>Other Revenues</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9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r>
      <w:tr>
        <w:trPr>
          <w:trHeight w:val="220"/>
        </w:trPr>
        <w:tc>
          <w:tcPr>
            <w:tcW w:w="492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3"/>
        </w:trPr>
        <w:tc>
          <w:tcPr>
            <w:tcW w:w="49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6,403</w:t>
            </w:r>
          </w:p>
        </w:tc>
      </w:tr>
      <w:tr>
        <w:trPr>
          <w:trHeight w:val="194"/>
        </w:trPr>
        <w:tc>
          <w:tcPr>
            <w:tcW w:w="4920" w:type="dxa"/>
            <w:vAlign w:val="bottom"/>
            <w:tcBorders>
              <w:top w:val="single" w:sz="8" w:color="CCEEFF"/>
              <w:bottom w:val="single" w:sz="8" w:color="auto"/>
            </w:tcBorders>
          </w:tcPr>
          <w:p>
            <w:pPr>
              <w:jc w:val="center"/>
              <w:ind w:left="1191"/>
              <w:spacing w:after="0" w:line="194" w:lineRule="exact"/>
              <w:rPr>
                <w:sz w:val="20"/>
                <w:szCs w:val="20"/>
                <w:color w:val="auto"/>
              </w:rPr>
            </w:pPr>
            <w:r>
              <w:rPr>
                <w:rFonts w:ascii="Arial" w:cs="Arial" w:eastAsia="Arial" w:hAnsi="Arial"/>
                <w:sz w:val="18"/>
                <w:szCs w:val="18"/>
                <w:b w:val="1"/>
                <w:bCs w:val="1"/>
                <w:color w:val="auto"/>
                <w:w w:val="88"/>
              </w:rPr>
              <w:t>Timing of Revenue Recognition</w:t>
            </w:r>
          </w:p>
        </w:tc>
        <w:tc>
          <w:tcPr>
            <w:tcW w:w="1280" w:type="dxa"/>
            <w:vAlign w:val="bottom"/>
            <w:tcBorders>
              <w:top w:val="single" w:sz="8" w:color="CCEEFF"/>
              <w:bottom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7"/>
        </w:trPr>
        <w:tc>
          <w:tcPr>
            <w:tcW w:w="49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6,403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492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3"/>
        </w:trPr>
        <w:tc>
          <w:tcPr>
            <w:tcW w:w="49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6,403</w:t>
            </w:r>
          </w:p>
        </w:tc>
      </w:tr>
      <w:tr>
        <w:trPr>
          <w:trHeight w:val="406"/>
        </w:trPr>
        <w:tc>
          <w:tcPr>
            <w:tcW w:w="492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jc w:val="right"/>
              <w:ind w:right="39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460" w:firstLine="480"/>
        <w:spacing w:after="0" w:line="255" w:lineRule="auto"/>
        <w:rPr>
          <w:sz w:val="20"/>
          <w:szCs w:val="20"/>
          <w:color w:val="auto"/>
        </w:rPr>
      </w:pPr>
      <w:r>
        <w:rPr>
          <w:rFonts w:ascii="Arial" w:cs="Arial" w:eastAsia="Arial" w:hAnsi="Arial"/>
          <w:sz w:val="18"/>
          <w:szCs w:val="18"/>
          <w:i w:val="1"/>
          <w:iCs w:val="1"/>
          <w:color w:val="auto"/>
        </w:rPr>
        <w:t xml:space="preserve">Goods transferred at a point-in-time. </w:t>
      </w:r>
      <w:r>
        <w:rPr>
          <w:rFonts w:ascii="Arial" w:cs="Arial" w:eastAsia="Arial" w:hAnsi="Arial"/>
          <w:sz w:val="18"/>
          <w:szCs w:val="18"/>
          <w:color w:val="auto"/>
        </w:rPr>
        <w:t>For the three months ended March 31, 2020 and 2019, there were no contracts with customers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variable or for which there were multiple performance obligations for any given contract. Accordingly, the entire transaction price is allocated to the goods transferred. As of March 31, 2020 and December 31, 2019, there were no remaining unfulfilled or partially fulfilled performance obligations.</w:t>
      </w:r>
    </w:p>
    <w:p>
      <w:pPr>
        <w:spacing w:after="0" w:line="188"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All material contracts have payment terms of between one to three months and there are no return or refund rights.</w:t>
      </w:r>
    </w:p>
    <w:p>
      <w:pPr>
        <w:spacing w:after="0" w:line="186" w:lineRule="exact"/>
        <w:rPr>
          <w:sz w:val="20"/>
          <w:szCs w:val="20"/>
          <w:color w:val="auto"/>
        </w:rPr>
      </w:pPr>
    </w:p>
    <w:p>
      <w:pPr>
        <w:ind w:right="100" w:firstLine="480"/>
        <w:spacing w:after="0" w:line="255" w:lineRule="auto"/>
        <w:rPr>
          <w:sz w:val="20"/>
          <w:szCs w:val="20"/>
          <w:color w:val="auto"/>
        </w:rPr>
      </w:pPr>
      <w:r>
        <w:rPr>
          <w:rFonts w:ascii="Arial" w:cs="Arial" w:eastAsia="Arial" w:hAnsi="Arial"/>
          <w:sz w:val="18"/>
          <w:szCs w:val="18"/>
          <w:i w:val="1"/>
          <w:iCs w:val="1"/>
          <w:color w:val="auto"/>
        </w:rPr>
        <w:t xml:space="preserve">Services transferred over time. </w:t>
      </w:r>
      <w:r>
        <w:rPr>
          <w:rFonts w:ascii="Arial" w:cs="Arial" w:eastAsia="Arial" w:hAnsi="Arial"/>
          <w:sz w:val="18"/>
          <w:szCs w:val="18"/>
          <w:color w:val="auto"/>
        </w:rPr>
        <w:t>For the three months ended March 31, 2020 and 2019, there were no contracts for which consideration was variable or</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there were multiple performance obligation for any given contract. Accordingly, the entire transaction price is allocated to the individual service performance obligation. As of March 31, 2020 and December 31, 2019, respectively, there were no material unfulfilled or partially fulfilled performance obligations.</w:t>
      </w:r>
    </w:p>
    <w:p>
      <w:pPr>
        <w:spacing w:after="0" w:line="188" w:lineRule="exact"/>
        <w:rPr>
          <w:sz w:val="20"/>
          <w:szCs w:val="20"/>
          <w:color w:val="auto"/>
        </w:rPr>
      </w:pPr>
    </w:p>
    <w:p>
      <w:pPr>
        <w:ind w:right="100" w:firstLine="480"/>
        <w:spacing w:after="0" w:line="292" w:lineRule="auto"/>
        <w:rPr>
          <w:sz w:val="20"/>
          <w:szCs w:val="20"/>
          <w:color w:val="auto"/>
        </w:rPr>
      </w:pPr>
      <w:r>
        <w:rPr>
          <w:rFonts w:ascii="Arial" w:cs="Arial" w:eastAsia="Arial" w:hAnsi="Arial"/>
          <w:sz w:val="16"/>
          <w:szCs w:val="16"/>
          <w:i w:val="1"/>
          <w:iCs w:val="1"/>
          <w:color w:val="auto"/>
        </w:rPr>
        <w:t xml:space="preserve">Contract Assets and Trade Receivables. </w:t>
      </w:r>
      <w:r>
        <w:rPr>
          <w:rFonts w:ascii="Arial" w:cs="Arial" w:eastAsia="Arial" w:hAnsi="Arial"/>
          <w:sz w:val="16"/>
          <w:szCs w:val="16"/>
          <w:color w:val="auto"/>
        </w:rPr>
        <w:t>As of March 31, 2020 and December 31, 2019, there were no contract assets or liabilities as all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The Company did not incur any impairment losses on any receivables as all amounts owed were paid or current as of March 31, 2020 or December 31, 2019.</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Right-to-Use Assets and Related Liabilities</w:t>
      </w:r>
    </w:p>
    <w:p>
      <w:pPr>
        <w:spacing w:after="0" w:line="224"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 xml:space="preserve">The Company enters into various arrangements which constitute a lease as defined by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77"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color w:val="auto"/>
        </w:rPr>
        <w:t>The contracts for the Company are comprised of facility, equipment and transportation leases necessary to conduct the Company’s day-to-day operations for which the Company maintains control of right-to-use assets and incurs the related liabilities. The facility lease includes variable payments for common area maintenance. In addition, the Company has one financing lease for certain office equipment which is included in "</w:t>
      </w:r>
      <w:r>
        <w:rPr>
          <w:rFonts w:ascii="Arial" w:cs="Arial" w:eastAsia="Arial" w:hAnsi="Arial"/>
          <w:sz w:val="18"/>
          <w:szCs w:val="18"/>
          <w:i w:val="1"/>
          <w:iCs w:val="1"/>
          <w:color w:val="auto"/>
        </w:rPr>
        <w:t>Loans payable - other</w:t>
      </w:r>
      <w:r>
        <w:rPr>
          <w:rFonts w:ascii="Arial" w:cs="Arial" w:eastAsia="Arial" w:hAnsi="Arial"/>
          <w:sz w:val="18"/>
          <w:szCs w:val="18"/>
          <w:color w:val="auto"/>
        </w:rPr>
        <w:t>" on the Consolidated Balance Sheets.</w:t>
      </w:r>
    </w:p>
    <w:p>
      <w:pPr>
        <w:spacing w:after="0" w:line="188" w:lineRule="exact"/>
        <w:rPr>
          <w:sz w:val="20"/>
          <w:szCs w:val="20"/>
          <w:color w:val="auto"/>
        </w:rPr>
      </w:pPr>
    </w:p>
    <w:p>
      <w:pPr>
        <w:jc w:val="both"/>
        <w:ind w:right="180" w:firstLine="480"/>
        <w:spacing w:after="0" w:line="255" w:lineRule="auto"/>
        <w:rPr>
          <w:sz w:val="20"/>
          <w:szCs w:val="20"/>
          <w:color w:val="auto"/>
        </w:rPr>
      </w:pPr>
      <w:r>
        <w:rPr>
          <w:rFonts w:ascii="Arial" w:cs="Arial" w:eastAsia="Arial" w:hAnsi="Arial"/>
          <w:sz w:val="18"/>
          <w:szCs w:val="18"/>
          <w:color w:val="auto"/>
        </w:rPr>
        <w:t>There are two contractual agreements related to equipment improvements at the Luverne Facility that were not recognized as of March 31, 2020 as a result of operating contingencies which must be satisfied before the Company is obligated under the terms of the contract. The total estimated fair value of unrecognized right-to-use assets and related lease liabilities relating to these contracts was approximately $3.0 million as of March 31, 2020 and December 31,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20" w:firstLine="640"/>
        <w:spacing w:after="0" w:line="270" w:lineRule="auto"/>
        <w:rPr>
          <w:sz w:val="20"/>
          <w:szCs w:val="20"/>
          <w:color w:val="auto"/>
        </w:rPr>
      </w:pPr>
      <w:r>
        <w:rPr>
          <w:rFonts w:ascii="Arial" w:cs="Arial" w:eastAsia="Arial" w:hAnsi="Arial"/>
          <w:sz w:val="18"/>
          <w:szCs w:val="18"/>
          <w:color w:val="auto"/>
        </w:rPr>
        <w:t>The following table presents the (a) costs by lease category and (b) other quantitative information relating to the Company’s leases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r>
      <w:tr>
        <w:trPr>
          <w:trHeight w:val="208"/>
        </w:trPr>
        <w:tc>
          <w:tcPr>
            <w:tcW w:w="7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2"/>
              </w:rPr>
              <w:t>March 31, 2020</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18"/>
                <w:szCs w:val="18"/>
                <w:color w:val="auto"/>
              </w:rPr>
            </w:pPr>
          </w:p>
        </w:tc>
      </w:tr>
      <w:tr>
        <w:trPr>
          <w:trHeight w:val="20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Financing lease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345</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1160"/>
              <w:spacing w:after="0"/>
              <w:rPr>
                <w:sz w:val="20"/>
                <w:szCs w:val="20"/>
                <w:color w:val="auto"/>
              </w:rPr>
            </w:pPr>
            <w:r>
              <w:rPr>
                <w:rFonts w:ascii="Arial" w:cs="Arial" w:eastAsia="Arial" w:hAnsi="Arial"/>
                <w:sz w:val="18"/>
                <w:szCs w:val="18"/>
                <w:color w:val="auto"/>
                <w:w w:val="79"/>
              </w:rPr>
              <w:t>17</w:t>
            </w:r>
          </w:p>
        </w:tc>
        <w:tc>
          <w:tcPr>
            <w:tcW w:w="160" w:type="dxa"/>
            <w:vAlign w:val="bottom"/>
          </w:tcPr>
          <w:p>
            <w:pPr>
              <w:spacing w:after="0"/>
              <w:rPr>
                <w:sz w:val="18"/>
                <w:szCs w:val="18"/>
                <w:color w:val="auto"/>
              </w:rPr>
            </w:pPr>
          </w:p>
        </w:tc>
      </w:tr>
      <w:tr>
        <w:trPr>
          <w:trHeight w:val="213"/>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79"/>
              </w:rPr>
              <w:t>33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395</w:t>
            </w:r>
          </w:p>
        </w:tc>
      </w:tr>
      <w:tr>
        <w:trPr>
          <w:trHeight w:val="194"/>
        </w:trPr>
        <w:tc>
          <w:tcPr>
            <w:tcW w:w="7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Cash paid for the measurement of lease liabilities: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cash flows from finance lease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64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345</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Right-to-use asset obtained in exchange for new financing lease liability</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Weighted-average remaining lease term, financing lease (months)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remaining lease term, operating leases (months)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79"/>
              </w:rPr>
              <w:t>20</w:t>
            </w:r>
          </w:p>
        </w:tc>
        <w:tc>
          <w:tcPr>
            <w:tcW w:w="16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Weighted-average discount rate - financing lease</w:t>
            </w: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discount rate - operating leases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88"/>
              </w:rPr>
              <w:t>12%</w:t>
            </w:r>
          </w:p>
        </w:tc>
      </w:tr>
    </w:tbl>
    <w:p>
      <w:pPr>
        <w:spacing w:after="0" w:line="19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table below shows the future minimum payments under non-cancelable financing and operating leases at March 31, 2020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Financing Leases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Operating Leases</w:t>
            </w:r>
          </w:p>
        </w:tc>
        <w:tc>
          <w:tcPr>
            <w:tcW w:w="580" w:type="dxa"/>
            <w:vAlign w:val="bottom"/>
          </w:tcPr>
          <w:p>
            <w:pPr>
              <w:spacing w:after="0"/>
              <w:rPr>
                <w:sz w:val="20"/>
                <w:szCs w:val="20"/>
                <w:color w:val="auto"/>
              </w:rPr>
            </w:pPr>
          </w:p>
        </w:tc>
      </w:tr>
      <w:tr>
        <w:trPr>
          <w:trHeight w:val="208"/>
        </w:trPr>
        <w:tc>
          <w:tcPr>
            <w:tcW w:w="46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w:t>
            </w:r>
          </w:p>
        </w:tc>
        <w:tc>
          <w:tcPr>
            <w:tcW w:w="5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2021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07"/>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80" w:type="dxa"/>
            <w:vAlign w:val="bottom"/>
            <w:tcBorders>
              <w:top w:val="single" w:sz="8" w:color="CCEEFF"/>
            </w:tcBorders>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present value discounts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18"/>
                <w:szCs w:val="18"/>
                <w:color w:val="auto"/>
              </w:rPr>
            </w:pPr>
          </w:p>
        </w:tc>
      </w:tr>
      <w:tr>
        <w:trPr>
          <w:trHeight w:val="207"/>
        </w:trPr>
        <w:tc>
          <w:tcPr>
            <w:tcW w:w="4620" w:type="dxa"/>
            <w:vAlign w:val="bottom"/>
            <w:tcBorders>
              <w:top w:val="single" w:sz="8" w:color="CCEEFF"/>
            </w:tcBorders>
          </w:tcPr>
          <w:p>
            <w:pPr>
              <w:spacing w:after="0"/>
              <w:rPr>
                <w:sz w:val="17"/>
                <w:szCs w:val="17"/>
                <w:color w:val="auto"/>
              </w:rPr>
            </w:pPr>
          </w:p>
        </w:tc>
        <w:tc>
          <w:tcPr>
            <w:tcW w:w="2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80" w:type="dxa"/>
            <w:vAlign w:val="bottom"/>
          </w:tcPr>
          <w:p>
            <w:pPr>
              <w:spacing w:after="0"/>
              <w:rPr>
                <w:sz w:val="17"/>
                <w:szCs w:val="17"/>
                <w:color w:val="auto"/>
              </w:rPr>
            </w:pPr>
          </w:p>
        </w:tc>
      </w:tr>
      <w:tr>
        <w:trPr>
          <w:trHeight w:val="25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w:t>
            </w:r>
          </w:p>
        </w:tc>
        <w:tc>
          <w:tcPr>
            <w:tcW w:w="580" w:type="dxa"/>
            <w:vAlign w:val="bottom"/>
          </w:tcPr>
          <w:p>
            <w:pPr>
              <w:spacing w:after="0"/>
              <w:rPr>
                <w:sz w:val="22"/>
                <w:szCs w:val="22"/>
                <w:color w:val="auto"/>
              </w:rPr>
            </w:pPr>
          </w:p>
        </w:tc>
      </w:tr>
      <w:tr>
        <w:trPr>
          <w:trHeight w:val="406"/>
        </w:trPr>
        <w:tc>
          <w:tcPr>
            <w:tcW w:w="462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451"/>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000" w:type="dxa"/>
            <w:vAlign w:val="bottom"/>
          </w:tcPr>
          <w:p>
            <w:pPr>
              <w:ind w:left="480"/>
              <w:spacing w:after="0"/>
              <w:rPr>
                <w:sz w:val="20"/>
                <w:szCs w:val="20"/>
                <w:color w:val="auto"/>
              </w:rPr>
            </w:pPr>
            <w:r>
              <w:rPr>
                <w:rFonts w:ascii="Arial" w:cs="Arial" w:eastAsia="Arial" w:hAnsi="Arial"/>
                <w:sz w:val="18"/>
                <w:szCs w:val="18"/>
                <w:color w:val="auto"/>
                <w:w w:val="95"/>
              </w:rPr>
              <w:t>The following table sets forth the components of the Company’s inventory balances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1"/>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Corn</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Enzymes and other inputs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Jet Fuels, Isooctane and Isooctene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Isobutanol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Ethanol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Distiller's grains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Agri-Energy</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Spare parts</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1,522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47"/>
        </w:trPr>
        <w:tc>
          <w:tcPr>
            <w:tcW w:w="800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2,680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80"/>
              <w:spacing w:after="0"/>
              <w:rPr>
                <w:sz w:val="20"/>
                <w:szCs w:val="20"/>
                <w:color w:val="auto"/>
              </w:rPr>
            </w:pPr>
            <w:r>
              <w:rPr>
                <w:rFonts w:ascii="Arial" w:cs="Arial" w:eastAsia="Arial" w:hAnsi="Arial"/>
                <w:sz w:val="18"/>
                <w:szCs w:val="18"/>
                <w:color w:val="auto"/>
              </w:rPr>
              <w:t>Work in process inventory includes unfinished jet fuel, isooctane and isooctene inventory.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000" w:type="dxa"/>
            <w:vAlign w:val="bottom"/>
          </w:tcPr>
          <w:p>
            <w:pPr>
              <w:ind w:left="55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March 31,</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6400" w:type="dxa"/>
            <w:vAlign w:val="bottom"/>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6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Luverne retrofit asset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70,820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70,820</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17,413</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Site improvements</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7,054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7,054</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6,393</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Demonstration plant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2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2,523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r>
      <w:tr>
        <w:trPr>
          <w:trHeight w:val="22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office equipment and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8,412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7,710</w:t>
            </w:r>
          </w:p>
        </w:tc>
      </w:tr>
      <w:tr>
        <w:trPr>
          <w:trHeight w:val="207"/>
        </w:trPr>
        <w:tc>
          <w:tcPr>
            <w:tcW w:w="6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120,889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120,087</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(55,034)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(53,391)</w:t>
            </w:r>
          </w:p>
        </w:tc>
      </w:tr>
      <w:tr>
        <w:trPr>
          <w:trHeight w:val="247"/>
        </w:trPr>
        <w:tc>
          <w:tcPr>
            <w:tcW w:w="64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65,855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66,696</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recorded depreciation and amortization expense related to property, plant and equipment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208"/>
        </w:trPr>
        <w:tc>
          <w:tcPr>
            <w:tcW w:w="4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404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1,587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213"/>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0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94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r>
      <w:tr>
        <w:trPr>
          <w:trHeight w:val="406"/>
        </w:trPr>
        <w:tc>
          <w:tcPr>
            <w:tcW w:w="40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jc w:val="right"/>
              <w:ind w:right="2191"/>
              <w:spacing w:after="0"/>
              <w:rPr>
                <w:sz w:val="20"/>
                <w:szCs w:val="20"/>
                <w:color w:val="auto"/>
              </w:rPr>
            </w:pPr>
            <w:r>
              <w:rPr>
                <w:rFonts w:ascii="Arial" w:cs="Arial" w:eastAsia="Arial" w:hAnsi="Arial"/>
                <w:sz w:val="18"/>
                <w:szCs w:val="18"/>
                <w:color w:val="auto"/>
              </w:rPr>
              <w:t>16</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Embedded Derivative</w:t>
      </w:r>
    </w:p>
    <w:p>
      <w:pPr>
        <w:spacing w:after="0" w:line="220" w:lineRule="exact"/>
        <w:rPr>
          <w:sz w:val="20"/>
          <w:szCs w:val="20"/>
          <w:color w:val="auto"/>
        </w:rPr>
      </w:pPr>
    </w:p>
    <w:p>
      <w:pPr>
        <w:ind w:right="40" w:firstLine="480"/>
        <w:spacing w:after="0" w:line="251" w:lineRule="auto"/>
        <w:rPr>
          <w:sz w:val="20"/>
          <w:szCs w:val="20"/>
          <w:color w:val="auto"/>
        </w:rPr>
      </w:pPr>
      <w:r>
        <w:rPr>
          <w:rFonts w:ascii="Arial" w:cs="Arial" w:eastAsia="Arial" w:hAnsi="Arial"/>
          <w:sz w:val="18"/>
          <w:szCs w:val="18"/>
          <w:color w:val="auto"/>
        </w:rPr>
        <w:t>In June 2017, the Company issued its 12% convertible senior secured notes due 2020 (the “2020 Notes”) in exchange for its 12.0% convertible senior secured notes due 2017 (the “2017 Notes”). The 2020 Notes contained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93"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pacing w:after="0" w:line="190" w:lineRule="exact"/>
        <w:rPr>
          <w:sz w:val="20"/>
          <w:szCs w:val="20"/>
          <w:color w:val="auto"/>
        </w:rPr>
      </w:pPr>
    </w:p>
    <w:p>
      <w:pPr>
        <w:ind w:right="40" w:firstLine="480"/>
        <w:spacing w:after="0" w:line="289" w:lineRule="auto"/>
        <w:rPr>
          <w:sz w:val="20"/>
          <w:szCs w:val="20"/>
          <w:color w:val="auto"/>
        </w:rPr>
      </w:pPr>
      <w:r>
        <w:rPr>
          <w:rFonts w:ascii="Arial" w:cs="Arial" w:eastAsia="Arial" w:hAnsi="Arial"/>
          <w:sz w:val="16"/>
          <w:szCs w:val="16"/>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were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65" w:lineRule="exact"/>
        <w:rPr>
          <w:sz w:val="20"/>
          <w:szCs w:val="20"/>
          <w:color w:val="auto"/>
        </w:rPr>
      </w:pPr>
    </w:p>
    <w:p>
      <w:pPr>
        <w:ind w:right="20" w:firstLine="480"/>
        <w:spacing w:after="0" w:line="269" w:lineRule="auto"/>
        <w:rPr>
          <w:sz w:val="20"/>
          <w:szCs w:val="20"/>
          <w:color w:val="auto"/>
        </w:rPr>
      </w:pPr>
      <w:r>
        <w:rPr>
          <w:rFonts w:ascii="Arial" w:cs="Arial" w:eastAsia="Arial" w:hAnsi="Arial"/>
          <w:sz w:val="17"/>
          <w:szCs w:val="17"/>
          <w:color w:val="auto"/>
        </w:rPr>
        <w:t>Using this lattice model, the Company valued the embedded derivative using a “with-and-without method”, where the value of the 2020 Notes including the embedded derivative were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2020/21 Notes Embedded Derivative</w:t>
      </w:r>
    </w:p>
    <w:p>
      <w:pPr>
        <w:spacing w:after="0" w:line="220" w:lineRule="exact"/>
        <w:rPr>
          <w:sz w:val="20"/>
          <w:szCs w:val="20"/>
          <w:color w:val="auto"/>
        </w:rPr>
      </w:pPr>
    </w:p>
    <w:p>
      <w:pPr>
        <w:ind w:right="80" w:firstLine="469"/>
        <w:spacing w:after="0" w:line="292" w:lineRule="auto"/>
        <w:rPr>
          <w:sz w:val="20"/>
          <w:szCs w:val="20"/>
          <w:color w:val="auto"/>
        </w:rPr>
      </w:pPr>
      <w:r>
        <w:rPr>
          <w:rFonts w:ascii="Arial" w:cs="Arial" w:eastAsia="Arial" w:hAnsi="Arial"/>
          <w:sz w:val="16"/>
          <w:szCs w:val="16"/>
          <w:color w:val="auto"/>
        </w:rPr>
        <w:t>In January 2020, the Company issued 12% convertible senior secured notes due 2020/2021 (the “2020/21 Notes”) in exchange for its 12.0% convertible senior secured notes due March 2020 (the “2020 Notes”). The 2020/21 Notes contain the following embedded derivatives: (i) a Make-Whole Payment (as defined in the 2020/21 Notes Indenture (as defined below) upon either conversion or redemption in certain circumstances; (ii) holder right to require the Company to repurchase the outstanding principal upon a Fundamental Change (as defined in the 2020/21 Notes Indenture); and (iii) holder rights to convert into either shares of the Company’s common stock or pre-funded warrants upon the election of the holders of the 2020/21 Notes.</w:t>
      </w:r>
    </w:p>
    <w:p>
      <w:pPr>
        <w:spacing w:after="0" w:line="162" w:lineRule="exact"/>
        <w:rPr>
          <w:sz w:val="20"/>
          <w:szCs w:val="20"/>
          <w:color w:val="auto"/>
        </w:rPr>
      </w:pPr>
    </w:p>
    <w:p>
      <w:pPr>
        <w:ind w:right="80" w:firstLine="469"/>
        <w:spacing w:after="0" w:line="253" w:lineRule="auto"/>
        <w:rPr>
          <w:sz w:val="20"/>
          <w:szCs w:val="20"/>
          <w:color w:val="auto"/>
        </w:rPr>
      </w:pPr>
      <w:r>
        <w:rPr>
          <w:rFonts w:ascii="Arial" w:cs="Arial" w:eastAsia="Arial" w:hAnsi="Arial"/>
          <w:sz w:val="18"/>
          <w:szCs w:val="18"/>
          <w:color w:val="auto"/>
        </w:rPr>
        <w:t>Embedded derivatives are separated from the host contract and the 2020/21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2020/21 Notes meet these criteria and, as such, must be valued separate and apart from the 2020/21 Notes as one embedded derivative and recorded at fair value each reporting period.</w:t>
      </w:r>
    </w:p>
    <w:p>
      <w:pPr>
        <w:spacing w:after="0" w:line="190" w:lineRule="exact"/>
        <w:rPr>
          <w:sz w:val="20"/>
          <w:szCs w:val="20"/>
          <w:color w:val="auto"/>
        </w:rPr>
      </w:pPr>
    </w:p>
    <w:p>
      <w:pPr>
        <w:ind w:right="380" w:firstLine="480"/>
        <w:spacing w:after="0" w:line="270" w:lineRule="auto"/>
        <w:rPr>
          <w:sz w:val="20"/>
          <w:szCs w:val="20"/>
          <w:color w:val="auto"/>
        </w:rPr>
      </w:pPr>
      <w:r>
        <w:rPr>
          <w:rFonts w:ascii="Arial" w:cs="Arial" w:eastAsia="Arial" w:hAnsi="Arial"/>
          <w:sz w:val="18"/>
          <w:szCs w:val="18"/>
          <w:color w:val="auto"/>
        </w:rPr>
        <w:t>The Company used a binomial lattice model in order to estimate the fair value of the embedded derivative in the 2020/21 Notes. Using this lattice model, the Company valued the embedded derivative using a “with-and-without method”.</w:t>
      </w:r>
    </w:p>
    <w:p>
      <w:pPr>
        <w:spacing w:after="0" w:line="1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9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120" w:firstLine="480"/>
        <w:spacing w:after="0" w:line="271" w:lineRule="auto"/>
        <w:rPr>
          <w:sz w:val="20"/>
          <w:szCs w:val="20"/>
          <w:color w:val="auto"/>
        </w:rPr>
      </w:pPr>
      <w:r>
        <w:rPr>
          <w:rFonts w:ascii="Arial" w:cs="Arial" w:eastAsia="Arial" w:hAnsi="Arial"/>
          <w:sz w:val="17"/>
          <w:szCs w:val="17"/>
          <w:color w:val="auto"/>
        </w:rPr>
        <w:t>As of March 31, 2020 and December 31, 2019, the estimated fair value of the embedded derivatives was $0.1 million and $0, respectively. The change in the estimated fair value of the embedded derivatives represents an unrealized gain (loss). The Company recorded a $0.1 million loss from the change in fair value of 2020/21 Notes embedded derivatives and $0.2 million gain from the change in fair value of 2020 Notes embedded derivatives in the consolidated statements of operations for the three months ended March 31, 2020 and March 31, 2019, respectively. The Company recorded the estimated fair value of the embedded derivative with the 2020/21 Notes and 2020 Notes, net in the Consolidated Balance Sheets.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inputs to the lattice models that were used to value the embedded derivatives:</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January 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3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r>
      <w:tr>
        <w:trPr>
          <w:trHeight w:val="208"/>
        </w:trPr>
        <w:tc>
          <w:tcPr>
            <w:tcW w:w="3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0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0.82</w:t>
            </w:r>
          </w:p>
        </w:tc>
        <w:tc>
          <w:tcPr>
            <w:tcW w:w="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Conversion Rate per $1,000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409.50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409.50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67.95</w:t>
            </w: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Conversion Price</w:t>
            </w:r>
          </w:p>
        </w:tc>
        <w:tc>
          <w:tcPr>
            <w:tcW w:w="202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w:t>
            </w: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Maturity date</w:t>
            </w:r>
          </w:p>
        </w:tc>
        <w:tc>
          <w:tcPr>
            <w:tcW w:w="180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December 31, 2020</w:t>
            </w:r>
          </w:p>
        </w:tc>
        <w:tc>
          <w:tcPr>
            <w:tcW w:w="6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December 31, 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March 15, 2020</w:t>
            </w: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3"/>
        </w:trPr>
        <w:tc>
          <w:tcPr>
            <w:tcW w:w="3800" w:type="dxa"/>
            <w:vAlign w:val="bottom"/>
          </w:tcPr>
          <w:p>
            <w:pPr>
              <w:spacing w:after="0"/>
              <w:rPr>
                <w:sz w:val="20"/>
                <w:szCs w:val="20"/>
                <w:color w:val="auto"/>
              </w:rPr>
            </w:pPr>
            <w:r>
              <w:rPr>
                <w:rFonts w:ascii="Arial" w:cs="Arial" w:eastAsia="Arial" w:hAnsi="Arial"/>
                <w:sz w:val="18"/>
                <w:szCs w:val="18"/>
                <w:color w:val="auto"/>
              </w:rPr>
              <w:t>Estimated stock volatility</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spread</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26" w:lineRule="exact"/>
        <w:rPr>
          <w:sz w:val="20"/>
          <w:szCs w:val="20"/>
          <w:color w:val="auto"/>
        </w:rPr>
      </w:pPr>
    </w:p>
    <w:p>
      <w:pPr>
        <w:jc w:val="both"/>
        <w:ind w:right="300" w:firstLine="480"/>
        <w:spacing w:after="0" w:line="258" w:lineRule="auto"/>
        <w:rPr>
          <w:sz w:val="20"/>
          <w:szCs w:val="20"/>
          <w:color w:val="auto"/>
        </w:rPr>
      </w:pPr>
      <w:r>
        <w:rPr>
          <w:rFonts w:ascii="Arial" w:cs="Arial" w:eastAsia="Arial" w:hAnsi="Arial"/>
          <w:sz w:val="18"/>
          <w:szCs w:val="18"/>
          <w:color w:val="auto"/>
        </w:rPr>
        <w:t>Changes in certain inputs into the lattice model can have a significant impact on changes in the estimated fair value of the embedded featured within the 2020/21 Notes and 2020 Notes. For example, the estimated fair value will generally decrease with: (1) a decline in the stock price; (2) decreases in the estimated stock volatility; and (3) a decrease in the estimated credit spread.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4" w:lineRule="exact"/>
        <w:rPr>
          <w:sz w:val="20"/>
          <w:szCs w:val="20"/>
          <w:color w:val="auto"/>
        </w:rPr>
      </w:pPr>
    </w:p>
    <w:p>
      <w:pPr>
        <w:ind w:right="720" w:firstLine="469"/>
        <w:spacing w:after="0" w:line="270"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March 31,</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43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43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Accrued utilities and supplies</w:t>
            </w:r>
          </w:p>
        </w:tc>
        <w:tc>
          <w:tcPr>
            <w:tcW w:w="3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1,393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r>
      <w:tr>
        <w:trPr>
          <w:trHeight w:val="247"/>
        </w:trPr>
        <w:tc>
          <w:tcPr>
            <w:tcW w:w="4380" w:type="dxa"/>
            <w:vAlign w:val="bottom"/>
            <w:tcBorders>
              <w:top w:val="single" w:sz="8" w:color="CCEEFF"/>
            </w:tcBorders>
          </w:tcPr>
          <w:p>
            <w:pPr>
              <w:spacing w:after="0"/>
              <w:rPr>
                <w:sz w:val="21"/>
                <w:szCs w:val="21"/>
                <w:color w:val="auto"/>
              </w:rPr>
            </w:pPr>
          </w:p>
        </w:tc>
        <w:tc>
          <w:tcPr>
            <w:tcW w:w="36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3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5,678</w:t>
            </w:r>
          </w:p>
        </w:tc>
      </w:tr>
      <w:tr>
        <w:trPr>
          <w:trHeight w:val="406"/>
        </w:trPr>
        <w:tc>
          <w:tcPr>
            <w:tcW w:w="4380" w:type="dxa"/>
            <w:vAlign w:val="bottom"/>
            <w:tcBorders>
              <w:top w:val="single" w:sz="8" w:color="CCEEFF"/>
            </w:tcBorders>
          </w:tcPr>
          <w:p>
            <w:pPr>
              <w:spacing w:after="0"/>
              <w:rPr>
                <w:sz w:val="24"/>
                <w:szCs w:val="24"/>
                <w:color w:val="auto"/>
              </w:rPr>
            </w:pPr>
          </w:p>
        </w:tc>
        <w:tc>
          <w:tcPr>
            <w:tcW w:w="3640" w:type="dxa"/>
            <w:vAlign w:val="bottom"/>
            <w:tcBorders>
              <w:top w:val="single" w:sz="8" w:color="CCEEFF"/>
            </w:tcBorders>
          </w:tcPr>
          <w:p>
            <w:pPr>
              <w:jc w:val="right"/>
              <w:ind w:right="2211"/>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340"/>
          </w:cols>
          <w:pgMar w:left="32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and 2020/21 Notes</w:t>
      </w:r>
    </w:p>
    <w:p>
      <w:pPr>
        <w:spacing w:after="0" w:line="220" w:lineRule="exact"/>
        <w:rPr>
          <w:sz w:val="20"/>
          <w:szCs w:val="20"/>
          <w:color w:val="auto"/>
        </w:rPr>
      </w:pPr>
    </w:p>
    <w:p>
      <w:pPr>
        <w:ind w:right="100" w:firstLine="469"/>
        <w:spacing w:after="0" w:line="270" w:lineRule="auto"/>
        <w:rPr>
          <w:sz w:val="20"/>
          <w:szCs w:val="20"/>
          <w:color w:val="auto"/>
        </w:rPr>
      </w:pPr>
      <w:r>
        <w:rPr>
          <w:rFonts w:ascii="Arial" w:cs="Arial" w:eastAsia="Arial" w:hAnsi="Arial"/>
          <w:sz w:val="18"/>
          <w:szCs w:val="18"/>
          <w:color w:val="auto"/>
        </w:rPr>
        <w:t>The following table sets forth information pertaining to the 2020 Notes and 2020/21 Notes which are included in the Company’s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w:t>
            </w: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2020/21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Debt</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Debt Issue</w:t>
            </w: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Embedded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2020 Notes</w:t>
            </w: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Notes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Discount</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Costs</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Notes</w:t>
            </w:r>
          </w:p>
        </w:tc>
        <w:tc>
          <w:tcPr>
            <w:tcW w:w="10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Derivative</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13,900</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8"/>
                <w:szCs w:val="18"/>
                <w:color w:val="auto"/>
              </w:rPr>
              <w:t>Exchange of 2020 Notes for 2020/21 Notes</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Original issue discount paid with 2020/21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8"/>
                <w:szCs w:val="18"/>
                <w:color w:val="auto"/>
              </w:rPr>
              <w:t>Fair value of 2020/21 embedded derivative</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Change in fair value of 2020/21 Notes</w:t>
            </w: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(2,748)</w:t>
            </w: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14,050</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firstLine="480"/>
        <w:spacing w:after="0" w:line="269" w:lineRule="auto"/>
        <w:rPr>
          <w:sz w:val="20"/>
          <w:szCs w:val="20"/>
          <w:color w:val="auto"/>
        </w:rPr>
      </w:pPr>
      <w:r>
        <w:rPr>
          <w:rFonts w:ascii="Arial" w:cs="Arial" w:eastAsia="Arial" w:hAnsi="Arial"/>
          <w:sz w:val="17"/>
          <w:szCs w:val="17"/>
          <w:color w:val="auto"/>
        </w:rPr>
        <w:t>On June 20, 2017, the Company issued the 2020 Notes in exchange for its 12.0% convertible senior secured notes due 2017 (the "2017 Notes"), plus an amount in cash equal to the accrued and unpaid interest. The 2020 Notes had a maturity date of March 15, 2020 and were secured by a first lien on substantially all of our assets. The 2020 Notes had an interest rate equal to 12% per annum (with 2% potentially payable as PIK Interest (as defined and described below) at our option), payable on March 31, June 30, September 30 and December 31 of each year. To the extent that the Company paid any portion of the interest due on the 2020 Notes as PIK Interest, the maximum aggregate principal amount of the 2020 Notes that would have been convertible into shares of the Company's common stock increased.</w:t>
      </w:r>
    </w:p>
    <w:p>
      <w:pPr>
        <w:spacing w:after="0" w:line="180"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Under certain circumstances, the Company had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86" w:lineRule="exact"/>
        <w:rPr>
          <w:sz w:val="20"/>
          <w:szCs w:val="20"/>
          <w:color w:val="auto"/>
        </w:rPr>
      </w:pPr>
    </w:p>
    <w:p>
      <w:pPr>
        <w:ind w:right="600" w:firstLine="480"/>
        <w:spacing w:after="0" w:line="270" w:lineRule="auto"/>
        <w:rPr>
          <w:sz w:val="20"/>
          <w:szCs w:val="20"/>
          <w:color w:val="auto"/>
        </w:rPr>
      </w:pPr>
      <w:r>
        <w:rPr>
          <w:rFonts w:ascii="Arial" w:cs="Arial" w:eastAsia="Arial" w:hAnsi="Arial"/>
          <w:sz w:val="18"/>
          <w:szCs w:val="18"/>
          <w:color w:val="auto"/>
        </w:rPr>
        <w:t>Additional shares of the Company's common stock could also have become issuable pursuant to the 2020 Notes in the event the Company was required to make certain make-whole payments as provided in the 2020 Notes Indenture.</w:t>
      </w:r>
    </w:p>
    <w:p>
      <w:pPr>
        <w:spacing w:after="0" w:line="175" w:lineRule="exact"/>
        <w:rPr>
          <w:sz w:val="20"/>
          <w:szCs w:val="20"/>
          <w:color w:val="auto"/>
        </w:rPr>
      </w:pPr>
    </w:p>
    <w:p>
      <w:pPr>
        <w:ind w:right="120" w:firstLine="480"/>
        <w:spacing w:after="0" w:line="300" w:lineRule="auto"/>
        <w:rPr>
          <w:sz w:val="20"/>
          <w:szCs w:val="20"/>
          <w:color w:val="auto"/>
        </w:rPr>
      </w:pPr>
      <w:r>
        <w:rPr>
          <w:rFonts w:ascii="Arial" w:cs="Arial" w:eastAsia="Arial" w:hAnsi="Arial"/>
          <w:sz w:val="17"/>
          <w:szCs w:val="17"/>
          <w:color w:val="auto"/>
        </w:rPr>
        <w:t>The 2020 Notes were convertible into shares of the Company's common stock, subject to certain terms and conditions. The initial conversion price of the 2020 Notes was equal to $14.72 per share of common stock, or 0.0679 shares of common stock per $1 principal amount of 2020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2020/21 Notes</w:t>
      </w:r>
    </w:p>
    <w:p>
      <w:pPr>
        <w:spacing w:after="0" w:line="220" w:lineRule="exact"/>
        <w:rPr>
          <w:sz w:val="20"/>
          <w:szCs w:val="20"/>
          <w:color w:val="auto"/>
        </w:rPr>
      </w:pPr>
    </w:p>
    <w:p>
      <w:pPr>
        <w:ind w:right="60" w:firstLine="480"/>
        <w:spacing w:after="0" w:line="282" w:lineRule="auto"/>
        <w:rPr>
          <w:sz w:val="20"/>
          <w:szCs w:val="20"/>
          <w:color w:val="auto"/>
        </w:rPr>
      </w:pPr>
      <w:r>
        <w:rPr>
          <w:rFonts w:ascii="Arial" w:cs="Arial" w:eastAsia="Arial" w:hAnsi="Arial"/>
          <w:sz w:val="16"/>
          <w:szCs w:val="16"/>
          <w:color w:val="auto"/>
        </w:rPr>
        <w:t xml:space="preserve">On January 10, 2020, the Company entered into an Exchange and Purchase Agreement (as amended, the “2020/21 Purchase Agreement”) with the guarantors party thereto (the "Guarantors"), the holder of the 2020 Notes and Whitebox Advisors LLC ("Whitebox"), in its capacity as representative of the holder. Pursuant to the terms of the 2020/21 Purchase Agreement, the holder of the 2020 Notes, subject to certain conditions, agreed to exchange all of the outstanding principal amount of the 2020 Notes, which was approximately $14.1 million including unpaid accrued interest, for approximately $14.4 million in aggregate principal amount of the Company's newly created 2020/21 Notes (the “2020/21 Exchange”). Pursuant to the 2020/21 Purchase Agreement, the Company also granted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the date on which Stockholder Approval (as described below) is obtained. In addition, on January 10, 2020, the Company completed the 2020/21 Exchange and cancelled the 2020 Notes. In addition, the Company entered into an Indenture by and among the Company, the guarantors named therein (the “2020/21 Notes Guarantors”) and FSB, as trustee and as collateral trustee (the “Original Indenture”), as supplemented by that certain First Supplemental Indenture, dated as of April 7, 2020 (the “First Supplemental Indenture” and, together with the Original Indenture, the “2020/21 Notes Indenture”), pursuant to which the Company issued the 2020/21 Notes. The Company recognized an approximately $0.7 million loss. See " </w:t>
      </w:r>
      <w:r>
        <w:rPr>
          <w:rFonts w:ascii="Arial" w:cs="Arial" w:eastAsia="Arial" w:hAnsi="Arial"/>
          <w:sz w:val="16"/>
          <w:szCs w:val="16"/>
          <w:i w:val="1"/>
          <w:iCs w:val="1"/>
          <w:color w:val="auto"/>
        </w:rPr>
        <w:t>(Loss) on modification of 2020 Notes</w:t>
      </w:r>
      <w:r>
        <w:rPr>
          <w:rFonts w:ascii="Arial" w:cs="Arial" w:eastAsia="Arial" w:hAnsi="Arial"/>
          <w:sz w:val="16"/>
          <w:szCs w:val="16"/>
          <w:color w:val="auto"/>
        </w:rPr>
        <w:t>"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-1532255</wp:posOffset>
            </wp:positionV>
            <wp:extent cx="27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53"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color w:val="auto"/>
        </w:rPr>
        <w:t>The 2020/21 Notes will mature on December 31, 2020, provided that the maturity date will automatically be extended to April 1, 2021 if (i) approval of a stockholder proposal is obtained prior to June 30, 2020 for the issuance of shares of the Company’s common stock under the 2020/21 Notes Indenture in excess of 19.99% of the outstanding shares of the Company’s common stock on the date of the Original Indenture (the “Stockholder Approval”), and (ii) the aggregate outstanding principal balance of the 2020/21 Notes (including any 2020/21 Option Notes) as of December 15, 2020 is less than $7 million. The 2020/21 Notes bear interest at a rate equal to 12% per annum (with 4% payable as PIK Interest (as defined and described below)), payable on March 31, June 30, September 30 and December 31 of each year. Under certain circumstances, the Company will have the option to pay a portion of the interest due on the 2020/21 Notes by either (a) increasing the principal amount of the 2020/21 Notes by the amount of interest then due or (b) issuing additional 2020/21 Notes with a principal amount equal to the amount of interest then due (interest paid in the manner set forth in (a) or (b) being referred to as “PIK Interest”). In the event the Company pays any portion of the interest due on the 2020/21 Notes as PIK Interest, the maximum aggregate principal amount of 2020/21 Notes that could be convertible into shares of the Company’s common stock will be increased.</w:t>
      </w:r>
    </w:p>
    <w:p>
      <w:pPr>
        <w:spacing w:after="0" w:line="171" w:lineRule="exact"/>
        <w:rPr>
          <w:sz w:val="20"/>
          <w:szCs w:val="20"/>
          <w:color w:val="auto"/>
        </w:rPr>
      </w:pPr>
    </w:p>
    <w:p>
      <w:pPr>
        <w:ind w:right="200" w:firstLine="480"/>
        <w:spacing w:after="0" w:line="286" w:lineRule="auto"/>
        <w:rPr>
          <w:sz w:val="20"/>
          <w:szCs w:val="20"/>
          <w:color w:val="auto"/>
        </w:rPr>
      </w:pPr>
      <w:r>
        <w:rPr>
          <w:rFonts w:ascii="Arial" w:cs="Arial" w:eastAsia="Arial" w:hAnsi="Arial"/>
          <w:sz w:val="16"/>
          <w:szCs w:val="16"/>
          <w:color w:val="auto"/>
        </w:rPr>
        <w:t>The 2020/21 Notes are convertible into shares of the Company’s common stock at the conversion price, subject to certain terms and conditions. The initial conversion price of the 2020/21 Notes is equal to $2.442 per share of the Company’s common stock (the “2020/21 Notes Conversion Price”), or</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0.4095 shares of the Company’s common stock per $1 principal amount of 2020/21 Notes. The Company and the holders may also mutually agree on other conversions of the 2020/21 Notes into shares of the Company’s common stock on a monthly basis (a “Contractual Conversion”) pursuant to the terms of the 2020/21 Notes Indenture. The 2020/21 Notes Conversion Price in a Contractual Conversion will be reduced to the lesser of the then-applicable 2020/21 Notes Conversion Price or a 10% discount to the average of the daily volume weighted average price of the Company’s common stock for the three forward trading days prior to the date of the Contractual Conversion.</w:t>
      </w:r>
    </w:p>
    <w:p>
      <w:pPr>
        <w:spacing w:after="0" w:line="194" w:lineRule="exact"/>
        <w:rPr>
          <w:sz w:val="20"/>
          <w:szCs w:val="20"/>
          <w:color w:val="auto"/>
        </w:rPr>
      </w:pPr>
    </w:p>
    <w:p>
      <w:pPr>
        <w:ind w:right="200" w:firstLine="480"/>
        <w:spacing w:after="0" w:line="251" w:lineRule="auto"/>
        <w:rPr>
          <w:sz w:val="20"/>
          <w:szCs w:val="20"/>
          <w:color w:val="auto"/>
        </w:rPr>
      </w:pPr>
      <w:r>
        <w:rPr>
          <w:rFonts w:ascii="Arial" w:cs="Arial" w:eastAsia="Arial" w:hAnsi="Arial"/>
          <w:sz w:val="18"/>
          <w:szCs w:val="18"/>
          <w:color w:val="auto"/>
        </w:rPr>
        <w:t>Each holder has agreed not to convert its 2020/21 Notes into shares of the Company’s common stock to the extent that, after giving effect to such conversion, the number of shares of the Company’s common stock beneficially owned by such holder and its affiliates would exceed 4.99% of the Company’s common stock outstanding at the time of such conversion (the “4.99% Ownership Limitation”); provided that a holder may, at its option and upon 61 days’ prior notice to the Company, increase such threshold to 9.99% (the “9.99% Ownership Limitation”). If a conversion of 2020/21 Notes by a holder would exceed the 4.99% Ownership Limitation or the 9.99% Ownership Limitation, as applicable, the 2020/21 Purchase Agreement contains a provision granting the holder a fully funded prepaid warrant for such common stock with a term of nine months, subject to a six-month extension, which it can draw down from time to time.</w:t>
      </w:r>
    </w:p>
    <w:p>
      <w:pPr>
        <w:spacing w:after="0" w:line="193"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The 2020/21 Notes may be redeemed in whole or in part, at the Company’s option, for cash at any time after the Stockholder Approval is obtained and upon 120 days’ notice to the holders of the 2020/21 Notes. A Redemption Make-Whole Payment (as defined in the 2020/21 Notes Indenture) applies only to a redemption of 2020/21 Notes that occurs on or after December 31, 2020. Following a notice of redemption of the 2020/21 Notes by the Company, the holders may elect to convert the 2020/21 Notes into shares of the Company’s common stock at the same conversion price as applicable to a Contractual Conversion.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180" w:firstLine="480"/>
        <w:spacing w:after="0" w:line="255" w:lineRule="auto"/>
        <w:rPr>
          <w:sz w:val="20"/>
          <w:szCs w:val="20"/>
          <w:color w:val="auto"/>
        </w:rPr>
      </w:pPr>
      <w:r>
        <w:rPr>
          <w:rFonts w:ascii="Arial" w:cs="Arial" w:eastAsia="Arial" w:hAnsi="Arial"/>
          <w:sz w:val="18"/>
          <w:szCs w:val="18"/>
          <w:color w:val="auto"/>
        </w:rPr>
        <w:t>The 2020/21 Notes do not contain any anti-dilution adjustments for future equity issuances that are below the 2020/21 Notes Conversion Price, and adjustments to the 2020/21 Notes Conversion Price will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8" w:lineRule="exact"/>
        <w:rPr>
          <w:sz w:val="20"/>
          <w:szCs w:val="20"/>
          <w:color w:val="auto"/>
        </w:rPr>
      </w:pPr>
    </w:p>
    <w:p>
      <w:pPr>
        <w:ind w:right="320" w:firstLine="480"/>
        <w:spacing w:after="0" w:line="270" w:lineRule="auto"/>
        <w:rPr>
          <w:sz w:val="20"/>
          <w:szCs w:val="20"/>
          <w:color w:val="auto"/>
        </w:rPr>
      </w:pPr>
      <w:r>
        <w:rPr>
          <w:rFonts w:ascii="Arial" w:cs="Arial" w:eastAsia="Arial" w:hAnsi="Arial"/>
          <w:sz w:val="18"/>
          <w:szCs w:val="18"/>
          <w:color w:val="auto"/>
        </w:rPr>
        <w:t>The 2020/21 Notes are secured by a lien on substantially all of the assets of the Company and the 2020/21 Notes Guarantors, including intellectual property and real property, and are guaranteed by the Company’s existing subsidiaries.</w:t>
      </w:r>
    </w:p>
    <w:p>
      <w:pPr>
        <w:spacing w:after="0" w:line="175"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Additional shares of the Company's common stock could also become issuable pursuant to the 2020/21 Notes in the event the Company is required to make certain make-whole payments as provided in the 2020/21 Notes Indenture.</w:t>
      </w:r>
    </w:p>
    <w:p>
      <w:pPr>
        <w:spacing w:after="0" w:line="175" w:lineRule="exact"/>
        <w:rPr>
          <w:sz w:val="20"/>
          <w:szCs w:val="20"/>
          <w:color w:val="auto"/>
        </w:rPr>
      </w:pPr>
    </w:p>
    <w:p>
      <w:pPr>
        <w:ind w:right="300" w:firstLine="480"/>
        <w:spacing w:after="0" w:line="270" w:lineRule="auto"/>
        <w:rPr>
          <w:sz w:val="20"/>
          <w:szCs w:val="20"/>
          <w:color w:val="auto"/>
        </w:rPr>
      </w:pPr>
      <w:r>
        <w:rPr>
          <w:rFonts w:ascii="Arial" w:cs="Arial" w:eastAsia="Arial" w:hAnsi="Arial"/>
          <w:sz w:val="18"/>
          <w:szCs w:val="18"/>
          <w:color w:val="auto"/>
        </w:rPr>
        <w:t>Under certain circumstances, the Company may file one or more registration statements on Form S-3 or amend filings in order to register shares of common stock for sale or resale, as necessary in connection with the 2020/21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0" w:lineRule="exact"/>
        <w:rPr>
          <w:sz w:val="20"/>
          <w:szCs w:val="20"/>
          <w:color w:val="auto"/>
        </w:rPr>
      </w:pPr>
    </w:p>
    <w:p>
      <w:pPr>
        <w:ind w:right="140" w:firstLine="480"/>
        <w:spacing w:after="0" w:line="274" w:lineRule="auto"/>
        <w:rPr>
          <w:sz w:val="20"/>
          <w:szCs w:val="20"/>
          <w:color w:val="auto"/>
        </w:rPr>
      </w:pPr>
      <w:r>
        <w:rPr>
          <w:rFonts w:ascii="Arial" w:cs="Arial" w:eastAsia="Arial" w:hAnsi="Arial"/>
          <w:sz w:val="17"/>
          <w:szCs w:val="17"/>
          <w:color w:val="auto"/>
        </w:rPr>
        <w:t>During the first quarter of 2020, the Company purchased equipment under a financing lease. During the fourth quarter 2019, the Company purchased equipment and financed part of its insurance obligation. The equipment notes and financing lease pay interest between 4% and 21%, have total monthly payments of $0.1 million and mature at various dates from August 2020 to February 2025. The equipment loans are secured by the related equipment. The balance of these loans at March 31, 2020 and December 31, 2019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7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2"/>
              </w:rPr>
              <w:t>March 31, 2020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8"/>
        </w:trPr>
        <w:tc>
          <w:tcPr>
            <w:tcW w:w="79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r>
      <w:tr>
        <w:trPr>
          <w:trHeight w:val="207"/>
        </w:trPr>
        <w:tc>
          <w:tcPr>
            <w:tcW w:w="79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Total notes payable - other</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r>
      <w:tr>
        <w:trPr>
          <w:trHeight w:val="207"/>
        </w:trPr>
        <w:tc>
          <w:tcPr>
            <w:tcW w:w="79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2"/>
                <w:szCs w:val="22"/>
                <w:color w:val="auto"/>
              </w:rPr>
            </w:pPr>
          </w:p>
        </w:tc>
      </w:tr>
      <w:tr>
        <w:trPr>
          <w:trHeight w:val="406"/>
        </w:trPr>
        <w:tc>
          <w:tcPr>
            <w:tcW w:w="792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Future payments for Loans Payable - Other are as follows (in thousands):</w:t>
            </w: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1"/>
        </w:trPr>
        <w:tc>
          <w:tcPr>
            <w:tcW w:w="79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2020 (remaining)</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07"/>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Business Administration Loans</w:t>
      </w:r>
    </w:p>
    <w:p>
      <w:pPr>
        <w:spacing w:after="0" w:line="220" w:lineRule="exact"/>
        <w:rPr>
          <w:sz w:val="20"/>
          <w:szCs w:val="20"/>
          <w:color w:val="auto"/>
        </w:rPr>
      </w:pPr>
    </w:p>
    <w:p>
      <w:pPr>
        <w:ind w:right="60" w:firstLine="480"/>
        <w:spacing w:after="0" w:line="286" w:lineRule="auto"/>
        <w:rPr>
          <w:sz w:val="20"/>
          <w:szCs w:val="20"/>
          <w:color w:val="auto"/>
        </w:rPr>
      </w:pPr>
      <w:r>
        <w:rPr>
          <w:rFonts w:ascii="Arial" w:cs="Arial" w:eastAsia="Arial" w:hAnsi="Arial"/>
          <w:sz w:val="16"/>
          <w:szCs w:val="16"/>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November 2020 and interest continues to accrue during the deferral period. The SBA Loans are payable monthly beginning November 5, 2020, with aggregate payments totaling $0.06 million per month, including interest and principal. The SBA Loans must be used for payroll, rent payments, mortgage interest payments and utilities payments as governed by the SBA PPP and are subject to partial or full forgiveness for the initial eight-week period following the loan disbursement if all proceeds are used for eligible purposes and within certain thresholds, the Company maintains certain employment levels and the Company maintains certain compensation levels.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4" w:lineRule="exact"/>
        <w:rPr>
          <w:sz w:val="20"/>
          <w:szCs w:val="20"/>
          <w:color w:val="auto"/>
        </w:rPr>
      </w:pPr>
    </w:p>
    <w:p>
      <w:pPr>
        <w:ind w:firstLine="480"/>
        <w:spacing w:after="0" w:line="284" w:lineRule="auto"/>
        <w:rPr>
          <w:sz w:val="20"/>
          <w:szCs w:val="20"/>
          <w:color w:val="auto"/>
        </w:rPr>
      </w:pPr>
      <w:r>
        <w:rPr>
          <w:rFonts w:ascii="Arial" w:cs="Arial" w:eastAsia="Arial" w:hAnsi="Arial"/>
          <w:sz w:val="16"/>
          <w:szCs w:val="16"/>
          <w:i w:val="1"/>
          <w:iCs w:val="1"/>
          <w:color w:val="auto"/>
        </w:rPr>
        <w:t>2010 Stock Incentive Plan</w:t>
      </w:r>
      <w:r>
        <w:rPr>
          <w:rFonts w:ascii="Arial" w:cs="Arial" w:eastAsia="Arial" w:hAnsi="Arial"/>
          <w:sz w:val="16"/>
          <w:szCs w:val="16"/>
          <w:color w:val="auto"/>
        </w:rPr>
        <w:t>. In February 2011, the Company’s stockholders approved the Gevo, Inc. 2010 Stock Incentive Plan (as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to date, the "2010 Plan"). The 2010 Plan provided for the grant of non-qualified stock options, incentive stock options, stock appreciation rights, restricted stock awards, restricted stock units and other equity awards to employees and directors of the Company. On June 10, 2019, the 2010 Plan was amended and restated, which increased the number of shares of common stock reserved for issuance to 3,266,661 shares. In February 2020, the Company issued 109,337 shares of restricted common stock, vesting over three years, and 1,258 shares of restricted common stock, vesting over two years, to certain of its employees in relation to restricted stock awards granted on February 27, 2020. In April 2020, the Company also issued 239,155 shares of restricted common stock in relation to restricted stock awards granted to its employees on April 1, 2020 in connection with the 20% salary reduction discussed in Footnote 1, vesting on May 15, 2020. In March 2020, the Company withheld 4,055 shares of common stock to settle income taxes related to the vested restricted stock awards for certain employees. At March 31, 2020, an additional 1,679,947 shares were available for issuance upon the exercise of outstanding stock option awards or the grant of stock appreciation rights and restricted stock awards under the 2010 Plan.</w:t>
      </w:r>
    </w:p>
    <w:p>
      <w:pPr>
        <w:spacing w:after="0" w:line="171" w:lineRule="exact"/>
        <w:rPr>
          <w:sz w:val="20"/>
          <w:szCs w:val="20"/>
          <w:color w:val="auto"/>
        </w:rPr>
      </w:pPr>
    </w:p>
    <w:p>
      <w:pPr>
        <w:ind w:right="60" w:firstLine="480"/>
        <w:spacing w:after="0" w:line="271"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In February 2011, the Company’s stockholders approved the Employee Stock Purchase Plan (the "ESPP").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for the ESPP are from January 1 to June 30 and from July 1 to December 31 of each calendar year. The Company has reserved 190 shares of common stock for issuance under the ESPP, of which 190 shares as of March 31, 2020 are available for future issuance. The purchase price of the common stock under the ESPP is 85% of the lower of the fair market value of a share of common stock on the first or last day of the purchase period. There were no purchases of common stock under the ESPP during the three months ended March 31, 2020 or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4" w:lineRule="exact"/>
        <w:rPr>
          <w:sz w:val="20"/>
          <w:szCs w:val="20"/>
          <w:color w:val="auto"/>
        </w:rPr>
      </w:pPr>
    </w:p>
    <w:p>
      <w:pPr>
        <w:ind w:right="280" w:firstLine="469"/>
        <w:spacing w:after="0" w:line="270" w:lineRule="auto"/>
        <w:rPr>
          <w:sz w:val="20"/>
          <w:szCs w:val="20"/>
          <w:color w:val="auto"/>
        </w:rPr>
      </w:pPr>
      <w:r>
        <w:rPr>
          <w:rFonts w:ascii="Arial" w:cs="Arial" w:eastAsia="Arial" w:hAnsi="Arial"/>
          <w:sz w:val="18"/>
          <w:szCs w:val="18"/>
          <w:color w:val="auto"/>
        </w:rPr>
        <w:t>The Company records stock-based compensation expense during the requisite service period for share-based payment awards granted to employees and non-employees.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stock-based compensation expense (in thousands)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00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Restricted stock</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jc w:val="right"/>
              <w:ind w:right="899"/>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2"/>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206</w:t>
            </w:r>
          </w:p>
        </w:tc>
      </w:tr>
      <w:tr>
        <w:trPr>
          <w:trHeight w:val="213"/>
        </w:trPr>
        <w:tc>
          <w:tcPr>
            <w:tcW w:w="8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47"/>
        </w:trPr>
        <w:tc>
          <w:tcPr>
            <w:tcW w:w="8000" w:type="dxa"/>
            <w:vAlign w:val="bottom"/>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1060" w:type="dxa"/>
            <w:vAlign w:val="bottom"/>
          </w:tcPr>
          <w:p>
            <w:pPr>
              <w:jc w:val="right"/>
              <w:ind w:right="899"/>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140" w:type="dxa"/>
            <w:vAlign w:val="bottom"/>
          </w:tcPr>
          <w:p>
            <w:pPr>
              <w:jc w:val="right"/>
              <w:ind w:right="982"/>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263</w:t>
            </w:r>
          </w:p>
        </w:tc>
      </w:tr>
      <w:tr>
        <w:trPr>
          <w:trHeight w:val="20"/>
        </w:trPr>
        <w:tc>
          <w:tcPr>
            <w:tcW w:w="8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40" w:firstLine="480"/>
        <w:spacing w:after="0" w:line="270"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stock incentive plans at March 31, 2020 and changes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3"/>
        </w:trPr>
        <w:tc>
          <w:tcPr>
            <w:tcW w:w="598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1"/>
        </w:trPr>
        <w:tc>
          <w:tcPr>
            <w:tcW w:w="5980" w:type="dxa"/>
            <w:vAlign w:val="bottom"/>
          </w:tcPr>
          <w:p>
            <w:pPr>
              <w:spacing w:after="0"/>
              <w:rPr>
                <w:sz w:val="20"/>
                <w:szCs w:val="20"/>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08"/>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1,561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928.79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928.79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March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928.79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expected to vest at March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928.79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Non-vested restricted stock awards at March 31, 2020 and changes during the three months ended March 31, 2020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800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Grant-Date</w:t>
            </w:r>
          </w:p>
        </w:tc>
      </w:tr>
      <w:tr>
        <w:trPr>
          <w:trHeight w:val="231"/>
        </w:trPr>
        <w:tc>
          <w:tcPr>
            <w:tcW w:w="800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08"/>
        </w:trPr>
        <w:tc>
          <w:tcPr>
            <w:tcW w:w="80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1,308,613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110,595</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Canceled or forfeited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(6,974)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07"/>
        </w:trPr>
        <w:tc>
          <w:tcPr>
            <w:tcW w:w="800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Non-vested at March 31, 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1,393,081</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20" w:firstLine="480"/>
        <w:spacing w:after="0" w:line="258" w:lineRule="auto"/>
        <w:rPr>
          <w:sz w:val="20"/>
          <w:szCs w:val="20"/>
          <w:color w:val="auto"/>
        </w:rPr>
      </w:pPr>
      <w:r>
        <w:rPr>
          <w:rFonts w:ascii="Arial" w:cs="Arial" w:eastAsia="Arial" w:hAnsi="Arial"/>
          <w:sz w:val="18"/>
          <w:szCs w:val="18"/>
          <w:color w:val="auto"/>
        </w:rPr>
        <w:t>The total fair value of restricted stock that vested during the three months ended March 31, 2020 totaled $0.3 million. As of March 31, 2020, the total unrecognized compensation expense, net of estimated forfeitures, relating to restricted stock awards was $1.7 million, which is expected to be recognized over the remaining weighted-average period of approximately 1.2 years.</w:t>
      </w:r>
    </w:p>
    <w:p>
      <w:pPr>
        <w:sectPr>
          <w:pgSz w:w="11900" w:h="16838" w:orient="portrait"/>
          <w:cols w:equalWidth="0" w:num="1">
            <w:col w:w="11240"/>
          </w:cols>
          <w:pgMar w:left="320" w:top="125"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4" w:lineRule="exact"/>
        <w:rPr>
          <w:sz w:val="20"/>
          <w:szCs w:val="20"/>
          <w:color w:val="auto"/>
        </w:rPr>
      </w:pPr>
    </w:p>
    <w:p>
      <w:pPr>
        <w:jc w:val="both"/>
        <w:ind w:right="340" w:firstLine="469"/>
        <w:spacing w:after="0" w:line="306"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From time to time, the Company has been, and may again become, involved in legal proceedings arising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business. The Company is not presently a party to any litigation that it believes to be material and is not aware of any pending or threatened litigation against the Company that it believes could have a material adverse effect on its business, operating results, financial condition or cash flows.</w:t>
      </w:r>
    </w:p>
    <w:p>
      <w:pPr>
        <w:spacing w:after="0" w:line="177" w:lineRule="exact"/>
        <w:rPr>
          <w:sz w:val="20"/>
          <w:szCs w:val="20"/>
          <w:color w:val="auto"/>
        </w:rPr>
      </w:pPr>
    </w:p>
    <w:p>
      <w:pPr>
        <w:ind w:right="60" w:firstLine="480"/>
        <w:spacing w:after="0" w:line="333"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certain transactions. As of March 31, 2020 and December 31, 2019, the Company did not have any liabilities associated with indemnities.</w:t>
      </w:r>
    </w:p>
    <w:p>
      <w:pPr>
        <w:spacing w:after="0" w:line="157" w:lineRule="exact"/>
        <w:rPr>
          <w:sz w:val="20"/>
          <w:szCs w:val="20"/>
          <w:color w:val="auto"/>
        </w:rPr>
      </w:pPr>
    </w:p>
    <w:p>
      <w:pPr>
        <w:ind w:right="20" w:firstLine="480"/>
        <w:spacing w:after="0" w:line="289" w:lineRule="auto"/>
        <w:rPr>
          <w:sz w:val="20"/>
          <w:szCs w:val="20"/>
          <w:color w:val="auto"/>
        </w:rPr>
      </w:pPr>
      <w:r>
        <w:rPr>
          <w:rFonts w:ascii="Arial" w:cs="Arial" w:eastAsia="Arial" w:hAnsi="Arial"/>
          <w:sz w:val="16"/>
          <w:szCs w:val="16"/>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65" w:lineRule="exact"/>
        <w:rPr>
          <w:sz w:val="20"/>
          <w:szCs w:val="20"/>
          <w:color w:val="auto"/>
        </w:rPr>
      </w:pPr>
    </w:p>
    <w:p>
      <w:pPr>
        <w:ind w:firstLine="480"/>
        <w:spacing w:after="0" w:line="269"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March 31, 2020.</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4" w:lineRule="exact"/>
        <w:rPr>
          <w:sz w:val="20"/>
          <w:szCs w:val="20"/>
          <w:color w:val="auto"/>
        </w:rPr>
      </w:pPr>
    </w:p>
    <w:p>
      <w:pPr>
        <w:ind w:firstLine="469"/>
        <w:spacing w:after="0" w:line="253"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0" w:lineRule="exact"/>
        <w:rPr>
          <w:sz w:val="20"/>
          <w:szCs w:val="20"/>
          <w:color w:val="auto"/>
        </w:rPr>
      </w:pPr>
    </w:p>
    <w:p>
      <w:pPr>
        <w:ind w:right="240" w:firstLine="469"/>
        <w:spacing w:after="0" w:line="333"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40" w:firstLine="441"/>
        <w:spacing w:after="0" w:line="258" w:lineRule="auto"/>
        <w:rPr>
          <w:sz w:val="20"/>
          <w:szCs w:val="20"/>
          <w:color w:val="auto"/>
        </w:rPr>
      </w:pPr>
      <w:r>
        <w:rPr>
          <w:rFonts w:ascii="Arial" w:cs="Arial" w:eastAsia="Arial" w:hAnsi="Arial"/>
          <w:sz w:val="18"/>
          <w:szCs w:val="18"/>
          <w:color w:val="auto"/>
        </w:rPr>
        <w:t>These tables present the carrying value and fair value, by fair value hierarchy, of our financial instruments, excluding cash and cash equivalents, accounts receivable and accounts payable, which approximate fair value due to their short-term nature, at March 31, 2020 and December 31, 2019, respectively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0"/>
              </w:rPr>
              <w:t>Fair Value Measurements at March 31, 2020</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86"/>
              </w:rPr>
              <w:t>Quoted Prices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7"/>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2020/21 Notes Embedded Derivative Liability</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0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11"/>
          </w:tcPr>
          <w:p>
            <w:pPr>
              <w:jc w:val="center"/>
              <w:ind w:right="100"/>
              <w:spacing w:after="0"/>
              <w:rPr>
                <w:sz w:val="20"/>
                <w:szCs w:val="20"/>
                <w:color w:val="auto"/>
              </w:rPr>
            </w:pPr>
            <w:r>
              <w:rPr>
                <w:rFonts w:ascii="Arial" w:cs="Arial" w:eastAsia="Arial" w:hAnsi="Arial"/>
                <w:sz w:val="18"/>
                <w:szCs w:val="18"/>
                <w:b w:val="1"/>
                <w:bCs w:val="1"/>
                <w:color w:val="auto"/>
                <w:w w:val="89"/>
              </w:rPr>
              <w:t>Fair Value Measurements at December 31, 2019</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86"/>
              </w:rPr>
              <w:t>Quoted Prices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7"/>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vMerge w:val="restart"/>
          </w:tcPr>
          <w:p>
            <w:pPr>
              <w:jc w:val="right"/>
              <w:ind w:right="171"/>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40" w:firstLine="469"/>
        <w:spacing w:after="0" w:line="270" w:lineRule="auto"/>
        <w:rPr>
          <w:sz w:val="20"/>
          <w:szCs w:val="20"/>
          <w:color w:val="auto"/>
        </w:rPr>
      </w:pPr>
      <w:r>
        <w:rPr>
          <w:rFonts w:ascii="Arial" w:cs="Arial" w:eastAsia="Arial" w:hAnsi="Arial"/>
          <w:sz w:val="18"/>
          <w:szCs w:val="18"/>
          <w:color w:val="auto"/>
        </w:rPr>
        <w:t>The following table provides changes to those fair value measurements using Level 3 inputs for the three months ended March 31,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Fair Value Measurements Using</w:t>
            </w:r>
          </w:p>
        </w:tc>
      </w:tr>
      <w:tr>
        <w:trPr>
          <w:trHeight w:val="213"/>
        </w:trPr>
        <w:tc>
          <w:tcPr>
            <w:tcW w:w="8000" w:type="dxa"/>
            <w:vAlign w:val="bottom"/>
          </w:tcPr>
          <w:p>
            <w:pPr>
              <w:spacing w:after="0"/>
              <w:rPr>
                <w:sz w:val="18"/>
                <w:szCs w:val="18"/>
                <w:color w:val="auto"/>
              </w:rPr>
            </w:pP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Significant Unobservable Inputs</w:t>
            </w:r>
          </w:p>
        </w:tc>
      </w:tr>
      <w:tr>
        <w:trPr>
          <w:trHeight w:val="231"/>
        </w:trPr>
        <w:tc>
          <w:tcPr>
            <w:tcW w:w="80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8"/>
                <w:szCs w:val="18"/>
                <w:b w:val="1"/>
                <w:bCs w:val="1"/>
                <w:color w:val="auto"/>
                <w:w w:val="95"/>
              </w:rPr>
              <w:t>(Level 3)</w:t>
            </w:r>
          </w:p>
        </w:tc>
        <w:tc>
          <w:tcPr>
            <w:tcW w:w="100" w:type="dxa"/>
            <w:vAlign w:val="bottom"/>
          </w:tcPr>
          <w:p>
            <w:pPr>
              <w:spacing w:after="0"/>
              <w:rPr>
                <w:sz w:val="20"/>
                <w:szCs w:val="20"/>
                <w:color w:val="auto"/>
              </w:rPr>
            </w:pPr>
          </w:p>
        </w:tc>
      </w:tr>
      <w:tr>
        <w:trPr>
          <w:trHeight w:val="403"/>
        </w:trPr>
        <w:tc>
          <w:tcPr>
            <w:tcW w:w="800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Arial" w:cs="Arial" w:eastAsia="Arial" w:hAnsi="Arial"/>
                <w:sz w:val="18"/>
                <w:szCs w:val="18"/>
                <w:b w:val="1"/>
                <w:bCs w:val="1"/>
                <w:color w:val="auto"/>
                <w:w w:val="95"/>
              </w:rPr>
              <w:t>Derivative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2020/21 Notes</w:t>
            </w:r>
          </w:p>
        </w:tc>
      </w:tr>
      <w:tr>
        <w:trPr>
          <w:trHeight w:val="213"/>
        </w:trPr>
        <w:tc>
          <w:tcPr>
            <w:tcW w:w="800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Warrant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Embedded</w:t>
            </w:r>
          </w:p>
        </w:tc>
      </w:tr>
      <w:tr>
        <w:trPr>
          <w:trHeight w:val="231"/>
        </w:trPr>
        <w:tc>
          <w:tcPr>
            <w:tcW w:w="800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Liability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Derivative</w:t>
            </w:r>
          </w:p>
        </w:tc>
      </w:tr>
      <w:tr>
        <w:trPr>
          <w:trHeight w:val="208"/>
        </w:trPr>
        <w:tc>
          <w:tcPr>
            <w:tcW w:w="80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180" w:type="dxa"/>
            <w:vAlign w:val="bottom"/>
          </w:tcPr>
          <w:p>
            <w:pPr>
              <w:jc w:val="right"/>
              <w:ind w:right="1016"/>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Issue of 2020/21 Notes embedded derivative liability</w:t>
            </w:r>
          </w:p>
        </w:tc>
        <w:tc>
          <w:tcPr>
            <w:tcW w:w="1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(gains) included in earnings</w:t>
            </w: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(2,748)</w:t>
            </w:r>
          </w:p>
        </w:tc>
      </w:tr>
      <w:tr>
        <w:trPr>
          <w:trHeight w:val="247"/>
        </w:trPr>
        <w:tc>
          <w:tcPr>
            <w:tcW w:w="8000" w:type="dxa"/>
            <w:vAlign w:val="bottom"/>
            <w:tcBorders>
              <w:top w:val="single" w:sz="8" w:color="CCEEFF"/>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406"/>
        </w:trPr>
        <w:tc>
          <w:tcPr>
            <w:tcW w:w="80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There were no transfers to or from Level 3 in the three months ended March 31, 2020.</w:t>
            </w: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ind w:right="60" w:firstLine="469"/>
        <w:spacing w:after="0" w:line="258"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inventory at fair value only when the Company’s cost of corn purchased exceeds the market value for corn.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determines the market value of corn and dry distiller’s grain based upon Level 1 inputs using quoted market prices. The Company records its ethanol, isobutanol and hydrocarbon inventory at market using Level 2 inputs.</w:t>
      </w:r>
    </w:p>
    <w:p>
      <w:pPr>
        <w:spacing w:after="0" w:line="186" w:lineRule="exact"/>
        <w:rPr>
          <w:sz w:val="20"/>
          <w:szCs w:val="20"/>
          <w:color w:val="auto"/>
        </w:rPr>
      </w:pPr>
    </w:p>
    <w:p>
      <w:pPr>
        <w:ind w:right="120" w:firstLine="469"/>
        <w:spacing w:after="0" w:line="274" w:lineRule="auto"/>
        <w:rPr>
          <w:sz w:val="20"/>
          <w:szCs w:val="20"/>
          <w:color w:val="auto"/>
        </w:rPr>
      </w:pPr>
      <w:r>
        <w:rPr>
          <w:rFonts w:ascii="Arial" w:cs="Arial" w:eastAsia="Arial" w:hAnsi="Arial"/>
          <w:sz w:val="17"/>
          <w:szCs w:val="17"/>
          <w:color w:val="auto"/>
        </w:rPr>
        <w:t xml:space="preserve">2020/21 </w:t>
      </w:r>
      <w:r>
        <w:rPr>
          <w:rFonts w:ascii="Arial" w:cs="Arial" w:eastAsia="Arial" w:hAnsi="Arial"/>
          <w:sz w:val="17"/>
          <w:szCs w:val="17"/>
          <w:i w:val="1"/>
          <w:iCs w:val="1"/>
          <w:color w:val="auto"/>
        </w:rPr>
        <w:t>Notes Embedded Derivative</w:t>
      </w:r>
      <w:r>
        <w:rPr>
          <w:rFonts w:ascii="Arial" w:cs="Arial" w:eastAsia="Arial" w:hAnsi="Arial"/>
          <w:sz w:val="17"/>
          <w:szCs w:val="17"/>
          <w:color w:val="auto"/>
        </w:rPr>
        <w:t>. The Company had estimated the fair value of the embedded derivative on a stand-alone basis to be $0.1 million at March 31, 2020 based upon Level 3 inputs. Changes in the fair value of the embedded derivative is recognized each reporting period as a “</w:t>
      </w:r>
      <w:r>
        <w:rPr>
          <w:rFonts w:ascii="Arial" w:cs="Arial" w:eastAsia="Arial" w:hAnsi="Arial"/>
          <w:sz w:val="17"/>
          <w:szCs w:val="17"/>
          <w:i w:val="1"/>
          <w:iCs w:val="1"/>
          <w:color w:val="auto"/>
        </w:rPr>
        <w:t>Change in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of 2020/21 Notes embedded derivative</w:t>
      </w:r>
      <w:r>
        <w:rPr>
          <w:rFonts w:ascii="Arial" w:cs="Arial" w:eastAsia="Arial" w:hAnsi="Arial"/>
          <w:sz w:val="17"/>
          <w:szCs w:val="17"/>
          <w:color w:val="auto"/>
        </w:rPr>
        <w:t>” in the consolidated Statements of Operations and Statements of Cash Flows. See Note 7,</w:t>
      </w:r>
      <w:r>
        <w:rPr>
          <w:rFonts w:ascii="Arial" w:cs="Arial" w:eastAsia="Arial" w:hAnsi="Arial"/>
          <w:sz w:val="17"/>
          <w:szCs w:val="17"/>
          <w:i w:val="1"/>
          <w:iCs w:val="1"/>
          <w:color w:val="auto"/>
        </w:rPr>
        <w:t xml:space="preserve"> Embedded Derivatives</w:t>
      </w:r>
      <w:r>
        <w:rPr>
          <w:rFonts w:ascii="Arial" w:cs="Arial" w:eastAsia="Arial" w:hAnsi="Arial"/>
          <w:sz w:val="17"/>
          <w:szCs w:val="17"/>
          <w:color w:val="auto"/>
        </w:rPr>
        <w:t>, for the fair value inputs used to estimate the fair value of the embedded derivative.</w:t>
      </w:r>
    </w:p>
    <w:p>
      <w:pPr>
        <w:spacing w:after="0" w:line="175" w:lineRule="exact"/>
        <w:rPr>
          <w:sz w:val="20"/>
          <w:szCs w:val="20"/>
          <w:color w:val="auto"/>
        </w:rPr>
      </w:pPr>
    </w:p>
    <w:p>
      <w:pPr>
        <w:jc w:val="both"/>
        <w:ind w:right="420" w:firstLine="469"/>
        <w:spacing w:after="0" w:line="258"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224" w:lineRule="exact"/>
        <w:rPr>
          <w:sz w:val="20"/>
          <w:szCs w:val="20"/>
          <w:color w:val="auto"/>
        </w:rPr>
      </w:pPr>
    </w:p>
    <w:p>
      <w:pPr>
        <w:jc w:val="both"/>
        <w:ind w:right="100" w:firstLine="469"/>
        <w:spacing w:after="0" w:line="258" w:lineRule="auto"/>
        <w:rPr>
          <w:sz w:val="20"/>
          <w:szCs w:val="20"/>
          <w:color w:val="auto"/>
        </w:rPr>
      </w:pPr>
      <w:r>
        <w:rPr>
          <w:rFonts w:ascii="Arial" w:cs="Arial" w:eastAsia="Arial" w:hAnsi="Arial"/>
          <w:sz w:val="18"/>
          <w:szCs w:val="18"/>
          <w:color w:val="auto"/>
        </w:rPr>
        <w:t>The Company has determined that it has two operating segments: (i) Gevo segment; and (ii) Gevo Development/Agri-Energy segment. The Company organizes its business segments based on the nature of the products and services offered through each of its consolidated legal entities. Transactions between segments are eliminated in consolidation.</w:t>
      </w:r>
    </w:p>
    <w:p>
      <w:pPr>
        <w:spacing w:after="0" w:line="186" w:lineRule="exact"/>
        <w:rPr>
          <w:sz w:val="20"/>
          <w:szCs w:val="20"/>
          <w:color w:val="auto"/>
        </w:rPr>
      </w:pPr>
    </w:p>
    <w:p>
      <w:pPr>
        <w:ind w:right="180" w:firstLine="469"/>
        <w:spacing w:after="0" w:line="274"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isobutanol,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980" w:firstLine="469"/>
        <w:spacing w:after="0" w:line="270" w:lineRule="auto"/>
        <w:rPr>
          <w:sz w:val="20"/>
          <w:szCs w:val="20"/>
          <w:color w:val="auto"/>
        </w:rPr>
      </w:pPr>
      <w:r>
        <w:rPr>
          <w:rFonts w:ascii="Arial" w:cs="Arial" w:eastAsia="Arial" w:hAnsi="Arial"/>
          <w:sz w:val="18"/>
          <w:szCs w:val="18"/>
          <w:b w:val="1"/>
          <w:bCs w:val="1"/>
          <w:i w:val="1"/>
          <w:iCs w:val="1"/>
          <w:color w:val="auto"/>
        </w:rPr>
        <w:t>Gevo Development/Agri-Energy Segment</w:t>
      </w:r>
      <w:r>
        <w:rPr>
          <w:rFonts w:ascii="Arial" w:cs="Arial" w:eastAsia="Arial" w:hAnsi="Arial"/>
          <w:sz w:val="18"/>
          <w:szCs w:val="18"/>
          <w:color w:val="auto"/>
        </w:rPr>
        <w:t>. The Gevo Development/Agri-Energy segment is currently responsible for the operation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Luverne Facility and the production of ethanol, isobutanol and related products.</w:t>
      </w:r>
    </w:p>
    <w:p>
      <w:pPr>
        <w:spacing w:after="0" w:line="175" w:lineRule="exact"/>
        <w:rPr>
          <w:sz w:val="20"/>
          <w:szCs w:val="20"/>
          <w:color w:val="auto"/>
        </w:rPr>
      </w:pPr>
    </w:p>
    <w:p>
      <w:pPr>
        <w:jc w:val="both"/>
        <w:ind w:right="40" w:firstLine="480"/>
        <w:spacing w:after="0" w:line="281" w:lineRule="auto"/>
        <w:rPr>
          <w:sz w:val="20"/>
          <w:szCs w:val="20"/>
          <w:color w:val="auto"/>
        </w:rPr>
      </w:pPr>
      <w:r>
        <w:rPr>
          <w:rFonts w:ascii="Arial" w:cs="Arial" w:eastAsia="Arial" w:hAnsi="Arial"/>
          <w:sz w:val="17"/>
          <w:szCs w:val="17"/>
          <w:color w:val="auto"/>
        </w:rPr>
        <w:t>The Company’s chief operating decision maker is provided with and reviews the financial results of each of the Company’s consolidated legal entities, Gevo, Inc., Gevo Development, LLC and Agri-Energy, LLC. The Company organizes its business segments based on the nature of the products and services offered through each of its consolidated legal entities. All revenue is earned and all assets are held in the 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2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r>
      <w:tr>
        <w:trPr>
          <w:trHeight w:val="208"/>
        </w:trPr>
        <w:tc>
          <w:tcPr>
            <w:tcW w:w="4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452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5,664</w:t>
            </w:r>
          </w:p>
        </w:tc>
      </w:tr>
      <w:tr>
        <w:trPr>
          <w:trHeight w:val="247"/>
        </w:trPr>
        <w:tc>
          <w:tcPr>
            <w:tcW w:w="4440" w:type="dxa"/>
            <w:vAlign w:val="bottom"/>
            <w:tcBorders>
              <w:top w:val="single" w:sz="8" w:color="CCEEFF"/>
            </w:tcBorders>
          </w:tcPr>
          <w:p>
            <w:pPr>
              <w:spacing w:after="0"/>
              <w:rPr>
                <w:sz w:val="21"/>
                <w:szCs w:val="21"/>
                <w:color w:val="auto"/>
              </w:rPr>
            </w:pPr>
          </w:p>
        </w:tc>
        <w:tc>
          <w:tcPr>
            <w:tcW w:w="3560" w:type="dxa"/>
            <w:vAlign w:val="bottom"/>
            <w:tcBorders>
              <w:top w:val="single" w:sz="8" w:color="CCEEFF"/>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52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6,403</w:t>
            </w:r>
          </w:p>
        </w:tc>
      </w:tr>
      <w:tr>
        <w:trPr>
          <w:trHeight w:val="194"/>
        </w:trPr>
        <w:tc>
          <w:tcPr>
            <w:tcW w:w="4440" w:type="dxa"/>
            <w:vAlign w:val="bottom"/>
            <w:tcBorders>
              <w:top w:val="single" w:sz="8" w:color="CCEEFF"/>
            </w:tcBorders>
          </w:tcPr>
          <w:p>
            <w:pPr>
              <w:spacing w:after="0"/>
              <w:rPr>
                <w:sz w:val="16"/>
                <w:szCs w:val="16"/>
                <w:color w:val="auto"/>
              </w:rPr>
            </w:pPr>
          </w:p>
        </w:tc>
        <w:tc>
          <w:tcPr>
            <w:tcW w:w="356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452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(2,881)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(2,673)</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(5,095)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w:t>
            </w:r>
          </w:p>
        </w:tc>
      </w:tr>
      <w:tr>
        <w:trPr>
          <w:trHeight w:val="247"/>
        </w:trPr>
        <w:tc>
          <w:tcPr>
            <w:tcW w:w="4440" w:type="dxa"/>
            <w:vAlign w:val="bottom"/>
            <w:tcBorders>
              <w:top w:val="single" w:sz="8" w:color="CCEEFF"/>
            </w:tcBorders>
          </w:tcPr>
          <w:p>
            <w:pPr>
              <w:spacing w:after="0"/>
              <w:rPr>
                <w:sz w:val="21"/>
                <w:szCs w:val="21"/>
                <w:color w:val="auto"/>
              </w:rPr>
            </w:pPr>
          </w:p>
        </w:tc>
        <w:tc>
          <w:tcPr>
            <w:tcW w:w="3560" w:type="dxa"/>
            <w:vAlign w:val="bottom"/>
            <w:tcBorders>
              <w:top w:val="single" w:sz="8" w:color="CCEEFF"/>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52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(7,976)</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(5,628)</w:t>
            </w:r>
          </w:p>
        </w:tc>
      </w:tr>
      <w:tr>
        <w:trPr>
          <w:trHeight w:val="194"/>
        </w:trPr>
        <w:tc>
          <w:tcPr>
            <w:tcW w:w="4440" w:type="dxa"/>
            <w:vAlign w:val="bottom"/>
            <w:tcBorders>
              <w:top w:val="single" w:sz="8" w:color="CCEEFF"/>
            </w:tcBorders>
          </w:tcPr>
          <w:p>
            <w:pPr>
              <w:spacing w:after="0"/>
              <w:rPr>
                <w:sz w:val="16"/>
                <w:szCs w:val="16"/>
                <w:color w:val="auto"/>
              </w:rPr>
            </w:pPr>
          </w:p>
        </w:tc>
        <w:tc>
          <w:tcPr>
            <w:tcW w:w="356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452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7"/>
        </w:trPr>
        <w:tc>
          <w:tcPr>
            <w:tcW w:w="4440" w:type="dxa"/>
            <w:vAlign w:val="bottom"/>
            <w:tcBorders>
              <w:top w:val="single" w:sz="8" w:color="CCEEFF"/>
            </w:tcBorders>
          </w:tcPr>
          <w:p>
            <w:pPr>
              <w:spacing w:after="0"/>
              <w:rPr>
                <w:sz w:val="21"/>
                <w:szCs w:val="21"/>
                <w:color w:val="auto"/>
              </w:rPr>
            </w:pPr>
          </w:p>
        </w:tc>
        <w:tc>
          <w:tcPr>
            <w:tcW w:w="3560" w:type="dxa"/>
            <w:vAlign w:val="bottom"/>
            <w:tcBorders>
              <w:top w:val="single" w:sz="8" w:color="CCEEFF"/>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52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r>
      <w:tr>
        <w:trPr>
          <w:trHeight w:val="194"/>
        </w:trPr>
        <w:tc>
          <w:tcPr>
            <w:tcW w:w="4440" w:type="dxa"/>
            <w:vAlign w:val="bottom"/>
            <w:tcBorders>
              <w:top w:val="single" w:sz="8" w:color="CCEEFF"/>
            </w:tcBorders>
          </w:tcPr>
          <w:p>
            <w:pPr>
              <w:spacing w:after="0"/>
              <w:rPr>
                <w:sz w:val="16"/>
                <w:szCs w:val="16"/>
                <w:color w:val="auto"/>
              </w:rPr>
            </w:pPr>
          </w:p>
        </w:tc>
        <w:tc>
          <w:tcPr>
            <w:tcW w:w="356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452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r>
      <w:tr>
        <w:trPr>
          <w:trHeight w:val="247"/>
        </w:trPr>
        <w:tc>
          <w:tcPr>
            <w:tcW w:w="4440" w:type="dxa"/>
            <w:vAlign w:val="bottom"/>
            <w:tcBorders>
              <w:top w:val="single" w:sz="8" w:color="CCEEFF"/>
            </w:tcBorders>
          </w:tcPr>
          <w:p>
            <w:pPr>
              <w:spacing w:after="0"/>
              <w:rPr>
                <w:sz w:val="21"/>
                <w:szCs w:val="21"/>
                <w:color w:val="auto"/>
              </w:rPr>
            </w:pPr>
          </w:p>
        </w:tc>
        <w:tc>
          <w:tcPr>
            <w:tcW w:w="3560" w:type="dxa"/>
            <w:vAlign w:val="bottom"/>
            <w:tcBorders>
              <w:top w:val="single" w:sz="8" w:color="CCEEFF"/>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52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w:t>
            </w:r>
          </w:p>
        </w:tc>
      </w:tr>
      <w:tr>
        <w:trPr>
          <w:trHeight w:val="194"/>
        </w:trPr>
        <w:tc>
          <w:tcPr>
            <w:tcW w:w="4440" w:type="dxa"/>
            <w:vAlign w:val="bottom"/>
            <w:tcBorders>
              <w:top w:val="single" w:sz="8" w:color="CCEEFF"/>
            </w:tcBorders>
          </w:tcPr>
          <w:p>
            <w:pPr>
              <w:spacing w:after="0"/>
              <w:rPr>
                <w:sz w:val="16"/>
                <w:szCs w:val="16"/>
                <w:color w:val="auto"/>
              </w:rPr>
            </w:pPr>
          </w:p>
        </w:tc>
        <w:tc>
          <w:tcPr>
            <w:tcW w:w="356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plant, property and equipment:</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452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3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r>
      <w:tr>
        <w:trPr>
          <w:trHeight w:val="247"/>
        </w:trPr>
        <w:tc>
          <w:tcPr>
            <w:tcW w:w="4440" w:type="dxa"/>
            <w:vAlign w:val="bottom"/>
            <w:tcBorders>
              <w:top w:val="single" w:sz="8" w:color="CCEEFF"/>
            </w:tcBorders>
          </w:tcPr>
          <w:p>
            <w:pPr>
              <w:spacing w:after="0"/>
              <w:rPr>
                <w:sz w:val="21"/>
                <w:szCs w:val="21"/>
                <w:color w:val="auto"/>
              </w:rPr>
            </w:pPr>
          </w:p>
        </w:tc>
        <w:tc>
          <w:tcPr>
            <w:tcW w:w="3560" w:type="dxa"/>
            <w:vAlign w:val="bottom"/>
            <w:tcBorders>
              <w:top w:val="single" w:sz="8" w:color="CCEEFF"/>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52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w:t>
            </w:r>
          </w:p>
        </w:tc>
      </w:tr>
      <w:tr>
        <w:trPr>
          <w:trHeight w:val="234"/>
        </w:trPr>
        <w:tc>
          <w:tcPr>
            <w:tcW w:w="4440" w:type="dxa"/>
            <w:vAlign w:val="bottom"/>
            <w:tcBorders>
              <w:top w:val="single" w:sz="8" w:color="CCEEFF"/>
            </w:tcBorders>
          </w:tcPr>
          <w:p>
            <w:pPr>
              <w:spacing w:after="0"/>
              <w:rPr>
                <w:sz w:val="20"/>
                <w:szCs w:val="20"/>
                <w:color w:val="auto"/>
              </w:rPr>
            </w:pPr>
          </w:p>
        </w:tc>
        <w:tc>
          <w:tcPr>
            <w:tcW w:w="3560" w:type="dxa"/>
            <w:vAlign w:val="bottom"/>
            <w:tcBorders>
              <w:top w:val="single" w:sz="8" w:color="CCEEFF"/>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3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by geographic area</w:t>
            </w:r>
          </w:p>
        </w:tc>
        <w:tc>
          <w:tcPr>
            <w:tcW w:w="35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6"/>
        </w:trPr>
        <w:tc>
          <w:tcPr>
            <w:tcW w:w="44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452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5,664</w:t>
            </w:r>
          </w:p>
        </w:tc>
      </w:tr>
      <w:tr>
        <w:trPr>
          <w:trHeight w:val="27"/>
        </w:trPr>
        <w:tc>
          <w:tcPr>
            <w:tcW w:w="44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r>
      <w:tr>
        <w:trPr>
          <w:trHeight w:val="254"/>
        </w:trPr>
        <w:tc>
          <w:tcPr>
            <w:tcW w:w="4440" w:type="dxa"/>
            <w:vAlign w:val="bottom"/>
            <w:tcBorders>
              <w:top w:val="single" w:sz="8" w:color="CCEEFF"/>
            </w:tcBorders>
          </w:tcPr>
          <w:p>
            <w:pPr>
              <w:spacing w:after="0"/>
              <w:rPr>
                <w:sz w:val="22"/>
                <w:szCs w:val="22"/>
                <w:color w:val="auto"/>
              </w:rPr>
            </w:pPr>
          </w:p>
        </w:tc>
        <w:tc>
          <w:tcPr>
            <w:tcW w:w="3560" w:type="dxa"/>
            <w:vAlign w:val="bottom"/>
            <w:tcBorders>
              <w:top w:val="single" w:sz="8" w:color="CCEEFF"/>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52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6,403</w:t>
            </w:r>
          </w:p>
        </w:tc>
      </w:tr>
      <w:tr>
        <w:trPr>
          <w:trHeight w:val="406"/>
        </w:trPr>
        <w:tc>
          <w:tcPr>
            <w:tcW w:w="4440" w:type="dxa"/>
            <w:vAlign w:val="bottom"/>
            <w:tcBorders>
              <w:top w:val="single" w:sz="8" w:color="CCEEFF"/>
            </w:tcBorders>
          </w:tcPr>
          <w:p>
            <w:pPr>
              <w:spacing w:after="0"/>
              <w:rPr>
                <w:sz w:val="24"/>
                <w:szCs w:val="24"/>
                <w:color w:val="auto"/>
              </w:rPr>
            </w:pPr>
          </w:p>
        </w:tc>
        <w:tc>
          <w:tcPr>
            <w:tcW w:w="3560" w:type="dxa"/>
            <w:vAlign w:val="bottom"/>
            <w:tcBorders>
              <w:top w:val="single" w:sz="8" w:color="CCEEFF"/>
            </w:tcBorders>
          </w:tcPr>
          <w:p>
            <w:pPr>
              <w:jc w:val="right"/>
              <w:ind w:right="2191"/>
              <w:spacing w:after="0"/>
              <w:rPr>
                <w:sz w:val="20"/>
                <w:szCs w:val="20"/>
                <w:color w:val="auto"/>
              </w:rPr>
            </w:pPr>
            <w:r>
              <w:rPr>
                <w:rFonts w:ascii="Arial" w:cs="Arial" w:eastAsia="Arial" w:hAnsi="Arial"/>
                <w:sz w:val="18"/>
                <w:szCs w:val="18"/>
                <w:color w:val="auto"/>
              </w:rPr>
              <w:t>28</w:t>
            </w: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3280" w:type="dxa"/>
            <w:vAlign w:val="bottom"/>
          </w:tcPr>
          <w:p>
            <w:pPr>
              <w:spacing w:after="0"/>
              <w:rPr>
                <w:sz w:val="24"/>
                <w:szCs w:val="24"/>
                <w:color w:val="auto"/>
              </w:rPr>
            </w:pPr>
          </w:p>
        </w:tc>
        <w:tc>
          <w:tcPr>
            <w:tcW w:w="4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GEVO, INC.</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3280" w:type="dxa"/>
            <w:vAlign w:val="bottom"/>
          </w:tcPr>
          <w:p>
            <w:pPr>
              <w:spacing w:after="0"/>
              <w:rPr>
                <w:sz w:val="18"/>
                <w:szCs w:val="18"/>
                <w:color w:val="auto"/>
              </w:rPr>
            </w:pPr>
          </w:p>
        </w:tc>
        <w:tc>
          <w:tcPr>
            <w:tcW w:w="4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Notes to Consolidated Financial Statements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4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(unaudited)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3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2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32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rPr>
              <w:t>Total assets</w:t>
            </w: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4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80,279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91,861</w:t>
            </w:r>
          </w:p>
        </w:tc>
      </w:tr>
      <w:tr>
        <w:trPr>
          <w:trHeight w:val="213"/>
        </w:trPr>
        <w:tc>
          <w:tcPr>
            <w:tcW w:w="328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140,293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143,349</w:t>
            </w:r>
          </w:p>
        </w:tc>
      </w:tr>
      <w:tr>
        <w:trPr>
          <w:trHeight w:val="213"/>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Intercompany eliminations (1)</w:t>
            </w:r>
          </w:p>
        </w:tc>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(136,410)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(141,851)</w:t>
            </w:r>
          </w:p>
        </w:tc>
      </w:tr>
      <w:tr>
        <w:trPr>
          <w:trHeight w:val="247"/>
        </w:trPr>
        <w:tc>
          <w:tcPr>
            <w:tcW w:w="3280" w:type="dxa"/>
            <w:vAlign w:val="bottom"/>
            <w:tcBorders>
              <w:top w:val="single" w:sz="8" w:color="CCEEFF"/>
            </w:tcBorders>
          </w:tcPr>
          <w:p>
            <w:pPr>
              <w:spacing w:after="0"/>
              <w:rPr>
                <w:sz w:val="21"/>
                <w:szCs w:val="21"/>
                <w:color w:val="auto"/>
              </w:rPr>
            </w:pPr>
          </w:p>
        </w:tc>
        <w:tc>
          <w:tcPr>
            <w:tcW w:w="47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(2)</w:t>
            </w:r>
          </w:p>
        </w:tc>
        <w:tc>
          <w:tcPr>
            <w:tcW w:w="4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84,162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93,359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400" w:right="100" w:hanging="260"/>
        <w:spacing w:after="0" w:line="255"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intercompany sales of $0.1 million during the three months ended March 31, 2020 and $0.4 million for the year ended December 31, 2019 for hydrocarbon sales.</w:t>
      </w:r>
    </w:p>
    <w:p>
      <w:pPr>
        <w:ind w:left="400" w:hanging="260"/>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significant non-cash items relate to the activities of Gevo.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ind w:left="20" w:firstLine="480"/>
        <w:spacing w:after="0" w:line="280"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to our business, our financial condition, our results of operation and liquidity, risks and uncertainties related to our ability to sell our products, our ability to expand or continue production of isobutanol, renewable hydrocarbon products and ethanol at our production facility in Luverne Minnesota (the “Luverne Facility”), our ability to meet our production, financial and operational guidance, our strategy to pursue low-carbon renewable fuels for sale into California and elsewhere, our ability to replace our fossil-based energy sources with renewable energy sources at the Luverne Facility and elsewhere, our ability and plans to construct a commercial hydrocarbon facility to produce renewable isooctane and alcohol-to-jet fuel ("ATJ"), our ability to raise additional funds to continue operations and/or expand our production capabilities, our ability to perform under our existing renewable hydrocarbon offtake agreements and other supply agreements we may enter into in the future, our ability to enter into additional hydrocarbon supply agreements, our ability to obtain project finance debt and third-party equity for our renewable natural gas project, our ability to produce isobutanol, renewable hydrocarbon products and ethanol on a commercial level and at a profit, achievement of advances in our technology platform, the success of our upgraded production facility, the availability of suitable and cost-competitive feedstocks, our ability to gain market acceptance for our products, the expected cost-competitiveness and relative performance attributes of our isobutanol, renewable hydrocarbon products and ethanol,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2019 (our “Annual Report”), and subsequent reports on Form 10-Q, including Item 1A. "Risk Factors" of this Report. All forward-looking statements in this Report are qualified entirely by the cautionary statements included in this Report and such other filings. These risks and uncertainties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31" w:lineRule="exact"/>
        <w:rPr>
          <w:sz w:val="20"/>
          <w:szCs w:val="20"/>
          <w:color w:val="auto"/>
        </w:rPr>
      </w:pPr>
    </w:p>
    <w:p>
      <w:pPr>
        <w:ind w:left="20" w:right="60" w:firstLine="309"/>
        <w:spacing w:after="0" w:line="306"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4" w:lineRule="exact"/>
        <w:rPr>
          <w:sz w:val="20"/>
          <w:szCs w:val="20"/>
          <w:color w:val="auto"/>
        </w:rPr>
      </w:pPr>
    </w:p>
    <w:p>
      <w:pPr>
        <w:ind w:left="20" w:firstLine="480"/>
        <w:spacing w:after="0" w:line="267" w:lineRule="auto"/>
        <w:rPr>
          <w:sz w:val="20"/>
          <w:szCs w:val="20"/>
          <w:color w:val="auto"/>
        </w:rPr>
      </w:pPr>
      <w:r>
        <w:rPr>
          <w:rFonts w:ascii="Arial" w:cs="Arial" w:eastAsia="Arial" w:hAnsi="Arial"/>
          <w:sz w:val="17"/>
          <w:szCs w:val="17"/>
          <w:color w:val="auto"/>
        </w:rPr>
        <w:t>We are a growth-oriented renewable fuels company that is commercializing the next generation of renewable low-carbon liquid transportation fuels with the potential to achieve “net zero” greenhouse gas (“GHG”) footprint and address global needs of reducing GHG emissions with sustainable alternatives to petroleum fuels. 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to the potential of net zero carbon emissions across the whole of the fuel life-cycle, our renewable fuels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w:t>
      </w:r>
    </w:p>
    <w:p>
      <w:pPr>
        <w:spacing w:after="0" w:line="182" w:lineRule="exact"/>
        <w:rPr>
          <w:sz w:val="20"/>
          <w:szCs w:val="20"/>
          <w:color w:val="auto"/>
        </w:rPr>
      </w:pPr>
    </w:p>
    <w:p>
      <w:pPr>
        <w:ind w:left="20" w:firstLine="480"/>
        <w:spacing w:after="0" w:line="268" w:lineRule="auto"/>
        <w:rPr>
          <w:sz w:val="20"/>
          <w:szCs w:val="20"/>
          <w:color w:val="auto"/>
        </w:rPr>
      </w:pPr>
      <w:r>
        <w:rPr>
          <w:rFonts w:ascii="Arial" w:cs="Arial" w:eastAsia="Arial" w:hAnsi="Arial"/>
          <w:sz w:val="17"/>
          <w:szCs w:val="17"/>
          <w:color w:val="auto"/>
        </w:rPr>
        <w:t>Our production processes and fuel products have been proven to work. We use low-carbon, renewable resource-based carbohydrates as raw materials. In the near-term, our feedstocks will primarily consist of non-food corn. As our technology is applied globally, feedstocks can consist of sugar cane, molasses or other cellulosic sugars derived from wood, agricultural residues and waste. Our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gasoline and jet fuel using simple and common chemical conversion processes. We also plan to reduce or eliminate fossil-based process energy inputs by replacing them with renewable energy such as wind-powered electricity and renewable natural gas (“RNG”).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0" w:lineRule="exact"/>
        <w:rPr>
          <w:sz w:val="20"/>
          <w:szCs w:val="20"/>
          <w:color w:val="auto"/>
        </w:rPr>
      </w:pPr>
    </w:p>
    <w:p>
      <w:pPr>
        <w:ind w:right="60" w:firstLine="480"/>
        <w:spacing w:after="0" w:line="271" w:lineRule="auto"/>
        <w:rPr>
          <w:sz w:val="20"/>
          <w:szCs w:val="20"/>
          <w:color w:val="auto"/>
        </w:rPr>
      </w:pPr>
      <w:r>
        <w:rPr>
          <w:rFonts w:ascii="Arial" w:cs="Arial" w:eastAsia="Arial" w:hAnsi="Arial"/>
          <w:sz w:val="17"/>
          <w:szCs w:val="17"/>
          <w:color w:val="auto"/>
        </w:rPr>
        <w:t>The COVID-19 pandemic has had an adverse impact on global commercial activity, including the global transportation industry and its supply chain, and has contributed to significant volatility in the financial markets including, among other effects, a decline in the equity markets and reduced liquidity generally for many companies, including us. In light of the potential future disruption to our own business operations and those of our customers, suppliers and other third parties with whom we interact, we considered the impact of the COVID-19 pandemic on our business. This analysis considered our business' resilience and continuity plans, financial modeling and stress testing of liquidity and financial resources.</w:t>
      </w:r>
    </w:p>
    <w:p>
      <w:pPr>
        <w:spacing w:after="0" w:line="177" w:lineRule="exact"/>
        <w:rPr>
          <w:sz w:val="20"/>
          <w:szCs w:val="20"/>
          <w:color w:val="auto"/>
        </w:rPr>
      </w:pPr>
    </w:p>
    <w:p>
      <w:pPr>
        <w:ind w:right="140" w:firstLine="480"/>
        <w:spacing w:after="0" w:line="266" w:lineRule="auto"/>
        <w:rPr>
          <w:sz w:val="20"/>
          <w:szCs w:val="20"/>
          <w:color w:val="auto"/>
        </w:rPr>
      </w:pPr>
      <w:r>
        <w:rPr>
          <w:rFonts w:ascii="Arial" w:cs="Arial" w:eastAsia="Arial" w:hAnsi="Arial"/>
          <w:sz w:val="17"/>
          <w:szCs w:val="17"/>
          <w:color w:val="auto"/>
        </w:rPr>
        <w:t>The analysis concluded that the COVID-19 pandemic did not have a material adverse impact to our financial results for the first quarter of 2020. Although the COVID-19 pandemic did not have a material adverse impact to our financial results for the first quarter of 2020, we expect that the impact of the COVID-19 pandemic on general economic activity could negatively impact our revenue and operating results for the remainder of 2020. For example, in March 2020, following a temporary suspension of ethanol production at the Luverne Facility, we ultimately suspended production for the foreseeable future due to the impact of COVID-19 on the economy and our industry as a whole. There is also a risk that COVID-19 could have a material adverse impact on customer demand and cash flow for the remainder of 2020 and beyond. We will continue to monitor the situation and assess possible implications to our business and our stakeholders and will take appropriate actions to help mitigate adverse consequences. The extent to which COVID-19 impacts our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82" w:lineRule="exact"/>
        <w:rPr>
          <w:sz w:val="20"/>
          <w:szCs w:val="20"/>
          <w:color w:val="auto"/>
        </w:rPr>
      </w:pPr>
    </w:p>
    <w:p>
      <w:pPr>
        <w:ind w:right="20" w:firstLine="480"/>
        <w:spacing w:after="0" w:line="267" w:lineRule="auto"/>
        <w:rPr>
          <w:sz w:val="20"/>
          <w:szCs w:val="20"/>
          <w:color w:val="auto"/>
        </w:rPr>
      </w:pPr>
      <w:r>
        <w:rPr>
          <w:rFonts w:ascii="Arial" w:cs="Arial" w:eastAsia="Arial" w:hAnsi="Arial"/>
          <w:sz w:val="17"/>
          <w:szCs w:val="17"/>
          <w:color w:val="auto"/>
        </w:rPr>
        <w:t>We have considered multiple scenarios, with both positive and negative inputs, as part of the significant estimates and assumptions that are inherent in our financial statements and are based on trends in customer behavior and the economic environment throughout the quarter and beyond as the COVID-19 pandemic has impacted the industries in which we operate. These estimates and assumptions include the collectability of billed and unbilled receivables, the estimation of revenue and tangible and intangible assets. With regard to collectability, we believe we may face atypical delays in client payments going forward. In addition, we believe that the demand for certain discretionary lines of business may decrease, and that such decrease will impact our financial results in succeeding periods. Non-discretionary lines of business may also be adversely affected, for example because reduced economic activity or disruption in hydrocarbon markets reduces demand for or the extent of ATJ, isooctane and isooctene. We believe that these trends and uncertainties are comparable to those faced by other registrants as a result of the pandemic.</w:t>
      </w:r>
    </w:p>
    <w:p>
      <w:pPr>
        <w:spacing w:after="0" w:line="182"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In response to the impact of the COVID-19 pandemic, we reduced our workforce in March 2020, impacting 26 people at the Luverne Facility and four people at our corporate headquarters. (See "</w:t>
      </w:r>
      <w:r>
        <w:rPr>
          <w:rFonts w:ascii="Arial" w:cs="Arial" w:eastAsia="Arial" w:hAnsi="Arial"/>
          <w:sz w:val="16"/>
          <w:szCs w:val="16"/>
          <w:i w:val="1"/>
          <w:iCs w:val="1"/>
          <w:color w:val="auto"/>
        </w:rPr>
        <w:t>Restructuring Expenses</w:t>
      </w:r>
      <w:r>
        <w:rPr>
          <w:rFonts w:ascii="Arial" w:cs="Arial" w:eastAsia="Arial" w:hAnsi="Arial"/>
          <w:sz w:val="16"/>
          <w:szCs w:val="16"/>
          <w:color w:val="auto"/>
        </w:rPr>
        <w:t>" below.) We also reduced, and each of Patrick R. Gruber, our Chief Executive Officer, Christopher M. Ryan, our President, Chief Operating Officer and Chief Technology Officer, L. Lynn Smull, our Chief Financial Officer, Timothy J. Cesarek, our Chief Commercial Officer, Geoffrey T. Williams, Jr., our General Counsel and Secretary, and Carolyn M. Romero, our Vice President - Controller and Principal Accounting Officer (collectively, the “Officers”) accepted 20% reductions to their base salaries. These reductions became effective as of April 1, 2020 for a period of 90 days thereafter. In connection with the 20% salary reduction, the Officers were granted Company stock in the form of restricted stock awards in an amount equal to the 20% reduction. Certain remaining employees that earn above a certain dollar threshold also agreed to take a 20% salary reduction over the next three months, with the 20% portion to be paid in the form of restricted stock awards.</w:t>
      </w:r>
    </w:p>
    <w:p>
      <w:pPr>
        <w:spacing w:after="0" w:line="167" w:lineRule="exact"/>
        <w:rPr>
          <w:sz w:val="20"/>
          <w:szCs w:val="20"/>
          <w:color w:val="auto"/>
        </w:rPr>
      </w:pPr>
    </w:p>
    <w:p>
      <w:pPr>
        <w:ind w:right="40" w:firstLine="480"/>
        <w:spacing w:after="0" w:line="252" w:lineRule="auto"/>
        <w:rPr>
          <w:sz w:val="20"/>
          <w:szCs w:val="20"/>
          <w:color w:val="auto"/>
        </w:rPr>
      </w:pPr>
      <w:r>
        <w:rPr>
          <w:rFonts w:ascii="Arial" w:cs="Arial" w:eastAsia="Arial" w:hAnsi="Arial"/>
          <w:sz w:val="18"/>
          <w:szCs w:val="18"/>
          <w:color w:val="auto"/>
        </w:rPr>
        <w:t>In addition, in connection with the impact that the COVID-19 pandemic has had on the economy and on the resulting disruption to the airline industry specifically, we and Delta Air Lines, Inc. (“Delta”) amended portions of our previously disclosed Fuel Sales Agreement (the “Delta Agreement”) on April 22, 2020 (the “Delta Amendment”). The Delta Amendment provides that Delta may terminate the Delta Agreement if we do not notify Delta by June 30, 2024 that the facility for the production, refining and delivery of ATJ with a nameplate capacity of up to 12 million gallons per year (the “Facility”) has achieved commercial operation and the ability to produce and deliver the ATJ purchased pursuant to the Delta Agreement (the date upon which such operation occurs is referred to as the “Commencement Date”).</w:t>
      </w:r>
    </w:p>
    <w:p>
      <w:pPr>
        <w:spacing w:after="0" w:line="190" w:lineRule="exact"/>
        <w:rPr>
          <w:sz w:val="20"/>
          <w:szCs w:val="20"/>
          <w:color w:val="auto"/>
        </w:rPr>
      </w:pPr>
    </w:p>
    <w:p>
      <w:pPr>
        <w:ind w:right="60" w:firstLine="480"/>
        <w:spacing w:after="0" w:line="296" w:lineRule="auto"/>
        <w:rPr>
          <w:sz w:val="20"/>
          <w:szCs w:val="20"/>
          <w:color w:val="auto"/>
        </w:rPr>
      </w:pPr>
      <w:r>
        <w:rPr>
          <w:rFonts w:ascii="Arial" w:cs="Arial" w:eastAsia="Arial" w:hAnsi="Arial"/>
          <w:sz w:val="16"/>
          <w:szCs w:val="16"/>
          <w:color w:val="auto"/>
        </w:rPr>
        <w:t>The Delta Amendment also revises the credit support terms in the Delta Agreement to state that we and Delta will work to mutually agree upon credit support terms for the take or pay that are acceptable to our lender to enable us to obtain third party financing prior to the earlier of the time that we obtain financing for construction of the Facility or otherwise issue a notice to commence construction of the Facility. If we and Delta are unable to agree on reasonable credit support terms, we may terminate the Delta Agreement. The balance of Delta’s credit support obligations were deleted.</w:t>
      </w:r>
    </w:p>
    <w:p>
      <w:pPr>
        <w:spacing w:after="0" w:line="160" w:lineRule="exact"/>
        <w:rPr>
          <w:sz w:val="20"/>
          <w:szCs w:val="20"/>
          <w:color w:val="auto"/>
        </w:rPr>
      </w:pPr>
    </w:p>
    <w:p>
      <w:pPr>
        <w:ind w:right="40" w:firstLine="480"/>
        <w:spacing w:after="0" w:line="269" w:lineRule="auto"/>
        <w:rPr>
          <w:sz w:val="20"/>
          <w:szCs w:val="20"/>
          <w:color w:val="auto"/>
        </w:rPr>
      </w:pPr>
      <w:r>
        <w:rPr>
          <w:rFonts w:ascii="Arial" w:cs="Arial" w:eastAsia="Arial" w:hAnsi="Arial"/>
          <w:sz w:val="17"/>
          <w:szCs w:val="17"/>
          <w:color w:val="auto"/>
        </w:rPr>
        <w:t>In addition, the Delta Amendment revises the ATJ pricing in the Delta Agreement to the extent that if Brent Crude is below a certain cutoff price as of the date that is 60 days prior to the Commencement Date (the “Commencement Notice Date”), then the pricing adjusts based upon a formula related to the Brent crude prices as of the Commencement Notice Date. The Delta Amendment also provides that, if as of the Commencement Notice Date, the Brent Crude price is below the price adjustment range, Delta may eliminate the take-or-pay requirements of the Delta Agreement, which includes eliminating Delta’s obligation to take-or-pay the 10 million gallons per year of ATJ. Instead, the Delta Agreement would require us and Delta to agree at that time on the volumes and price of any ATJ to be sold under the Delta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220" w:lineRule="exact"/>
        <w:rPr>
          <w:sz w:val="20"/>
          <w:szCs w:val="20"/>
          <w:color w:val="auto"/>
        </w:rPr>
      </w:pPr>
    </w:p>
    <w:p>
      <w:pPr>
        <w:ind w:right="100" w:firstLine="480"/>
        <w:spacing w:after="0" w:line="274" w:lineRule="auto"/>
        <w:rPr>
          <w:sz w:val="20"/>
          <w:szCs w:val="20"/>
          <w:color w:val="auto"/>
        </w:rPr>
      </w:pPr>
      <w:r>
        <w:rPr>
          <w:rFonts w:ascii="Arial" w:cs="Arial" w:eastAsia="Arial" w:hAnsi="Arial"/>
          <w:sz w:val="17"/>
          <w:szCs w:val="17"/>
          <w:color w:val="auto"/>
        </w:rPr>
        <w:t>During the first quarter of 2020, we temporarily suspended and ultimately suspended for the foreseeable future our ethanol production at the Luverne Facility. In addition, due to the impact of the COVID-19 pandemic on the global economy and our industry, we also reduced our workforce impacting 26 people at the Luverne Facility and four people at our corporate headquarters. Affected employees were offered a severance package which included a one-time payment, one month of health insurance and acceleration of vesting of any unvested restricted stock awards.</w:t>
      </w:r>
    </w:p>
    <w:p>
      <w:pPr>
        <w:spacing w:after="0" w:line="175" w:lineRule="exact"/>
        <w:rPr>
          <w:sz w:val="20"/>
          <w:szCs w:val="20"/>
          <w:color w:val="auto"/>
        </w:rPr>
      </w:pPr>
    </w:p>
    <w:p>
      <w:pPr>
        <w:ind w:right="220" w:firstLine="480"/>
        <w:spacing w:after="0" w:line="300" w:lineRule="auto"/>
        <w:rPr>
          <w:sz w:val="20"/>
          <w:szCs w:val="20"/>
          <w:color w:val="auto"/>
        </w:rPr>
      </w:pPr>
      <w:r>
        <w:rPr>
          <w:rFonts w:ascii="Arial" w:cs="Arial" w:eastAsia="Arial" w:hAnsi="Arial"/>
          <w:sz w:val="17"/>
          <w:szCs w:val="17"/>
          <w:color w:val="auto"/>
        </w:rPr>
        <w:t xml:space="preserve">We incurred $0.1 million related to severance costs and $0.2 million related to lease agreements for which it will no longer receive value during the three months ended March 31, 2020, which are recorded as </w:t>
      </w:r>
      <w:r>
        <w:rPr>
          <w:rFonts w:ascii="Arial" w:cs="Arial" w:eastAsia="Arial" w:hAnsi="Arial"/>
          <w:sz w:val="17"/>
          <w:szCs w:val="17"/>
          <w:i w:val="1"/>
          <w:iCs w:val="1"/>
          <w:color w:val="auto"/>
        </w:rPr>
        <w:t>Restructuring expenses</w:t>
      </w:r>
      <w:r>
        <w:rPr>
          <w:rFonts w:ascii="Arial" w:cs="Arial" w:eastAsia="Arial" w:hAnsi="Arial"/>
          <w:sz w:val="17"/>
          <w:szCs w:val="17"/>
          <w:color w:val="auto"/>
        </w:rPr>
        <w:t xml:space="preserve"> on the Consolidated Statements of Operations.</w:t>
      </w:r>
    </w:p>
    <w:p>
      <w:pPr>
        <w:spacing w:after="0" w:line="152" w:lineRule="exact"/>
        <w:rPr>
          <w:sz w:val="20"/>
          <w:szCs w:val="20"/>
          <w:color w:val="auto"/>
        </w:rPr>
      </w:pPr>
    </w:p>
    <w:p>
      <w:pPr>
        <w:ind w:right="40" w:firstLine="480"/>
        <w:spacing w:after="0" w:line="296" w:lineRule="auto"/>
        <w:rPr>
          <w:sz w:val="20"/>
          <w:szCs w:val="20"/>
          <w:color w:val="auto"/>
        </w:rPr>
      </w:pPr>
      <w:r>
        <w:rPr>
          <w:rFonts w:ascii="Arial" w:cs="Arial" w:eastAsia="Arial" w:hAnsi="Arial"/>
          <w:sz w:val="16"/>
          <w:szCs w:val="16"/>
          <w:color w:val="auto"/>
        </w:rPr>
        <w:t>We intend to continue developing our hydrocarbon business, including the planned expansion of the Luverne Facility, and we expect to move forward in securing the project funding needed to expand the Luverne Facility. The expansion is designed to allow us to produce large quantities of low carbon isobutanol, sustainable aviation fuel and renewable isooctane. We also expect to continue engineering efforts for the expansion of isobutanol production and the construction of a commercial renewable hydrocarbon production facility, as well as additional decarbonization projects, at the Luverne Facility.</w:t>
      </w:r>
    </w:p>
    <w:p>
      <w:pPr>
        <w:sectPr>
          <w:pgSz w:w="11900" w:h="16838" w:orient="portrait"/>
          <w:cols w:equalWidth="0" w:num="1">
            <w:col w:w="11200"/>
          </w:cols>
          <w:pgMar w:left="320" w:top="125" w:right="379" w:bottom="380" w:gutter="0" w:footer="0" w:header="0"/>
        </w:sectPr>
      </w:pP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38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Financial Condition</w:t>
      </w:r>
    </w:p>
    <w:p>
      <w:pPr>
        <w:spacing w:after="0" w:line="219" w:lineRule="exact"/>
        <w:rPr>
          <w:sz w:val="20"/>
          <w:szCs w:val="20"/>
          <w:color w:val="auto"/>
        </w:rPr>
      </w:pPr>
    </w:p>
    <w:p>
      <w:pPr>
        <w:ind w:right="40" w:firstLine="480"/>
        <w:spacing w:after="0" w:line="296" w:lineRule="auto"/>
        <w:rPr>
          <w:sz w:val="20"/>
          <w:szCs w:val="20"/>
          <w:color w:val="auto"/>
        </w:rPr>
      </w:pPr>
      <w:r>
        <w:rPr>
          <w:rFonts w:ascii="Arial" w:cs="Arial" w:eastAsia="Arial" w:hAnsi="Arial"/>
          <w:sz w:val="16"/>
          <w:szCs w:val="16"/>
          <w:color w:val="auto"/>
        </w:rPr>
        <w:t>For the three months ended March 31, 2020, we incurred a consolidated net loss of $9.3 million and, as of March 31, 2020, we had an accumulated deficit of $467.2 million. Our cash and cash equivalents at March 31, 2020 totaled $9.3 million, which is primarily being used for the following: (i) operating activities at our corporate headquarters in Colorado, including research and development work; (ii) development costs associated with RNG; (iii) exploration of strategic alternatives and new financings; (iv) debt service obligations; and (v) maintaining our Luverne Facility.</w:t>
      </w:r>
    </w:p>
    <w:p>
      <w:pPr>
        <w:spacing w:after="0" w:line="160"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7" w:lineRule="exact"/>
        <w:rPr>
          <w:sz w:val="20"/>
          <w:szCs w:val="20"/>
          <w:color w:val="auto"/>
        </w:rPr>
      </w:pPr>
    </w:p>
    <w:p>
      <w:pPr>
        <w:ind w:right="40" w:firstLine="480"/>
        <w:spacing w:after="0" w:line="274"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5"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March 31, 2020 and 2019</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goods sold</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Ethanol sales and related products, net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Hydrocarbon revenue</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revenues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220" w:type="dxa"/>
            <w:vAlign w:val="bottom"/>
          </w:tcPr>
          <w:p>
            <w:pPr>
              <w:spacing w:after="0"/>
              <w:rPr>
                <w:sz w:val="20"/>
                <w:szCs w:val="20"/>
                <w:color w:val="auto"/>
              </w:rPr>
            </w:pPr>
          </w:p>
        </w:tc>
        <w:tc>
          <w:tcPr>
            <w:tcW w:w="31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6"/>
              </w:rPr>
              <w:t>Three Months Ended March 31,</w:t>
            </w:r>
          </w:p>
        </w:tc>
        <w:tc>
          <w:tcPr>
            <w:tcW w:w="260" w:type="dxa"/>
            <w:vAlign w:val="bottom"/>
          </w:tcPr>
          <w:p>
            <w:pPr>
              <w:spacing w:after="0"/>
              <w:rPr>
                <w:sz w:val="20"/>
                <w:szCs w:val="20"/>
                <w:color w:val="auto"/>
              </w:rPr>
            </w:pPr>
          </w:p>
        </w:tc>
        <w:tc>
          <w:tcPr>
            <w:tcW w:w="120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Change</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3,700</w:t>
            </w:r>
          </w:p>
        </w:tc>
        <w:tc>
          <w:tcPr>
            <w:tcW w:w="2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5,664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0"/>
        </w:trPr>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8,961</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-829945</wp:posOffset>
            </wp:positionV>
            <wp:extent cx="7134225" cy="135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-558800</wp:posOffset>
            </wp:positionV>
            <wp:extent cx="7134225" cy="144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-278765</wp:posOffset>
            </wp:positionV>
            <wp:extent cx="7134225" cy="135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0" w:space="720"/>
            <w:col w:w="492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Gross loss</w:t>
            </w:r>
          </w:p>
        </w:tc>
        <w:tc>
          <w:tcPr>
            <w:tcW w:w="5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(4,314)</w:t>
            </w:r>
          </w:p>
        </w:tc>
        <w:tc>
          <w:tcPr>
            <w:tcW w:w="5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(2,558)</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(1,756)</w:t>
            </w:r>
          </w:p>
        </w:tc>
      </w:tr>
      <w:tr>
        <w:trPr>
          <w:trHeight w:val="207"/>
        </w:trPr>
        <w:tc>
          <w:tcPr>
            <w:tcW w:w="63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r>
      <w:tr>
        <w:trPr>
          <w:trHeight w:val="227"/>
        </w:trPr>
        <w:tc>
          <w:tcPr>
            <w:tcW w:w="63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2,783</w:t>
            </w:r>
          </w:p>
        </w:tc>
        <w:tc>
          <w:tcPr>
            <w:tcW w:w="5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2,092</w:t>
            </w: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r>
      <w:tr>
        <w:trPr>
          <w:trHeight w:val="214"/>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costs</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07"/>
        </w:trPr>
        <w:tc>
          <w:tcPr>
            <w:tcW w:w="63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6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3,662</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r>
      <w:tr>
        <w:trPr>
          <w:trHeight w:val="220"/>
        </w:trPr>
        <w:tc>
          <w:tcPr>
            <w:tcW w:w="6320" w:type="dxa"/>
            <w:vAlign w:val="bottom"/>
            <w:tcBorders>
              <w:top w:val="single" w:sz="8" w:color="CCEEFF"/>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(7,976)</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(2,348)</w:t>
            </w:r>
          </w:p>
        </w:tc>
      </w:tr>
      <w:tr>
        <w:trPr>
          <w:trHeight w:val="207"/>
        </w:trPr>
        <w:tc>
          <w:tcPr>
            <w:tcW w:w="63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5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(755)</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modification of 2020 Notes</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Gain from change in fair value of derivative warrant liability</w:t>
            </w:r>
          </w:p>
        </w:tc>
        <w:tc>
          <w:tcPr>
            <w:tcW w:w="5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199"/>
        </w:trPr>
        <w:tc>
          <w:tcPr>
            <w:tcW w:w="632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w w:val="93"/>
              </w:rPr>
              <w:t>(Loss) gain from change in fair value of 2020/21 Notes and 2020 Notes embedded</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liability</w:t>
            </w:r>
          </w:p>
        </w:tc>
        <w:tc>
          <w:tcPr>
            <w:tcW w:w="5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07"/>
        </w:trPr>
        <w:tc>
          <w:tcPr>
            <w:tcW w:w="63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ind w:left="480"/>
              <w:spacing w:after="0"/>
              <w:rPr>
                <w:sz w:val="20"/>
                <w:szCs w:val="20"/>
                <w:color w:val="auto"/>
              </w:rPr>
            </w:pPr>
            <w:r>
              <w:rPr>
                <w:rFonts w:ascii="Arial" w:cs="Arial" w:eastAsia="Arial" w:hAnsi="Arial"/>
                <w:sz w:val="18"/>
                <w:szCs w:val="18"/>
                <w:color w:val="auto"/>
              </w:rPr>
              <w:t>Total other income (expense), net</w:t>
            </w:r>
          </w:p>
        </w:tc>
        <w:tc>
          <w:tcPr>
            <w:tcW w:w="5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(1,277)</w:t>
            </w:r>
          </w:p>
        </w:tc>
        <w:tc>
          <w:tcPr>
            <w:tcW w:w="5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(769)</w:t>
            </w:r>
          </w:p>
        </w:tc>
      </w:tr>
      <w:tr>
        <w:trPr>
          <w:trHeight w:val="207"/>
        </w:trPr>
        <w:tc>
          <w:tcPr>
            <w:tcW w:w="63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(9,253)</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(6,136)</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(3,117)</w:t>
            </w:r>
          </w:p>
        </w:tc>
      </w:tr>
      <w:tr>
        <w:trPr>
          <w:trHeight w:val="20"/>
        </w:trPr>
        <w:tc>
          <w:tcPr>
            <w:tcW w:w="6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40" w:firstLine="309"/>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from the sale of ethanol, isobutanol and related products for the three months ended March 31, 2020 was $3.7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$2.0 million compared to the three months ended March 31, 2019. This decrease was primarily the result of a combination of (i) decreased sales volumes of ethanol and distiller grains and (ii) a decline in ethanol prices for the three months ended March 31, 2020 compared with the same period ended March 31, 2019. During the three months ended March 31, 2020, we sold 2.4 million gallons of ethanol compared to 3.7 million gallons of ethanol sold in the three months ended March 31, 2019.</w:t>
      </w:r>
    </w:p>
    <w:p>
      <w:pPr>
        <w:spacing w:after="0" w:line="190" w:lineRule="exact"/>
        <w:rPr>
          <w:sz w:val="20"/>
          <w:szCs w:val="20"/>
          <w:color w:val="auto"/>
        </w:rPr>
      </w:pPr>
    </w:p>
    <w:p>
      <w:pPr>
        <w:jc w:val="both"/>
        <w:ind w:right="60" w:firstLine="309"/>
        <w:spacing w:after="0" w:line="258" w:lineRule="auto"/>
        <w:rPr>
          <w:sz w:val="20"/>
          <w:szCs w:val="20"/>
          <w:color w:val="auto"/>
        </w:rPr>
      </w:pPr>
      <w:r>
        <w:rPr>
          <w:rFonts w:ascii="Arial" w:cs="Arial" w:eastAsia="Arial" w:hAnsi="Arial"/>
          <w:sz w:val="18"/>
          <w:szCs w:val="18"/>
          <w:color w:val="auto"/>
        </w:rPr>
        <w:t>Hydrocarbon revenues are comprised of ATJ, isooctane and isooctene sales. Hydrocarbon sales decreased by $0.6 million during the three months ended March 31, 2020 as a result of lower shipments of finished products from our demonstration plant located at the South Hampton Resources, Inc. facility near Houston, Texas (the “South Hampton Facility”).</w:t>
      </w:r>
    </w:p>
    <w:p>
      <w:pPr>
        <w:spacing w:after="0" w:line="186" w:lineRule="exact"/>
        <w:rPr>
          <w:sz w:val="20"/>
          <w:szCs w:val="20"/>
          <w:color w:val="auto"/>
        </w:rPr>
      </w:pPr>
    </w:p>
    <w:p>
      <w:pPr>
        <w:ind w:right="140" w:firstLine="309"/>
        <w:spacing w:after="0" w:line="253"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was $8.1 million during the three months ended March 31, 2020, compared with $9.0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a decrease of approximately $0.8 million, primarily the result of decreased production for the three months ended March 31, 2020 compared to March 31, 2019 in response to an unfavorable commodity environment for the three months ended March 31, 2020. Cost of goods sold included approximately $6.5 million associated with the production of ethanol and related products and approximately $1.6 million in depreciation expense during the three months ended March 31, 2020.</w:t>
      </w:r>
    </w:p>
    <w:p>
      <w:pPr>
        <w:spacing w:after="0" w:line="190" w:lineRule="exact"/>
        <w:rPr>
          <w:sz w:val="20"/>
          <w:szCs w:val="20"/>
          <w:color w:val="auto"/>
        </w:rPr>
      </w:pPr>
    </w:p>
    <w:p>
      <w:pPr>
        <w:ind w:right="120" w:firstLine="309"/>
        <w:spacing w:after="0" w:line="300"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decreased by approximately $0.4 million during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compared with the three months ended March 31, 2019, due primarily to a decrease in personnel and consulting expenses.</w:t>
      </w:r>
    </w:p>
    <w:p>
      <w:pPr>
        <w:spacing w:after="0" w:line="152" w:lineRule="exact"/>
        <w:rPr>
          <w:sz w:val="20"/>
          <w:szCs w:val="20"/>
          <w:color w:val="auto"/>
        </w:rPr>
      </w:pPr>
    </w:p>
    <w:p>
      <w:pPr>
        <w:ind w:right="240" w:firstLine="320"/>
        <w:spacing w:after="0" w:line="258"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$0.7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compared with the three months ended March 31, 2019, due primarily to an increase in personnel and consulting expenses, partially offset by a decrease in professional fees.</w:t>
      </w:r>
    </w:p>
    <w:p>
      <w:pPr>
        <w:sectPr>
          <w:pgSz w:w="11900" w:h="16838" w:orient="portrait"/>
          <w:cols w:equalWidth="0" w:num="1">
            <w:col w:w="11240"/>
          </w:cols>
          <w:pgMar w:left="320" w:top="125" w:right="3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600" w:firstLine="480"/>
        <w:spacing w:after="0" w:line="322" w:lineRule="auto"/>
        <w:rPr>
          <w:sz w:val="20"/>
          <w:szCs w:val="20"/>
          <w:color w:val="auto"/>
        </w:rPr>
      </w:pPr>
      <w:r>
        <w:rPr>
          <w:rFonts w:ascii="Arial" w:cs="Arial" w:eastAsia="Arial" w:hAnsi="Arial"/>
          <w:sz w:val="19"/>
          <w:szCs w:val="19"/>
          <w:i w:val="1"/>
          <w:iCs w:val="1"/>
          <w:color w:val="auto"/>
        </w:rPr>
        <w:t xml:space="preserve">Restructuring Costs. </w:t>
      </w:r>
      <w:r>
        <w:rPr>
          <w:rFonts w:ascii="Arial" w:cs="Arial" w:eastAsia="Arial" w:hAnsi="Arial"/>
          <w:sz w:val="19"/>
          <w:szCs w:val="19"/>
          <w:color w:val="auto"/>
        </w:rPr>
        <w:t>During the three months ended March 31, 2020, we incurred $0.3 million of restructuring charges</w:t>
      </w:r>
      <w:r>
        <w:rPr>
          <w:rFonts w:ascii="Arial" w:cs="Arial" w:eastAsia="Arial" w:hAnsi="Arial"/>
          <w:sz w:val="19"/>
          <w:szCs w:val="19"/>
          <w:i w:val="1"/>
          <w:iCs w:val="1"/>
          <w:color w:val="auto"/>
        </w:rPr>
        <w:t xml:space="preserve"> </w:t>
      </w:r>
      <w:r>
        <w:rPr>
          <w:rFonts w:ascii="Arial" w:cs="Arial" w:eastAsia="Arial" w:hAnsi="Arial"/>
          <w:sz w:val="19"/>
          <w:szCs w:val="19"/>
          <w:color w:val="auto"/>
        </w:rPr>
        <w:t>related to the restructuring of Agri-Energy, termination of employees at Agri-Energy and Gevo and renegotiating contracts.</w:t>
      </w:r>
    </w:p>
    <w:p>
      <w:pPr>
        <w:spacing w:after="0" w:line="115" w:lineRule="exact"/>
        <w:rPr>
          <w:sz w:val="20"/>
          <w:szCs w:val="20"/>
          <w:color w:val="auto"/>
        </w:rPr>
      </w:pPr>
    </w:p>
    <w:p>
      <w:pPr>
        <w:ind w:right="240" w:firstLine="480"/>
        <w:spacing w:after="0" w:line="270"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during the three months ended March 31, 2020 was $0.5 million, a decrease of $0.2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due to the lower amortization of debt discounts and debt issuance costs.</w:t>
      </w:r>
    </w:p>
    <w:p>
      <w:pPr>
        <w:spacing w:after="0" w:line="175" w:lineRule="exact"/>
        <w:rPr>
          <w:sz w:val="20"/>
          <w:szCs w:val="20"/>
          <w:color w:val="auto"/>
        </w:rPr>
      </w:pPr>
    </w:p>
    <w:p>
      <w:pPr>
        <w:ind w:right="340" w:firstLine="469"/>
        <w:spacing w:after="0" w:line="270" w:lineRule="auto"/>
        <w:rPr>
          <w:sz w:val="20"/>
          <w:szCs w:val="20"/>
          <w:color w:val="auto"/>
        </w:rPr>
      </w:pPr>
      <w:r>
        <w:rPr>
          <w:rFonts w:ascii="Arial" w:cs="Arial" w:eastAsia="Arial" w:hAnsi="Arial"/>
          <w:sz w:val="18"/>
          <w:szCs w:val="18"/>
          <w:i w:val="1"/>
          <w:iCs w:val="1"/>
          <w:color w:val="auto"/>
        </w:rPr>
        <w:t xml:space="preserve">(Loss) from modification of 2020 Notes. </w:t>
      </w:r>
      <w:r>
        <w:rPr>
          <w:rFonts w:ascii="Arial" w:cs="Arial" w:eastAsia="Arial" w:hAnsi="Arial"/>
          <w:sz w:val="18"/>
          <w:szCs w:val="18"/>
          <w:color w:val="auto"/>
        </w:rPr>
        <w:t>During the three months ended March 31, 2020, we incurred $0.7 million of legal and professional fees to</w:t>
      </w:r>
      <w:r>
        <w:rPr>
          <w:rFonts w:ascii="Arial" w:cs="Arial" w:eastAsia="Arial" w:hAnsi="Arial"/>
          <w:sz w:val="18"/>
          <w:szCs w:val="18"/>
          <w:i w:val="1"/>
          <w:iCs w:val="1"/>
          <w:color w:val="auto"/>
        </w:rPr>
        <w:t xml:space="preserve"> </w:t>
      </w:r>
      <w:r>
        <w:rPr>
          <w:rFonts w:ascii="Arial" w:cs="Arial" w:eastAsia="Arial" w:hAnsi="Arial"/>
          <w:sz w:val="18"/>
          <w:szCs w:val="18"/>
          <w:color w:val="auto"/>
        </w:rPr>
        <w:t>modify the 2020 Notes into the 2020/21 Notes.</w:t>
      </w:r>
    </w:p>
    <w:p>
      <w:pPr>
        <w:spacing w:after="0" w:line="175" w:lineRule="exact"/>
        <w:rPr>
          <w:sz w:val="20"/>
          <w:szCs w:val="20"/>
          <w:color w:val="auto"/>
        </w:rPr>
      </w:pPr>
    </w:p>
    <w:p>
      <w:pPr>
        <w:ind w:right="160" w:firstLine="469"/>
        <w:spacing w:after="0" w:line="258" w:lineRule="auto"/>
        <w:rPr>
          <w:sz w:val="20"/>
          <w:szCs w:val="20"/>
          <w:color w:val="auto"/>
        </w:rPr>
      </w:pPr>
      <w:r>
        <w:rPr>
          <w:rFonts w:ascii="Arial" w:cs="Arial" w:eastAsia="Arial" w:hAnsi="Arial"/>
          <w:sz w:val="18"/>
          <w:szCs w:val="18"/>
          <w:i w:val="1"/>
          <w:iCs w:val="1"/>
          <w:color w:val="auto"/>
        </w:rPr>
        <w:t xml:space="preserve">(Loss) gain from change in fair value of the 2020/21 Notes and 2020 Notes embedded derivative liability. </w:t>
      </w:r>
      <w:r>
        <w:rPr>
          <w:rFonts w:ascii="Arial" w:cs="Arial" w:eastAsia="Arial" w:hAnsi="Arial"/>
          <w:sz w:val="18"/>
          <w:szCs w:val="18"/>
          <w:color w:val="auto"/>
        </w:rPr>
        <w:t>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estimated fair value of the 2020/21 Notes embedded derivative liability increased resulting in a non-cash loss of $0.1 million, primarily due to the revaluation of the embedded derivative liability as a result of the modification of the 2020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4" w:lineRule="exact"/>
        <w:rPr>
          <w:sz w:val="20"/>
          <w:szCs w:val="20"/>
          <w:color w:val="auto"/>
        </w:rPr>
      </w:pPr>
    </w:p>
    <w:p>
      <w:pPr>
        <w:ind w:right="60" w:firstLine="480"/>
        <w:spacing w:after="0" w:line="281" w:lineRule="auto"/>
        <w:rPr>
          <w:sz w:val="20"/>
          <w:szCs w:val="20"/>
          <w:color w:val="auto"/>
        </w:rPr>
      </w:pPr>
      <w:r>
        <w:rPr>
          <w:rFonts w:ascii="Arial" w:cs="Arial" w:eastAsia="Arial" w:hAnsi="Arial"/>
          <w:sz w:val="17"/>
          <w:szCs w:val="17"/>
          <w:color w:val="auto"/>
        </w:rPr>
        <w:t>Our revenues are primarily derived from: (i) the sale of isobutanol, ethanol and related products; (ii) hydrocarbon sales consisting primarily of the sale of biojet fuel and isooctane derived from our isobutanol for purposes of certification and testing; and (iii) government grants and research and development programs. During the first quarter of 2020, we suspended for the foreseeable future our ethanol production at the Luverne Facility.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4" w:lineRule="exact"/>
        <w:rPr>
          <w:sz w:val="20"/>
          <w:szCs w:val="20"/>
          <w:color w:val="auto"/>
        </w:rPr>
      </w:pPr>
    </w:p>
    <w:p>
      <w:pPr>
        <w:ind w:right="100" w:firstLine="480"/>
        <w:spacing w:after="0" w:line="274" w:lineRule="auto"/>
        <w:rPr>
          <w:sz w:val="20"/>
          <w:szCs w:val="20"/>
          <w:color w:val="auto"/>
        </w:rPr>
      </w:pPr>
      <w:r>
        <w:rPr>
          <w:rFonts w:ascii="Arial" w:cs="Arial" w:eastAsia="Arial" w:hAnsi="Arial"/>
          <w:sz w:val="17"/>
          <w:szCs w:val="17"/>
          <w:b w:val="1"/>
          <w:bCs w:val="1"/>
          <w:i w:val="1"/>
          <w:iCs w:val="1"/>
          <w:color w:val="auto"/>
        </w:rPr>
        <w:t xml:space="preserve">Cost of Goods Sold. </w:t>
      </w:r>
      <w:r>
        <w:rPr>
          <w:rFonts w:ascii="Arial" w:cs="Arial" w:eastAsia="Arial" w:hAnsi="Arial"/>
          <w:sz w:val="17"/>
          <w:szCs w:val="17"/>
          <w:color w:val="auto"/>
        </w:rPr>
        <w:t>Our cost of goods sold consists primarily of costs directly associated with ethanol production and initial operations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isobutanol at the Luverne Facility such as costs for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75" w:lineRule="exact"/>
        <w:rPr>
          <w:sz w:val="20"/>
          <w:szCs w:val="20"/>
          <w:color w:val="auto"/>
        </w:rPr>
      </w:pPr>
    </w:p>
    <w:p>
      <w:pPr>
        <w:ind w:right="140" w:firstLine="480"/>
        <w:spacing w:after="0" w:line="271"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Our research and development costs consist of expenses incurred to identify, develop and test our technologies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w:t>
      </w:r>
    </w:p>
    <w:p>
      <w:pPr>
        <w:spacing w:after="0" w:line="177" w:lineRule="exact"/>
        <w:rPr>
          <w:sz w:val="20"/>
          <w:szCs w:val="20"/>
          <w:color w:val="auto"/>
        </w:rPr>
      </w:pPr>
    </w:p>
    <w:p>
      <w:pPr>
        <w:ind w:right="200" w:firstLine="480"/>
        <w:spacing w:after="0" w:line="255"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expenses consist of personnel costs (including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and service provider expenses (including patent counsel-related costs), legal fees, marketing costs, insurance costs, occupancy-related costs, depreciation and amortization expenses on property, plant and equipment not used in our product development programs or recorded in cost of goods sold, travel and relocation expenses and hiring expenses.</w:t>
      </w:r>
    </w:p>
    <w:p>
      <w:pPr>
        <w:spacing w:after="0" w:line="188" w:lineRule="exact"/>
        <w:rPr>
          <w:sz w:val="20"/>
          <w:szCs w:val="20"/>
          <w:color w:val="auto"/>
        </w:rPr>
      </w:pPr>
    </w:p>
    <w:p>
      <w:pPr>
        <w:ind w:right="440" w:firstLine="480"/>
        <w:spacing w:after="0" w:line="300"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Our 2020/21 Notes have, and the 2020 Notes had, a fixed interest rate of 12%. As of March 31, 2020, the 2020/21 Notes had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 balance of $14.4 million. As of December 31, 2019, the 2020 Notes had a principal balance of $14.1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ind w:right="240" w:firstLine="480"/>
        <w:spacing w:after="0" w:line="296" w:lineRule="auto"/>
        <w:rPr>
          <w:sz w:val="20"/>
          <w:szCs w:val="20"/>
          <w:color w:val="auto"/>
        </w:rPr>
      </w:pPr>
      <w:r>
        <w:rPr>
          <w:rFonts w:ascii="Arial" w:cs="Arial" w:eastAsia="Arial" w:hAnsi="Arial"/>
          <w:sz w:val="16"/>
          <w:szCs w:val="16"/>
          <w:color w:val="auto"/>
        </w:rPr>
        <w:t>Since our inception in 2005, we have devoted most of our cash resources to manufacturing ethanol, isobutanol and related products, research and development and selling, general and administrative activities related to the commercialization of ethanol, isobutanol, as well as related products from renewable feedstocks. We have incurred losses since inception and expect to incur losses through at least 2020. We have financed our operations primarily with proceeds from multiple sales of equity and debt securities, borrowings under debt facilities and product sales.</w:t>
      </w:r>
    </w:p>
    <w:p>
      <w:pPr>
        <w:spacing w:after="0" w:line="160"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7" w:lineRule="exact"/>
        <w:rPr>
          <w:sz w:val="20"/>
          <w:szCs w:val="20"/>
          <w:color w:val="auto"/>
        </w:rPr>
      </w:pPr>
    </w:p>
    <w:p>
      <w:pPr>
        <w:ind w:right="100" w:firstLine="480"/>
        <w:spacing w:after="0" w:line="296" w:lineRule="auto"/>
        <w:rPr>
          <w:sz w:val="20"/>
          <w:szCs w:val="20"/>
          <w:color w:val="auto"/>
        </w:rPr>
      </w:pPr>
      <w:r>
        <w:rPr>
          <w:rFonts w:ascii="Arial" w:cs="Arial" w:eastAsia="Arial" w:hAnsi="Arial"/>
          <w:sz w:val="16"/>
          <w:szCs w:val="16"/>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40" w:firstLine="480"/>
        <w:spacing w:after="0" w:line="268" w:lineRule="auto"/>
        <w:rPr>
          <w:sz w:val="20"/>
          <w:szCs w:val="20"/>
          <w:color w:val="auto"/>
        </w:rPr>
      </w:pPr>
      <w:r>
        <w:rPr>
          <w:rFonts w:ascii="Arial" w:cs="Arial" w:eastAsia="Arial" w:hAnsi="Arial"/>
          <w:sz w:val="17"/>
          <w:szCs w:val="17"/>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Retrofit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0" w:lineRule="exact"/>
        <w:rPr>
          <w:sz w:val="20"/>
          <w:szCs w:val="20"/>
          <w:color w:val="auto"/>
        </w:rPr>
      </w:pPr>
    </w:p>
    <w:p>
      <w:pPr>
        <w:ind w:right="60" w:firstLine="480"/>
        <w:spacing w:after="0" w:line="271" w:lineRule="auto"/>
        <w:rPr>
          <w:sz w:val="20"/>
          <w:szCs w:val="20"/>
          <w:color w:val="auto"/>
        </w:rPr>
      </w:pPr>
      <w:r>
        <w:rPr>
          <w:rFonts w:ascii="Arial" w:cs="Arial" w:eastAsia="Arial" w:hAnsi="Arial"/>
          <w:sz w:val="17"/>
          <w:szCs w:val="17"/>
          <w:color w:val="auto"/>
        </w:rPr>
        <w:t>The rapidly evolving changes in financial markets could have a material impact on our ability to obtain financing, which could impact our liquidity. In addition the effectiveness of external parties, including governmental and non-governmental organizations, in combating the spread and severity of COVID-19 could have a material impact on demand for our business. Further, steps taken by market counterparties such as commercial airlines could have an impact on their ability to perform under agreements to which we are a party, which could impact our business. The rapid development and fluidity of this situation precludes any prediction as to the ultimate adverse impact of COVID-19 on our business.</w:t>
      </w:r>
    </w:p>
    <w:p>
      <w:pPr>
        <w:spacing w:after="0" w:line="177" w:lineRule="exact"/>
        <w:rPr>
          <w:sz w:val="20"/>
          <w:szCs w:val="20"/>
          <w:color w:val="auto"/>
        </w:rPr>
      </w:pPr>
    </w:p>
    <w:p>
      <w:pPr>
        <w:ind w:right="40" w:firstLine="480"/>
        <w:spacing w:after="0" w:line="253" w:lineRule="auto"/>
        <w:rPr>
          <w:sz w:val="20"/>
          <w:szCs w:val="20"/>
          <w:color w:val="auto"/>
        </w:rPr>
      </w:pPr>
      <w:r>
        <w:rPr>
          <w:rFonts w:ascii="Arial" w:cs="Arial" w:eastAsia="Arial" w:hAnsi="Arial"/>
          <w:sz w:val="18"/>
          <w:szCs w:val="18"/>
          <w:color w:val="auto"/>
        </w:rPr>
        <w:t>COVID-19 could materially disrupt our own business operations and the services we provide, as well as the business operations of our customers, suppliers and other third parties with whom we interact. As an increasing percentage of our colleagues work remotely, we face the risk that unusual working arrangements could impact the effectiveness of our operations or controls. A potential COVID-19 infection of any of our key colleagues could materially and adversely impact our operations. In addition, it is possible that COVID-19 restrictions could create difficulty for satisfying our legal or regulatory filing or other obligations, including with the SEC and other regulators.</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2020, we had an accumulated deficit of $467.2 million with cash and cash equivalents totaling $9.3 million.</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major sources and uses of cash for each of the periods set forth below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32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r>
      <w:tr>
        <w:trPr>
          <w:trHeight w:val="207"/>
        </w:trPr>
        <w:tc>
          <w:tcPr>
            <w:tcW w:w="80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jc w:val="right"/>
              <w:ind w:right="801"/>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(6,988)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(5,708)</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(2,204)</w:t>
            </w:r>
          </w:p>
        </w:tc>
      </w:tr>
      <w:tr>
        <w:trPr>
          <w:trHeight w:val="226"/>
        </w:trPr>
        <w:tc>
          <w:tcPr>
            <w:tcW w:w="8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Pr>
          <w:p>
            <w:pPr>
              <w:jc w:val="right"/>
              <w:ind w:right="801"/>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9,644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ind w:right="40" w:firstLine="480"/>
        <w:spacing w:after="0" w:line="306" w:lineRule="auto"/>
        <w:rPr>
          <w:sz w:val="20"/>
          <w:szCs w:val="20"/>
          <w:color w:val="auto"/>
        </w:rPr>
      </w:pPr>
      <w:r>
        <w:rPr>
          <w:rFonts w:ascii="Arial" w:cs="Arial" w:eastAsia="Arial" w:hAnsi="Arial"/>
          <w:sz w:val="16"/>
          <w:szCs w:val="16"/>
          <w:color w:val="auto"/>
        </w:rPr>
        <w:t>Our primary uses of cash from operating activities are personnel related expenses, research and development related expenses including costs incurred under development agreements, costs of licensing of technology, legal-related costs, expenses for production of isobutanol, ethanol and related products, logistics and further processing of isobutanol and ethanol at the Luverne Facility and for the operation of our South Hampton Facility.</w:t>
      </w:r>
    </w:p>
    <w:p>
      <w:pPr>
        <w:spacing w:after="0" w:line="150" w:lineRule="exact"/>
        <w:rPr>
          <w:sz w:val="20"/>
          <w:szCs w:val="20"/>
          <w:color w:val="auto"/>
        </w:rPr>
      </w:pPr>
    </w:p>
    <w:p>
      <w:pPr>
        <w:ind w:right="380" w:firstLine="480"/>
        <w:spacing w:after="0" w:line="306" w:lineRule="auto"/>
        <w:rPr>
          <w:sz w:val="20"/>
          <w:szCs w:val="20"/>
          <w:color w:val="auto"/>
        </w:rPr>
      </w:pPr>
      <w:r>
        <w:rPr>
          <w:rFonts w:ascii="Arial" w:cs="Arial" w:eastAsia="Arial" w:hAnsi="Arial"/>
          <w:sz w:val="16"/>
          <w:szCs w:val="16"/>
          <w:color w:val="auto"/>
        </w:rPr>
        <w:t>During the three months ended March 31, 2020, net cash used for operating activities was $7.0 million compared to $5.7 million for the three months ended March 31, 2019. The $1.3 million decrease in operating cash flows was due to reduced production at the Luverne Facility as a result of an unfavorable commodity environment, largely the result of greater corn costs as compared to national markets than the region has historically produced.</w:t>
      </w:r>
    </w:p>
    <w:p>
      <w:pPr>
        <w:spacing w:after="0" w:line="150" w:lineRule="exact"/>
        <w:rPr>
          <w:sz w:val="20"/>
          <w:szCs w:val="20"/>
          <w:color w:val="auto"/>
        </w:rPr>
      </w:pPr>
    </w:p>
    <w:p>
      <w:pPr>
        <w:ind w:right="120" w:firstLine="480"/>
        <w:spacing w:after="0" w:line="270" w:lineRule="auto"/>
        <w:rPr>
          <w:sz w:val="20"/>
          <w:szCs w:val="20"/>
          <w:color w:val="auto"/>
        </w:rPr>
      </w:pPr>
      <w:r>
        <w:rPr>
          <w:rFonts w:ascii="Arial" w:cs="Arial" w:eastAsia="Arial" w:hAnsi="Arial"/>
          <w:sz w:val="18"/>
          <w:szCs w:val="18"/>
          <w:color w:val="auto"/>
        </w:rPr>
        <w:t>During the first quarter of 2020, we suspended for the foreseeable future our ethanol production at the Luverne Facility. We are currently maintaining the Luverne Facility until we arrange financing of its expansion for the production of hydrocarbons.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0" w:lineRule="exact"/>
        <w:rPr>
          <w:sz w:val="20"/>
          <w:szCs w:val="20"/>
          <w:color w:val="auto"/>
        </w:rPr>
      </w:pPr>
    </w:p>
    <w:p>
      <w:pPr>
        <w:ind w:right="420" w:firstLine="480"/>
        <w:spacing w:after="0" w:line="292" w:lineRule="auto"/>
        <w:rPr>
          <w:sz w:val="20"/>
          <w:szCs w:val="20"/>
          <w:color w:val="auto"/>
        </w:rPr>
      </w:pPr>
      <w:r>
        <w:rPr>
          <w:rFonts w:ascii="Arial" w:cs="Arial" w:eastAsia="Arial" w:hAnsi="Arial"/>
          <w:sz w:val="16"/>
          <w:szCs w:val="16"/>
          <w:color w:val="auto"/>
        </w:rPr>
        <w:t>During the three months ended March 31, 2020, we used $0.8 million in cash for investing activities, substantially all of which related to capital expenditures at our Luverne Facility, of which $0.1 million related to the dry fractionation project and $0.6 million related to expanding our renewable hydrocarbon production capacity. We are installing equipment to fractionate and dry distillers grains at the Luverne Facility totaling approximately $3.0 million as of March 31, 2020. The cost of the fractionation machine and the thermal dryer have been funded with financing leases. No amounts are payable on these financing leases until the equipment is operational. The fractionation machine is expected to be operational in the first half of 2023.</w:t>
      </w:r>
    </w:p>
    <w:p>
      <w:pPr>
        <w:spacing w:after="0" w:line="162"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We are developing a renewable electricity and RNG project comprised of anaerobic digesters to be located at three dairy farms in northwest Iowa, plus associated gas upgrading equipment, to commence the supply of RNG to the Luverne Facility in 2023 as a part of our RNG project initiative. We expect to finance the RNG project with approximately $57 million of combined project finance debt and third-party equity. Agri-Energy is expected to have a purchase option on approximately 50% of the RNG project’s estimated annual 350,000 MMBtu of RNG production. The digesters are expected to be operational in the second half of 2021, subject to securing adequate financing to complete the RNG project.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ind w:left="20" w:right="20" w:firstLine="480"/>
        <w:spacing w:after="0" w:line="300" w:lineRule="auto"/>
        <w:rPr>
          <w:sz w:val="20"/>
          <w:szCs w:val="20"/>
          <w:color w:val="auto"/>
        </w:rPr>
      </w:pPr>
      <w:r>
        <w:rPr>
          <w:rFonts w:ascii="Arial" w:cs="Arial" w:eastAsia="Arial" w:hAnsi="Arial"/>
          <w:sz w:val="17"/>
          <w:szCs w:val="17"/>
          <w:color w:val="auto"/>
        </w:rPr>
        <w:t>During the three months ended March 31, 2020, we generated $0.8 million in cash from financing activities, which primarily consisted of $0.9 million of net proceeds under our "at-the-market" offering program discussed below offset by $0.2 million paid on loans payable - other.</w:t>
      </w:r>
    </w:p>
    <w:p>
      <w:pPr>
        <w:spacing w:after="0" w:line="152" w:lineRule="exact"/>
        <w:rPr>
          <w:sz w:val="20"/>
          <w:szCs w:val="20"/>
          <w:color w:val="auto"/>
        </w:rPr>
      </w:pPr>
    </w:p>
    <w:p>
      <w:pPr>
        <w:jc w:val="both"/>
        <w:ind w:right="200" w:firstLine="320"/>
        <w:spacing w:after="0" w:line="258"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we commenced an at-the-market offering program, which allows us to sell and issue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from time-to-time. In August 2019, the at-the-market offering program was amended to provide available capacity under the at-the-market offering program of $10.7 million.</w:t>
      </w:r>
    </w:p>
    <w:p>
      <w:pPr>
        <w:spacing w:after="0" w:line="186" w:lineRule="exact"/>
        <w:rPr>
          <w:sz w:val="20"/>
          <w:szCs w:val="20"/>
          <w:color w:val="auto"/>
        </w:rPr>
      </w:pPr>
    </w:p>
    <w:p>
      <w:pPr>
        <w:ind w:left="20" w:firstLine="480"/>
        <w:spacing w:after="0" w:line="258" w:lineRule="auto"/>
        <w:rPr>
          <w:sz w:val="20"/>
          <w:szCs w:val="20"/>
          <w:color w:val="auto"/>
        </w:rPr>
      </w:pPr>
      <w:r>
        <w:rPr>
          <w:rFonts w:ascii="Arial" w:cs="Arial" w:eastAsia="Arial" w:hAnsi="Arial"/>
          <w:sz w:val="18"/>
          <w:szCs w:val="18"/>
          <w:color w:val="auto"/>
        </w:rPr>
        <w:t>During the three months ended March 31, 2020, we issued 425,776 shares of common stock under the at-the-market offering program for net proceeds of $0.9 million net of commissions and offering related expenses. As of March 31, 2020, we had remaining capacity to issue up to $7.8 million of common stock under the at-the-market offering program.</w:t>
      </w:r>
    </w:p>
    <w:p>
      <w:pPr>
        <w:spacing w:after="0" w:line="186" w:lineRule="exact"/>
        <w:rPr>
          <w:sz w:val="20"/>
          <w:szCs w:val="20"/>
          <w:color w:val="auto"/>
        </w:rPr>
      </w:pPr>
    </w:p>
    <w:p>
      <w:pPr>
        <w:ind w:left="20" w:right="40" w:firstLine="480"/>
        <w:spacing w:after="0" w:line="306" w:lineRule="auto"/>
        <w:rPr>
          <w:sz w:val="20"/>
          <w:szCs w:val="20"/>
          <w:color w:val="auto"/>
        </w:rPr>
      </w:pPr>
      <w:r>
        <w:rPr>
          <w:rFonts w:ascii="Arial" w:cs="Arial" w:eastAsia="Arial" w:hAnsi="Arial"/>
          <w:sz w:val="16"/>
          <w:szCs w:val="16"/>
          <w:color w:val="auto"/>
        </w:rPr>
        <w:t>Pursuant to Instruction I.B.6. to Form S-3, because our market capitalization was below $75 million as of the date of our Annual Report, we may only sell securities via Form S-3 if the aggregate market value of the securities sold by or on behalf of us during the 12-month period immediately prior to and including the date of the sale is no more than one-third of all common voting and nonvoting equity held by non-affiliates of us.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2020/21 Notes</w:t>
      </w:r>
    </w:p>
    <w:p>
      <w:pPr>
        <w:spacing w:after="0" w:line="220" w:lineRule="exact"/>
        <w:rPr>
          <w:sz w:val="20"/>
          <w:szCs w:val="20"/>
          <w:color w:val="auto"/>
        </w:rPr>
      </w:pPr>
    </w:p>
    <w:p>
      <w:pPr>
        <w:ind w:left="20" w:right="40" w:firstLine="480"/>
        <w:spacing w:after="0" w:line="282" w:lineRule="auto"/>
        <w:rPr>
          <w:sz w:val="20"/>
          <w:szCs w:val="20"/>
          <w:color w:val="auto"/>
        </w:rPr>
      </w:pPr>
      <w:r>
        <w:rPr>
          <w:rFonts w:ascii="Arial" w:cs="Arial" w:eastAsia="Arial" w:hAnsi="Arial"/>
          <w:sz w:val="16"/>
          <w:szCs w:val="16"/>
          <w:color w:val="auto"/>
        </w:rPr>
        <w:t>On January 10, 2020, the Company entered into an Exchange and Purchase Agreement (as amended, the “2020/21 Purchase Agreement”) with the guarantors party thereto (the "Guarantors"), the holder of the 2020 Notes and Whitebox Advisors LLC ("Whitebox"), in its capacity as representative of the holder. Pursuant to the terms of the 2020/21 Purchase Agreement, the holder of the 2020 Notes, subject to certain conditions, agreed to exchange all of the outstanding principal amount of the 2020 Notes, which was approximately $14.1 million including unpaid accrued interest, for approximately $14.4 million in aggregate principal amount of the Company's newly created 2020/21 Notes (the “2020/21 Exchange”). Pursuant to the 2020/21 Purchase Agreement, the Company also granted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the date on which Stockholder Approval (as described below) is obtained. In addition, on January 10, 2020, the Company completed the 2020/21 Exchange and cancelled the 2020 Notes. In addition, the Company entered into an Indenture by and among the Company, the guarantors named therein (the “2020/21 Notes Guarantors”) and FSB, as trustee and as collateral trustee (the “Original Indenture”), as supplemented by that certain First Supplemental Indenture, dated as of April 7, 2020 (the “First Supplemental Indenture” and, together with the Original Indenture, the “2020/21 Notes Indenture”), pursuant to which the Company issued the 2020/21 Notes. The Company recognized an approximately $0.7 million loss on the 2020/21 Exchange within the Consolidated Statements of Operations.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37" w:name="page38"/>
    <w:bookmarkEnd w:id="37"/>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20" w:firstLine="480"/>
        <w:spacing w:after="0" w:line="286" w:lineRule="auto"/>
        <w:rPr>
          <w:sz w:val="20"/>
          <w:szCs w:val="20"/>
          <w:color w:val="auto"/>
        </w:rPr>
      </w:pPr>
      <w:r>
        <w:rPr>
          <w:rFonts w:ascii="Arial" w:cs="Arial" w:eastAsia="Arial" w:hAnsi="Arial"/>
          <w:sz w:val="16"/>
          <w:szCs w:val="16"/>
          <w:color w:val="auto"/>
        </w:rPr>
        <w:t>The 2020/21 Notes will mature on December 31, 2020, provided that the maturity date will automatically be extended to April 1, 2021 if (i) approval of a stockholder proposal is obtained prior to June 30, 2020 for the issuance of shares of our common stock under the 2020/21 Notes Indenture in excess of 19.99% of the outstanding shares of our common stock on the date of the Original Indenture (the “Stockholder Approval”), and (ii) the aggregate outstanding principal balance of the 2020/21 Notes (including any 2020/21 Option Notes) as of December 15, 2020 is less than $7 million. The 2020/21 Notes bear interest at a rate equal to 12% per annum (with 4% potentially payable as PIK Interest (as defined below) at our option), payable on March 31, June 30, September 30, and December 31 of each year. Under certain circumstances, we have the option to pay a portion of the interest due on the 2020/21 Notes by either (a) increasing the principal amount of the 2020/21 Notes by the amount of interest then due or (b) issuing additional 2020 Notes with a principal amount equal to the amount of interest then due (interest paid in the manner set forth in (a) or (b) being referred to as “PIK Interest”).</w:t>
      </w:r>
    </w:p>
    <w:p>
      <w:pPr>
        <w:spacing w:after="0" w:line="167" w:lineRule="exact"/>
        <w:rPr>
          <w:sz w:val="20"/>
          <w:szCs w:val="20"/>
          <w:color w:val="auto"/>
        </w:rPr>
      </w:pPr>
    </w:p>
    <w:p>
      <w:pPr>
        <w:ind w:right="120" w:firstLine="320"/>
        <w:spacing w:after="0" w:line="300" w:lineRule="auto"/>
        <w:rPr>
          <w:sz w:val="20"/>
          <w:szCs w:val="20"/>
          <w:color w:val="auto"/>
        </w:rPr>
      </w:pPr>
      <w:r>
        <w:rPr>
          <w:rFonts w:ascii="Arial" w:cs="Arial" w:eastAsia="Arial" w:hAnsi="Arial"/>
          <w:sz w:val="17"/>
          <w:szCs w:val="17"/>
          <w:color w:val="auto"/>
        </w:rPr>
        <w:t>The 2020/21 Notes are convertible into shares of our common stock, subject to certain terms and conditions. The initial conversion price of the 2020/21 Notes is equal to $2.442 per share of common stock, or 0.4095 shares of common stock per $1 principal amount of 2020 Notes.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 of the 2020/21 Notes.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0" w:lineRule="exact"/>
        <w:rPr>
          <w:sz w:val="20"/>
          <w:szCs w:val="20"/>
          <w:color w:val="auto"/>
        </w:rPr>
      </w:pPr>
    </w:p>
    <w:p>
      <w:pPr>
        <w:ind w:left="20" w:firstLine="480"/>
        <w:spacing w:after="0" w:line="258" w:lineRule="auto"/>
        <w:rPr>
          <w:sz w:val="20"/>
          <w:szCs w:val="20"/>
          <w:color w:val="auto"/>
        </w:rPr>
      </w:pPr>
      <w:r>
        <w:rPr>
          <w:rFonts w:ascii="Arial" w:cs="Arial" w:eastAsia="Arial" w:hAnsi="Arial"/>
          <w:sz w:val="18"/>
          <w:szCs w:val="18"/>
          <w:color w:val="auto"/>
        </w:rPr>
        <w:t>During the first quarter of 2020, we purchased equipment under a financing lease. During the fourth quarter of 2019, we financed part of our insurance obligation. The equipment notes and financing lease pay interest between 4% and 21%, have total monthly payments of $0.1 million and mature at various date from August 2020 to February 2025. The equipment loans are secured by the related equipment.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Small Business Administration Loans</w:t>
      </w:r>
    </w:p>
    <w:p>
      <w:pPr>
        <w:spacing w:after="0" w:line="220" w:lineRule="exact"/>
        <w:rPr>
          <w:sz w:val="20"/>
          <w:szCs w:val="20"/>
          <w:color w:val="auto"/>
        </w:rPr>
      </w:pPr>
    </w:p>
    <w:p>
      <w:pPr>
        <w:ind w:left="20" w:right="40" w:firstLine="480"/>
        <w:spacing w:after="0" w:line="286" w:lineRule="auto"/>
        <w:rPr>
          <w:sz w:val="20"/>
          <w:szCs w:val="20"/>
          <w:color w:val="auto"/>
        </w:rPr>
      </w:pPr>
      <w:r>
        <w:rPr>
          <w:rFonts w:ascii="Arial" w:cs="Arial" w:eastAsia="Arial" w:hAnsi="Arial"/>
          <w:sz w:val="16"/>
          <w:szCs w:val="16"/>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November 2020 and interest continues to accrue during the deferral period. The SBA Loans are payable monthly beginning November 5, 2020, with aggregate payments totaling $0.06 million per month, including interest and principal. The SBA Loans must be used for payroll, rent payments, mortgage interest payments and utilities payments as governed by the SBA PPP and are subject to partial or full forgiveness for the initial eight-week period following the loan disbursement if all proceeds are used for eligible purposes and within certain thresholds, the Company maintains certain employment levels and the Company maintains certain compensation levels.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Debt</w:t>
      </w:r>
      <w:r>
        <w:rPr>
          <w:rFonts w:ascii="Arial" w:cs="Arial" w:eastAsia="Arial" w:hAnsi="Arial"/>
          <w:sz w:val="17"/>
          <w:szCs w:val="17"/>
          <w:color w:val="auto"/>
        </w:rPr>
        <w:t>, to our consolidated financial statements included herein for further discussion of the Small Business Administration Loans.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left="20" w:right="380" w:firstLine="469"/>
        <w:spacing w:after="0" w:line="296" w:lineRule="auto"/>
        <w:rPr>
          <w:sz w:val="20"/>
          <w:szCs w:val="20"/>
          <w:color w:val="auto"/>
        </w:rPr>
      </w:pPr>
      <w:r>
        <w:rPr>
          <w:rFonts w:ascii="Arial" w:cs="Arial" w:eastAsia="Arial" w:hAnsi="Arial"/>
          <w:sz w:val="16"/>
          <w:szCs w:val="16"/>
          <w:color w:val="auto"/>
        </w:rPr>
        <w:t xml:space="preserve">There have been no significant changes to our critical accounting policies since December 31, 2019. However, see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and Basis of Presentation, </w:t>
      </w:r>
      <w:r>
        <w:rPr>
          <w:rFonts w:ascii="Arial" w:cs="Arial" w:eastAsia="Arial" w:hAnsi="Arial"/>
          <w:sz w:val="16"/>
          <w:szCs w:val="16"/>
          <w:color w:val="auto"/>
        </w:rPr>
        <w:t>to our consolidated financial statements included herein for a discussion of recently issued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pronouncements and their impact or future potential impact on our financial results, if determinable. For a description of critical accounting policies that affect our significant judgments and estimates used in the preparation of our consolidated financial statements, refer to our Annual Report.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2020, we did not have any material off-balance sheet arrangements, except for operating lease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ind w:right="160" w:firstLine="469"/>
        <w:spacing w:after="0" w:line="253"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90" w:lineRule="exact"/>
        <w:rPr>
          <w:sz w:val="20"/>
          <w:szCs w:val="20"/>
          <w:color w:val="auto"/>
        </w:rPr>
      </w:pPr>
    </w:p>
    <w:p>
      <w:pPr>
        <w:ind w:firstLine="469"/>
        <w:spacing w:after="0" w:line="287" w:lineRule="auto"/>
        <w:rPr>
          <w:sz w:val="20"/>
          <w:szCs w:val="20"/>
          <w:color w:val="auto"/>
        </w:rPr>
      </w:pPr>
      <w:r>
        <w:rPr>
          <w:rFonts w:ascii="Arial" w:cs="Arial" w:eastAsia="Arial" w:hAnsi="Arial"/>
          <w:sz w:val="16"/>
          <w:szCs w:val="16"/>
          <w:color w:val="auto"/>
        </w:rPr>
        <w:t>Management, including the participation of our Chief Executive Officer and our Chief Financial Officer, conducted an evaluation (pursuant to Rule 13a-15(b) of the Exchange Act) of the effectiveness of our disclosure controls and procedures as of the end of the period covered by this Report. Based on this evaluation, our Chief Executive Officer and Chief Financial Officer concluded that our disclosure controls and procedures were effective as of March 31, 2020.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ind w:right="140" w:firstLine="469"/>
        <w:spacing w:after="0" w:line="27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2020 that have materially affected, or are reasonably likely to materially affect, our internal control over financial reporting.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4" w:lineRule="exact"/>
        <w:rPr>
          <w:sz w:val="20"/>
          <w:szCs w:val="20"/>
          <w:color w:val="auto"/>
        </w:rPr>
      </w:pPr>
    </w:p>
    <w:p>
      <w:pPr>
        <w:ind w:right="100" w:firstLine="469"/>
        <w:spacing w:after="0" w:line="258"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ind w:right="60" w:firstLine="480"/>
        <w:spacing w:after="0" w:line="296" w:lineRule="auto"/>
        <w:rPr>
          <w:sz w:val="20"/>
          <w:szCs w:val="20"/>
          <w:color w:val="auto"/>
        </w:rPr>
      </w:pPr>
      <w:r>
        <w:rPr>
          <w:rFonts w:ascii="Arial" w:cs="Arial" w:eastAsia="Arial" w:hAnsi="Arial"/>
          <w:sz w:val="16"/>
          <w:szCs w:val="16"/>
          <w:color w:val="auto"/>
        </w:rPr>
        <w:t>You should carefully consider the risk factors discussed in Part I, Item 1A. “Risk Factors” in our Annual Report, which could materially affect our business, financial condition, cash flows or future results. Except as set forth below,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60"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b w:val="1"/>
          <w:bCs w:val="1"/>
          <w:i w:val="1"/>
          <w:iCs w:val="1"/>
          <w:color w:val="auto"/>
        </w:rPr>
        <w:t>Our business has been impacted by the COVID-19 pandemic, and our financial condition, results of operations and liquidity may be materially and adversely impacted by it in the future.</w:t>
      </w:r>
    </w:p>
    <w:p>
      <w:pPr>
        <w:spacing w:after="0" w:line="175"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The COVID-19 pandemic has had an adverse impact on global commercial activity, including the global transportation industry and its supply chain, and has contributed to significant volatility in financial markets, including, among other effects, a decline in equity markets, changes in interest rates and reduced liquidity. It has also resulted in increased travel restrictions and extended shutdowns of businesses in various industries including, among others, the airline industry, and significantly reduced overall economic output. Although the COVID-19 pandemic did not have a material adverse impact to our financial results for the first quarter of 2020, we expect that the impact of the COVID-19 pandemic on general economic activity could negatively impact our revenue and operating results for the remainder of 2020. For example, in March 2020, following a temporary suspension of ethanol production at the Luverne Facility, we ultimately suspended production for the foreseeable future due to the impact of COVID-19 on the economy and our industry as a whole. There is also a risk that COVID-19 could have a material adverse impact on customer demand and cash flow.</w:t>
      </w:r>
    </w:p>
    <w:p>
      <w:pPr>
        <w:spacing w:after="0" w:line="182" w:lineRule="exact"/>
        <w:rPr>
          <w:sz w:val="20"/>
          <w:szCs w:val="20"/>
          <w:color w:val="auto"/>
        </w:rPr>
      </w:pPr>
    </w:p>
    <w:p>
      <w:pPr>
        <w:ind w:right="40" w:firstLine="480"/>
        <w:spacing w:after="0" w:line="265" w:lineRule="auto"/>
        <w:rPr>
          <w:sz w:val="20"/>
          <w:szCs w:val="20"/>
          <w:color w:val="auto"/>
        </w:rPr>
      </w:pPr>
      <w:r>
        <w:rPr>
          <w:rFonts w:ascii="Arial" w:cs="Arial" w:eastAsia="Arial" w:hAnsi="Arial"/>
          <w:sz w:val="17"/>
          <w:szCs w:val="17"/>
          <w:color w:val="auto"/>
        </w:rPr>
        <w:t>The risks generally associated with the COVID-19 pandemic could magnify other risks discussed in this report and any of our SEC filings. For example, the rapidly evolving changes in financial markets could have a material impact on our ability to obtain financing, which could impact our liquidity. For example, volatility in the financial markets could make it more difficult to raise money from selling equity on the capital markets, the impact of COVID-19 on financial markets could limit potential lenders’ ability to provide funds for project finance of the planned expansion of the Luverne Facility or the terms of any project finance transactions could be worse than anticipated. In addition the effectiveness of external parties, including governmental and non-governmental organizations, in combating the spread and severity of COVID-19 could have a material impact on demand for our business. Further, steps taken by market counterparties such as commercial airlines could have an impact on their ability to perform under agreements to which we are a party, which could impact our business. For example, in connection with the impact that the COVID-19 pandemic has had on the economy and on the resulting disruption to the airline industry specifically, we and Delta amended portions of our previously disclosed Fuel Sales Agreement in April 2020, as discussed in “</w:t>
      </w:r>
      <w:r>
        <w:rPr>
          <w:rFonts w:ascii="Arial" w:cs="Arial" w:eastAsia="Arial" w:hAnsi="Arial"/>
          <w:sz w:val="17"/>
          <w:szCs w:val="17"/>
          <w:i w:val="1"/>
          <w:iCs w:val="1"/>
          <w:color w:val="auto"/>
        </w:rPr>
        <w:t>Management’s Discussion and Analysis of Financial Condition and Results of Operations—Company Overview—COVID-19</w:t>
      </w:r>
      <w:r>
        <w:rPr>
          <w:rFonts w:ascii="Arial" w:cs="Arial" w:eastAsia="Arial" w:hAnsi="Arial"/>
          <w:sz w:val="17"/>
          <w:szCs w:val="17"/>
          <w:color w:val="auto"/>
        </w:rPr>
        <w:t>.” Other commercial counterparties may also seek to amend supply agreement in the future.</w:t>
      </w:r>
    </w:p>
    <w:p>
      <w:pPr>
        <w:spacing w:after="0" w:line="188" w:lineRule="exact"/>
        <w:rPr>
          <w:sz w:val="20"/>
          <w:szCs w:val="20"/>
          <w:color w:val="auto"/>
        </w:rPr>
      </w:pPr>
    </w:p>
    <w:p>
      <w:pPr>
        <w:ind w:right="140" w:firstLine="480"/>
        <w:spacing w:after="0" w:line="271" w:lineRule="auto"/>
        <w:rPr>
          <w:sz w:val="20"/>
          <w:szCs w:val="20"/>
          <w:color w:val="auto"/>
        </w:rPr>
      </w:pPr>
      <w:r>
        <w:rPr>
          <w:rFonts w:ascii="Arial" w:cs="Arial" w:eastAsia="Arial" w:hAnsi="Arial"/>
          <w:sz w:val="17"/>
          <w:szCs w:val="17"/>
          <w:color w:val="auto"/>
        </w:rPr>
        <w:t>The COVID-19 pandemic could further and materially disrupt our own business operations and the services we provide, as well as the business operations of our customers, suppliers and other third parties with whom we interact. As an increasing percentage of our employees work remotely, we also face the risk that unusual working arrangements could impact the effectiveness of our operations or controls. In addition, a potential COVID-19 infection of any of our key employees could materially and adversely impact our operations. It is possible that COVID-19 restrictions could create difficulty for satisfying our legal or regulatory filing or other obligations, including with the SEC and other regulators.</w:t>
      </w:r>
    </w:p>
    <w:p>
      <w:pPr>
        <w:spacing w:after="0" w:line="177" w:lineRule="exact"/>
        <w:rPr>
          <w:sz w:val="20"/>
          <w:szCs w:val="20"/>
          <w:color w:val="auto"/>
        </w:rPr>
      </w:pPr>
    </w:p>
    <w:p>
      <w:pPr>
        <w:ind w:right="20" w:firstLine="480"/>
        <w:spacing w:after="0" w:line="252" w:lineRule="auto"/>
        <w:rPr>
          <w:sz w:val="20"/>
          <w:szCs w:val="20"/>
          <w:color w:val="auto"/>
        </w:rPr>
      </w:pPr>
      <w:r>
        <w:rPr>
          <w:rFonts w:ascii="Arial" w:cs="Arial" w:eastAsia="Arial" w:hAnsi="Arial"/>
          <w:sz w:val="18"/>
          <w:szCs w:val="18"/>
          <w:color w:val="auto"/>
        </w:rPr>
        <w:t>All of the foregoing events or potential outcomes, including in combination with other risk factors included in this Quarterly Report on Form 10-Q or our Annual Report, could cause a material adverse effect on our results of operations in any period and, depending on their severity, could also materially and adversely affect our financial condition. In addition, such events and outcomes could potentially impact our reputation with clients and regulators, among others. The rapid development and fluidity of the pandemic precludes any prediction as to the ultimate impact of the COVID-19 pandemic on us. The full extent of the impact and effects of the COVID-19 pandemic on our business, operations, liquidity, financial condition and results of operations remain uncertain at this time.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226"/>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10"/>
        </w:trPr>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that</w:t>
            </w: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w:t>
            </w: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w w:val="91"/>
              </w:rPr>
              <w:t>Average Price</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Under the Plans</w:t>
            </w:r>
          </w:p>
        </w:tc>
      </w:tr>
      <w:tr>
        <w:trPr>
          <w:trHeight w:val="230"/>
        </w:trPr>
        <w:tc>
          <w:tcPr>
            <w:tcW w:w="18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r>
      <w:tr>
        <w:trPr>
          <w:trHeight w:val="194"/>
        </w:trPr>
        <w:tc>
          <w:tcPr>
            <w:tcW w:w="180" w:type="dxa"/>
            <w:vAlign w:val="bottom"/>
          </w:tcPr>
          <w:p>
            <w:pPr>
              <w:spacing w:after="0"/>
              <w:rPr>
                <w:sz w:val="16"/>
                <w:szCs w:val="16"/>
                <w:color w:val="auto"/>
              </w:rPr>
            </w:pPr>
          </w:p>
        </w:tc>
        <w:tc>
          <w:tcPr>
            <w:tcW w:w="4340" w:type="dxa"/>
            <w:vAlign w:val="bottom"/>
          </w:tcPr>
          <w:p>
            <w:pPr>
              <w:spacing w:after="0" w:line="194" w:lineRule="exact"/>
              <w:rPr>
                <w:sz w:val="20"/>
                <w:szCs w:val="20"/>
                <w:color w:val="auto"/>
              </w:rPr>
            </w:pPr>
            <w:r>
              <w:rPr>
                <w:rFonts w:ascii="Arial" w:cs="Arial" w:eastAsia="Arial" w:hAnsi="Arial"/>
                <w:sz w:val="18"/>
                <w:szCs w:val="18"/>
                <w:color w:val="auto"/>
              </w:rPr>
              <w:t>January 1, 2020 - January 31, 2020</w:t>
            </w:r>
          </w:p>
        </w:tc>
        <w:tc>
          <w:tcPr>
            <w:tcW w:w="13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360" w:type="dxa"/>
            <w:vAlign w:val="bottom"/>
          </w:tcPr>
          <w:p>
            <w:pPr>
              <w:ind w:left="1180"/>
              <w:spacing w:after="0" w:line="194" w:lineRule="exact"/>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6"/>
                <w:szCs w:val="16"/>
                <w:color w:val="auto"/>
              </w:rPr>
            </w:pPr>
          </w:p>
        </w:tc>
        <w:tc>
          <w:tcPr>
            <w:tcW w:w="1360" w:type="dxa"/>
            <w:vAlign w:val="bottom"/>
          </w:tcPr>
          <w:p>
            <w:pPr>
              <w:ind w:left="1180"/>
              <w:spacing w:after="0" w:line="194" w:lineRule="exact"/>
              <w:rPr>
                <w:sz w:val="20"/>
                <w:szCs w:val="20"/>
                <w:color w:val="auto"/>
              </w:rPr>
            </w:pPr>
            <w:r>
              <w:rPr>
                <w:rFonts w:ascii="Arial" w:cs="Arial" w:eastAsia="Arial" w:hAnsi="Arial"/>
                <w:sz w:val="18"/>
                <w:szCs w:val="18"/>
                <w:color w:val="auto"/>
                <w:w w:val="88"/>
              </w:rPr>
              <w:t>—</w:t>
            </w: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February 1, 2020 - February 29, 2020</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r>
      <w:tr>
        <w:trPr>
          <w:trHeight w:val="228"/>
        </w:trPr>
        <w:tc>
          <w:tcPr>
            <w:tcW w:w="1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March 1, 2020 - March 31, 2020 (1)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r>
      <w:tr>
        <w:trPr>
          <w:trHeight w:val="207"/>
        </w:trPr>
        <w:tc>
          <w:tcPr>
            <w:tcW w:w="1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7"/>
                <w:szCs w:val="17"/>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r>
      <w:tr>
        <w:trPr>
          <w:trHeight w:val="20"/>
        </w:trPr>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firstLine="7"/>
        <w:spacing w:after="0" w:line="333" w:lineRule="auto"/>
        <w:tabs>
          <w:tab w:leader="none" w:pos="296"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1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Included</w:t>
            </w:r>
          </w:p>
        </w:tc>
      </w:tr>
      <w:tr>
        <w:trPr>
          <w:trHeight w:val="249"/>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Herewith</w:t>
            </w:r>
          </w:p>
        </w:tc>
      </w:tr>
      <w:tr>
        <w:trPr>
          <w:trHeight w:val="187"/>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160"/>
              <w:spacing w:after="0" w:line="187" w:lineRule="exact"/>
              <w:rPr>
                <w:sz w:val="20"/>
                <w:szCs w:val="20"/>
                <w:color w:val="auto"/>
              </w:rPr>
            </w:pPr>
            <w:r>
              <w:rPr>
                <w:rFonts w:ascii="Arial" w:cs="Arial" w:eastAsia="Arial" w:hAnsi="Arial"/>
                <w:sz w:val="18"/>
                <w:szCs w:val="18"/>
                <w:b w:val="1"/>
                <w:bCs w:val="1"/>
                <w:color w:val="auto"/>
              </w:rPr>
              <w:t>File No.</w:t>
            </w:r>
          </w:p>
        </w:tc>
        <w:tc>
          <w:tcPr>
            <w:tcW w:w="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Exhibit</w:t>
            </w:r>
          </w:p>
        </w:tc>
        <w:tc>
          <w:tcPr>
            <w:tcW w:w="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70"/>
        </w:trPr>
        <w:tc>
          <w:tcPr>
            <w:tcW w:w="34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10"/>
          </w:tcPr>
          <w:p>
            <w:pPr>
              <w:spacing w:after="0" w:line="170"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Amended and Restated Certificate of Incorporation of Gevo,</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3.1</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28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r:id="rId46">
              <w:r>
                <w:rPr>
                  <w:rFonts w:ascii="Arial" w:cs="Arial" w:eastAsia="Arial" w:hAnsi="Arial"/>
                  <w:sz w:val="18"/>
                  <w:szCs w:val="18"/>
                  <w:color w:val="0000EE"/>
                </w:rPr>
                <w:t>Inc.</w:t>
              </w:r>
            </w:hyperlink>
          </w:p>
        </w:tc>
        <w:tc>
          <w:tcPr>
            <w:tcW w:w="280" w:type="dxa"/>
            <w:vAlign w:val="bottom"/>
            <w:tcBorders>
              <w:right w:val="single" w:sz="8" w:color="auto"/>
            </w:tcBorders>
            <w:gridSpan w:val="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9"/>
              </w:rPr>
              <w:t>March 29, 2011</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10"/>
          </w:tcPr>
          <w:p>
            <w:pPr>
              <w:spacing w:after="0"/>
              <w:rPr>
                <w:rFonts w:ascii="Arial" w:cs="Arial" w:eastAsia="Arial" w:hAnsi="Arial"/>
                <w:sz w:val="18"/>
                <w:szCs w:val="18"/>
                <w:color w:val="0000EE"/>
                <w:w w:val="89"/>
              </w:rPr>
            </w:pPr>
            <w:hyperlink r:id="rId47">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June 10, 2013</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r:id="rId47">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10"/>
          </w:tcPr>
          <w:p>
            <w:pPr>
              <w:spacing w:after="0"/>
              <w:rPr>
                <w:rFonts w:ascii="Arial" w:cs="Arial" w:eastAsia="Arial" w:hAnsi="Arial"/>
                <w:sz w:val="18"/>
                <w:szCs w:val="18"/>
                <w:color w:val="0000EE"/>
                <w:w w:val="89"/>
              </w:rPr>
            </w:pPr>
            <w:hyperlink r:id="rId48">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r:id="rId48">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3.4</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10"/>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April 22, 2015</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r:id="rId49">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3.5</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10"/>
          </w:tcPr>
          <w:p>
            <w:pP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6, 2017</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r:id="rId50">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3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460" w:type="dxa"/>
            <w:vAlign w:val="bottom"/>
            <w:tcBorders>
              <w:top w:val="single" w:sz="8" w:color="0000EE"/>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47"/>
        </w:trPr>
        <w:tc>
          <w:tcPr>
            <w:tcW w:w="3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560" w:type="dxa"/>
            <w:vAlign w:val="bottom"/>
            <w:tcBorders>
              <w:right w:val="single" w:sz="8" w:color="auto"/>
            </w:tcBorders>
            <w:gridSpan w:val="10"/>
          </w:tcPr>
          <w:p>
            <w:pPr>
              <w:spacing w:after="0" w:line="147" w:lineRule="exact"/>
              <w:rPr>
                <w:rFonts w:ascii="Arial" w:cs="Arial" w:eastAsia="Arial" w:hAnsi="Arial"/>
                <w:sz w:val="17"/>
                <w:szCs w:val="17"/>
                <w:color w:val="0000EE"/>
                <w:w w:val="95"/>
              </w:rPr>
            </w:pPr>
            <w:hyperlink r:id="rId51">
              <w:r>
                <w:rPr>
                  <w:rFonts w:ascii="Arial" w:cs="Arial" w:eastAsia="Arial" w:hAnsi="Arial"/>
                  <w:sz w:val="17"/>
                  <w:szCs w:val="17"/>
                  <w:color w:val="0000EE"/>
                  <w:w w:val="95"/>
                </w:rPr>
                <w:t>Certificate of Amendment to Amended and Restated Certificate</w:t>
              </w:r>
            </w:hyperlink>
          </w:p>
        </w:tc>
        <w:tc>
          <w:tcPr>
            <w:tcW w:w="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w w:val="95"/>
              </w:rPr>
              <w:t>001-35073</w:t>
            </w:r>
          </w:p>
        </w:tc>
        <w:tc>
          <w:tcPr>
            <w:tcW w:w="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w w:val="91"/>
              </w:rPr>
              <w:t>June 4, 2018</w:t>
            </w: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w w:val="92"/>
              </w:rPr>
              <w:t>3.1</w:t>
            </w:r>
          </w:p>
        </w:tc>
        <w:tc>
          <w:tcPr>
            <w:tcW w:w="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3.6</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r:id="rId51">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7"/>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10"/>
          </w:tcPr>
          <w:p>
            <w:pPr>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Amended and Restated Bylaws of Gevo, Inc.</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March 29, 2011</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420"/>
        </w:trPr>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10"/>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Form of the Gevo, Inc. Common Stock Certificate.</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19, 2011</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384"/>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160" w:type="dxa"/>
            <w:vAlign w:val="bottom"/>
            <w:tcBorders>
              <w:bottom w:val="single" w:sz="8" w:color="0000EE"/>
            </w:tcBorders>
            <w:gridSpan w:val="6"/>
          </w:tcPr>
          <w:p>
            <w:pPr>
              <w:spacing w:after="0"/>
              <w:rPr>
                <w:rFonts w:ascii="Arial" w:cs="Arial" w:eastAsia="Arial" w:hAnsi="Arial"/>
                <w:sz w:val="18"/>
                <w:szCs w:val="18"/>
                <w:color w:val="0000EE"/>
                <w:w w:val="88"/>
              </w:rPr>
            </w:pPr>
            <w:hyperlink r:id="rId54">
              <w:r>
                <w:rPr>
                  <w:rFonts w:ascii="Arial" w:cs="Arial" w:eastAsia="Arial" w:hAnsi="Arial"/>
                  <w:sz w:val="18"/>
                  <w:szCs w:val="18"/>
                  <w:color w:val="0000EE"/>
                  <w:w w:val="88"/>
                </w:rPr>
                <w:t>Fifth Amended and Restated Investors’ Rights Agreement,</w:t>
              </w:r>
            </w:hyperlink>
          </w:p>
        </w:tc>
        <w:tc>
          <w:tcPr>
            <w:tcW w:w="4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August 12, 2010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10"/>
          </w:tcPr>
          <w:p>
            <w:pPr>
              <w:spacing w:after="0" w:line="194" w:lineRule="exact"/>
              <w:rPr>
                <w:rFonts w:ascii="Arial" w:cs="Arial" w:eastAsia="Arial" w:hAnsi="Arial"/>
                <w:sz w:val="18"/>
                <w:szCs w:val="18"/>
                <w:color w:val="0000EE"/>
              </w:rPr>
            </w:pPr>
            <w:hyperlink r:id="rId54">
              <w:r>
                <w:rPr>
                  <w:rFonts w:ascii="Arial" w:cs="Arial" w:eastAsia="Arial" w:hAnsi="Arial"/>
                  <w:sz w:val="18"/>
                  <w:szCs w:val="18"/>
                  <w:color w:val="0000EE"/>
                </w:rPr>
                <w:t>dated March 26, 2010.</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180" w:type="dxa"/>
            <w:vAlign w:val="bottom"/>
            <w:tcBorders>
              <w:bottom w:val="single" w:sz="8" w:color="0000EE"/>
            </w:tcBorders>
            <w:gridSpan w:val="7"/>
          </w:tcPr>
          <w:p>
            <w:pPr>
              <w:spacing w:after="0"/>
              <w:rPr>
                <w:rFonts w:ascii="Arial" w:cs="Arial" w:eastAsia="Arial" w:hAnsi="Arial"/>
                <w:sz w:val="18"/>
                <w:szCs w:val="18"/>
                <w:color w:val="0000EE"/>
                <w:w w:val="87"/>
              </w:rPr>
            </w:pPr>
            <w:hyperlink r:id="rId55">
              <w:r>
                <w:rPr>
                  <w:rFonts w:ascii="Arial" w:cs="Arial" w:eastAsia="Arial" w:hAnsi="Arial"/>
                  <w:sz w:val="18"/>
                  <w:szCs w:val="18"/>
                  <w:color w:val="0000EE"/>
                  <w:w w:val="87"/>
                </w:rPr>
                <w:t>Stock Issuance and Stockholder’s Rights Agreement, dated</w:t>
              </w:r>
            </w:hyperlink>
          </w:p>
        </w:tc>
        <w:tc>
          <w:tcPr>
            <w:tcW w:w="380" w:type="dxa"/>
            <w:vAlign w:val="bottom"/>
            <w:tcBorders>
              <w:right w:val="single" w:sz="8" w:color="auto"/>
            </w:tcBorders>
            <w:gridSpan w:val="3"/>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August 12, 2010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00" w:type="dxa"/>
            <w:vAlign w:val="bottom"/>
            <w:tcBorders>
              <w:bottom w:val="single" w:sz="8" w:color="0000EE"/>
            </w:tcBorders>
            <w:gridSpan w:val="5"/>
          </w:tcPr>
          <w:p>
            <w:pPr>
              <w:spacing w:after="0" w:line="194"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July 12, 2005, by and between Gevo, Inc. and California</w:t>
              </w:r>
            </w:hyperlink>
          </w:p>
        </w:tc>
        <w:tc>
          <w:tcPr>
            <w:tcW w:w="560" w:type="dxa"/>
            <w:vAlign w:val="bottom"/>
            <w:tcBorders>
              <w:right w:val="single" w:sz="8" w:color="auto"/>
            </w:tcBorders>
            <w:gridSpan w:val="5"/>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10"/>
          </w:tcPr>
          <w:p>
            <w:pPr>
              <w:spacing w:after="0" w:line="194" w:lineRule="exact"/>
              <w:rPr>
                <w:rFonts w:ascii="Arial" w:cs="Arial" w:eastAsia="Arial" w:hAnsi="Arial"/>
                <w:sz w:val="18"/>
                <w:szCs w:val="18"/>
                <w:color w:val="0000EE"/>
              </w:rPr>
            </w:pPr>
            <w:hyperlink r:id="rId55">
              <w:r>
                <w:rPr>
                  <w:rFonts w:ascii="Arial" w:cs="Arial" w:eastAsia="Arial" w:hAnsi="Arial"/>
                  <w:sz w:val="18"/>
                  <w:szCs w:val="18"/>
                  <w:color w:val="0000EE"/>
                </w:rPr>
                <w:t>Institute of Technology.</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9"/>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gridSpan w:val="11"/>
          </w:tcPr>
          <w:p>
            <w:pPr>
              <w:jc w:val="right"/>
              <w:ind w:right="1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360" w:type="dxa"/>
            <w:vAlign w:val="bottom"/>
            <w:gridSpan w:val="4"/>
          </w:tcPr>
          <w:p>
            <w:pPr>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Table of Contents</w:t>
              </w:r>
            </w:hyperlink>
          </w:p>
        </w:tc>
        <w:tc>
          <w:tcPr>
            <w:tcW w:w="1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140" w:type="dxa"/>
            <w:vAlign w:val="bottom"/>
            <w:tcBorders>
              <w:left w:val="single" w:sz="8" w:color="auto"/>
              <w:right w:val="single" w:sz="8" w:color="auto"/>
            </w:tcBorders>
            <w:gridSpan w:val="2"/>
          </w:tcPr>
          <w:p>
            <w:pPr>
              <w:ind w:left="20"/>
              <w:spacing w:after="0" w:line="152" w:lineRule="exact"/>
              <w:rPr>
                <w:sz w:val="20"/>
                <w:szCs w:val="20"/>
                <w:color w:val="auto"/>
              </w:rPr>
            </w:pPr>
            <w:r>
              <w:rPr>
                <w:rFonts w:ascii="Arial" w:cs="Arial" w:eastAsia="Arial" w:hAnsi="Arial"/>
                <w:sz w:val="17"/>
                <w:szCs w:val="17"/>
                <w:b w:val="1"/>
                <w:bCs w:val="1"/>
                <w:color w:val="auto"/>
              </w:rPr>
              <w:t>Exhibit</w:t>
            </w:r>
          </w:p>
        </w:tc>
        <w:tc>
          <w:tcPr>
            <w:tcW w:w="80" w:type="dxa"/>
            <w:vAlign w:val="bottom"/>
            <w:tcBorders>
              <w:righ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ind w:left="140"/>
              <w:spacing w:after="0" w:line="152" w:lineRule="exact"/>
              <w:rPr>
                <w:sz w:val="20"/>
                <w:szCs w:val="20"/>
                <w:color w:val="auto"/>
              </w:rPr>
            </w:pPr>
            <w:r>
              <w:rPr>
                <w:rFonts w:ascii="Arial" w:cs="Arial" w:eastAsia="Arial" w:hAnsi="Arial"/>
                <w:sz w:val="17"/>
                <w:szCs w:val="17"/>
                <w:b w:val="1"/>
                <w:bCs w:val="1"/>
                <w:color w:val="auto"/>
              </w:rPr>
              <w:t>Included</w:t>
            </w:r>
          </w:p>
        </w:tc>
        <w:tc>
          <w:tcPr>
            <w:tcW w:w="0" w:type="dxa"/>
            <w:vAlign w:val="bottom"/>
          </w:tcPr>
          <w:p>
            <w:pPr>
              <w:spacing w:after="0"/>
              <w:rPr>
                <w:sz w:val="1"/>
                <w:szCs w:val="1"/>
                <w:color w:val="auto"/>
              </w:rPr>
            </w:pPr>
          </w:p>
        </w:tc>
      </w:tr>
      <w:tr>
        <w:trPr>
          <w:trHeight w:val="249"/>
        </w:trPr>
        <w:tc>
          <w:tcPr>
            <w:tcW w:w="1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466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87"/>
        </w:trPr>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Form</w:t>
            </w:r>
          </w:p>
        </w:tc>
        <w:tc>
          <w:tcPr>
            <w:tcW w:w="1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2"/>
              </w:rPr>
              <w:t>File No.</w:t>
            </w:r>
          </w:p>
        </w:tc>
        <w:tc>
          <w:tcPr>
            <w:tcW w:w="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Exhibit</w:t>
            </w:r>
          </w:p>
        </w:tc>
        <w:tc>
          <w:tcPr>
            <w:tcW w:w="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4.4*</w:t>
            </w:r>
          </w:p>
        </w:tc>
        <w:tc>
          <w:tcPr>
            <w:tcW w:w="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gridSpan w:val="11"/>
          </w:tcPr>
          <w:p>
            <w:pPr>
              <w:spacing w:after="0"/>
              <w:rPr>
                <w:rFonts w:ascii="Arial" w:cs="Arial" w:eastAsia="Arial" w:hAnsi="Arial"/>
                <w:sz w:val="18"/>
                <w:szCs w:val="18"/>
                <w:color w:val="0000EE"/>
                <w:w w:val="88"/>
              </w:rPr>
            </w:pPr>
            <w:hyperlink r:id="rId56">
              <w:r>
                <w:rPr>
                  <w:rFonts w:ascii="Arial" w:cs="Arial" w:eastAsia="Arial" w:hAnsi="Arial"/>
                  <w:sz w:val="18"/>
                  <w:szCs w:val="18"/>
                  <w:color w:val="0000EE"/>
                  <w:w w:val="88"/>
                </w:rPr>
                <w:t>Indenture, dated January 10, 2020, by and among Gevo, Inc., the</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January 13, 2020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54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guarantors party thereto, and Wilmington Savings Fund Society,</w:t>
              </w:r>
            </w:hyperlink>
          </w:p>
        </w:tc>
        <w:tc>
          <w:tcPr>
            <w:tcW w:w="40" w:type="dxa"/>
            <w:vAlign w:val="bottom"/>
            <w:tcBorders>
              <w:top w:val="single" w:sz="8" w:color="0000EE"/>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gridSpan w:val="11"/>
          </w:tcPr>
          <w:p>
            <w:pPr>
              <w:spacing w:after="0" w:line="194" w:lineRule="exact"/>
              <w:rPr>
                <w:rFonts w:ascii="Arial" w:cs="Arial" w:eastAsia="Arial" w:hAnsi="Arial"/>
                <w:sz w:val="18"/>
                <w:szCs w:val="18"/>
                <w:color w:val="0000EE"/>
              </w:rPr>
            </w:pPr>
            <w:hyperlink r:id="rId56">
              <w:r>
                <w:rPr>
                  <w:rFonts w:ascii="Arial" w:cs="Arial" w:eastAsia="Arial" w:hAnsi="Arial"/>
                  <w:sz w:val="18"/>
                  <w:szCs w:val="18"/>
                  <w:color w:val="0000EE"/>
                </w:rPr>
                <w:t>FSB, as trustee and as collateral trustee.</w:t>
              </w:r>
            </w:hyperlink>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780" w:type="dxa"/>
            <w:vAlign w:val="bottom"/>
            <w:tcBorders>
              <w:top w:val="single" w:sz="8" w:color="0000EE"/>
              <w:bottom w:val="single" w:sz="8" w:color="auto"/>
            </w:tcBorders>
          </w:tcPr>
          <w:p>
            <w:pPr>
              <w:spacing w:after="0"/>
              <w:rPr>
                <w:sz w:val="3"/>
                <w:szCs w:val="3"/>
                <w:color w:val="auto"/>
              </w:rPr>
            </w:pPr>
          </w:p>
        </w:tc>
        <w:tc>
          <w:tcPr>
            <w:tcW w:w="10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line="147" w:lineRule="exact"/>
              <w:rPr>
                <w:sz w:val="20"/>
                <w:szCs w:val="20"/>
                <w:color w:val="auto"/>
              </w:rPr>
            </w:pPr>
            <w:r>
              <w:rPr>
                <w:rFonts w:ascii="Arial" w:cs="Arial" w:eastAsia="Arial" w:hAnsi="Arial"/>
                <w:sz w:val="17"/>
                <w:szCs w:val="17"/>
                <w:color w:val="auto"/>
              </w:rPr>
              <w:t>4.5</w:t>
            </w:r>
          </w:p>
        </w:tc>
        <w:tc>
          <w:tcPr>
            <w:tcW w:w="8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240" w:type="dxa"/>
            <w:vAlign w:val="bottom"/>
            <w:tcBorders>
              <w:bottom w:val="single" w:sz="8" w:color="0000EE"/>
            </w:tcBorders>
            <w:gridSpan w:val="6"/>
          </w:tcPr>
          <w:p>
            <w:pPr>
              <w:spacing w:after="0" w:line="147" w:lineRule="exact"/>
              <w:rPr>
                <w:rFonts w:ascii="Arial" w:cs="Arial" w:eastAsia="Arial" w:hAnsi="Arial"/>
                <w:sz w:val="17"/>
                <w:szCs w:val="17"/>
                <w:color w:val="0000EE"/>
                <w:w w:val="93"/>
              </w:rPr>
            </w:pPr>
            <w:hyperlink r:id="rId57">
              <w:r>
                <w:rPr>
                  <w:rFonts w:ascii="Arial" w:cs="Arial" w:eastAsia="Arial" w:hAnsi="Arial"/>
                  <w:sz w:val="17"/>
                  <w:szCs w:val="17"/>
                  <w:color w:val="0000EE"/>
                  <w:w w:val="93"/>
                </w:rPr>
                <w:t>First Supplemental Indenture, by and among Gevo, Inc., the</w:t>
              </w:r>
            </w:hyperlink>
          </w:p>
        </w:tc>
        <w:tc>
          <w:tcPr>
            <w:tcW w:w="420" w:type="dxa"/>
            <w:vAlign w:val="bottom"/>
            <w:tcBorders>
              <w:right w:val="single" w:sz="8" w:color="auto"/>
            </w:tcBorders>
            <w:gridSpan w:val="5"/>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240" w:type="dxa"/>
            <w:vAlign w:val="bottom"/>
            <w:tcBorders>
              <w:bottom w:val="single" w:sz="8" w:color="0000EE"/>
            </w:tcBorders>
            <w:gridSpan w:val="6"/>
          </w:tcPr>
          <w:p>
            <w:pPr>
              <w:spacing w:after="0" w:line="194"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guarantors party thereto, Wilmington Savings Fund Society,</w:t>
              </w:r>
            </w:hyperlink>
          </w:p>
        </w:tc>
        <w:tc>
          <w:tcPr>
            <w:tcW w:w="420" w:type="dxa"/>
            <w:vAlign w:val="bottom"/>
            <w:tcBorders>
              <w:right w:val="single" w:sz="8" w:color="auto"/>
            </w:tcBorders>
            <w:gridSpan w:val="5"/>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April 9,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gridSpan w:val="11"/>
            <w:vMerge w:val="restart"/>
          </w:tcPr>
          <w:p>
            <w:pPr>
              <w:spacing w:after="0" w:line="194" w:lineRule="exact"/>
              <w:rPr>
                <w:rFonts w:ascii="Arial" w:cs="Arial" w:eastAsia="Arial" w:hAnsi="Arial"/>
                <w:sz w:val="18"/>
                <w:szCs w:val="18"/>
                <w:color w:val="0000EE"/>
                <w:w w:val="87"/>
              </w:rPr>
            </w:pPr>
            <w:hyperlink r:id="rId57">
              <w:r>
                <w:rPr>
                  <w:rFonts w:ascii="Arial" w:cs="Arial" w:eastAsia="Arial" w:hAnsi="Arial"/>
                  <w:sz w:val="18"/>
                  <w:szCs w:val="18"/>
                  <w:color w:val="0000EE"/>
                  <w:w w:val="87"/>
                </w:rPr>
                <w:t>FSB, as trustee and as collateral trustee, the requisite holders and</w:t>
              </w:r>
            </w:hyperlink>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660" w:type="dxa"/>
            <w:vAlign w:val="bottom"/>
            <w:tcBorders>
              <w:right w:val="single" w:sz="8" w:color="auto"/>
            </w:tcBorders>
            <w:gridSpan w:val="11"/>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580" w:type="dxa"/>
            <w:vAlign w:val="bottom"/>
            <w:tcBorders>
              <w:top w:val="single" w:sz="8" w:color="0000EE"/>
            </w:tcBorders>
            <w:gridSpan w:val="10"/>
          </w:tcPr>
          <w:p>
            <w:pPr>
              <w:spacing w:after="0" w:line="194" w:lineRule="exact"/>
              <w:rPr>
                <w:rFonts w:ascii="Arial" w:cs="Arial" w:eastAsia="Arial" w:hAnsi="Arial"/>
                <w:sz w:val="18"/>
                <w:szCs w:val="18"/>
                <w:color w:val="0000EE"/>
              </w:rPr>
            </w:pPr>
            <w:hyperlink r:id="rId57">
              <w:r>
                <w:rPr>
                  <w:rFonts w:ascii="Arial" w:cs="Arial" w:eastAsia="Arial" w:hAnsi="Arial"/>
                  <w:sz w:val="18"/>
                  <w:szCs w:val="18"/>
                  <w:color w:val="0000EE"/>
                </w:rPr>
                <w:t>Whitebox Advisors LLC.</w:t>
              </w:r>
            </w:hyperlink>
          </w:p>
        </w:tc>
        <w:tc>
          <w:tcPr>
            <w:tcW w:w="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4.6</w:t>
            </w:r>
          </w:p>
        </w:tc>
        <w:tc>
          <w:tcPr>
            <w:tcW w:w="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gridSpan w:val="11"/>
            <w:vMerge w:val="restart"/>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Registration Rights Agreement, dated January 10, 2020, by and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January 13, 2020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660" w:type="dxa"/>
            <w:vAlign w:val="bottom"/>
            <w:tcBorders>
              <w:right w:val="single" w:sz="8" w:color="auto"/>
            </w:tcBorders>
            <w:gridSpan w:val="11"/>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48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r:id="rId58">
              <w:r>
                <w:rPr>
                  <w:rFonts w:ascii="Arial" w:cs="Arial" w:eastAsia="Arial" w:hAnsi="Arial"/>
                  <w:sz w:val="18"/>
                  <w:szCs w:val="18"/>
                  <w:color w:val="0000EE"/>
                </w:rPr>
                <w:t>among Gevo, Inc. and the investors named therein.</w:t>
              </w:r>
            </w:hyperlink>
          </w:p>
        </w:tc>
        <w:tc>
          <w:tcPr>
            <w:tcW w:w="180" w:type="dxa"/>
            <w:vAlign w:val="bottom"/>
            <w:tcBorders>
              <w:right w:val="single" w:sz="8" w:color="auto"/>
            </w:tcBorders>
            <w:gridSpan w:val="3"/>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4.7</w:t>
            </w:r>
          </w:p>
        </w:tc>
        <w:tc>
          <w:tcPr>
            <w:tcW w:w="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gridSpan w:val="11"/>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2015 Common Stock Unit Series C Warrant Agreement, dated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May 20, 2015</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22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May 19, 2015 by and between Gevo, Inc. and the American</w:t>
              </w:r>
            </w:hyperlink>
          </w:p>
        </w:tc>
        <w:tc>
          <w:tcPr>
            <w:tcW w:w="180" w:type="dxa"/>
            <w:vAlign w:val="bottom"/>
            <w:tcBorders>
              <w:top w:val="single" w:sz="8" w:color="0000EE"/>
            </w:tcBorders>
            <w:gridSpan w:val="2"/>
          </w:tcPr>
          <w:p>
            <w:pPr>
              <w:spacing w:after="0"/>
              <w:rPr>
                <w:sz w:val="16"/>
                <w:szCs w:val="16"/>
                <w:color w:val="auto"/>
              </w:rPr>
            </w:pPr>
          </w:p>
        </w:tc>
        <w:tc>
          <w:tcPr>
            <w:tcW w:w="260" w:type="dxa"/>
            <w:vAlign w:val="bottom"/>
            <w:tcBorders>
              <w:right w:val="single" w:sz="8" w:color="auto"/>
            </w:tcBorders>
            <w:gridSpan w:val="4"/>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gridSpan w:val="11"/>
          </w:tcPr>
          <w:p>
            <w:pPr>
              <w:spacing w:after="0" w:line="194" w:lineRule="exact"/>
              <w:rPr>
                <w:rFonts w:ascii="Arial" w:cs="Arial" w:eastAsia="Arial" w:hAnsi="Arial"/>
                <w:sz w:val="18"/>
                <w:szCs w:val="18"/>
                <w:color w:val="0000EE"/>
              </w:rPr>
            </w:pPr>
            <w:hyperlink r:id="rId59">
              <w:r>
                <w:rPr>
                  <w:rFonts w:ascii="Arial" w:cs="Arial" w:eastAsia="Arial" w:hAnsi="Arial"/>
                  <w:sz w:val="18"/>
                  <w:szCs w:val="18"/>
                  <w:color w:val="0000EE"/>
                </w:rPr>
                <w:t>Stock Transfer &amp; Trust Company LLC.</w:t>
              </w:r>
            </w:hyperlink>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3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11"/>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Form of Series D Warrant to Purchase Common Stock.</w:t>
              </w:r>
            </w:hyperlink>
          </w:p>
        </w:tc>
        <w:tc>
          <w:tcPr>
            <w:tcW w:w="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December 15, 2015</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11"/>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Form of Amendment No. 1 to Series D Warrant</w:t>
              </w:r>
            </w:hyperlink>
          </w:p>
        </w:tc>
        <w:tc>
          <w:tcPr>
            <w:tcW w:w="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June 13, 2016</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0" w:type="dxa"/>
            <w:vAlign w:val="bottom"/>
            <w:gridSpan w:val="7"/>
          </w:tcPr>
          <w:p>
            <w:pPr>
              <w:jc w:val="right"/>
              <w:ind w:right="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360" w:type="dxa"/>
            <w:vAlign w:val="bottom"/>
            <w:gridSpan w:val="4"/>
          </w:tcPr>
          <w:p>
            <w:pPr>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Table of Contents</w:t>
              </w:r>
            </w:hyperlink>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152"/>
        </w:trPr>
        <w:tc>
          <w:tcPr>
            <w:tcW w:w="1180" w:type="dxa"/>
            <w:vAlign w:val="bottom"/>
            <w:tcBorders>
              <w:left w:val="single" w:sz="8" w:color="auto"/>
              <w:right w:val="single" w:sz="8" w:color="auto"/>
            </w:tcBorders>
            <w:gridSpan w:val="2"/>
          </w:tcPr>
          <w:p>
            <w:pPr>
              <w:ind w:left="20"/>
              <w:spacing w:after="0" w:line="152" w:lineRule="exact"/>
              <w:rPr>
                <w:sz w:val="20"/>
                <w:szCs w:val="20"/>
                <w:color w:val="auto"/>
              </w:rPr>
            </w:pPr>
            <w:r>
              <w:rPr>
                <w:rFonts w:ascii="Arial" w:cs="Arial" w:eastAsia="Arial" w:hAnsi="Arial"/>
                <w:sz w:val="17"/>
                <w:szCs w:val="17"/>
                <w:b w:val="1"/>
                <w:bCs w:val="1"/>
                <w:color w:val="auto"/>
              </w:rPr>
              <w:t>Exhibit</w:t>
            </w:r>
          </w:p>
        </w:tc>
        <w:tc>
          <w:tcPr>
            <w:tcW w:w="8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7"/>
                <w:szCs w:val="17"/>
                <w:b w:val="1"/>
                <w:bCs w:val="1"/>
                <w:color w:val="auto"/>
                <w:w w:val="95"/>
              </w:rPr>
              <w:t>Filed</w:t>
            </w:r>
          </w:p>
        </w:tc>
      </w:tr>
      <w:tr>
        <w:trPr>
          <w:trHeight w:val="249"/>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187"/>
        </w:trPr>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9"/>
              </w:rPr>
              <w:t>File No.</w:t>
            </w:r>
          </w:p>
        </w:tc>
        <w:tc>
          <w:tcPr>
            <w:tcW w:w="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ind w:left="60"/>
              <w:spacing w:after="0" w:line="187" w:lineRule="exact"/>
              <w:rPr>
                <w:sz w:val="20"/>
                <w:szCs w:val="20"/>
                <w:color w:val="auto"/>
              </w:rPr>
            </w:pPr>
            <w:r>
              <w:rPr>
                <w:rFonts w:ascii="Arial" w:cs="Arial" w:eastAsia="Arial" w:hAnsi="Arial"/>
                <w:sz w:val="18"/>
                <w:szCs w:val="18"/>
                <w:b w:val="1"/>
                <w:bCs w:val="1"/>
                <w:color w:val="auto"/>
              </w:rPr>
              <w:t>Exhibit</w:t>
            </w:r>
          </w:p>
        </w:tc>
        <w:tc>
          <w:tcPr>
            <w:tcW w:w="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Form of Series F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April 5, 2016</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4.11</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Form of Series I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September 15, 2016</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Form of Series K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February 22, 2017</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70"/>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 #</w:t>
            </w: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320" w:type="dxa"/>
            <w:vAlign w:val="bottom"/>
            <w:tcBorders>
              <w:bottom w:val="single" w:sz="8" w:color="0000EE"/>
            </w:tcBorders>
            <w:gridSpan w:val="8"/>
          </w:tcPr>
          <w:p>
            <w:pPr>
              <w:spacing w:after="0" w:line="170"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Offer Letter, dated February 22, 2018, by and between Gevo,</w:t>
              </w:r>
            </w:hyperlink>
          </w:p>
        </w:tc>
        <w:tc>
          <w:tcPr>
            <w:tcW w:w="240" w:type="dxa"/>
            <w:vAlign w:val="bottom"/>
            <w:tcBorders>
              <w:right w:val="single" w:sz="8" w:color="auto"/>
            </w:tcBorders>
            <w:gridSpan w:val="6"/>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X</w:t>
            </w: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14"/>
          </w:tcPr>
          <w:p>
            <w:pPr>
              <w:spacing w:after="0" w:line="194" w:lineRule="exact"/>
              <w:rPr>
                <w:rFonts w:ascii="Arial" w:cs="Arial" w:eastAsia="Arial" w:hAnsi="Arial"/>
                <w:sz w:val="18"/>
                <w:szCs w:val="18"/>
                <w:color w:val="0000EE"/>
              </w:rPr>
            </w:pPr>
            <w:hyperlink w:anchor="page46">
              <w:r>
                <w:rPr>
                  <w:rFonts w:ascii="Arial" w:cs="Arial" w:eastAsia="Arial" w:hAnsi="Arial"/>
                  <w:sz w:val="18"/>
                  <w:szCs w:val="18"/>
                  <w:color w:val="0000EE"/>
                </w:rPr>
                <w:t>Inc. and Timothy J. Cesarek.</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7"/>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00" w:type="dxa"/>
            <w:vAlign w:val="bottom"/>
            <w:tcBorders>
              <w:bottom w:val="single" w:sz="8" w:color="0000EE"/>
            </w:tcBorders>
            <w:gridSpan w:val="13"/>
          </w:tcPr>
          <w:p>
            <w:pPr>
              <w:spacing w:after="0" w:line="167" w:lineRule="exact"/>
              <w:rPr>
                <w:rFonts w:ascii="Arial" w:cs="Arial" w:eastAsia="Arial" w:hAnsi="Arial"/>
                <w:sz w:val="18"/>
                <w:szCs w:val="18"/>
                <w:color w:val="0000EE"/>
                <w:w w:val="86"/>
              </w:rPr>
            </w:pPr>
            <w:hyperlink r:id="rId65">
              <w:r>
                <w:rPr>
                  <w:rFonts w:ascii="Arial" w:cs="Arial" w:eastAsia="Arial" w:hAnsi="Arial"/>
                  <w:sz w:val="18"/>
                  <w:szCs w:val="18"/>
                  <w:color w:val="0000EE"/>
                  <w:w w:val="86"/>
                </w:rPr>
                <w:t>Exchange and Purchase Agreement, dated January 10, 2020, by</w:t>
              </w:r>
            </w:hyperlink>
          </w:p>
        </w:tc>
        <w:tc>
          <w:tcPr>
            <w:tcW w:w="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14"/>
          </w:tcPr>
          <w:p>
            <w:pPr>
              <w:spacing w:after="0" w:line="194"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and among Gevo, Inc., the guarantors party thereto, the holders</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460" w:type="dxa"/>
            <w:vAlign w:val="bottom"/>
            <w:tcBorders>
              <w:top w:val="single" w:sz="8" w:color="0000EE"/>
            </w:tcBorders>
            <w:gridSpan w:val="12"/>
          </w:tcPr>
          <w:p>
            <w:pPr>
              <w:spacing w:after="0" w:line="194"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named in Schedule I thereto, and Whitebox Advisors LLC, in</w:t>
              </w:r>
            </w:hyperlink>
          </w:p>
        </w:tc>
        <w:tc>
          <w:tcPr>
            <w:tcW w:w="100" w:type="dxa"/>
            <w:vAlign w:val="bottom"/>
            <w:tcBorders>
              <w:right w:val="single" w:sz="8" w:color="auto"/>
            </w:tcBorders>
            <w:gridSpan w:val="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10.2 *</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34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r:id="rId65">
              <w:r>
                <w:rPr>
                  <w:rFonts w:ascii="Arial" w:cs="Arial" w:eastAsia="Arial" w:hAnsi="Arial"/>
                  <w:sz w:val="18"/>
                  <w:szCs w:val="18"/>
                  <w:color w:val="0000EE"/>
                </w:rPr>
                <w:t>its capacity as representative of the holders.</w:t>
              </w:r>
            </w:hyperlink>
          </w:p>
        </w:tc>
        <w:tc>
          <w:tcPr>
            <w:tcW w:w="220" w:type="dxa"/>
            <w:vAlign w:val="bottom"/>
            <w:tcBorders>
              <w:right w:val="single" w:sz="8" w:color="auto"/>
            </w:tcBorders>
            <w:gridSpan w:val="5"/>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7"/>
              </w:rPr>
              <w:t>January 13,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5"/>
              </w:rPr>
              <w:t>10.1</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7"/>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14"/>
          </w:tcPr>
          <w:p>
            <w:pPr>
              <w:spacing w:after="0" w:line="167" w:lineRule="exact"/>
              <w:rPr>
                <w:rFonts w:ascii="Arial" w:cs="Arial" w:eastAsia="Arial" w:hAnsi="Arial"/>
                <w:sz w:val="18"/>
                <w:szCs w:val="18"/>
                <w:color w:val="0000EE"/>
                <w:w w:val="94"/>
              </w:rPr>
            </w:pPr>
            <w:hyperlink r:id="rId66">
              <w:r>
                <w:rPr>
                  <w:rFonts w:ascii="Arial" w:cs="Arial" w:eastAsia="Arial" w:hAnsi="Arial"/>
                  <w:sz w:val="18"/>
                  <w:szCs w:val="18"/>
                  <w:color w:val="0000EE"/>
                  <w:w w:val="94"/>
                </w:rPr>
                <w:t>Letter Agreement, dated April 7, 2020, by and among Gevo,</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5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14"/>
          </w:tcPr>
          <w:p>
            <w:pPr>
              <w:spacing w:after="0" w:line="194"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Inc., the guarantors party thereto and Whitebox Advisors LLC,</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10.3</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44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r:id="rId66">
              <w:r>
                <w:rPr>
                  <w:rFonts w:ascii="Arial" w:cs="Arial" w:eastAsia="Arial" w:hAnsi="Arial"/>
                  <w:sz w:val="18"/>
                  <w:szCs w:val="18"/>
                  <w:color w:val="0000EE"/>
                </w:rPr>
                <w:t>for itself and on behalf of the holders.</w:t>
              </w:r>
            </w:hyperlink>
          </w:p>
        </w:tc>
        <w:tc>
          <w:tcPr>
            <w:tcW w:w="120" w:type="dxa"/>
            <w:vAlign w:val="bottom"/>
            <w:tcBorders>
              <w:right w:val="single" w:sz="8" w:color="auto"/>
            </w:tcBorders>
            <w:gridSpan w:val="3"/>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2"/>
              </w:rPr>
              <w:t>April 9,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5"/>
              </w:rPr>
              <w:t>10.1</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7"/>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14"/>
          </w:tcPr>
          <w:p>
            <w:pPr>
              <w:spacing w:after="0" w:line="167"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Amendment No. 1 to Fuel Sales Agreement, dated as of April</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360" w:type="dxa"/>
            <w:vAlign w:val="bottom"/>
            <w:tcBorders>
              <w:top w:val="single" w:sz="8" w:color="0000EE"/>
            </w:tcBorders>
            <w:gridSpan w:val="10"/>
          </w:tcPr>
          <w:p>
            <w:pPr>
              <w:spacing w:after="0" w:line="194"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22, 2020, by and between the Company and Delta Air Lines,</w:t>
              </w:r>
            </w:hyperlink>
          </w:p>
        </w:tc>
        <w:tc>
          <w:tcPr>
            <w:tcW w:w="200" w:type="dxa"/>
            <w:vAlign w:val="bottom"/>
            <w:tcBorders>
              <w:right w:val="single" w:sz="8" w:color="auto"/>
            </w:tcBorders>
            <w:gridSpan w:val="4"/>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10.4††</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28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67">
              <w:r>
                <w:rPr>
                  <w:rFonts w:ascii="Arial" w:cs="Arial" w:eastAsia="Arial" w:hAnsi="Arial"/>
                  <w:sz w:val="18"/>
                  <w:szCs w:val="18"/>
                  <w:color w:val="0000EE"/>
                </w:rPr>
                <w:t>Inc.</w:t>
              </w:r>
            </w:hyperlink>
          </w:p>
        </w:tc>
        <w:tc>
          <w:tcPr>
            <w:tcW w:w="280" w:type="dxa"/>
            <w:vAlign w:val="bottom"/>
            <w:tcBorders>
              <w:right w:val="single" w:sz="8" w:color="auto"/>
            </w:tcBorders>
            <w:gridSpan w:val="7"/>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3"/>
              </w:rPr>
              <w:t>April 28,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5"/>
              </w:rPr>
              <w:t>10.1</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17"/>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EE"/>
                <w:w w:val="97"/>
              </w:rPr>
            </w:pPr>
            <w:hyperlink w:anchor="page49">
              <w:r>
                <w:rPr>
                  <w:rFonts w:ascii="Arial" w:cs="Arial" w:eastAsia="Arial" w:hAnsi="Arial"/>
                  <w:sz w:val="18"/>
                  <w:szCs w:val="18"/>
                  <w:u w:val="single" w:color="auto"/>
                  <w:color w:val="0000EE"/>
                  <w:w w:val="97"/>
                </w:rPr>
                <w:t>Section 302 Certification of the Principal Executive Officer.</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14"/>
          </w:tcPr>
          <w:p>
            <w:pPr>
              <w:spacing w:after="0"/>
              <w:rPr>
                <w:rFonts w:ascii="Arial" w:cs="Arial" w:eastAsia="Arial" w:hAnsi="Arial"/>
                <w:sz w:val="18"/>
                <w:szCs w:val="18"/>
                <w:u w:val="single" w:color="auto"/>
                <w:color w:val="0000EE"/>
                <w:w w:val="98"/>
              </w:rPr>
            </w:pPr>
            <w:hyperlink w:anchor="page50">
              <w:r>
                <w:rPr>
                  <w:rFonts w:ascii="Arial" w:cs="Arial" w:eastAsia="Arial" w:hAnsi="Arial"/>
                  <w:sz w:val="18"/>
                  <w:szCs w:val="18"/>
                  <w:u w:val="single" w:color="auto"/>
                  <w:color w:val="0000EE"/>
                  <w:w w:val="98"/>
                </w:rPr>
                <w:t>Section 302 Certification of the Principal Financial Officer.</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170"/>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14"/>
          </w:tcPr>
          <w:p>
            <w:pPr>
              <w:spacing w:after="0" w:line="170"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Section 906 Certification of the Principal Executive Officer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32.1</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13"/>
          </w:tcPr>
          <w:p>
            <w:pPr>
              <w:spacing w:after="0" w:line="194" w:lineRule="exact"/>
              <w:rPr>
                <w:rFonts w:ascii="Arial" w:cs="Arial" w:eastAsia="Arial" w:hAnsi="Arial"/>
                <w:sz w:val="18"/>
                <w:szCs w:val="18"/>
                <w:color w:val="0000EE"/>
              </w:rPr>
            </w:pPr>
            <w:hyperlink w:anchor="page51">
              <w:r>
                <w:rPr>
                  <w:rFonts w:ascii="Arial" w:cs="Arial" w:eastAsia="Arial" w:hAnsi="Arial"/>
                  <w:sz w:val="18"/>
                  <w:szCs w:val="18"/>
                  <w:color w:val="0000EE"/>
                </w:rPr>
                <w:t>Principal Financial Officer.**</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rPr>
              <w:t>X**</w:t>
            </w: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06"/>
        </w:trPr>
        <w:tc>
          <w:tcPr>
            <w:tcW w:w="36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2"/>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4"/>
              </w:rPr>
              <w:t>of Gevo, Inc. for the quarterly period ended March 31, 2020,</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5"/>
              </w:rPr>
              <w:t>formatted in XBRL: (i) the Consolidated Balance Sheets, (ii)</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rPr>
              <w:t>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14"/>
          </w:tcPr>
          <w:p>
            <w:pPr>
              <w:spacing w:after="0"/>
              <w:rPr>
                <w:sz w:val="20"/>
                <w:szCs w:val="20"/>
                <w:color w:val="auto"/>
              </w:rPr>
            </w:pPr>
            <w:r>
              <w:rPr>
                <w:rFonts w:ascii="Arial" w:cs="Arial" w:eastAsia="Arial" w:hAnsi="Arial"/>
                <w:sz w:val="18"/>
                <w:szCs w:val="18"/>
                <w:color w:val="auto"/>
                <w:w w:val="91"/>
              </w:rPr>
              <w:t>Consolidated Statements of Cash Flows, and (iv)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25"/>
        </w:trPr>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gridSpan w:val="14"/>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bl>
    <w:p>
      <w:pPr>
        <w:spacing w:after="0" w:line="196" w:lineRule="exact"/>
        <w:rPr>
          <w:sz w:val="20"/>
          <w:szCs w:val="20"/>
          <w:color w:val="auto"/>
        </w:rPr>
      </w:pPr>
    </w:p>
    <w:p>
      <w:pPr>
        <w:ind w:left="640" w:hanging="633"/>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51" w:lineRule="exact"/>
        <w:rPr>
          <w:sz w:val="20"/>
          <w:szCs w:val="20"/>
          <w:color w:val="auto"/>
        </w:rPr>
      </w:pPr>
    </w:p>
    <w:p>
      <w:pPr>
        <w:ind w:left="640" w:right="140" w:hanging="633"/>
        <w:spacing w:after="0" w:line="190" w:lineRule="auto"/>
        <w:tabs>
          <w:tab w:leader="none" w:pos="640" w:val="left"/>
        </w:tabs>
        <w:numPr>
          <w:ilvl w:val="0"/>
          <w:numId w:val="6"/>
        </w:numPr>
        <w:rPr>
          <w:rFonts w:ascii="Arial" w:cs="Arial" w:eastAsia="Arial" w:hAnsi="Arial"/>
          <w:sz w:val="37"/>
          <w:szCs w:val="37"/>
          <w:color w:val="auto"/>
          <w:vertAlign w:val="subscript"/>
        </w:rPr>
      </w:pPr>
      <w:r>
        <w:rPr>
          <w:rFonts w:ascii="Arial" w:cs="Arial" w:eastAsia="Arial" w:hAnsi="Arial"/>
          <w:sz w:val="19"/>
          <w:szCs w:val="19"/>
          <w:color w:val="auto"/>
        </w:rPr>
        <w:t>Certain portions of the exhibit have been omitted pursuant to Rule 601(b)(10) of Regulation S-K. The omitted information is (i) not material and (ii) would likely cause competitive harm to the Company if publicly disclosed. of the exhibit</w:t>
      </w:r>
    </w:p>
    <w:p>
      <w:pPr>
        <w:spacing w:after="0" w:line="211" w:lineRule="exact"/>
        <w:rPr>
          <w:sz w:val="20"/>
          <w:szCs w:val="20"/>
          <w:color w:val="auto"/>
        </w:rPr>
      </w:pPr>
    </w:p>
    <w:p>
      <w:pPr>
        <w:ind w:left="640" w:right="700" w:hanging="633"/>
        <w:spacing w:after="0" w:line="187" w:lineRule="auto"/>
        <w:tabs>
          <w:tab w:leader="none" w:pos="640" w:val="left"/>
        </w:tabs>
        <w:numPr>
          <w:ilvl w:val="0"/>
          <w:numId w:val="7"/>
        </w:numPr>
        <w:rPr>
          <w:rFonts w:ascii="Arial" w:cs="Arial" w:eastAsia="Arial" w:hAnsi="Arial"/>
          <w:sz w:val="36"/>
          <w:szCs w:val="36"/>
          <w:color w:val="auto"/>
          <w:vertAlign w:val="subscript"/>
        </w:rPr>
      </w:pPr>
      <w:r>
        <w:rPr>
          <w:rFonts w:ascii="Arial" w:cs="Arial" w:eastAsia="Arial" w:hAnsi="Arial"/>
          <w:sz w:val="21"/>
          <w:szCs w:val="21"/>
          <w:color w:val="auto"/>
        </w:rPr>
        <w:t>Certain schedules and exhibits have been omitted pursuant to Item 601(a)(5) of Regulation S-K under the Securities Exchange Act of 1934, as amended.</w:t>
      </w:r>
    </w:p>
    <w:p>
      <w:pPr>
        <w:spacing w:after="0" w:line="190" w:lineRule="exact"/>
        <w:rPr>
          <w:sz w:val="20"/>
          <w:szCs w:val="20"/>
          <w:color w:val="auto"/>
        </w:rPr>
      </w:pPr>
    </w:p>
    <w:p>
      <w:pPr>
        <w:ind w:left="640" w:hanging="63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40" w:lineRule="exact"/>
        <w:rPr>
          <w:sz w:val="20"/>
          <w:szCs w:val="20"/>
          <w:color w:val="auto"/>
        </w:rPr>
      </w:pPr>
    </w:p>
    <w:p>
      <w:pPr>
        <w:ind w:left="640" w:hanging="633"/>
        <w:spacing w:after="0"/>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color w:val="auto"/>
        </w:rPr>
        <w:t>Indicates a management contract or compensatory plan or arrangement.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469"/>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13335</wp:posOffset>
            </wp:positionV>
            <wp:extent cx="24993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13" w:lineRule="exact"/>
        <w:rPr>
          <w:sz w:val="20"/>
          <w:szCs w:val="20"/>
          <w:color w:val="auto"/>
        </w:rPr>
      </w:pPr>
    </w:p>
    <w:p>
      <w:pPr>
        <w:jc w:val="center"/>
        <w:ind w:right="5600"/>
        <w:spacing w:after="0"/>
        <w:rPr>
          <w:sz w:val="20"/>
          <w:szCs w:val="20"/>
          <w:color w:val="auto"/>
        </w:rPr>
      </w:pPr>
      <w:r>
        <w:rPr>
          <w:rFonts w:ascii="Arial" w:cs="Arial" w:eastAsia="Arial" w:hAnsi="Arial"/>
          <w:sz w:val="18"/>
          <w:szCs w:val="18"/>
          <w:b w:val="1"/>
          <w:bCs w:val="1"/>
          <w:color w:val="auto"/>
        </w:rPr>
        <w:t>Carolyn M. Romero, CPA</w:t>
      </w:r>
    </w:p>
    <w:p>
      <w:pPr>
        <w:spacing w:after="0" w:line="6" w:lineRule="exact"/>
        <w:rPr>
          <w:sz w:val="20"/>
          <w:szCs w:val="20"/>
          <w:color w:val="auto"/>
        </w:rPr>
      </w:pPr>
    </w:p>
    <w:p>
      <w:pPr>
        <w:jc w:val="center"/>
        <w:ind w:right="5600"/>
        <w:spacing w:after="0"/>
        <w:rPr>
          <w:sz w:val="20"/>
          <w:szCs w:val="20"/>
          <w:color w:val="auto"/>
        </w:rPr>
      </w:pPr>
      <w:r>
        <w:rPr>
          <w:rFonts w:ascii="Arial" w:cs="Arial" w:eastAsia="Arial" w:hAnsi="Arial"/>
          <w:sz w:val="18"/>
          <w:szCs w:val="18"/>
          <w:b w:val="1"/>
          <w:bCs w:val="1"/>
          <w:i w:val="1"/>
          <w:iCs w:val="1"/>
          <w:color w:val="auto"/>
        </w:rPr>
        <w:t>VP - Controller</w:t>
      </w:r>
    </w:p>
    <w:p>
      <w:pPr>
        <w:spacing w:after="0" w:line="6" w:lineRule="exact"/>
        <w:rPr>
          <w:sz w:val="20"/>
          <w:szCs w:val="20"/>
          <w:color w:val="auto"/>
        </w:rPr>
      </w:pPr>
    </w:p>
    <w:p>
      <w:pPr>
        <w:jc w:val="center"/>
        <w:ind w:right="56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40"/>
          </w:cols>
          <w:pgMar w:left="320" w:top="125" w:right="9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Tim Cesarek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Offer of Employment with Gevo.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Tim:</w:t>
      </w:r>
    </w:p>
    <w:p>
      <w:pPr>
        <w:spacing w:after="0" w:line="220"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We are very pleased to extend to you an offer of employment with Gevo, Inc. (the “Company”), which is estimated to begin on March 26, 2018 or such other date as mutually acceptable. The terms of our offer are as follows:</w:t>
      </w:r>
    </w:p>
    <w:p>
      <w:pPr>
        <w:spacing w:after="0" w:line="175" w:lineRule="exact"/>
        <w:rPr>
          <w:sz w:val="20"/>
          <w:szCs w:val="20"/>
          <w:color w:val="auto"/>
        </w:rPr>
      </w:pPr>
    </w:p>
    <w:p>
      <w:pPr>
        <w:ind w:left="820" w:hanging="173"/>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1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You will be employed by the Company in a regular, full-time position as Chief Commercial Officer, reporting to the CEO</w:t>
      </w:r>
      <w:r>
        <w:rPr>
          <w:rFonts w:ascii="Arial" w:cs="Arial" w:eastAsia="Arial" w:hAnsi="Arial"/>
          <w:sz w:val="17"/>
          <w:szCs w:val="17"/>
          <w:b w:val="1"/>
          <w:bCs w:val="1"/>
          <w:color w:val="auto"/>
        </w:rPr>
        <w:t>.</w:t>
      </w:r>
      <w:r>
        <w:rPr>
          <w:rFonts w:ascii="Arial" w:cs="Arial" w:eastAsia="Arial" w:hAnsi="Arial"/>
          <w:sz w:val="17"/>
          <w:szCs w:val="17"/>
          <w:color w:val="auto"/>
        </w:rPr>
        <w:t xml:space="preserve"> Beginning on the date you join the Company, you will be expected to devote your full working time and attention to the business of the Company, and not to work for any other business without the Company’s approval. During the period that you render services to the Company, you agree to not engage in any employment, business or activity that is in any way competitive with the business or proposed business of the Company. You will also be expected to comply with and be bound by the Company’s operating policies, procedures and practices that are from time to time in effect during the term of your employment.</w:t>
      </w:r>
    </w:p>
    <w:p>
      <w:pPr>
        <w:spacing w:after="0" w:line="181" w:lineRule="exact"/>
        <w:rPr>
          <w:sz w:val="20"/>
          <w:szCs w:val="20"/>
          <w:color w:val="auto"/>
        </w:rPr>
      </w:pPr>
    </w:p>
    <w:p>
      <w:pPr>
        <w:ind w:left="820" w:hanging="173"/>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Salary and Benefits</w:t>
      </w:r>
      <w:r>
        <w:rPr>
          <w:rFonts w:ascii="Arial" w:cs="Arial" w:eastAsia="Arial" w:hAnsi="Arial"/>
          <w:sz w:val="18"/>
          <w:szCs w:val="18"/>
          <w:color w:val="auto"/>
        </w:rPr>
        <w:t>.</w:t>
      </w:r>
    </w:p>
    <w:p>
      <w:pPr>
        <w:spacing w:after="0" w:line="1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Your annual salary shall be $325,000.00, payable in accordance with the Company’s normal payroll practices, with such payroll deductions and withholdings as are required by law. You will be eligible to receive an annual incentive payout (cash and/or stock options) of up to 40% of your annual salary. To the extent that the Company provides life, health, dental, disability or other insurance programs; pension, profit-sharing 401(k) or other retirement programs; paid time off periods, or other fringe benefits, and subject to the satisfaction of any general eligibility criteria, you will receive such benefits to the same extent as other similarly situated employees of the Company. You will receive four weeks of vacation per year.</w:t>
      </w:r>
    </w:p>
    <w:p>
      <w:pPr>
        <w:spacing w:after="0" w:line="181" w:lineRule="exact"/>
        <w:rPr>
          <w:sz w:val="20"/>
          <w:szCs w:val="20"/>
          <w:color w:val="auto"/>
        </w:rPr>
      </w:pPr>
    </w:p>
    <w:p>
      <w:pPr>
        <w:ind w:left="820" w:hanging="173"/>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Compensation Committee has authorized me to offer you a grant of options, should you accept the position. Final approval for the option grant would be given once you have accepted, after which the resolutions needed could be finalized by the Board of Directors of the Company (the “Board”). The Company will grant to you stock options, or cash “shadow option” [an equivalent to the option plan, but paid in cash rather than equity] with a value of $200,000. The exercise price of the option per share of Common Stock shall be equal to the NASDAQ closing price of the Company’s Common Stock on the date the grant is made by the Board; in your case, this is expected to be your first day of work. The inducement stock options shall vest over a three year period with 1/3 vesting on your date your of hire, 1/3 vesting on your first anniversary, and 1/3 vesting on your second anniversary of hire. All of the option terms will be defined more precisely in a definitive stock option agreement.</w:t>
      </w:r>
    </w:p>
    <w:p>
      <w:pPr>
        <w:spacing w:after="0" w:line="184" w:lineRule="exact"/>
        <w:rPr>
          <w:sz w:val="20"/>
          <w:szCs w:val="20"/>
          <w:color w:val="auto"/>
        </w:rPr>
      </w:pPr>
    </w:p>
    <w:p>
      <w:pPr>
        <w:ind w:left="820" w:hanging="173"/>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w:t>
      </w:r>
    </w:p>
    <w:p>
      <w:pPr>
        <w:spacing w:after="0" w:line="1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While we look forward to a long and productive relationship, should you decide to accept our offer, you will be an at-will employee of the Company, which means the employment relationship can be terminated by either of us for any reason, at any time, with or without notice and with or without cause. Any statements or representations to the contrary (including any statements contradicting any provision in this offer letter) should be regarded by you as ineffective.</w:t>
      </w:r>
    </w:p>
    <w:p>
      <w:pPr>
        <w:spacing w:after="0" w:line="192" w:lineRule="exact"/>
        <w:rPr>
          <w:sz w:val="20"/>
          <w:szCs w:val="20"/>
          <w:color w:val="auto"/>
        </w:rPr>
      </w:pPr>
    </w:p>
    <w:p>
      <w:pPr>
        <w:ind w:left="820" w:hanging="17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Separation Benefits</w:t>
      </w:r>
      <w:r>
        <w:rPr>
          <w:rFonts w:ascii="Arial" w:cs="Arial" w:eastAsia="Arial" w:hAnsi="Arial"/>
          <w:sz w:val="18"/>
          <w:szCs w:val="18"/>
          <w:color w:val="auto"/>
        </w:rPr>
        <w:t>.</w:t>
      </w:r>
    </w:p>
    <w:p>
      <w:pPr>
        <w:spacing w:after="0" w:line="1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Upon termination of your employment with the Company for any reason, you will receive payment for all unpaid salary and unused paid time off accrued and earned as of the date of your termination of employment, and your benefits will be continued under the Company’s then existing benefit plans and policies for so long as provided under the terms of such plans and policies and as required by applicable law. In the event that you are terminated by the Company for any reason before the anniversary of your first year of service, other than a termination for cause, and such termination results in your incurring a “separation from service” from the Company within the meaning of Section 409A of the Internal Revenue Code of 1986, as amended, you will be entitled to receive severance in the amount of six (6) month’s salary and the Company will vest all of your unvested stock options and other equity awards (if any) outstanding at the time of such termination, regardless of when such options or equity awards were made. In the event that you are terminated by the Company for any reason after the anniversary of your first year of service, other than a termination for cause, and such termination results in your incurring a “separation from service” from the Company within the meaning of Section 409A of the Internal Revenue Code of 1986, as amended, you will be entitled to receive severance in the amount of nine (9) month’s salary and the Company will vest all of your unvested stock options and other equity awards (if any) outstanding at the time of such termination, regardless of when such options or equity awards were made. Any severance payments shall be paid in a single lump sum provided that, within 60 days of such termination, you sign and return to the Company a separation and release agreement in the form that will be provided to you, and you do not thereafter revoke the separation and release agreement. Such separation and release agreement may include a non-compete provision that could last up to six months.</w:t>
      </w:r>
    </w:p>
    <w:p>
      <w:pPr>
        <w:spacing w:after="0" w:line="190" w:lineRule="exact"/>
        <w:rPr>
          <w:sz w:val="20"/>
          <w:szCs w:val="20"/>
          <w:color w:val="auto"/>
        </w:rPr>
      </w:pPr>
    </w:p>
    <w:p>
      <w:pPr>
        <w:ind w:left="820" w:hanging="17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 the event of a Change of Control (as defined below) of the Company during the term that you remain employed by the Company, you will be entitled to receive a lump sum payment in the amount of nine month’s salary and the Company will vest all of your unvested stock options and other equity awards (if any) outstanding upon the consummation of such Change of Control, regardless of when such options or equity awards were made. For purposes of this offer letter, “Change of Control” means the occurrence of any of the following: (a) the sale, lease, transfer, conveyance or other disposition (other than by way of merger or consolidation, but not including any underwritten public offering or any offering of securities under Rule 144A) in one or a series of related transactions, of all or substantially all of the assets of the Company taken as a whole to any individual, corporation, limited liability company, partnership, or other entity (other than any of the Company’s wholly-owned subsidiaries or any Company employee pension or benefits plan); or (b) the consummation of any transaction (including any stock or asset purchase, sale, acquisition, disposition, merger, consolidation or reorganization, but not including any public offering or Rule 144A offering) the result of which is that any individual, corporation, limited liability company, partnership, or other entity (other than any of the Company’s wholly-owned subsidiaries, any underwriter temporarily holding securities pursuant to a public offering or any Company employee pension or benefits plan), becomes the beneficial owner of more than 40% of the aggregate voting power of all classes of stock of the Company having the right to elect directors under ordinary circumstances.</w:t>
      </w:r>
    </w:p>
    <w:p>
      <w:pPr>
        <w:spacing w:after="0" w:line="182" w:lineRule="exact"/>
        <w:rPr>
          <w:sz w:val="20"/>
          <w:szCs w:val="20"/>
          <w:color w:val="auto"/>
        </w:rPr>
      </w:pPr>
    </w:p>
    <w:p>
      <w:pPr>
        <w:ind w:left="820" w:hanging="173"/>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Serving as a member to a Board of Directors or as a member of an advisory board for other companies</w:t>
      </w:r>
      <w:r>
        <w:rPr>
          <w:rFonts w:ascii="Arial" w:cs="Arial" w:eastAsia="Arial" w:hAnsi="Arial"/>
          <w:sz w:val="18"/>
          <w:szCs w:val="18"/>
          <w:color w:val="auto"/>
        </w:rPr>
        <w:t>.</w:t>
      </w:r>
    </w:p>
    <w:p>
      <w:pPr>
        <w:spacing w:after="0" w:line="1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Company agrees that you can continue to serve as a member of any and board on which you currently serve as of the date of this agreement. Once an employee of Gevo, then you would need the permission of Gevo to join a board.</w:t>
      </w:r>
    </w:p>
    <w:p>
      <w:pPr>
        <w:sectPr>
          <w:pgSz w:w="11900" w:h="16838" w:orient="portrait"/>
          <w:cols w:equalWidth="0" w:num="1">
            <w:col w:w="11240"/>
          </w:cols>
          <w:pgMar w:left="320" w:top="121" w:right="339" w:bottom="0" w:gutter="0" w:footer="0" w:header="0"/>
        </w:sectPr>
      </w:pPr>
    </w:p>
    <w:bookmarkStart w:id="46" w:name="page47"/>
    <w:bookmarkEnd w:id="46"/>
    <w:p>
      <w:pPr>
        <w:ind w:left="820" w:hanging="17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an employee of the Company, you will have access to certain confidential information of the Company and you may, during the course of your employment, develop certain information or inventions that will be the property of the Company. To protect the interests of the Company, you will need to sign the Company’s standard “Employee Proprietary Information and Inventions Agreement” as a condition of your employment. We wish to impress upon you that we do not want you to, and we hereby direct you not to, bring with you any confidential or proprietary material of any former employer, or to violate any other obligations you may have to any former employer. You represent by your signature on this offer letter and the Company’s Employee Proprietary Information and Inventions Agreement that your employment with the Company will not violate any agreement in place between yourself and any current or past employers.</w:t>
      </w:r>
    </w:p>
    <w:p>
      <w:pPr>
        <w:spacing w:after="0" w:line="198" w:lineRule="exact"/>
        <w:rPr>
          <w:sz w:val="20"/>
          <w:szCs w:val="20"/>
          <w:color w:val="auto"/>
        </w:rPr>
      </w:pPr>
    </w:p>
    <w:p>
      <w:pPr>
        <w:ind w:left="820" w:hanging="173"/>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Authorization to Work</w:t>
      </w:r>
      <w:r>
        <w:rPr>
          <w:rFonts w:ascii="Arial" w:cs="Arial" w:eastAsia="Arial" w:hAnsi="Arial"/>
          <w:sz w:val="18"/>
          <w:szCs w:val="18"/>
          <w:color w:val="auto"/>
        </w:rPr>
        <w:t>.</w:t>
      </w:r>
    </w:p>
    <w:p>
      <w:pPr>
        <w:spacing w:after="0" w:line="19" w:lineRule="exact"/>
        <w:rPr>
          <w:sz w:val="20"/>
          <w:szCs w:val="20"/>
          <w:color w:val="auto"/>
        </w:rPr>
      </w:pPr>
    </w:p>
    <w:p>
      <w:pPr>
        <w:jc w:val="both"/>
        <w:ind w:right="280"/>
        <w:spacing w:after="0" w:line="251" w:lineRule="auto"/>
        <w:rPr>
          <w:sz w:val="20"/>
          <w:szCs w:val="20"/>
          <w:color w:val="auto"/>
        </w:rPr>
      </w:pPr>
      <w:r>
        <w:rPr>
          <w:rFonts w:ascii="Arial" w:cs="Arial" w:eastAsia="Arial" w:hAnsi="Arial"/>
          <w:sz w:val="18"/>
          <w:szCs w:val="18"/>
          <w:color w:val="auto"/>
        </w:rPr>
        <w:t>Please note that because of employer regulations adopted in the Immigration Reform and Control Act of 1986, within three business days of starting your new position you will need to present documentation demonstrating that you have authorization to work in the United States. For additional information, please go to this website: http://www.uscis.gov/i-9.</w:t>
      </w:r>
    </w:p>
    <w:p>
      <w:pPr>
        <w:spacing w:after="0" w:line="192" w:lineRule="exact"/>
        <w:rPr>
          <w:sz w:val="20"/>
          <w:szCs w:val="20"/>
          <w:color w:val="auto"/>
        </w:rPr>
      </w:pPr>
    </w:p>
    <w:p>
      <w:pPr>
        <w:ind w:left="920" w:hanging="27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You and the Company agree to submit to mandatory and exclusive binding arbitration of any controversy or claim arising out of, or relating to, this offer letter or any breach hereof or your employment relationship, provided, however, that the parties retain their right to, and shall not be prohibited, limited or in any other way restricted from, seeking or obtaining equitable relief from a court having jurisdiction over the parties. Any such arbitration shall be conducted through the American Arbitration Association in the State of Colorado, Denver County, before a single arbitrator, in accordance with the National Rules for the Resolution of Employment Disputes of the American Arbitration Association in effect at that time, and judgment upon the determination or award rendered by the arbitrator may be entered in any court having jurisdiction thereof.</w:t>
      </w:r>
    </w:p>
    <w:p>
      <w:pPr>
        <w:spacing w:after="0" w:line="181" w:lineRule="exact"/>
        <w:rPr>
          <w:sz w:val="20"/>
          <w:szCs w:val="20"/>
          <w:color w:val="auto"/>
        </w:rPr>
      </w:pPr>
    </w:p>
    <w:p>
      <w:pPr>
        <w:ind w:left="900" w:hanging="25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This offer letter, together with the Employee Proprietary Information and Inventions Agreement, represents the entire agreement between the parties concerning the subject matter of your employment by the Company. This offer letter will be governed by the laws of the State of Colorado without reference to conflict of legal provisions. This offer will remain open until seven days from the date of this letter. If you decide to accept our offer, and we hope you will, please sign the enclosed copy of this letter in the space indicated and return it to Human Resources at Gevo, Inc. Your signature will acknowledge that you have read and understood and agreed to the terms and conditions of this offer letter and the attached documents, if any. Should you have anything else that you wish to discuss, please do not hesitate to contact 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the opportunity to work with you.</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Best Regards,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12166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Patrick R. Gruber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 Tim Cesarek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993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 Cesarek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2/26/18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909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0" w:lineRule="exact"/>
        <w:rPr>
          <w:sz w:val="20"/>
          <w:szCs w:val="20"/>
          <w:color w:val="auto"/>
        </w:rPr>
      </w:pPr>
    </w:p>
    <w:p>
      <w:pPr>
        <w:ind w:left="440" w:hanging="433"/>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19" w:lineRule="exact"/>
        <w:rPr>
          <w:rFonts w:ascii="Arial" w:cs="Arial" w:eastAsia="Arial" w:hAnsi="Arial"/>
          <w:sz w:val="18"/>
          <w:szCs w:val="18"/>
          <w:color w:val="auto"/>
        </w:rPr>
      </w:pPr>
    </w:p>
    <w:p>
      <w:pPr>
        <w:ind w:left="440" w:right="780" w:hanging="433"/>
        <w:spacing w:after="0" w:line="25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440" w:right="1000" w:hanging="433"/>
        <w:spacing w:after="0" w:line="333"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6"/>
          <w:szCs w:val="16"/>
          <w:color w:val="auto"/>
        </w:rPr>
      </w:pPr>
    </w:p>
    <w:p>
      <w:pPr>
        <w:ind w:left="440" w:right="660" w:hanging="433"/>
        <w:spacing w:after="0" w:line="25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left="840" w:right="720" w:hanging="406"/>
        <w:spacing w:after="0" w:line="281" w:lineRule="auto"/>
        <w:tabs>
          <w:tab w:leader="none" w:pos="8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840" w:right="840" w:hanging="406"/>
        <w:spacing w:after="0" w:line="258"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840" w:right="680" w:hanging="406"/>
        <w:spacing w:after="0" w:line="258"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left="840" w:right="940" w:hanging="406"/>
        <w:spacing w:after="0" w:line="281" w:lineRule="auto"/>
        <w:tabs>
          <w:tab w:leader="none" w:pos="8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440" w:right="900" w:hanging="433"/>
        <w:spacing w:after="0" w:line="25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840" w:right="880" w:hanging="406"/>
        <w:spacing w:after="0" w:line="333" w:lineRule="auto"/>
        <w:tabs>
          <w:tab w:leader="none" w:pos="8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6"/>
          <w:szCs w:val="16"/>
          <w:color w:val="auto"/>
        </w:rPr>
      </w:pPr>
    </w:p>
    <w:p>
      <w:pPr>
        <w:ind w:left="840" w:right="1120" w:hanging="406"/>
        <w:spacing w:after="0" w:line="270" w:lineRule="auto"/>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 Patrick R. Gruber</w:t>
      </w:r>
    </w:p>
    <w:p>
      <w:pPr>
        <w:spacing w:after="0" w:line="19"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429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jc w:val="center"/>
        <w:ind w:right="536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right="53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496570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L. Lynn Smull, certify that:</w:t>
      </w:r>
    </w:p>
    <w:p>
      <w:pPr>
        <w:spacing w:after="0" w:line="220" w:lineRule="exact"/>
        <w:rPr>
          <w:sz w:val="20"/>
          <w:szCs w:val="20"/>
          <w:color w:val="auto"/>
        </w:rPr>
      </w:pPr>
    </w:p>
    <w:p>
      <w:pPr>
        <w:ind w:left="420" w:hanging="413"/>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19" w:lineRule="exact"/>
        <w:rPr>
          <w:rFonts w:ascii="Arial" w:cs="Arial" w:eastAsia="Arial" w:hAnsi="Arial"/>
          <w:sz w:val="18"/>
          <w:szCs w:val="18"/>
          <w:color w:val="auto"/>
        </w:rPr>
      </w:pPr>
    </w:p>
    <w:p>
      <w:pPr>
        <w:ind w:left="420" w:right="940" w:hanging="413"/>
        <w:spacing w:after="0" w:line="258"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420" w:right="1160" w:hanging="413"/>
        <w:spacing w:after="0" w:line="333"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6"/>
          <w:szCs w:val="16"/>
          <w:color w:val="auto"/>
        </w:rPr>
      </w:pPr>
    </w:p>
    <w:p>
      <w:pPr>
        <w:ind w:left="420" w:right="1100" w:hanging="413"/>
        <w:spacing w:after="0" w:line="286"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06" w:lineRule="exact"/>
        <w:rPr>
          <w:rFonts w:ascii="Arial" w:cs="Arial" w:eastAsia="Arial" w:hAnsi="Arial"/>
          <w:sz w:val="16"/>
          <w:szCs w:val="16"/>
          <w:color w:val="auto"/>
        </w:rPr>
      </w:pPr>
    </w:p>
    <w:p>
      <w:pPr>
        <w:ind w:left="840" w:right="1080" w:hanging="420"/>
        <w:spacing w:after="0" w:line="281" w:lineRule="auto"/>
        <w:tabs>
          <w:tab w:leader="none" w:pos="8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840" w:right="980" w:hanging="420"/>
        <w:spacing w:after="0" w:line="258"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840" w:right="1040" w:hanging="420"/>
        <w:spacing w:after="0" w:line="258"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left="840" w:right="1100" w:hanging="420"/>
        <w:spacing w:after="0" w:line="281" w:lineRule="auto"/>
        <w:tabs>
          <w:tab w:leader="none" w:pos="8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420" w:right="1060" w:hanging="413"/>
        <w:spacing w:after="0" w:line="258"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840" w:right="1040" w:hanging="420"/>
        <w:spacing w:after="0" w:line="333" w:lineRule="auto"/>
        <w:tabs>
          <w:tab w:leader="none" w:pos="8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6"/>
          <w:szCs w:val="16"/>
          <w:color w:val="auto"/>
        </w:rPr>
      </w:pPr>
    </w:p>
    <w:p>
      <w:pPr>
        <w:ind w:left="840" w:right="1280" w:hanging="420"/>
        <w:spacing w:after="0" w:line="270" w:lineRule="auto"/>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00" w:lineRule="exact"/>
        <w:rPr>
          <w:sz w:val="20"/>
          <w:szCs w:val="20"/>
          <w:color w:val="auto"/>
        </w:rPr>
      </w:pPr>
    </w:p>
    <w:p>
      <w:pPr>
        <w:spacing w:after="0" w:line="23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 L. Lynn Smull</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347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jc w:val="center"/>
        <w:ind w:right="550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right="55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496570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w:t>
      </w:r>
    </w:p>
    <w:p>
      <w:pPr>
        <w:spacing w:after="0" w:line="207"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I, Patrick R. Gruber, Chief Executive Officer of Gevo, Inc. (the “Registrant”), and I, L. Lynn Smull, Chief Financial Officer of the Registrant, certify, pursuant to 18 U.S.C. Section 1350, as adopted pursuant to Section 906 of the Sarbanes-Oxley Act of 2002, that:</w:t>
      </w:r>
    </w:p>
    <w:p>
      <w:pPr>
        <w:spacing w:after="0" w:line="175" w:lineRule="exact"/>
        <w:rPr>
          <w:sz w:val="20"/>
          <w:szCs w:val="20"/>
          <w:color w:val="auto"/>
        </w:rPr>
      </w:pPr>
    </w:p>
    <w:p>
      <w:pPr>
        <w:ind w:right="340" w:firstLine="7"/>
        <w:spacing w:after="0" w:line="270"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2020 (the “Report”), fully complies with the requirements of Section 13(a) or 15(d) of the Securities Exchange Act of 1934, as amended; and</w:t>
      </w:r>
    </w:p>
    <w:p>
      <w:pPr>
        <w:spacing w:after="0" w:line="174" w:lineRule="exact"/>
        <w:rPr>
          <w:rFonts w:ascii="Arial" w:cs="Arial" w:eastAsia="Arial" w:hAnsi="Arial"/>
          <w:sz w:val="18"/>
          <w:szCs w:val="18"/>
          <w:color w:val="auto"/>
        </w:rPr>
      </w:pPr>
    </w:p>
    <w:p>
      <w:pPr>
        <w:ind w:firstLine="7"/>
        <w:spacing w:after="0" w:line="270"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Patrick R. Gruber</w:t>
      </w:r>
    </w:p>
    <w:p>
      <w:pPr>
        <w:spacing w:after="0" w:line="1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1349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right="616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 L. Lynn Smull</w:t>
      </w:r>
    </w:p>
    <w:p>
      <w:pPr>
        <w:spacing w:after="0" w:line="1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1349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right="61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496570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100"/>
      </w:cols>
      <w:pgMar w:left="32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abstractNum>
  <w:abstractNum w:abstractNumId="11">
    <w:nsid w:val="519B500D"/>
    <w:multiLevelType w:val="hybridMultilevel"/>
    <w:lvl w:ilvl="0">
      <w:lvlJc w:val="left"/>
      <w:lvlText w:val="%1."/>
      <w:numFmt w:val="decimal"/>
      <w:start w:val="3"/>
    </w:lvl>
  </w:abstractNum>
  <w:abstractNum w:abstractNumId="12">
    <w:nsid w:val="431BD7B7"/>
    <w:multiLevelType w:val="hybridMultilevel"/>
    <w:lvl w:ilvl="0">
      <w:lvlJc w:val="left"/>
      <w:lvlText w:val="%1."/>
      <w:numFmt w:val="decimal"/>
      <w:start w:val="4"/>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7"/>
    </w:lvl>
  </w:abstractNum>
  <w:abstractNum w:abstractNumId="16">
    <w:nsid w:val="62BBD95A"/>
    <w:multiLevelType w:val="hybridMultilevel"/>
    <w:lvl w:ilvl="0">
      <w:lvlJc w:val="left"/>
      <w:lvlText w:val="%1."/>
      <w:numFmt w:val="decimal"/>
      <w:start w:val="8"/>
    </w:lvl>
  </w:abstractNum>
  <w:abstractNum w:abstractNumId="17">
    <w:nsid w:val="436C6125"/>
    <w:multiLevelType w:val="hybridMultilevel"/>
    <w:lvl w:ilvl="0">
      <w:lvlJc w:val="left"/>
      <w:lvlText w:val="%1."/>
      <w:numFmt w:val="decimal"/>
      <w:start w:val="9"/>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decimal"/>
      <w:start w:val="1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46" Type="http://schemas.openxmlformats.org/officeDocument/2006/relationships/hyperlink" Target="http://www.sec.gov/Archives/edgar/data/1392380/000119312511080096/dex31.htm" TargetMode="External"/><Relationship Id="rId47" Type="http://schemas.openxmlformats.org/officeDocument/2006/relationships/hyperlink" Target="http://www.sec.gov/Archives/edgar/data/1392380/000119312513253079/d551467dex31.htm" TargetMode="External"/><Relationship Id="rId48" Type="http://schemas.openxmlformats.org/officeDocument/2006/relationships/hyperlink" Target="http://www.sec.gov/Archives/edgar/data/1392380/000119312514264256/d755894dex31.htm" TargetMode="External"/><Relationship Id="rId49" Type="http://schemas.openxmlformats.org/officeDocument/2006/relationships/hyperlink" Target="http://www.sec.gov/Archives/edgar/data/1392380/000119312515141952/d913731dex31.htm" TargetMode="External"/><Relationship Id="rId50" Type="http://schemas.openxmlformats.org/officeDocument/2006/relationships/hyperlink" Target="http://www.sec.gov/Archives/edgar/data/1392380/000119312517004580/d318985dex31.htm" TargetMode="External"/><Relationship Id="rId51" Type="http://schemas.openxmlformats.org/officeDocument/2006/relationships/hyperlink" Target="http://www.sec.gov/Archives/edgar/data/1392380/000143774918011163/ex_115837.htm" TargetMode="External"/><Relationship Id="rId52" Type="http://schemas.openxmlformats.org/officeDocument/2006/relationships/hyperlink" Target="http://www.sec.gov/Archives/edgar/data/1392380/000119312511080096/dex32.htm" TargetMode="External"/><Relationship Id="rId53" Type="http://schemas.openxmlformats.org/officeDocument/2006/relationships/hyperlink" Target="http://www.sec.gov/Archives/edgar/data/1392380/000119312511009935/dex41.htm" TargetMode="External"/><Relationship Id="rId54" Type="http://schemas.openxmlformats.org/officeDocument/2006/relationships/hyperlink" Target="http://www.sec.gov/Archives/edgar/data/1392380/000119312510187275/dex42.htm" TargetMode="External"/><Relationship Id="rId55" Type="http://schemas.openxmlformats.org/officeDocument/2006/relationships/hyperlink" Target="http://www.sec.gov/Archives/edgar/data/1392380/000119312510187275/dex43.htm" TargetMode="External"/><Relationship Id="rId56" Type="http://schemas.openxmlformats.org/officeDocument/2006/relationships/hyperlink" Target="http://www.sec.gov/Archives/edgar/data/1392380/000143774920000496/ex_169284.htm" TargetMode="External"/><Relationship Id="rId57" Type="http://schemas.openxmlformats.org/officeDocument/2006/relationships/hyperlink" Target="http://www.sec.gov/Archives/edgar/data/1392380/000143774920007376/ex_180509.htm" TargetMode="External"/><Relationship Id="rId58" Type="http://schemas.openxmlformats.org/officeDocument/2006/relationships/hyperlink" Target="http://www.sec.gov/Archives/edgar/data/1392380/000143774920000496/ex_169285.htm" TargetMode="External"/><Relationship Id="rId59" Type="http://schemas.openxmlformats.org/officeDocument/2006/relationships/hyperlink" Target="http://www.sec.gov/Archives/edgar/data/1392380/000119312515195316/d929992dex41.htm" TargetMode="External"/><Relationship Id="rId60" Type="http://schemas.openxmlformats.org/officeDocument/2006/relationships/hyperlink" Target="http://www.sec.gov/Archives/edgar/data/1392380/000119312515403779/d97590dex41.htm" TargetMode="External"/><Relationship Id="rId61" Type="http://schemas.openxmlformats.org/officeDocument/2006/relationships/hyperlink" Target="http://www.sec.gov/Archives/edgar/data/1392380/000119312516619452/d201378dex41.htm" TargetMode="External"/><Relationship Id="rId62" Type="http://schemas.openxmlformats.org/officeDocument/2006/relationships/hyperlink" Target="http://www.sec.gov/Archives/edgar/data/1392380/000119312516530726/d158752dex41.htm" TargetMode="External"/><Relationship Id="rId63" Type="http://schemas.openxmlformats.org/officeDocument/2006/relationships/hyperlink" Target="http://www.sec.gov/Archives/edgar/data/1392380/000119312516711029/d256125dex41.htm" TargetMode="External"/><Relationship Id="rId64" Type="http://schemas.openxmlformats.org/officeDocument/2006/relationships/hyperlink" Target="http://www.sec.gov/Archives/edgar/data/1392380/000119312517052235/d350599dex41.htm" TargetMode="External"/><Relationship Id="rId65" Type="http://schemas.openxmlformats.org/officeDocument/2006/relationships/hyperlink" Target="http://www.sec.gov/Archives/edgar/data/1392380/000143774920000496/ex_169286.htm" TargetMode="External"/><Relationship Id="rId66" Type="http://schemas.openxmlformats.org/officeDocument/2006/relationships/hyperlink" Target="http://www.sec.gov/Archives/edgar/data/1392380/000143774920007376/ex_180510.htm" TargetMode="External"/><Relationship Id="rId67" Type="http://schemas.openxmlformats.org/officeDocument/2006/relationships/hyperlink" Target="http://www.sec.gov/Archives/edgar/data/1392380/000143774920008693/ex_183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2020-05-13T05:09:46Z</dcterms:created>
  <dcterms:modified xsi:type="dcterms:W3CDTF">2020-05-13T05:09:46Z</dcterms:modified>
</cp:coreProperties>
</file>