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Bloom Paul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800" w:type="dxa"/>
            <w:vAlign w:val="bottom"/>
            <w:vMerge w:val="restart"/>
          </w:tcPr>
          <w:p>
            <w:pPr>
              <w:ind w:left="12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75,735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1.7598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1,518,588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40"/>
              <w:spacing w:after="0" w:line="213" w:lineRule="exact"/>
              <w:rPr>
                <w:sz w:val="20"/>
                <w:szCs w:val="20"/>
                <w:color w:val="auto"/>
              </w:rPr>
            </w:pPr>
            <w:r>
              <w:rPr>
                <w:rFonts w:ascii="Times New Roman" w:cs="Times New Roman" w:eastAsia="Times New Roman" w:hAnsi="Times New Roman"/>
                <w:sz w:val="17"/>
                <w:szCs w:val="17"/>
                <w:color w:val="0000FF"/>
              </w:rPr>
              <w:t>28,123.51</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withholding obligations upon vesting of a restricted stock award. The reported sales were effected pursuant to a 10b5-1 trading plan adopted by the Reporting Person on December 22, 2025.</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$1.74 to $1.80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May 20, 2026 and May 27, 2026, the reporting person disposed of 10.54 shares of the issuer's common stock under the issuer's 401(k) plan to cover administrative fees. The information in this report is based on a plan statement dated May 22,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4032"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2026-05-29T18:35:29Z</dcterms:created>
  <dcterms:modified xsi:type="dcterms:W3CDTF">2026-05-29T18:35:29Z</dcterms:modified>
</cp:coreProperties>
</file>