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Ryan Christopher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80"/>
        <w:spacing w:after="0" w:line="365" w:lineRule="auto"/>
        <w:rPr>
          <w:sz w:val="20"/>
          <w:szCs w:val="20"/>
          <w:color w:val="auto"/>
        </w:rPr>
      </w:pPr>
      <w:r>
        <w:rPr>
          <w:rFonts w:ascii="Times New Roman" w:cs="Times New Roman" w:eastAsia="Times New Roman" w:hAnsi="Times New Roman"/>
          <w:sz w:val="17"/>
          <w:szCs w:val="17"/>
          <w:color w:val="0000FF"/>
        </w:rPr>
        <w:t>GEVO, INC., 345 INVERNESS DRIVE SOUTH BUILDING C, SUITE 310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President &amp; COO</w:t>
            </w:r>
          </w:p>
        </w:tc>
        <w:tc>
          <w:tcPr>
            <w:tcW w:w="0" w:type="dxa"/>
            <w:vAlign w:val="bottom"/>
          </w:tcPr>
          <w:p>
            <w:pPr>
              <w:spacing w:after="0"/>
              <w:rPr>
                <w:sz w:val="1"/>
                <w:szCs w:val="1"/>
                <w:color w:val="auto"/>
              </w:rPr>
            </w:pPr>
          </w:p>
        </w:tc>
      </w:tr>
      <w:tr>
        <w:trPr>
          <w:trHeight w:val="226"/>
        </w:trPr>
        <w:tc>
          <w:tcPr>
            <w:tcW w:w="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87,700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1.7598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1,314,441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40"/>
              <w:spacing w:after="0" w:line="213" w:lineRule="exact"/>
              <w:rPr>
                <w:sz w:val="20"/>
                <w:szCs w:val="20"/>
                <w:color w:val="auto"/>
              </w:rPr>
            </w:pPr>
            <w:r>
              <w:rPr>
                <w:rFonts w:ascii="Times New Roman" w:cs="Times New Roman" w:eastAsia="Times New Roman" w:hAnsi="Times New Roman"/>
                <w:sz w:val="17"/>
                <w:szCs w:val="17"/>
                <w:color w:val="0000FF"/>
              </w:rPr>
              <w:t>27,868.19</w:t>
            </w:r>
            <w:r>
              <w:rPr>
                <w:rFonts w:ascii="Times New Roman" w:cs="Times New Roman" w:eastAsia="Times New Roman" w:hAnsi="Times New Roman"/>
                <w:sz w:val="22"/>
                <w:szCs w:val="22"/>
                <w:color w:val="008000"/>
                <w:vertAlign w:val="superscript"/>
              </w:rPr>
              <w:t>(3)</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by the Reporting Person to cover tax withholding obligations upon vesting of a restricted stock award. The reported sales were effected pursuant to a 10b5-1 trading plan adopted by the Reporting Person on November 19, 2025.</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$1.74 to $1.80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Between March 30, 2026 and May 27, 2026, the reporting person disposed of 20.76 shares of the issuer's common stock under the issuer's 401(k) plan to cover administrative fees. The information in this report is based on a plan statement dated May 22,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2143"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2026-05-29T19:01:26Z</dcterms:created>
  <dcterms:modified xsi:type="dcterms:W3CDTF">2026-05-29T19:01:26Z</dcterms:modified>
</cp:coreProperties>
</file>