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gevo-20240930x10q.htm"/>
        <w:bookmarkStart w:id="1" w:name="ksgevo2024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513741de_9d41_4ed7_b0c9_efe3608b09d6"/>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AND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rPr>
        <w:t>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001-35073</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qoNUtU4EO0qFmU5tYQcE8g_2_2"/>
      <w:bookmarkStart w:id="4" w:name="Tc_WOg_rIwqtUm492fszYaeNQ_2_0"/>
      <w:bookmarkStart w:id="5" w:name="_2546df90_7b40_4ff2_b8a3_71e1f1150cff"/>
      <w:bookmarkStart w:id="6" w:name="Tc_qoNUtU4EO0qFmU5tYQcE8g_2_2"/>
      <w:bookmarkStart w:id="7" w:name="Tc_WOg_rIwqtUm492fszYaeNQ_2_0"/>
      <w:bookmarkStart w:id="8" w:name="_2546df90_7b40_4ff2_b8a3_71e1f1150cff"/>
      <w:bookmarkEnd w:id="6"/>
      <w:bookmarkEnd w:id="7"/>
      <w:bookmarkEnd w:id="8"/>
    </w:p>
    <w:tbl>
      <w:tblPr>
        <w:tblW w:w="4498" w:type="dxa"/>
        <w:jc w:val="left"/>
        <w:tblInd w:w="0" w:type="dxa"/>
        <w:tblLayout w:type="fixed"/>
        <w:tblCellMar>
          <w:top w:w="0" w:type="dxa"/>
          <w:left w:w="0" w:type="dxa"/>
          <w:bottom w:w="0" w:type="dxa"/>
          <w:right w:w="0" w:type="dxa"/>
        </w:tblCellMar>
      </w:tblPr>
      <w:tblGrid>
        <w:gridCol w:w="2581"/>
        <w:gridCol w:w="266"/>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38935" cy="175260"/>
                      <wp:effectExtent l="0" t="0" r="0" b="0"/>
                      <wp:wrapNone/>
                      <wp:docPr id="1" name="Frame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68910" cy="175260"/>
                      <wp:effectExtent l="0" t="0" r="0" b="0"/>
                      <wp:wrapNone/>
                      <wp:docPr id="2" name="Frame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6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87-0747704</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266" w:type="dxa"/>
            <w:tcBorders/>
            <w:vAlign w:val="center"/>
          </w:tcPr>
          <w:p>
            <w:pPr>
              <w:pStyle w:val="TableContents"/>
              <w:bidi w:val="0"/>
              <w:spacing w:before="0" w:after="24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 w:name="Tc_YNfVhCU0vEiZ5M6JFYtQaQ_2_2"/>
      <w:bookmarkStart w:id="10" w:name="Tc_TGo8sf3GKEO9CPB7kbqoXA_2_0"/>
      <w:bookmarkStart w:id="11" w:name="Tc_7oJR6P8oiUa_-peYSZsBWw_1_0"/>
      <w:bookmarkStart w:id="12" w:name="_480dcf84_8648_49b4_9ac4_507218ea7a4f"/>
      <w:bookmarkStart w:id="13" w:name="Tc_YNfVhCU0vEiZ5M6JFYtQaQ_2_2"/>
      <w:bookmarkStart w:id="14" w:name="Tc_TGo8sf3GKEO9CPB7kbqoXA_2_0"/>
      <w:bookmarkStart w:id="15" w:name="Tc_7oJR6P8oiUa_-peYSZsBWw_1_0"/>
      <w:bookmarkStart w:id="16" w:name="_480dcf84_8648_49b4_9ac4_507218ea7a4f"/>
      <w:bookmarkEnd w:id="13"/>
      <w:bookmarkEnd w:id="14"/>
      <w:bookmarkEnd w:id="15"/>
      <w:bookmarkEnd w:id="16"/>
    </w:p>
    <w:tbl>
      <w:tblPr>
        <w:tblW w:w="4603" w:type="dxa"/>
        <w:jc w:val="left"/>
        <w:tblInd w:w="0" w:type="dxa"/>
        <w:tblLayout w:type="fixed"/>
        <w:tblCellMar>
          <w:top w:w="0" w:type="dxa"/>
          <w:left w:w="0" w:type="dxa"/>
          <w:bottom w:w="0" w:type="dxa"/>
          <w:right w:w="0" w:type="dxa"/>
        </w:tblCellMar>
      </w:tblPr>
      <w:tblGrid>
        <w:gridCol w:w="3301"/>
        <w:gridCol w:w="266"/>
        <w:gridCol w:w="103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96135" cy="175260"/>
                      <wp:effectExtent l="0" t="0" r="0" b="0"/>
                      <wp:wrapNone/>
                      <wp:docPr id="4" name="Frame4"/>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8910" cy="175260"/>
                      <wp:effectExtent l="0" t="0" r="0" b="0"/>
                      <wp:wrapNone/>
                      <wp:docPr id="5" name="Frame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57860" cy="175260"/>
                      <wp:effectExtent l="0" t="0" r="0" b="0"/>
                      <wp:wrapNone/>
                      <wp:docPr id="6" name="Frame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345 Inverness Drive South,</w:t>
              <w:br/>
              <w:t>Building C, Suite 310</w:t>
              <w:br/>
              <w:t>Englewood, CO</w:t>
            </w:r>
          </w:p>
        </w:tc>
        <w:tc>
          <w:tcPr>
            <w:tcW w:w="26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80112</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6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(303) 858-8358</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q8sdujUWG0mY1xfej7nICA_1_4"/>
      <w:bookmarkStart w:id="18" w:name="Tc_oxdKgAn_Qk6y_Lz16toJTw_1_2"/>
      <w:bookmarkStart w:id="19" w:name="Tc_WErb_N0Ovker8iHfXHLDEQ_1_0"/>
      <w:bookmarkStart w:id="20" w:name="_77b96a2c_1cc3_4128_b0bb_4e2e37c10090"/>
      <w:bookmarkStart w:id="21" w:name="Tc_q8sdujUWG0mY1xfej7nICA_1_4"/>
      <w:bookmarkStart w:id="22" w:name="Tc_oxdKgAn_Qk6y_Lz16toJTw_1_2"/>
      <w:bookmarkStart w:id="23" w:name="Tc_WErb_N0Ovker8iHfXHLDEQ_1_0"/>
      <w:bookmarkStart w:id="24" w:name="_77b96a2c_1cc3_4128_b0bb_4e2e37c10090"/>
      <w:bookmarkEnd w:id="21"/>
      <w:bookmarkEnd w:id="22"/>
      <w:bookmarkEnd w:id="23"/>
      <w:bookmarkEnd w:id="24"/>
    </w:p>
    <w:tbl>
      <w:tblPr>
        <w:tblW w:w="9670" w:type="dxa"/>
        <w:jc w:val="left"/>
        <w:tblInd w:w="0" w:type="dxa"/>
        <w:tblLayout w:type="fixed"/>
        <w:tblCellMar>
          <w:top w:w="0" w:type="dxa"/>
          <w:left w:w="0" w:type="dxa"/>
          <w:bottom w:w="0" w:type="dxa"/>
          <w:right w:w="0" w:type="dxa"/>
        </w:tblCellMar>
      </w:tblPr>
      <w:tblGrid>
        <w:gridCol w:w="3496"/>
        <w:gridCol w:w="326"/>
        <w:gridCol w:w="1501"/>
        <w:gridCol w:w="326"/>
        <w:gridCol w:w="4021"/>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4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15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GEVO</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402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540"/>
        <w:jc w:val="left"/>
        <w:rPr/>
      </w:pPr>
      <w:r>
        <w:rPr/>
        <w:t>​</w:t>
      </w:r>
    </w:p>
    <w:p>
      <w:pPr>
        <w:pStyle w:val="TextBody"/>
        <w:bidi w:val="0"/>
        <w:spacing w:before="0" w:after="0"/>
        <w:ind w:left="15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240"/>
        <w:ind w:left="150" w:right="0" w:firstLine="36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sp3LoeyM8Ue6Kr9p_PB-Kg_2_2"/>
      <w:bookmarkStart w:id="26" w:name="Tc_GddJ_qyhe0Gqs_TwBQ_UuQ_1_2"/>
      <w:bookmarkStart w:id="27" w:name="Tc_YT-YhBco2ka2Q8Y9Ve2bWg_1_1"/>
      <w:bookmarkStart w:id="28" w:name="Tc_PlW2xW2sPUCdGwQeA6CqAA_0_3"/>
      <w:bookmarkStart w:id="29" w:name="Tc_M4avKaYGEkmpMkWfazYkfw_0_2"/>
      <w:bookmarkStart w:id="30" w:name="Tc_bjrLSQ6vGEGf4hrg_9PYSg_0_1"/>
      <w:bookmarkStart w:id="31" w:name="Tc_xcIoZfJ5fUKImoPROY94cQ_0_0"/>
      <w:bookmarkStart w:id="32" w:name="_c97b7adc_7f84_4ae4_ace0_a37bf3a966ab"/>
      <w:bookmarkStart w:id="33" w:name="Tc_sp3LoeyM8Ue6Kr9p_PB-Kg_2_2"/>
      <w:bookmarkStart w:id="34" w:name="Tc_GddJ_qyhe0Gqs_TwBQ_UuQ_1_2"/>
      <w:bookmarkStart w:id="35" w:name="Tc_YT-YhBco2ka2Q8Y9Ve2bWg_1_1"/>
      <w:bookmarkStart w:id="36" w:name="Tc_PlW2xW2sPUCdGwQeA6CqAA_0_3"/>
      <w:bookmarkStart w:id="37" w:name="Tc_M4avKaYGEkmpMkWfazYkfw_0_2"/>
      <w:bookmarkStart w:id="38" w:name="Tc_bjrLSQ6vGEGf4hrg_9PYSg_0_1"/>
      <w:bookmarkStart w:id="39" w:name="Tc_xcIoZfJ5fUKImoPROY94cQ_0_0"/>
      <w:bookmarkStart w:id="40" w:name="_c97b7adc_7f84_4ae4_ace0_a37bf3a966ab"/>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547"/>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As of November 6, 2024, 239,407,448 shares of the registrant’s common stock were outstanding.</w:t>
      </w:r>
    </w:p>
    <w:p>
      <w:pPr>
        <w:pStyle w:val="TextBody"/>
        <w:pBdr>
          <w:top w:val="single" w:sz="8" w:space="1" w:color="000000"/>
          <w:bottom w:val="single" w:sz="24" w:space="1" w:color="000000"/>
        </w:pBdr>
        <w:bidi w:val="0"/>
        <w:spacing w:before="0" w:after="240"/>
        <w:ind w:left="0" w:right="0" w:firstLine="540"/>
        <w:jc w:val="left"/>
        <w:rPr/>
      </w:pPr>
      <w:r>
        <w:rPr/>
        <w:t>​</w:t>
      </w:r>
    </w:p>
    <w:p>
      <w:pPr>
        <w:pStyle w:val="TextBody"/>
        <w:bidi w:val="0"/>
        <w:spacing w:before="0" w:after="0"/>
        <w:ind w:left="0" w:right="0" w:hanging="0"/>
        <w:jc w:val="left"/>
        <w:rPr/>
      </w:pPr>
      <w:r>
        <w:rPr/>
        <w:t>​</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50b6d9cf_c685_4af2_a53c_c7e573df7754"/>
      <w:bookmarkEnd w:id="4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2024</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853"/>
        <w:gridCol w:w="541"/>
      </w:tblGrid>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center"/>
              <w:rPr/>
            </w:pPr>
            <w:hyperlink w:anchor="PARTIFINANCIALINFORMATION_645820">
              <w:r>
                <w:rPr>
                  <w:rStyle w:val="InternetLink"/>
                  <w:rFonts w:ascii="Times New Roman;Times;serif" w:hAnsi="Times New Roman;Times;serif"/>
                  <w:b/>
                  <w:i w:val="false"/>
                  <w:caps w:val="false"/>
                  <w:smallCaps w:val="false"/>
                  <w:sz w:val="20"/>
                </w:rPr>
                <w:t>PART I. FINANCIAL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Financial Statements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BALANCESHEETS_963619">
              <w:r>
                <w:rPr>
                  <w:rStyle w:val="InternetLink"/>
                  <w:rFonts w:ascii="Times New Roman;Times;serif" w:hAnsi="Times New Roman;Times;serif"/>
                  <w:b w:val="false"/>
                  <w:i w:val="false"/>
                  <w:caps w:val="false"/>
                  <w:smallCaps w:val="false"/>
                  <w:sz w:val="20"/>
                </w:rPr>
                <w:t>Condensed Consolidated Balance Sheets as of September 30, 2024 (unaudited) and December 31, 2023</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OPERATIONS_79993">
              <w:r>
                <w:rPr>
                  <w:rStyle w:val="InternetLink"/>
                  <w:rFonts w:ascii="Times New Roman;Times;serif" w:hAnsi="Times New Roman;Times;serif"/>
                  <w:b w:val="false"/>
                  <w:i w:val="false"/>
                  <w:caps w:val="false"/>
                  <w:smallCaps w:val="false"/>
                  <w:sz w:val="20"/>
                </w:rPr>
                <w:t>Condensed Consolidated Statements of Operations for the three and nine months ended September 30, 2024 and 2023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Condensed Consolidated Statements of Comprehensive Loss for the three and nine months ended September 30, 2024 and 2023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Condensed Consolidated Statements of Stockholders’ Equity for the three and nine months ended September 30, 2024 and 2023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CASHFLOWS_224163">
              <w:r>
                <w:rPr>
                  <w:rStyle w:val="InternetLink"/>
                  <w:rFonts w:ascii="Times New Roman;Times;serif" w:hAnsi="Times New Roman;Times;serif"/>
                  <w:b w:val="false"/>
                  <w:i w:val="false"/>
                  <w:caps w:val="false"/>
                  <w:smallCaps w:val="false"/>
                  <w:sz w:val="20"/>
                </w:rPr>
                <w:t>Condensed Consolidated Statements of Cash Flows for the nine months ended September 30, 2024 and 2023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a1NatureofBusinessFinancialConditionandB">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OTHERINFORMATION_881509">
              <w:r>
                <w:rPr>
                  <w:rStyle w:val="InternetLink"/>
                  <w:rFonts w:ascii="Times New Roman;Times;serif" w:hAnsi="Times New Roman;Times;serif"/>
                  <w:b/>
                  <w:i w:val="false"/>
                  <w:caps w:val="false"/>
                  <w:smallCaps w:val="false"/>
                  <w:sz w:val="20"/>
                </w:rPr>
                <w:t>PART II. OTHER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Item 1A.</w:t>
              </w:r>
            </w:hyperlink>
          </w:p>
        </w:tc>
        <w:tc>
          <w:tcPr>
            <w:tcW w:w="8853"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_Item_2._Unregistered">
              <w:r>
                <w:rPr>
                  <w:rStyle w:val="InternetLink"/>
                  <w:rFonts w:ascii="Times New Roman;Times;serif" w:hAnsi="Times New Roman;Times;serif"/>
                  <w:b w:val="false"/>
                  <w:i w:val="false"/>
                  <w:caps w:val="false"/>
                  <w:smallCaps w:val="false"/>
                  <w:sz w:val="20"/>
                </w:rPr>
                <w:t>Unregistered Sales of Equity Securities, Use of Proceeds</w:t>
              </w:r>
            </w:hyperlink>
            <w:r>
              <w:rPr>
                <w:rFonts w:ascii="Times New Roman;Times;serif" w:hAnsi="Times New Roman;Times;serif"/>
                <w:sz w:val="20"/>
              </w:rPr>
              <w:t>, and Issuer Purchases of Equity Securities</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Item 5.</w:t>
              </w:r>
            </w:hyperlink>
          </w:p>
        </w:tc>
        <w:tc>
          <w:tcPr>
            <w:tcW w:w="8853"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Item 6.</w:t>
              </w:r>
            </w:hyperlink>
          </w:p>
        </w:tc>
        <w:tc>
          <w:tcPr>
            <w:tcW w:w="8853"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SIGNATURES_446651">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PARTIFINANCIALINFORMATION_645820"/>
      <w:bookmarkStart w:id="44" w:name="_20dc4851_9dd0_4e6f_9144_a67d1b1f3c36"/>
      <w:bookmarkEnd w:id="43"/>
      <w:bookmarkEnd w:id="44"/>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5" w:name="Item1FinancialStatements_375279"/>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46" w:name="CONSOLIDATEDBALANCESHEETS_963619"/>
      <w:bookmarkEnd w:id="4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7Yhu5p9SdUGO4n7b7Tq0bg_37_7"/>
      <w:bookmarkStart w:id="48" w:name="Tc_blzp2CotgEirYiCROZ0-eQ_37_4"/>
      <w:bookmarkStart w:id="49" w:name="Tc_b3YRtFqq40SD9f1lnI_fzA_37_0"/>
      <w:bookmarkStart w:id="50" w:name="Tc_mbM03ToVTkWPLCYAIQCO3A_36_0"/>
      <w:bookmarkStart w:id="51" w:name="Tc_1uMKnBWSLU-0ZBqCSEd0Lg_35_0"/>
      <w:bookmarkStart w:id="52" w:name="Tc_14WQekmp0UOSS56hKQt8ow_34_0"/>
      <w:bookmarkStart w:id="53" w:name="Tc_prcYRHmKeU2Zndcf9MIKlw_33_0"/>
      <w:bookmarkStart w:id="54" w:name="Tc_9PRwezwiZ0C6HwCiCf5SMQ_32_0"/>
      <w:bookmarkStart w:id="55" w:name="Tc_RtVTt9izWkW2nubor8ZQiQ_31_0"/>
      <w:bookmarkStart w:id="56" w:name="Tc_Kd_HhMkYwEeOSEFdVe9Ddw_30_8"/>
      <w:bookmarkStart w:id="57" w:name="Tc_AeZhBjPbxESLbbOcNXxkeQ_30_2"/>
      <w:bookmarkStart w:id="58" w:name="Tc__EDIwt301k2ffl_NnbOrMA_30_0"/>
      <w:bookmarkStart w:id="59" w:name="Tc_HJjd_OQs60aPkaHSUWRS6Q_29_2"/>
      <w:bookmarkStart w:id="60" w:name="Tc_qf2KloeK1UaYqzd2kyl99g_29_0"/>
      <w:bookmarkStart w:id="61" w:name="Tc_pRwGkzHNsUigv6iCUBiB9Q_28_2"/>
      <w:bookmarkStart w:id="62" w:name="Tc_Qfuf2QNwOEackJ-iZWC2Sw_28_0"/>
      <w:bookmarkStart w:id="63" w:name="Tc_Y-qbkx4OaUuR3QO_4pCPDQ_27_5"/>
      <w:bookmarkStart w:id="64" w:name="Tc_DWoXeHFDpE-Qr-gP8SYniw_27_2"/>
      <w:bookmarkStart w:id="65" w:name="Tc_jGep59cHfUelS2xlA5ZnAA_27_0"/>
      <w:bookmarkStart w:id="66" w:name="Tc_zrGb5AmW-0CYjp007OtDTw_26_8"/>
      <w:bookmarkStart w:id="67" w:name="Tc_zjuSTN3gIEmJv73UYQtCPw_26_2"/>
      <w:bookmarkStart w:id="68" w:name="Tc_3FGBK7XVQUunjIjHiQBExA_26_0"/>
      <w:bookmarkStart w:id="69" w:name="Tc_4w69Z49uyEmuH7Wk45keeA_25_0"/>
      <w:bookmarkStart w:id="70" w:name="Tc_H5yCR022n0eTZsaDtLUr2A_24_5"/>
      <w:bookmarkStart w:id="71" w:name="Tc_zaZZevVzokmfjCkdlYRmNA_24_2"/>
      <w:bookmarkStart w:id="72" w:name="Tc__J3zI6UZuEKzu5veyO8HEQ_24_0"/>
      <w:bookmarkStart w:id="73" w:name="Tc_kv2fZEzXSEWNDOJA-wk0eg_23_2"/>
      <w:bookmarkStart w:id="74" w:name="Tc_V0CBLxuMD0-oZTWFfg_Kzw_23_0"/>
      <w:bookmarkStart w:id="75" w:name="Tc_VZEqhDCEGEuqJfLDUZgT4g_22_2"/>
      <w:bookmarkStart w:id="76" w:name="Tc_x9wil9ZFwkGhUG7bF-_6UA_22_0"/>
      <w:bookmarkStart w:id="77" w:name="Tc_D1d0ZUDsJUqtGhUNz2jhtg_21_2"/>
      <w:bookmarkStart w:id="78" w:name="Tc_qFGm77hRG0aK_DEyhJQsqg_21_0"/>
      <w:bookmarkStart w:id="79" w:name="Tc_bSkL4dexBUeGScMXqUnGEQ_20_7"/>
      <w:bookmarkStart w:id="80" w:name="Tc__zb-t_GssUu8sBgOru07pw_20_4"/>
      <w:bookmarkStart w:id="81" w:name="Tc_7CtXGcTejUi8ziblkVMdCg_20_2"/>
      <w:bookmarkStart w:id="82" w:name="Tc_npx3Xz0J10iSxH2yuzeRXw_20_0"/>
      <w:bookmarkStart w:id="83" w:name="Tc_qsLh5NpAEUqK9ZzZx657GA_19_0"/>
      <w:bookmarkStart w:id="84" w:name="Tc_-akW84WAq0CV2k6KV6_UzA_18_0"/>
      <w:bookmarkStart w:id="85" w:name="Tc_56wpvDrgqE2OOXrhEDSAwQ_17_7"/>
      <w:bookmarkStart w:id="86" w:name="Tc_4n7LAMTTuEuBNIc4_1PviQ_17_4"/>
      <w:bookmarkStart w:id="87" w:name="Tc_wCD8N0xxAkqFTKbK_atwTQ_17_0"/>
      <w:bookmarkStart w:id="88" w:name="Tc_eM9bnKgfhU6ff5wdCLjsbQ_16_2"/>
      <w:bookmarkStart w:id="89" w:name="Tc_kZ_AllRH5UmieyZta82Mag_16_0"/>
      <w:bookmarkStart w:id="90" w:name="Tc_pmquTTjClESQSM4aTbAEoA_15_8"/>
      <w:bookmarkStart w:id="91" w:name="Tc_RTlBKZKl_0-EsxIHVYGAWQ_15_2"/>
      <w:bookmarkStart w:id="92" w:name="Tc_xfq5QMy_B0W4uW0cp2jr4Q_15_0"/>
      <w:bookmarkStart w:id="93" w:name="Tc_aJfPDilnB0CoyOy1hiMrkQ_14_2"/>
      <w:bookmarkStart w:id="94" w:name="Tc_h0kmQr9R-EuCoKddBDnBJA_14_0"/>
      <w:bookmarkStart w:id="95" w:name="Tc_laYD91_7_EOHtwh9afhS_Q_13_2"/>
      <w:bookmarkStart w:id="96" w:name="Tc_QDO8xYQNokqaUNFbbYDo5g_13_0"/>
      <w:bookmarkStart w:id="97" w:name="Tc_nZAo_hR8eUq2yLv_zEQbSQ_12_2"/>
      <w:bookmarkStart w:id="98" w:name="Tc__i3MstAblUijw-bV9vdA5g_12_0"/>
      <w:bookmarkStart w:id="99" w:name="Tc_6jsreE0LiUKKTimbTIaPVw_11_8"/>
      <w:bookmarkStart w:id="100" w:name="Tc_pC7LVJ2QHE6fNNWjAV5uug_11_2"/>
      <w:bookmarkStart w:id="101" w:name="Tc_jME8m-cSMUGHRmlbGGO46g_11_0"/>
      <w:bookmarkStart w:id="102" w:name="Tc_0WZXwrTaYk25P0Zsf7-NCA_10_2"/>
      <w:bookmarkStart w:id="103" w:name="Tc_HAlLp3EjzkGKM7SZgWpRCA_10_0"/>
      <w:bookmarkStart w:id="104" w:name="Tc_-kARIY29oEqKBsI7yUjHLg_9_0"/>
      <w:bookmarkStart w:id="105" w:name="Tc_PTFZu7h0kUiSlFOkxhnhUQ_8_2"/>
      <w:bookmarkStart w:id="106" w:name="Tc_FcIxY9eZH0-mUDLXjONw8Q_8_0"/>
      <w:bookmarkStart w:id="107" w:name="Tc_NOjH12pGVkKNwnxAz6mDtg_7_2"/>
      <w:bookmarkStart w:id="108" w:name="Tc_prLO3dCar0OiNj-b97BDOg_7_0"/>
      <w:bookmarkStart w:id="109" w:name="Tc_X9wd8fH7sEi7cvFs9r7cVw_6_0"/>
      <w:bookmarkStart w:id="110" w:name="Tc_m9OXgvYVBUWh87KKRcLKaw_5_2"/>
      <w:bookmarkStart w:id="111" w:name="Tc_Ny3jr_MLUUyoTgLL8QIurQ_5_0"/>
      <w:bookmarkStart w:id="112" w:name="Tc_exQdVZPWPU6TnUtpGIgG9g_4_7"/>
      <w:bookmarkStart w:id="113" w:name="Tc_9gy9Z0bLO0aWlVfpS06irw_4_4"/>
      <w:bookmarkStart w:id="114" w:name="Tc_OYLBgmLad02eTlAV-gJOwg_4_0"/>
      <w:bookmarkStart w:id="115" w:name="Tc_iOzq5Q9jYUqAvHwjJdV62g_3_0"/>
      <w:bookmarkStart w:id="116" w:name="Tc_MMKGo2SP0EaRaD_UaTDWbA_2_0"/>
      <w:bookmarkStart w:id="117" w:name="Tc_TIut20BWh0uQGt6-76MS8A_1_7"/>
      <w:bookmarkStart w:id="118" w:name="Tc_DDc-UdUbrUSJjeEocNysVA_1_4"/>
      <w:bookmarkStart w:id="119" w:name="Tc_8jEN9yFGF0egnAml3ICy8Q_1_2"/>
      <w:bookmarkStart w:id="120" w:name="_6d2b83b6_d1c6_4dea_8e24_6b7c1a1e72df"/>
      <w:bookmarkStart w:id="121" w:name="Tc_7Yhu5p9SdUGO4n7b7Tq0bg_37_7"/>
      <w:bookmarkStart w:id="122" w:name="Tc_blzp2CotgEirYiCROZ0-eQ_37_4"/>
      <w:bookmarkStart w:id="123" w:name="Tc_b3YRtFqq40SD9f1lnI_fzA_37_0"/>
      <w:bookmarkStart w:id="124" w:name="Tc_mbM03ToVTkWPLCYAIQCO3A_36_0"/>
      <w:bookmarkStart w:id="125" w:name="Tc_1uMKnBWSLU-0ZBqCSEd0Lg_35_0"/>
      <w:bookmarkStart w:id="126" w:name="Tc_14WQekmp0UOSS56hKQt8ow_34_0"/>
      <w:bookmarkStart w:id="127" w:name="Tc_prcYRHmKeU2Zndcf9MIKlw_33_0"/>
      <w:bookmarkStart w:id="128" w:name="Tc_9PRwezwiZ0C6HwCiCf5SMQ_32_0"/>
      <w:bookmarkStart w:id="129" w:name="Tc_RtVTt9izWkW2nubor8ZQiQ_31_0"/>
      <w:bookmarkStart w:id="130" w:name="Tc_Kd_HhMkYwEeOSEFdVe9Ddw_30_8"/>
      <w:bookmarkStart w:id="131" w:name="Tc_AeZhBjPbxESLbbOcNXxkeQ_30_2"/>
      <w:bookmarkStart w:id="132" w:name="Tc__EDIwt301k2ffl_NnbOrMA_30_0"/>
      <w:bookmarkStart w:id="133" w:name="Tc_HJjd_OQs60aPkaHSUWRS6Q_29_2"/>
      <w:bookmarkStart w:id="134" w:name="Tc_qf2KloeK1UaYqzd2kyl99g_29_0"/>
      <w:bookmarkStart w:id="135" w:name="Tc_pRwGkzHNsUigv6iCUBiB9Q_28_2"/>
      <w:bookmarkStart w:id="136" w:name="Tc_Qfuf2QNwOEackJ-iZWC2Sw_28_0"/>
      <w:bookmarkStart w:id="137" w:name="Tc_Y-qbkx4OaUuR3QO_4pCPDQ_27_5"/>
      <w:bookmarkStart w:id="138" w:name="Tc_DWoXeHFDpE-Qr-gP8SYniw_27_2"/>
      <w:bookmarkStart w:id="139" w:name="Tc_jGep59cHfUelS2xlA5ZnAA_27_0"/>
      <w:bookmarkStart w:id="140" w:name="Tc_zrGb5AmW-0CYjp007OtDTw_26_8"/>
      <w:bookmarkStart w:id="141" w:name="Tc_zjuSTN3gIEmJv73UYQtCPw_26_2"/>
      <w:bookmarkStart w:id="142" w:name="Tc_3FGBK7XVQUunjIjHiQBExA_26_0"/>
      <w:bookmarkStart w:id="143" w:name="Tc_4w69Z49uyEmuH7Wk45keeA_25_0"/>
      <w:bookmarkStart w:id="144" w:name="Tc_H5yCR022n0eTZsaDtLUr2A_24_5"/>
      <w:bookmarkStart w:id="145" w:name="Tc_zaZZevVzokmfjCkdlYRmNA_24_2"/>
      <w:bookmarkStart w:id="146" w:name="Tc__J3zI6UZuEKzu5veyO8HEQ_24_0"/>
      <w:bookmarkStart w:id="147" w:name="Tc_kv2fZEzXSEWNDOJA-wk0eg_23_2"/>
      <w:bookmarkStart w:id="148" w:name="Tc_V0CBLxuMD0-oZTWFfg_Kzw_23_0"/>
      <w:bookmarkStart w:id="149" w:name="Tc_VZEqhDCEGEuqJfLDUZgT4g_22_2"/>
      <w:bookmarkStart w:id="150" w:name="Tc_x9wil9ZFwkGhUG7bF-_6UA_22_0"/>
      <w:bookmarkStart w:id="151" w:name="Tc_D1d0ZUDsJUqtGhUNz2jhtg_21_2"/>
      <w:bookmarkStart w:id="152" w:name="Tc_qFGm77hRG0aK_DEyhJQsqg_21_0"/>
      <w:bookmarkStart w:id="153" w:name="Tc_bSkL4dexBUeGScMXqUnGEQ_20_7"/>
      <w:bookmarkStart w:id="154" w:name="Tc__zb-t_GssUu8sBgOru07pw_20_4"/>
      <w:bookmarkStart w:id="155" w:name="Tc_7CtXGcTejUi8ziblkVMdCg_20_2"/>
      <w:bookmarkStart w:id="156" w:name="Tc_npx3Xz0J10iSxH2yuzeRXw_20_0"/>
      <w:bookmarkStart w:id="157" w:name="Tc_qsLh5NpAEUqK9ZzZx657GA_19_0"/>
      <w:bookmarkStart w:id="158" w:name="Tc_-akW84WAq0CV2k6KV6_UzA_18_0"/>
      <w:bookmarkStart w:id="159" w:name="Tc_56wpvDrgqE2OOXrhEDSAwQ_17_7"/>
      <w:bookmarkStart w:id="160" w:name="Tc_4n7LAMTTuEuBNIc4_1PviQ_17_4"/>
      <w:bookmarkStart w:id="161" w:name="Tc_wCD8N0xxAkqFTKbK_atwTQ_17_0"/>
      <w:bookmarkStart w:id="162" w:name="Tc_eM9bnKgfhU6ff5wdCLjsbQ_16_2"/>
      <w:bookmarkStart w:id="163" w:name="Tc_kZ_AllRH5UmieyZta82Mag_16_0"/>
      <w:bookmarkStart w:id="164" w:name="Tc_pmquTTjClESQSM4aTbAEoA_15_8"/>
      <w:bookmarkStart w:id="165" w:name="Tc_RTlBKZKl_0-EsxIHVYGAWQ_15_2"/>
      <w:bookmarkStart w:id="166" w:name="Tc_xfq5QMy_B0W4uW0cp2jr4Q_15_0"/>
      <w:bookmarkStart w:id="167" w:name="Tc_aJfPDilnB0CoyOy1hiMrkQ_14_2"/>
      <w:bookmarkStart w:id="168" w:name="Tc_h0kmQr9R-EuCoKddBDnBJA_14_0"/>
      <w:bookmarkStart w:id="169" w:name="Tc_laYD91_7_EOHtwh9afhS_Q_13_2"/>
      <w:bookmarkStart w:id="170" w:name="Tc_QDO8xYQNokqaUNFbbYDo5g_13_0"/>
      <w:bookmarkStart w:id="171" w:name="Tc_nZAo_hR8eUq2yLv_zEQbSQ_12_2"/>
      <w:bookmarkStart w:id="172" w:name="Tc__i3MstAblUijw-bV9vdA5g_12_0"/>
      <w:bookmarkStart w:id="173" w:name="Tc_6jsreE0LiUKKTimbTIaPVw_11_8"/>
      <w:bookmarkStart w:id="174" w:name="Tc_pC7LVJ2QHE6fNNWjAV5uug_11_2"/>
      <w:bookmarkStart w:id="175" w:name="Tc_jME8m-cSMUGHRmlbGGO46g_11_0"/>
      <w:bookmarkStart w:id="176" w:name="Tc_0WZXwrTaYk25P0Zsf7-NCA_10_2"/>
      <w:bookmarkStart w:id="177" w:name="Tc_HAlLp3EjzkGKM7SZgWpRCA_10_0"/>
      <w:bookmarkStart w:id="178" w:name="Tc_-kARIY29oEqKBsI7yUjHLg_9_0"/>
      <w:bookmarkStart w:id="179" w:name="Tc_PTFZu7h0kUiSlFOkxhnhUQ_8_2"/>
      <w:bookmarkStart w:id="180" w:name="Tc_FcIxY9eZH0-mUDLXjONw8Q_8_0"/>
      <w:bookmarkStart w:id="181" w:name="Tc_NOjH12pGVkKNwnxAz6mDtg_7_2"/>
      <w:bookmarkStart w:id="182" w:name="Tc_prLO3dCar0OiNj-b97BDOg_7_0"/>
      <w:bookmarkStart w:id="183" w:name="Tc_X9wd8fH7sEi7cvFs9r7cVw_6_0"/>
      <w:bookmarkStart w:id="184" w:name="Tc_m9OXgvYVBUWh87KKRcLKaw_5_2"/>
      <w:bookmarkStart w:id="185" w:name="Tc_Ny3jr_MLUUyoTgLL8QIurQ_5_0"/>
      <w:bookmarkStart w:id="186" w:name="Tc_exQdVZPWPU6TnUtpGIgG9g_4_7"/>
      <w:bookmarkStart w:id="187" w:name="Tc_9gy9Z0bLO0aWlVfpS06irw_4_4"/>
      <w:bookmarkStart w:id="188" w:name="Tc_OYLBgmLad02eTlAV-gJOwg_4_0"/>
      <w:bookmarkStart w:id="189" w:name="Tc_iOzq5Q9jYUqAvHwjJdV62g_3_0"/>
      <w:bookmarkStart w:id="190" w:name="Tc_MMKGo2SP0EaRaD_UaTDWbA_2_0"/>
      <w:bookmarkStart w:id="191" w:name="Tc_TIut20BWh0uQGt6-76MS8A_1_7"/>
      <w:bookmarkStart w:id="192" w:name="Tc_DDc-UdUbrUSJjeEocNysVA_1_4"/>
      <w:bookmarkStart w:id="193" w:name="Tc_8jEN9yFGF0egnAml3ICy8Q_1_2"/>
      <w:bookmarkStart w:id="194" w:name="_6d2b83b6_d1c6_4dea_8e24_6b7c1a1e72df"/>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tbl>
      <w:tblPr>
        <w:tblW w:w="10205" w:type="dxa"/>
        <w:jc w:val="left"/>
        <w:tblInd w:w="0" w:type="dxa"/>
        <w:tblLayout w:type="fixed"/>
        <w:tblCellMar>
          <w:top w:w="0" w:type="dxa"/>
          <w:left w:w="0" w:type="dxa"/>
          <w:bottom w:w="0" w:type="dxa"/>
          <w:right w:w="0" w:type="dxa"/>
        </w:tblCellMar>
      </w:tblPr>
      <w:tblGrid>
        <w:gridCol w:w="5758"/>
        <w:gridCol w:w="326"/>
        <w:gridCol w:w="496"/>
        <w:gridCol w:w="206"/>
        <w:gridCol w:w="285"/>
        <w:gridCol w:w="1261"/>
        <w:gridCol w:w="326"/>
        <w:gridCol w:w="274"/>
        <w:gridCol w:w="1273"/>
      </w:tblGrid>
      <w:tr>
        <w:trPr/>
        <w:tc>
          <w:tcPr>
            <w:tcW w:w="5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656330" cy="175260"/>
                      <wp:effectExtent l="0" t="0" r="0" b="0"/>
                      <wp:wrapNone/>
                      <wp:docPr id="7" name="Frame7"/>
                      <a:graphic xmlns:a="http://schemas.openxmlformats.org/drawingml/2006/main">
                        <a:graphicData uri="http://schemas.microsoft.com/office/word/2010/wordprocessingShape">
                          <wps:wsp>
                            <wps:cNvSpPr txBox="1"/>
                            <wps:spPr>
                              <a:xfrm>
                                <a:off x="0" y="0"/>
                                <a:ext cx="3656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14960" cy="175260"/>
                      <wp:effectExtent l="0" t="0" r="0" b="0"/>
                      <wp:wrapNone/>
                      <wp:docPr id="9" name="Frame9"/>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0810" cy="175260"/>
                      <wp:effectExtent l="0" t="0" r="0" b="0"/>
                      <wp:wrapNone/>
                      <wp:docPr id="10" name="Frame1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80975" cy="175260"/>
                      <wp:effectExtent l="0" t="0" r="0" b="0"/>
                      <wp:wrapNone/>
                      <wp:docPr id="11" name="Frame11"/>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800735" cy="175260"/>
                      <wp:effectExtent l="0" t="0" r="0" b="0"/>
                      <wp:wrapNone/>
                      <wp:docPr id="12" name="Frame1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73990" cy="175260"/>
                      <wp:effectExtent l="0" t="0" r="0" b="0"/>
                      <wp:wrapNone/>
                      <wp:docPr id="14" name="Frame1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808355" cy="175260"/>
                      <wp:effectExtent l="0" t="0" r="0" b="0"/>
                      <wp:wrapNone/>
                      <wp:docPr id="15" name="Frame15"/>
                      <a:graphic xmlns:a="http://schemas.openxmlformats.org/drawingml/2006/main">
                        <a:graphicData uri="http://schemas.microsoft.com/office/word/2010/wordprocessingShape">
                          <wps:wsp>
                            <wps:cNvSpPr txBox="1"/>
                            <wps:spPr>
                              <a:xfrm>
                                <a:off x="0" y="0"/>
                                <a:ext cx="808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20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0"/>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1273" w:type="dxa"/>
            <w:tcBorders/>
            <w:shd w:fill="CCEEFF" w:val="clear"/>
            <w:vAlign w:val="center"/>
          </w:tcPr>
          <w:p>
            <w:pPr>
              <w:pStyle w:val="TableContents"/>
              <w:bidi w:val="0"/>
              <w:spacing w:before="0" w:after="0"/>
              <w:ind w:left="0" w:right="0" w:hanging="0"/>
              <w:jc w:val="right"/>
              <w:rPr/>
            </w:pPr>
            <w:r>
              <w:rPr/>
              <w:t>  </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w:t>
            </w:r>
          </w:p>
        </w:tc>
        <w:tc>
          <w:tcPr>
            <w:tcW w:w="1273" w:type="dxa"/>
            <w:tcBorders/>
            <w:vAlign w:val="center"/>
          </w:tcPr>
          <w:p>
            <w:pPr>
              <w:pStyle w:val="TableContents"/>
              <w:bidi w:val="0"/>
              <w:spacing w:before="0" w:after="0"/>
              <w:ind w:left="0" w:right="0" w:hanging="0"/>
              <w:jc w:val="right"/>
              <w:rPr/>
            </w:pPr>
            <w:r>
              <w:rPr/>
              <w:t>  </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223,227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298,349</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77,248</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5,846</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3,809</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4,353</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236,632</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386,382</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8, 20</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219,804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211,563</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pPr>
            <w:r>
              <w:rPr/>
              <w:t>—</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right-of-use assets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9, 18</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8,548</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6,524</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3,742</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273" w:type="dxa"/>
            <w:tcBorders/>
            <w:vAlign w:val="center"/>
          </w:tcPr>
          <w:p>
            <w:pPr>
              <w:pStyle w:val="TableContents"/>
              <w:bidi w:val="0"/>
              <w:spacing w:before="0" w:after="0"/>
              <w:ind w:left="0" w:right="0" w:hanging="0"/>
              <w:jc w:val="right"/>
              <w:rPr/>
            </w:pPr>
            <w:r>
              <w:rPr/>
              <w:t>—</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63,524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44,319</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603,790</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650,322</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pPr>
            <w:r>
              <w:rPr/>
              <w:t>  </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pPr>
            <w:r>
              <w:rPr/>
              <w:t>  </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11, 20</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26,396</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22,752</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2021 Bonds payable, net</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67,967</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28,673</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91,426</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Remarketed Bonds payable,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66,902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pPr>
            <w:r>
              <w:rPr/>
              <w:t>—</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99,069</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92,933</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pPr>
            <w:r>
              <w:rPr/>
              <w:t>  </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$0.01 par value per share; 500,000,000 shares authorized; 239,407,448 and 240,499,833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September 30, 2024, and December 31, 2023, respectively.</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1,284,957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1,276,581</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(782,630)</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(721,597)</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504,721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557,389</w:t>
            </w:r>
          </w:p>
        </w:tc>
      </w:tr>
      <w:tr>
        <w:trPr/>
        <w:tc>
          <w:tcPr>
            <w:tcW w:w="5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603,790</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650,322</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5" w:name="_0f08ab4f_c705_499b_981e_e409c9f59a5d"/>
      <w:bookmarkEnd w:id="195"/>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196" w:name="CONSOLIDATEDSTATEMENTSOFOPERATIONS_79993"/>
      <w:bookmarkEnd w:id="196"/>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7" w:name="Tc_X2w1N2GkiU-enIU_fxOD6g_20_2"/>
      <w:bookmarkStart w:id="198" w:name="Tc_vs7-ejaUW0iqcrN0YjiPSA_20_0"/>
      <w:bookmarkStart w:id="199" w:name="Tc_AsD1_87ypUeDp1bxglHY0A_19_2"/>
      <w:bookmarkStart w:id="200" w:name="Tc_-k9whJpLSEC6V9vzCZtNsg_19_0"/>
      <w:bookmarkStart w:id="201" w:name="Tc_MDV5YqTBd0eegsc_-ZWhxA_18_13"/>
      <w:bookmarkStart w:id="202" w:name="Tc_U5s1rMFDHkeLHHLAbFYXbg_18_10"/>
      <w:bookmarkStart w:id="203" w:name="Tc_Mk4CWhE6OkmwkRbnrvg5Vw_18_7"/>
      <w:bookmarkStart w:id="204" w:name="Tc_HH3XegNgLU-Ji7mRzPo3kg_18_4"/>
      <w:bookmarkStart w:id="205" w:name="Tc_VqZiJXlJb0Cwvogbgj1f3w_18_0"/>
      <w:bookmarkStart w:id="206" w:name="Tc_wzdGgPsLSkGDz0mkiCeZ9w_17_0"/>
      <w:bookmarkStart w:id="207" w:name="Tc_a2PUT1APeUS5tepRpa7qnA_16_0"/>
      <w:bookmarkStart w:id="208" w:name="Tc_seWG7KKt9E-kd1zQ4fsWDg_15_2"/>
      <w:bookmarkStart w:id="209" w:name="Tc_wE5So2xyXUqu4L1jz2X8Cg_15_0"/>
      <w:bookmarkStart w:id="210" w:name="Tc_tfuJ7Dxw0kSyHr1G3F8rvQ_14_0"/>
      <w:bookmarkStart w:id="211" w:name="Tc_89oG8vugdE2Lhs6yoyMWmw_13_0"/>
      <w:bookmarkStart w:id="212" w:name="Tc_Uk6t37ev20upDtS4mSBpng_12_0"/>
      <w:bookmarkStart w:id="213" w:name="Tc_04F9XbHoQEKQldBmTCal7g_11_2"/>
      <w:bookmarkStart w:id="214" w:name="Tc_PyTcfC8tNUCGP-omaW7QQg_11_0"/>
      <w:bookmarkStart w:id="215" w:name="Tc_pkzXVN-6ik-3QVZg0SRoyA_10_0"/>
      <w:bookmarkStart w:id="216" w:name="Tc_5RAtTQmTP0qFDbVLFZ1cfg_9_2"/>
      <w:bookmarkStart w:id="217" w:name="Tc_4CKMpU1Mw0CZM5Rez4yHpg_9_0"/>
      <w:bookmarkStart w:id="218" w:name="Tc_elLcNjXjJUO9UtT4xIq5Mw_8_0"/>
      <w:bookmarkStart w:id="219" w:name="Tc_S9IiylDUjUeCl0w3P8rRyg_7_2"/>
      <w:bookmarkStart w:id="220" w:name="Tc_-52feNS3XU-0f3F__Zr0GA_7_0"/>
      <w:bookmarkStart w:id="221" w:name="Tc_mcQzzn6Q7UCWpQBiUR3FAg_6_2"/>
      <w:bookmarkStart w:id="222" w:name="Tc_DtoUQ5vw1karGGNxatmZQA_6_0"/>
      <w:bookmarkStart w:id="223" w:name="Tc_DWVGnjQSMk-HNaKBAcVf8A_5_2"/>
      <w:bookmarkStart w:id="224" w:name="Tc_uyzffBdUZ0GEoKpmXbVjuw_5_0"/>
      <w:bookmarkStart w:id="225" w:name="Tc_hmVQ7mixRk6WQeIsfwg9sg_4_0"/>
      <w:bookmarkStart w:id="226" w:name="Tc_k62upBjCHkyElOhIr6D0QA_3_13"/>
      <w:bookmarkStart w:id="227" w:name="Tc_jK-r3biJXUyg-1eMgAyJMg_3_10"/>
      <w:bookmarkStart w:id="228" w:name="Tc_QKWQxGcibU-XZJxtlcJsWw_3_7"/>
      <w:bookmarkStart w:id="229" w:name="Tc_5tbFDeaH1ESBO0nif_penQ_3_4"/>
      <w:bookmarkStart w:id="230" w:name="Tc_EeAyQjiU0Ey_fiKo9fpEcQ_3_2"/>
      <w:bookmarkStart w:id="231" w:name="Tc_nGq9kxZS2UWP9IgIGiWA-Q_3_0"/>
      <w:bookmarkStart w:id="232" w:name="Tc_v5o8eP_IwEasOLnB1uHz8A_2_13"/>
      <w:bookmarkStart w:id="233" w:name="Tc_mxQUlfOf2U60wdq7b4J_gA_2_10"/>
      <w:bookmarkStart w:id="234" w:name="Tc_VeiKT1rWmkeXKw4itY_vAQ_2_7"/>
      <w:bookmarkStart w:id="235" w:name="Tc_dLxG7NO7UECcPLVXcs1JoQ_2_4"/>
      <w:bookmarkStart w:id="236" w:name="Tc_3pXr1laMFUKwl9DufTtr6w_2_2"/>
      <w:bookmarkStart w:id="237" w:name="Tc_cIeHbjUfAEOsVgdsWGn84A_1_10"/>
      <w:bookmarkStart w:id="238" w:name="Tc_n4BHvsJ0uU-gDgfBbbmZxg_1_4"/>
      <w:bookmarkStart w:id="239" w:name="_1c0bdacb_143d_4cae_82a0_fcb38a31f497"/>
      <w:bookmarkStart w:id="240" w:name="_fef9d5dc_bf25_4aea_a74a_17295800f9cc"/>
      <w:bookmarkStart w:id="241" w:name="Tc_X2w1N2GkiU-enIU_fxOD6g_20_2"/>
      <w:bookmarkStart w:id="242" w:name="Tc_vs7-ejaUW0iqcrN0YjiPSA_20_0"/>
      <w:bookmarkStart w:id="243" w:name="Tc_AsD1_87ypUeDp1bxglHY0A_19_2"/>
      <w:bookmarkStart w:id="244" w:name="Tc_-k9whJpLSEC6V9vzCZtNsg_19_0"/>
      <w:bookmarkStart w:id="245" w:name="Tc_MDV5YqTBd0eegsc_-ZWhxA_18_13"/>
      <w:bookmarkStart w:id="246" w:name="Tc_U5s1rMFDHkeLHHLAbFYXbg_18_10"/>
      <w:bookmarkStart w:id="247" w:name="Tc_Mk4CWhE6OkmwkRbnrvg5Vw_18_7"/>
      <w:bookmarkStart w:id="248" w:name="Tc_HH3XegNgLU-Ji7mRzPo3kg_18_4"/>
      <w:bookmarkStart w:id="249" w:name="Tc_VqZiJXlJb0Cwvogbgj1f3w_18_0"/>
      <w:bookmarkStart w:id="250" w:name="Tc_wzdGgPsLSkGDz0mkiCeZ9w_17_0"/>
      <w:bookmarkStart w:id="251" w:name="Tc_a2PUT1APeUS5tepRpa7qnA_16_0"/>
      <w:bookmarkStart w:id="252" w:name="Tc_seWG7KKt9E-kd1zQ4fsWDg_15_2"/>
      <w:bookmarkStart w:id="253" w:name="Tc_wE5So2xyXUqu4L1jz2X8Cg_15_0"/>
      <w:bookmarkStart w:id="254" w:name="Tc_tfuJ7Dxw0kSyHr1G3F8rvQ_14_0"/>
      <w:bookmarkStart w:id="255" w:name="Tc_89oG8vugdE2Lhs6yoyMWmw_13_0"/>
      <w:bookmarkStart w:id="256" w:name="Tc_Uk6t37ev20upDtS4mSBpng_12_0"/>
      <w:bookmarkStart w:id="257" w:name="Tc_04F9XbHoQEKQldBmTCal7g_11_2"/>
      <w:bookmarkStart w:id="258" w:name="Tc_PyTcfC8tNUCGP-omaW7QQg_11_0"/>
      <w:bookmarkStart w:id="259" w:name="Tc_pkzXVN-6ik-3QVZg0SRoyA_10_0"/>
      <w:bookmarkStart w:id="260" w:name="Tc_5RAtTQmTP0qFDbVLFZ1cfg_9_2"/>
      <w:bookmarkStart w:id="261" w:name="Tc_4CKMpU1Mw0CZM5Rez4yHpg_9_0"/>
      <w:bookmarkStart w:id="262" w:name="Tc_elLcNjXjJUO9UtT4xIq5Mw_8_0"/>
      <w:bookmarkStart w:id="263" w:name="Tc_S9IiylDUjUeCl0w3P8rRyg_7_2"/>
      <w:bookmarkStart w:id="264" w:name="Tc_-52feNS3XU-0f3F__Zr0GA_7_0"/>
      <w:bookmarkStart w:id="265" w:name="Tc_mcQzzn6Q7UCWpQBiUR3FAg_6_2"/>
      <w:bookmarkStart w:id="266" w:name="Tc_DtoUQ5vw1karGGNxatmZQA_6_0"/>
      <w:bookmarkStart w:id="267" w:name="Tc_DWVGnjQSMk-HNaKBAcVf8A_5_2"/>
      <w:bookmarkStart w:id="268" w:name="Tc_uyzffBdUZ0GEoKpmXbVjuw_5_0"/>
      <w:bookmarkStart w:id="269" w:name="Tc_hmVQ7mixRk6WQeIsfwg9sg_4_0"/>
      <w:bookmarkStart w:id="270" w:name="Tc_k62upBjCHkyElOhIr6D0QA_3_13"/>
      <w:bookmarkStart w:id="271" w:name="Tc_jK-r3biJXUyg-1eMgAyJMg_3_10"/>
      <w:bookmarkStart w:id="272" w:name="Tc_QKWQxGcibU-XZJxtlcJsWw_3_7"/>
      <w:bookmarkStart w:id="273" w:name="Tc_5tbFDeaH1ESBO0nif_penQ_3_4"/>
      <w:bookmarkStart w:id="274" w:name="Tc_EeAyQjiU0Ey_fiKo9fpEcQ_3_2"/>
      <w:bookmarkStart w:id="275" w:name="Tc_nGq9kxZS2UWP9IgIGiWA-Q_3_0"/>
      <w:bookmarkStart w:id="276" w:name="Tc_v5o8eP_IwEasOLnB1uHz8A_2_13"/>
      <w:bookmarkStart w:id="277" w:name="Tc_mxQUlfOf2U60wdq7b4J_gA_2_10"/>
      <w:bookmarkStart w:id="278" w:name="Tc_VeiKT1rWmkeXKw4itY_vAQ_2_7"/>
      <w:bookmarkStart w:id="279" w:name="Tc_dLxG7NO7UECcPLVXcs1JoQ_2_4"/>
      <w:bookmarkStart w:id="280" w:name="Tc_3pXr1laMFUKwl9DufTtr6w_2_2"/>
      <w:bookmarkStart w:id="281" w:name="Tc_cIeHbjUfAEOsVgdsWGn84A_1_10"/>
      <w:bookmarkStart w:id="282" w:name="Tc_n4BHvsJ0uU-gDgfBbbmZxg_1_4"/>
      <w:bookmarkStart w:id="283" w:name="_1c0bdacb_143d_4cae_82a0_fcb38a31f497"/>
      <w:bookmarkStart w:id="284" w:name="_fef9d5dc_bf25_4aea_a74a_17295800f9cc"/>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tbl>
      <w:tblPr>
        <w:tblW w:w="10205" w:type="dxa"/>
        <w:jc w:val="left"/>
        <w:tblInd w:w="0" w:type="dxa"/>
        <w:tblLayout w:type="fixed"/>
        <w:tblCellMar>
          <w:top w:w="0" w:type="dxa"/>
          <w:left w:w="0" w:type="dxa"/>
          <w:bottom w:w="0" w:type="dxa"/>
          <w:right w:w="0" w:type="dxa"/>
        </w:tblCellMar>
      </w:tblPr>
      <w:tblGrid>
        <w:gridCol w:w="2588"/>
        <w:gridCol w:w="326"/>
        <w:gridCol w:w="463"/>
        <w:gridCol w:w="326"/>
        <w:gridCol w:w="211"/>
        <w:gridCol w:w="1141"/>
        <w:gridCol w:w="326"/>
        <w:gridCol w:w="211"/>
        <w:gridCol w:w="1141"/>
        <w:gridCol w:w="326"/>
        <w:gridCol w:w="211"/>
        <w:gridCol w:w="1141"/>
        <w:gridCol w:w="326"/>
        <w:gridCol w:w="211"/>
        <w:gridCol w:w="1257"/>
      </w:tblGrid>
      <w:tr>
        <w:trPr/>
        <w:tc>
          <w:tcPr>
            <w:tcW w:w="2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643380" cy="175260"/>
                      <wp:effectExtent l="0" t="0" r="0" b="0"/>
                      <wp:wrapNone/>
                      <wp:docPr id="16" name="Frame16"/>
                      <a:graphic xmlns:a="http://schemas.openxmlformats.org/drawingml/2006/main">
                        <a:graphicData uri="http://schemas.microsoft.com/office/word/2010/wordprocessingShape">
                          <wps:wsp>
                            <wps:cNvSpPr txBox="1"/>
                            <wps:spPr>
                              <a:xfrm>
                                <a:off x="0" y="0"/>
                                <a:ext cx="1643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94005" cy="175260"/>
                      <wp:effectExtent l="0" t="0" r="0" b="0"/>
                      <wp:wrapNone/>
                      <wp:docPr id="18" name="Frame18"/>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21" name="Frame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24535" cy="175260"/>
                      <wp:effectExtent l="0" t="0" r="0" b="0"/>
                      <wp:wrapNone/>
                      <wp:docPr id="24" name="Frame2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24535" cy="175260"/>
                      <wp:effectExtent l="0" t="0" r="0" b="0"/>
                      <wp:wrapNone/>
                      <wp:docPr id="27" name="Frame2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98195" cy="175260"/>
                      <wp:effectExtent l="0" t="0" r="0" b="0"/>
                      <wp:wrapNone/>
                      <wp:docPr id="30" name="Frame30"/>
                      <a:graphic xmlns:a="http://schemas.openxmlformats.org/drawingml/2006/main">
                        <a:graphicData uri="http://schemas.microsoft.com/office/word/2010/wordprocessingShape">
                          <wps:wsp>
                            <wps:cNvSpPr txBox="1"/>
                            <wps:spPr>
                              <a:xfrm>
                                <a:off x="0" y="0"/>
                                <a:ext cx="798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    </w:t>
            </w:r>
          </w:p>
        </w:tc>
        <w:tc>
          <w:tcPr>
            <w:tcW w:w="31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5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4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2, 20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12,826</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257" w:type="dxa"/>
            <w:tcBorders/>
            <w:vAlign w:val="center"/>
          </w:tcPr>
          <w:p>
            <w:pPr>
              <w:pStyle w:val="TableContents"/>
              <w:bidi w:val="0"/>
              <w:spacing w:before="0" w:after="1"/>
              <w:ind w:left="0" w:right="0" w:hanging="0"/>
              <w:jc w:val="right"/>
              <w:rPr/>
            </w:pPr>
            <w:r>
              <w:rPr/>
              <w:t>​</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8,836</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8, 9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14,323</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4,716</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35,342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31,891</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19,648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10,635</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2,923</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25,973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25,254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82,393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73,324</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(20,726)</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(71,178)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2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(60,498)</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257" w:type="dxa"/>
            <w:tcBorders/>
            <w:shd w:fill="CCEEFF" w:val="clear"/>
            <w:vAlign w:val="center"/>
          </w:tcPr>
          <w:p>
            <w:pPr>
              <w:pStyle w:val="TableContents"/>
              <w:bidi w:val="0"/>
              <w:spacing w:before="0" w:after="1"/>
              <w:ind w:left="0" w:right="0" w:hanging="0"/>
              <w:jc w:val="right"/>
              <w:rPr/>
            </w:pPr>
            <w:r>
              <w:rPr/>
              <w:t>  </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(1,615)</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4, 16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14,083</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12,760</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(47,738)</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number of common shares outstanding - basic and diluted</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239,445,900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239,537,811</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239,767,047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257"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238,100,986</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5" w:name="_723a73f9_472f_4484_b7fe_6c66346a741a"/>
      <w:bookmarkEnd w:id="285"/>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286" w:name="CONSOLIDATEDSTATEMENTSOFCOMPREHENSIVELOS"/>
      <w:bookmarkEnd w:id="286"/>
      <w:r>
        <w:rPr>
          <w:rFonts w:ascii="Times New Roman;Times;serif" w:hAnsi="Times New Roman;Times;serif"/>
          <w:b/>
          <w:sz w:val="20"/>
        </w:rPr>
        <w:t>CONDENSED CONSOLIDATED STATEMENTS OF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87" w:name="Tc_preaRpVLpkyRH_qiGlmmng_6_13"/>
      <w:bookmarkStart w:id="288" w:name="Tc_YkL-m2M2yky2mMiNaM8IcA_6_10"/>
      <w:bookmarkStart w:id="289" w:name="Tc_kgrY-eCgs02EaeyorpErPA_6_7"/>
      <w:bookmarkStart w:id="290" w:name="Tc_u7o6PEkc50muz71Uz4eyzw_6_4"/>
      <w:bookmarkStart w:id="291" w:name="Tc_jBJ-3NuukUuKOO4CfaCiUg_6_0"/>
      <w:bookmarkStart w:id="292" w:name="Tc_Xb7cVnW3iE2-x-6o_xIOtA_5_11"/>
      <w:bookmarkStart w:id="293" w:name="Tc_M1nHf3cABUeFNDuIXshtgw_5_8"/>
      <w:bookmarkStart w:id="294" w:name="Tc_35Il19XEDUu_ft6TwyEvtw_5_5"/>
      <w:bookmarkStart w:id="295" w:name="Tc_bi-2oVMo60CzL4Yey9MEow_5_0"/>
      <w:bookmarkStart w:id="296" w:name="Tc_EyW7hq8RKE2pU4Jaw_jz6A_4_0"/>
      <w:bookmarkStart w:id="297" w:name="Tc_WVM4BSMjjkuJE5nGjdEOlw_3_13"/>
      <w:bookmarkStart w:id="298" w:name="Tc_jd6n4nvYv0utwkg69Nl8MQ_3_10"/>
      <w:bookmarkStart w:id="299" w:name="Tc_zFxpLm_XK0uJvOeqWugLKA_3_7"/>
      <w:bookmarkStart w:id="300" w:name="Tc_Nfdi21zVw0SJX3gsxW8MUw_3_4"/>
      <w:bookmarkStart w:id="301" w:name="Tc_JSoA_VV96Ue8ahhbeh9goQ_3_0"/>
      <w:bookmarkStart w:id="302" w:name="Tc_UL9DfSrEd0KuGQrIIQIT-w_2_13"/>
      <w:bookmarkStart w:id="303" w:name="Tc_PszLVgGXAk2YIRB5uD3YIw_2_10"/>
      <w:bookmarkStart w:id="304" w:name="Tc_Xwmf_7VpBE2ubjhn_W0kog_2_7"/>
      <w:bookmarkStart w:id="305" w:name="Tc_7Ubj8_jS1kCaLnGjCEbK4Q_2_4"/>
      <w:bookmarkStart w:id="306" w:name="Tc_Vp8H1XCCPkOPqmyz9evLMw_2_2"/>
      <w:bookmarkStart w:id="307" w:name="Tc_t-Y00c_iKEae4pHZ7hEKRA_1_10"/>
      <w:bookmarkStart w:id="308" w:name="Tc_uoPuomt6CUuO1hLdIF8tkQ_1_4"/>
      <w:bookmarkStart w:id="309" w:name="_28ceb5f7_d10e_44b5_83fa_79ec3e8e4bb2"/>
      <w:bookmarkStart w:id="310" w:name="Tc_preaRpVLpkyRH_qiGlmmng_6_13"/>
      <w:bookmarkStart w:id="311" w:name="Tc_YkL-m2M2yky2mMiNaM8IcA_6_10"/>
      <w:bookmarkStart w:id="312" w:name="Tc_kgrY-eCgs02EaeyorpErPA_6_7"/>
      <w:bookmarkStart w:id="313" w:name="Tc_u7o6PEkc50muz71Uz4eyzw_6_4"/>
      <w:bookmarkStart w:id="314" w:name="Tc_jBJ-3NuukUuKOO4CfaCiUg_6_0"/>
      <w:bookmarkStart w:id="315" w:name="Tc_Xb7cVnW3iE2-x-6o_xIOtA_5_11"/>
      <w:bookmarkStart w:id="316" w:name="Tc_M1nHf3cABUeFNDuIXshtgw_5_8"/>
      <w:bookmarkStart w:id="317" w:name="Tc_35Il19XEDUu_ft6TwyEvtw_5_5"/>
      <w:bookmarkStart w:id="318" w:name="Tc_bi-2oVMo60CzL4Yey9MEow_5_0"/>
      <w:bookmarkStart w:id="319" w:name="Tc_EyW7hq8RKE2pU4Jaw_jz6A_4_0"/>
      <w:bookmarkStart w:id="320" w:name="Tc_WVM4BSMjjkuJE5nGjdEOlw_3_13"/>
      <w:bookmarkStart w:id="321" w:name="Tc_jd6n4nvYv0utwkg69Nl8MQ_3_10"/>
      <w:bookmarkStart w:id="322" w:name="Tc_zFxpLm_XK0uJvOeqWugLKA_3_7"/>
      <w:bookmarkStart w:id="323" w:name="Tc_Nfdi21zVw0SJX3gsxW8MUw_3_4"/>
      <w:bookmarkStart w:id="324" w:name="Tc_JSoA_VV96Ue8ahhbeh9goQ_3_0"/>
      <w:bookmarkStart w:id="325" w:name="Tc_UL9DfSrEd0KuGQrIIQIT-w_2_13"/>
      <w:bookmarkStart w:id="326" w:name="Tc_PszLVgGXAk2YIRB5uD3YIw_2_10"/>
      <w:bookmarkStart w:id="327" w:name="Tc_Xwmf_7VpBE2ubjhn_W0kog_2_7"/>
      <w:bookmarkStart w:id="328" w:name="Tc_7Ubj8_jS1kCaLnGjCEbK4Q_2_4"/>
      <w:bookmarkStart w:id="329" w:name="Tc_Vp8H1XCCPkOPqmyz9evLMw_2_2"/>
      <w:bookmarkStart w:id="330" w:name="Tc_t-Y00c_iKEae4pHZ7hEKRA_1_10"/>
      <w:bookmarkStart w:id="331" w:name="Tc_uoPuomt6CUuO1hLdIF8tkQ_1_4"/>
      <w:bookmarkStart w:id="332" w:name="_28ceb5f7_d10e_44b5_83fa_79ec3e8e4bb2"/>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tbl>
      <w:tblPr>
        <w:tblW w:w="10205" w:type="dxa"/>
        <w:jc w:val="left"/>
        <w:tblInd w:w="0" w:type="dxa"/>
        <w:tblLayout w:type="fixed"/>
        <w:tblCellMar>
          <w:top w:w="0" w:type="dxa"/>
          <w:left w:w="0" w:type="dxa"/>
          <w:bottom w:w="0" w:type="dxa"/>
          <w:right w:w="0" w:type="dxa"/>
        </w:tblCellMar>
      </w:tblPr>
      <w:tblGrid>
        <w:gridCol w:w="3693"/>
        <w:gridCol w:w="326"/>
        <w:gridCol w:w="451"/>
        <w:gridCol w:w="206"/>
        <w:gridCol w:w="242"/>
        <w:gridCol w:w="909"/>
        <w:gridCol w:w="374"/>
        <w:gridCol w:w="242"/>
        <w:gridCol w:w="909"/>
        <w:gridCol w:w="206"/>
        <w:gridCol w:w="234"/>
        <w:gridCol w:w="880"/>
        <w:gridCol w:w="362"/>
        <w:gridCol w:w="234"/>
        <w:gridCol w:w="937"/>
      </w:tblGrid>
      <w:tr>
        <w:trPr/>
        <w:tc>
          <w:tcPr>
            <w:tcW w:w="3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45055" cy="175260"/>
                      <wp:effectExtent l="0" t="0" r="0" b="0"/>
                      <wp:wrapNone/>
                      <wp:docPr id="31" name="Frame31"/>
                      <a:graphic xmlns:a="http://schemas.openxmlformats.org/drawingml/2006/main">
                        <a:graphicData uri="http://schemas.microsoft.com/office/word/2010/wordprocessingShape">
                          <wps:wsp>
                            <wps:cNvSpPr txBox="1"/>
                            <wps:spPr>
                              <a:xfrm>
                                <a:off x="0" y="0"/>
                                <a:ext cx="2345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86385" cy="175260"/>
                      <wp:effectExtent l="0" t="0" r="0" b="0"/>
                      <wp:wrapNone/>
                      <wp:docPr id="33" name="Frame3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0810" cy="175260"/>
                      <wp:effectExtent l="0" t="0" r="0" b="0"/>
                      <wp:wrapNone/>
                      <wp:docPr id="34" name="Frame3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53670" cy="175260"/>
                      <wp:effectExtent l="0" t="0" r="0" b="0"/>
                      <wp:wrapNone/>
                      <wp:docPr id="35" name="Frame3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77215" cy="175260"/>
                      <wp:effectExtent l="0" t="0" r="0" b="0"/>
                      <wp:wrapNone/>
                      <wp:docPr id="36" name="Frame36"/>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37490" cy="175260"/>
                      <wp:effectExtent l="0" t="0" r="0" b="0"/>
                      <wp:wrapNone/>
                      <wp:docPr id="37" name="Frame37"/>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53670" cy="175260"/>
                      <wp:effectExtent l="0" t="0" r="0" b="0"/>
                      <wp:wrapNone/>
                      <wp:docPr id="38" name="Frame3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77215" cy="175260"/>
                      <wp:effectExtent l="0" t="0" r="0" b="0"/>
                      <wp:wrapNone/>
                      <wp:docPr id="39" name="Frame39"/>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0810" cy="175260"/>
                      <wp:effectExtent l="0" t="0" r="0" b="0"/>
                      <wp:wrapNone/>
                      <wp:docPr id="40" name="Frame4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8590" cy="175260"/>
                      <wp:effectExtent l="0" t="0" r="0" b="0"/>
                      <wp:wrapNone/>
                      <wp:docPr id="41" name="Frame4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58800" cy="175260"/>
                      <wp:effectExtent l="0" t="0" r="0" b="0"/>
                      <wp:wrapNone/>
                      <wp:docPr id="42" name="Frame42"/>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29870" cy="175260"/>
                      <wp:effectExtent l="0" t="0" r="0" b="0"/>
                      <wp:wrapNone/>
                      <wp:docPr id="43" name="Frame43"/>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8590" cy="175260"/>
                      <wp:effectExtent l="0" t="0" r="0" b="0"/>
                      <wp:wrapNone/>
                      <wp:docPr id="44" name="Frame4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94995" cy="175260"/>
                      <wp:effectExtent l="0" t="0" r="0" b="0"/>
                      <wp:wrapNone/>
                      <wp:docPr id="45" name="Frame45"/>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267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206" w:type="dxa"/>
            <w:tcBorders/>
            <w:vAlign w:val="center"/>
          </w:tcPr>
          <w:p>
            <w:pPr>
              <w:pStyle w:val="TableContents"/>
              <w:bidi w:val="0"/>
              <w:spacing w:before="0" w:after="1"/>
              <w:ind w:left="0" w:right="0" w:hanging="0"/>
              <w:jc w:val="left"/>
              <w:rPr/>
            </w:pPr>
            <w:r>
              <w:rPr/>
              <w:t>​</w:t>
            </w:r>
          </w:p>
        </w:tc>
        <w:tc>
          <w:tcPr>
            <w:tcW w:w="26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6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206" w:type="dxa"/>
            <w:tcBorders/>
            <w:vAlign w:val="center"/>
          </w:tcPr>
          <w:p>
            <w:pPr>
              <w:pStyle w:val="TableContents"/>
              <w:bidi w:val="0"/>
              <w:spacing w:before="0" w:after="1"/>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4" w:type="dxa"/>
            <w:tcBorders/>
            <w:vAlign w:val="center"/>
          </w:tcPr>
          <w:p>
            <w:pPr>
              <w:pStyle w:val="TableContents"/>
              <w:bidi w:val="0"/>
              <w:spacing w:before="0" w:after="1"/>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vAlign w:val="center"/>
          </w:tcPr>
          <w:p>
            <w:pPr>
              <w:pStyle w:val="TableContents"/>
              <w:bidi w:val="0"/>
              <w:spacing w:before="0" w:after="1"/>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2" w:type="dxa"/>
            <w:tcBorders/>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9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(15,700)</w:t>
            </w:r>
          </w:p>
        </w:tc>
        <w:tc>
          <w:tcPr>
            <w:tcW w:w="20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(47,738)</w:t>
            </w:r>
          </w:p>
        </w:tc>
      </w:tr>
      <w:tr>
        <w:trPr/>
        <w:tc>
          <w:tcPr>
            <w:tcW w:w="36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  </w:t>
            </w:r>
          </w:p>
        </w:tc>
        <w:tc>
          <w:tcPr>
            <w:tcW w:w="20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909"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pPr>
            <w:r>
              <w:rPr/>
              <w:t>  </w:t>
            </w:r>
          </w:p>
        </w:tc>
        <w:tc>
          <w:tcPr>
            <w:tcW w:w="362"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pPr>
            <w:r>
              <w:rPr/>
              <w:t>​</w:t>
            </w:r>
          </w:p>
        </w:tc>
      </w:tr>
      <w:tr>
        <w:trPr/>
        <w:tc>
          <w:tcPr>
            <w:tcW w:w="36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on available-for-sale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369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  </w:t>
            </w:r>
          </w:p>
        </w:tc>
        <w:tc>
          <w:tcPr>
            <w:tcW w:w="20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c>
          <w:tcPr>
            <w:tcW w:w="374"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(15,700)</w:t>
            </w:r>
          </w:p>
        </w:tc>
        <w:tc>
          <w:tcPr>
            <w:tcW w:w="206"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c>
          <w:tcPr>
            <w:tcW w:w="362"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(46,698)</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3" w:name="_62a63971_232f_460d_a6bb_b36010b8e37b"/>
      <w:bookmarkEnd w:id="333"/>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334" w:name="CONSOLIDATEDSTATEMENTSOFSTOCKHOLDERSEQUI"/>
      <w:bookmarkEnd w:id="334"/>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35" w:name="Tc_wKaBDQp6bEG1EHcmF8TCfw_16_18"/>
      <w:bookmarkStart w:id="336" w:name="Tc_f_HtQ26l9Eix4oCrefpBGw_16_15"/>
      <w:bookmarkStart w:id="337" w:name="Tc_ApdiheDxeEyG3FQ1rN7JOg_16_13"/>
      <w:bookmarkStart w:id="338" w:name="Tc_S7pQtzjGnUWrLlFnwTwaUA_16_12"/>
      <w:bookmarkStart w:id="339" w:name="Tc_9vVC89tldUu699yP1dQL1g_16_9"/>
      <w:bookmarkStart w:id="340" w:name="Tc_6rzSPBnftUW93mdLEWxs5g_16_6"/>
      <w:bookmarkStart w:id="341" w:name="Tc_HvPOFcWHI0ONYS7alP2wiw_16_0"/>
      <w:bookmarkStart w:id="342" w:name="Tc_dX8_I3Nn5k6cge3XfbDSqg_15_13"/>
      <w:bookmarkStart w:id="343" w:name="Tc_QVe5NLep50azR7Jl1PpNGA_15_10"/>
      <w:bookmarkStart w:id="344" w:name="Tc_1D1AJFuh50qGSuUAOKVfkQ_15_7"/>
      <w:bookmarkStart w:id="345" w:name="Tc_checSBVL_kKtw4KMSiOSAg_15_4"/>
      <w:bookmarkStart w:id="346" w:name="Tc_L9CAFkYK906jATUy940Jgg_15_0"/>
      <w:bookmarkStart w:id="347" w:name="Tc_B54B0RpsJUCq4-7HHxhrqw_14_19"/>
      <w:bookmarkStart w:id="348" w:name="Tc_qPMZIy_-L0SiMoq4ip2MuA_14_16"/>
      <w:bookmarkStart w:id="349" w:name="Tc_cSRbp9C-10mwlDXd0SLNkg_14_13"/>
      <w:bookmarkStart w:id="350" w:name="Tc_8W2U6J3QUk6AoR95wA1IbA_14_2"/>
      <w:bookmarkStart w:id="351" w:name="Tc_mdFDmnOTGU-j7iq_Z23GVQ_14_0"/>
      <w:bookmarkStart w:id="352" w:name="Tc_8PXQpo7GmkWIiQmGV1HhOQ_13_16"/>
      <w:bookmarkStart w:id="353" w:name="Tc_JAvtb5mH2UmuM57k2jUy_Q_13_13"/>
      <w:bookmarkStart w:id="354" w:name="Tc_lYurGu_vrEurCZYV6TIVcg_13_7"/>
      <w:bookmarkStart w:id="355" w:name="Tc_WUN_XZ7jjUu2s97vwKLboQ_13_4"/>
      <w:bookmarkStart w:id="356" w:name="Tc_4oB2SOCVQkWH5QvuwjXHkA_13_2"/>
      <w:bookmarkStart w:id="357" w:name="Tc_g3LQtkJAJ06-i7LGOf5_qQ_13_0"/>
      <w:bookmarkStart w:id="358" w:name="Tc_zZk7411J-UaeTqNlybVnPw_12_18"/>
      <w:bookmarkStart w:id="359" w:name="Tc_k91cApSUH0qlwfNZIsoydQ_12_15"/>
      <w:bookmarkStart w:id="360" w:name="Tc_hTFHHqXq-E-F0yhOccQJhg_12_13"/>
      <w:bookmarkStart w:id="361" w:name="Tc_ZMWQF6_jAU-N3lVXoas7WA_12_12"/>
      <w:bookmarkStart w:id="362" w:name="Tc_zYMynwjNJUa0MR52B4UQ3A_12_9"/>
      <w:bookmarkStart w:id="363" w:name="Tc_g5nenAWZOUWdYJ1NHOb2Bg_12_6"/>
      <w:bookmarkStart w:id="364" w:name="Tc_POy3EI6G_Em1NweN0dAEaQ_12_0"/>
      <w:bookmarkStart w:id="365" w:name="Tc_UbT1NDsYF0S5h_CN4A7ofQ_10_18"/>
      <w:bookmarkStart w:id="366" w:name="Tc_KtADa_lhUk6tDY0FaAVgVw_10_15"/>
      <w:bookmarkStart w:id="367" w:name="Tc_rLxvFwk12UmPG3w8VMuqtw_10_13"/>
      <w:bookmarkStart w:id="368" w:name="Tc_0p5erMOVKEawhhTNDFUbbg_10_12"/>
      <w:bookmarkStart w:id="369" w:name="Tc_ONsR9XPip0WHAUlIWF0z5Q_10_9"/>
      <w:bookmarkStart w:id="370" w:name="Tc_kLlfQLtwPUiJShIffiJlPA_10_6"/>
      <w:bookmarkStart w:id="371" w:name="Tc_StyK5ke_R0qNqpddvp2E2g_10_0"/>
      <w:bookmarkStart w:id="372" w:name="Tc_ZeM250rhmUuN-t3TG0b-1w_9_13"/>
      <w:bookmarkStart w:id="373" w:name="Tc_cIAtsvEQZUmmz812LFV8DQ_9_10"/>
      <w:bookmarkStart w:id="374" w:name="Tc_UezUhhxmjUmNJsyeMWGseg_9_7"/>
      <w:bookmarkStart w:id="375" w:name="Tc_Wm5nFrgQ60ui4GolFXPN7A_9_4"/>
      <w:bookmarkStart w:id="376" w:name="Tc_wckm2F0m60-epaSHnc0hoA_9_0"/>
      <w:bookmarkStart w:id="377" w:name="Tc_G4ZMYr0ujUucGHT2u3uvIQ_8_16"/>
      <w:bookmarkStart w:id="378" w:name="Tc_XRGP9lOMoky5YhOUOoC17Q_8_13"/>
      <w:bookmarkStart w:id="379" w:name="Tc_lHU5DN5A9UunYQzmJQ2dDw_8_2"/>
      <w:bookmarkStart w:id="380" w:name="Tc_4xsY9FEDjka0z8JGMMbCiA_8_0"/>
      <w:bookmarkStart w:id="381" w:name="Tc_JLysr4kQgUe-8ouKggLSXw_7_16"/>
      <w:bookmarkStart w:id="382" w:name="Tc_CYu4EkbKyk6n3_6iz5MVaw_7_13"/>
      <w:bookmarkStart w:id="383" w:name="Tc_c-kKPSoy902MTjWg7UEQHQ_7_2"/>
      <w:bookmarkStart w:id="384" w:name="Tc_Ac7re8H9QkOPVpLYYxpNtQ_7_0"/>
      <w:bookmarkStart w:id="385" w:name="Tc_eQ6YOWwrFUioTe2Pst3Elw_6_16"/>
      <w:bookmarkStart w:id="386" w:name="Tc_UlU68C8Bn0SLyfRepO2MAg_6_13"/>
      <w:bookmarkStart w:id="387" w:name="Tc_oaOnYH9NwEaThI3unSjX_g_6_2"/>
      <w:bookmarkStart w:id="388" w:name="Tc_dc9CPwoU5U2X2KSZIV1MgQ_6_0"/>
      <w:bookmarkStart w:id="389" w:name="Tc_x2lN9ceph0O9D7rUZSl7pg_5_16"/>
      <w:bookmarkStart w:id="390" w:name="Tc_H2gUOeioXECj9Z6w0816mQ_5_13"/>
      <w:bookmarkStart w:id="391" w:name="Tc_l_QRJ8fnn0aswnAMQcUwtA_5_7"/>
      <w:bookmarkStart w:id="392" w:name="Tc_U2v39gyYgUSWoVgRJE1t5w_5_4"/>
      <w:bookmarkStart w:id="393" w:name="Tc_XiGyckYOVkOmdF8wqBInhQ_5_2"/>
      <w:bookmarkStart w:id="394" w:name="Tc_QOIIuzwAGEyCFS6lKwTLew_5_0"/>
      <w:bookmarkStart w:id="395" w:name="Tc_0pHrLeCSW0KCtNot3_S95w_4_18"/>
      <w:bookmarkStart w:id="396" w:name="Tc_h-1x_IVr40iaQUF6rbzMEg_4_15"/>
      <w:bookmarkStart w:id="397" w:name="Tc_SqTUWhSzREC40QEqMHehFg_4_13"/>
      <w:bookmarkStart w:id="398" w:name="Tc_DDSrGDpYxUCyEL5VLaCh3w_4_12"/>
      <w:bookmarkStart w:id="399" w:name="Tc_04i3gcwrHUiLZoCW5E_1rw_4_9"/>
      <w:bookmarkStart w:id="400" w:name="Tc_3joXzJVRUUe3AAN1_IeCLA_4_6"/>
      <w:bookmarkStart w:id="401" w:name="Tc_8iLhA1Op4UCL4_ecaAxfRA_4_0"/>
      <w:bookmarkStart w:id="402" w:name="Tc_VafNZRON_kqV5sPQi-e-4w_3_18"/>
      <w:bookmarkStart w:id="403" w:name="Tc_B6l4-vI7HE-dh_pjSQZYpw_3_15"/>
      <w:bookmarkStart w:id="404" w:name="Tc_miKEINKaMkKtJMIAc0U1xA_3_12"/>
      <w:bookmarkStart w:id="405" w:name="Tc_BFY5U_7fkEWN6j-2h0S5yw_3_9"/>
      <w:bookmarkStart w:id="406" w:name="Tc_QcSyZXzU60aiyDKV8Bh6eQ_3_6"/>
      <w:bookmarkStart w:id="407" w:name="Tc_GbP5bj6LWE-CuVy7Z8p3Xw_3_4"/>
      <w:bookmarkStart w:id="408" w:name="Tc_ROB1jQfXj022q9M3Y1M4nw_3_2"/>
      <w:bookmarkStart w:id="409" w:name="Tc_VthL-si4mkGMExr5mjfABg_2_18"/>
      <w:bookmarkStart w:id="410" w:name="Tc_THY02b7BG0qAT7eD9WHBzQ_2_15"/>
      <w:bookmarkStart w:id="411" w:name="Tc_CPO7yK8plUq1xhW0d1OPJQ_2_12"/>
      <w:bookmarkStart w:id="412" w:name="Tc_v-lJM0jSF069b32raso_Jg_2_4"/>
      <w:bookmarkStart w:id="413" w:name="Tc_Hv9uRNALvke9zCNXkvImdA_1_4"/>
      <w:bookmarkStart w:id="414" w:name="_07ac5348_7244_4b36_a416_6055cd58aeb0"/>
      <w:bookmarkStart w:id="415" w:name="Tc_wKaBDQp6bEG1EHcmF8TCfw_16_18"/>
      <w:bookmarkStart w:id="416" w:name="Tc_f_HtQ26l9Eix4oCrefpBGw_16_15"/>
      <w:bookmarkStart w:id="417" w:name="Tc_ApdiheDxeEyG3FQ1rN7JOg_16_13"/>
      <w:bookmarkStart w:id="418" w:name="Tc_S7pQtzjGnUWrLlFnwTwaUA_16_12"/>
      <w:bookmarkStart w:id="419" w:name="Tc_9vVC89tldUu699yP1dQL1g_16_9"/>
      <w:bookmarkStart w:id="420" w:name="Tc_6rzSPBnftUW93mdLEWxs5g_16_6"/>
      <w:bookmarkStart w:id="421" w:name="Tc_HvPOFcWHI0ONYS7alP2wiw_16_0"/>
      <w:bookmarkStart w:id="422" w:name="Tc_dX8_I3Nn5k6cge3XfbDSqg_15_13"/>
      <w:bookmarkStart w:id="423" w:name="Tc_QVe5NLep50azR7Jl1PpNGA_15_10"/>
      <w:bookmarkStart w:id="424" w:name="Tc_1D1AJFuh50qGSuUAOKVfkQ_15_7"/>
      <w:bookmarkStart w:id="425" w:name="Tc_checSBVL_kKtw4KMSiOSAg_15_4"/>
      <w:bookmarkStart w:id="426" w:name="Tc_L9CAFkYK906jATUy940Jgg_15_0"/>
      <w:bookmarkStart w:id="427" w:name="Tc_B54B0RpsJUCq4-7HHxhrqw_14_19"/>
      <w:bookmarkStart w:id="428" w:name="Tc_qPMZIy_-L0SiMoq4ip2MuA_14_16"/>
      <w:bookmarkStart w:id="429" w:name="Tc_cSRbp9C-10mwlDXd0SLNkg_14_13"/>
      <w:bookmarkStart w:id="430" w:name="Tc_8W2U6J3QUk6AoR95wA1IbA_14_2"/>
      <w:bookmarkStart w:id="431" w:name="Tc_mdFDmnOTGU-j7iq_Z23GVQ_14_0"/>
      <w:bookmarkStart w:id="432" w:name="Tc_8PXQpo7GmkWIiQmGV1HhOQ_13_16"/>
      <w:bookmarkStart w:id="433" w:name="Tc_JAvtb5mH2UmuM57k2jUy_Q_13_13"/>
      <w:bookmarkStart w:id="434" w:name="Tc_lYurGu_vrEurCZYV6TIVcg_13_7"/>
      <w:bookmarkStart w:id="435" w:name="Tc_WUN_XZ7jjUu2s97vwKLboQ_13_4"/>
      <w:bookmarkStart w:id="436" w:name="Tc_4oB2SOCVQkWH5QvuwjXHkA_13_2"/>
      <w:bookmarkStart w:id="437" w:name="Tc_g3LQtkJAJ06-i7LGOf5_qQ_13_0"/>
      <w:bookmarkStart w:id="438" w:name="Tc_zZk7411J-UaeTqNlybVnPw_12_18"/>
      <w:bookmarkStart w:id="439" w:name="Tc_k91cApSUH0qlwfNZIsoydQ_12_15"/>
      <w:bookmarkStart w:id="440" w:name="Tc_hTFHHqXq-E-F0yhOccQJhg_12_13"/>
      <w:bookmarkStart w:id="441" w:name="Tc_ZMWQF6_jAU-N3lVXoas7WA_12_12"/>
      <w:bookmarkStart w:id="442" w:name="Tc_zYMynwjNJUa0MR52B4UQ3A_12_9"/>
      <w:bookmarkStart w:id="443" w:name="Tc_g5nenAWZOUWdYJ1NHOb2Bg_12_6"/>
      <w:bookmarkStart w:id="444" w:name="Tc_POy3EI6G_Em1NweN0dAEaQ_12_0"/>
      <w:bookmarkStart w:id="445" w:name="Tc_UbT1NDsYF0S5h_CN4A7ofQ_10_18"/>
      <w:bookmarkStart w:id="446" w:name="Tc_KtADa_lhUk6tDY0FaAVgVw_10_15"/>
      <w:bookmarkStart w:id="447" w:name="Tc_rLxvFwk12UmPG3w8VMuqtw_10_13"/>
      <w:bookmarkStart w:id="448" w:name="Tc_0p5erMOVKEawhhTNDFUbbg_10_12"/>
      <w:bookmarkStart w:id="449" w:name="Tc_ONsR9XPip0WHAUlIWF0z5Q_10_9"/>
      <w:bookmarkStart w:id="450" w:name="Tc_kLlfQLtwPUiJShIffiJlPA_10_6"/>
      <w:bookmarkStart w:id="451" w:name="Tc_StyK5ke_R0qNqpddvp2E2g_10_0"/>
      <w:bookmarkStart w:id="452" w:name="Tc_ZeM250rhmUuN-t3TG0b-1w_9_13"/>
      <w:bookmarkStart w:id="453" w:name="Tc_cIAtsvEQZUmmz812LFV8DQ_9_10"/>
      <w:bookmarkStart w:id="454" w:name="Tc_UezUhhxmjUmNJsyeMWGseg_9_7"/>
      <w:bookmarkStart w:id="455" w:name="Tc_Wm5nFrgQ60ui4GolFXPN7A_9_4"/>
      <w:bookmarkStart w:id="456" w:name="Tc_wckm2F0m60-epaSHnc0hoA_9_0"/>
      <w:bookmarkStart w:id="457" w:name="Tc_G4ZMYr0ujUucGHT2u3uvIQ_8_16"/>
      <w:bookmarkStart w:id="458" w:name="Tc_XRGP9lOMoky5YhOUOoC17Q_8_13"/>
      <w:bookmarkStart w:id="459" w:name="Tc_lHU5DN5A9UunYQzmJQ2dDw_8_2"/>
      <w:bookmarkStart w:id="460" w:name="Tc_4xsY9FEDjka0z8JGMMbCiA_8_0"/>
      <w:bookmarkStart w:id="461" w:name="Tc_JLysr4kQgUe-8ouKggLSXw_7_16"/>
      <w:bookmarkStart w:id="462" w:name="Tc_CYu4EkbKyk6n3_6iz5MVaw_7_13"/>
      <w:bookmarkStart w:id="463" w:name="Tc_c-kKPSoy902MTjWg7UEQHQ_7_2"/>
      <w:bookmarkStart w:id="464" w:name="Tc_Ac7re8H9QkOPVpLYYxpNtQ_7_0"/>
      <w:bookmarkStart w:id="465" w:name="Tc_eQ6YOWwrFUioTe2Pst3Elw_6_16"/>
      <w:bookmarkStart w:id="466" w:name="Tc_UlU68C8Bn0SLyfRepO2MAg_6_13"/>
      <w:bookmarkStart w:id="467" w:name="Tc_oaOnYH9NwEaThI3unSjX_g_6_2"/>
      <w:bookmarkStart w:id="468" w:name="Tc_dc9CPwoU5U2X2KSZIV1MgQ_6_0"/>
      <w:bookmarkStart w:id="469" w:name="Tc_x2lN9ceph0O9D7rUZSl7pg_5_16"/>
      <w:bookmarkStart w:id="470" w:name="Tc_H2gUOeioXECj9Z6w0816mQ_5_13"/>
      <w:bookmarkStart w:id="471" w:name="Tc_l_QRJ8fnn0aswnAMQcUwtA_5_7"/>
      <w:bookmarkStart w:id="472" w:name="Tc_U2v39gyYgUSWoVgRJE1t5w_5_4"/>
      <w:bookmarkStart w:id="473" w:name="Tc_XiGyckYOVkOmdF8wqBInhQ_5_2"/>
      <w:bookmarkStart w:id="474" w:name="Tc_QOIIuzwAGEyCFS6lKwTLew_5_0"/>
      <w:bookmarkStart w:id="475" w:name="Tc_0pHrLeCSW0KCtNot3_S95w_4_18"/>
      <w:bookmarkStart w:id="476" w:name="Tc_h-1x_IVr40iaQUF6rbzMEg_4_15"/>
      <w:bookmarkStart w:id="477" w:name="Tc_SqTUWhSzREC40QEqMHehFg_4_13"/>
      <w:bookmarkStart w:id="478" w:name="Tc_DDSrGDpYxUCyEL5VLaCh3w_4_12"/>
      <w:bookmarkStart w:id="479" w:name="Tc_04i3gcwrHUiLZoCW5E_1rw_4_9"/>
      <w:bookmarkStart w:id="480" w:name="Tc_3joXzJVRUUe3AAN1_IeCLA_4_6"/>
      <w:bookmarkStart w:id="481" w:name="Tc_8iLhA1Op4UCL4_ecaAxfRA_4_0"/>
      <w:bookmarkStart w:id="482" w:name="Tc_VafNZRON_kqV5sPQi-e-4w_3_18"/>
      <w:bookmarkStart w:id="483" w:name="Tc_B6l4-vI7HE-dh_pjSQZYpw_3_15"/>
      <w:bookmarkStart w:id="484" w:name="Tc_miKEINKaMkKtJMIAc0U1xA_3_12"/>
      <w:bookmarkStart w:id="485" w:name="Tc_BFY5U_7fkEWN6j-2h0S5yw_3_9"/>
      <w:bookmarkStart w:id="486" w:name="Tc_QcSyZXzU60aiyDKV8Bh6eQ_3_6"/>
      <w:bookmarkStart w:id="487" w:name="Tc_GbP5bj6LWE-CuVy7Z8p3Xw_3_4"/>
      <w:bookmarkStart w:id="488" w:name="Tc_ROB1jQfXj022q9M3Y1M4nw_3_2"/>
      <w:bookmarkStart w:id="489" w:name="Tc_VthL-si4mkGMExr5mjfABg_2_18"/>
      <w:bookmarkStart w:id="490" w:name="Tc_THY02b7BG0qAT7eD9WHBzQ_2_15"/>
      <w:bookmarkStart w:id="491" w:name="Tc_CPO7yK8plUq1xhW0d1OPJQ_2_12"/>
      <w:bookmarkStart w:id="492" w:name="Tc_v-lJM0jSF069b32raso_Jg_2_4"/>
      <w:bookmarkStart w:id="493" w:name="Tc_Hv9uRNALvke9zCNXkvImdA_1_4"/>
      <w:bookmarkStart w:id="494" w:name="_07ac5348_7244_4b36_a416_6055cd58aeb0"/>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tbl>
      <w:tblPr>
        <w:tblW w:w="10927" w:type="dxa"/>
        <w:jc w:val="left"/>
        <w:tblInd w:w="0" w:type="dxa"/>
        <w:tblLayout w:type="fixed"/>
        <w:tblCellMar>
          <w:top w:w="0" w:type="dxa"/>
          <w:left w:w="0" w:type="dxa"/>
          <w:bottom w:w="0" w:type="dxa"/>
          <w:right w:w="0" w:type="dxa"/>
        </w:tblCellMar>
      </w:tblPr>
      <w:tblGrid>
        <w:gridCol w:w="1261"/>
        <w:gridCol w:w="326"/>
        <w:gridCol w:w="451"/>
        <w:gridCol w:w="326"/>
        <w:gridCol w:w="1141"/>
        <w:gridCol w:w="326"/>
        <w:gridCol w:w="211"/>
        <w:gridCol w:w="571"/>
        <w:gridCol w:w="326"/>
        <w:gridCol w:w="227"/>
        <w:gridCol w:w="1004"/>
        <w:gridCol w:w="326"/>
        <w:gridCol w:w="596"/>
        <w:gridCol w:w="980"/>
        <w:gridCol w:w="326"/>
        <w:gridCol w:w="211"/>
        <w:gridCol w:w="885"/>
        <w:gridCol w:w="326"/>
        <w:gridCol w:w="211"/>
        <w:gridCol w:w="89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800735" cy="175260"/>
                      <wp:effectExtent l="0" t="0" r="0" b="0"/>
                      <wp:wrapNone/>
                      <wp:docPr id="46" name="Frame46"/>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86385" cy="175260"/>
                      <wp:effectExtent l="0" t="0" r="0" b="0"/>
                      <wp:wrapNone/>
                      <wp:docPr id="48" name="Frame4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24535" cy="175260"/>
                      <wp:effectExtent l="0" t="0" r="0" b="0"/>
                      <wp:wrapNone/>
                      <wp:docPr id="50" name="Frame5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62585" cy="175260"/>
                      <wp:effectExtent l="0" t="0" r="0" b="0"/>
                      <wp:wrapNone/>
                      <wp:docPr id="53" name="Frame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4145" cy="175260"/>
                      <wp:effectExtent l="0" t="0" r="0" b="0"/>
                      <wp:wrapNone/>
                      <wp:docPr id="55" name="Frame5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37540" cy="175260"/>
                      <wp:effectExtent l="0" t="0" r="0" b="0"/>
                      <wp:wrapNone/>
                      <wp:docPr id="56" name="Frame56"/>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78460" cy="175260"/>
                      <wp:effectExtent l="0" t="0" r="0" b="0"/>
                      <wp:wrapNone/>
                      <wp:docPr id="58" name="Frame58"/>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22300" cy="175260"/>
                      <wp:effectExtent l="0" t="0" r="0" b="0"/>
                      <wp:wrapNone/>
                      <wp:docPr id="59" name="Frame59"/>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61975" cy="175260"/>
                      <wp:effectExtent l="0" t="0" r="0" b="0"/>
                      <wp:wrapNone/>
                      <wp:docPr id="62" name="Frame62"/>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68960" cy="175260"/>
                      <wp:effectExtent l="0" t="0" r="0" b="0"/>
                      <wp:wrapNone/>
                      <wp:docPr id="65" name="Frame6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563"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2024 and 2023</w: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Other </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240,565,240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1,281,810</w:t>
            </w:r>
          </w:p>
        </w:tc>
        <w:tc>
          <w:tcPr>
            <w:tcW w:w="326" w:type="dxa"/>
            <w:tcBorders/>
            <w:shd w:fill="CCEEFF" w:val="clear"/>
            <w:vAlign w:val="center"/>
          </w:tcPr>
          <w:p>
            <w:pPr>
              <w:pStyle w:val="TableContents"/>
              <w:bidi w:val="0"/>
              <w:spacing w:before="0" w:after="1"/>
              <w:ind w:left="0" w:right="0" w:hanging="0"/>
              <w:jc w:val="left"/>
              <w:rPr/>
            </w:pPr>
            <w:r>
              <w:rPr/>
              <w:t>    </w:t>
            </w:r>
          </w:p>
        </w:tc>
        <w:tc>
          <w:tcPr>
            <w:tcW w:w="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(761,474)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522,742</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w:t>
            </w:r>
          </w:p>
        </w:tc>
        <w:tc>
          <w:tcPr>
            <w:tcW w:w="326"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(1,094,493)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26"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239,407,448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1,284,957</w:t>
            </w:r>
          </w:p>
        </w:tc>
        <w:tc>
          <w:tcPr>
            <w:tcW w:w="326" w:type="dxa"/>
            <w:tcBorders/>
            <w:shd w:fill="CCEEFF" w:val="clear"/>
            <w:vAlign w:val="center"/>
          </w:tcPr>
          <w:p>
            <w:pPr>
              <w:pStyle w:val="TableContents"/>
              <w:bidi w:val="0"/>
              <w:spacing w:before="0" w:after="1"/>
              <w:ind w:left="0" w:right="0" w:hanging="0"/>
              <w:jc w:val="left"/>
              <w:rPr/>
            </w:pPr>
            <w:r>
              <w:rPr/>
              <w:t>​</w:t>
            </w:r>
          </w:p>
        </w:tc>
        <w:tc>
          <w:tcPr>
            <w:tcW w:w="5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(782,630)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504,721</w: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237,647,431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1,268,142</w:t>
            </w:r>
          </w:p>
        </w:tc>
        <w:tc>
          <w:tcPr>
            <w:tcW w:w="326"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(687,420)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583,099</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4,132</w:t>
            </w:r>
          </w:p>
        </w:tc>
        <w:tc>
          <w:tcPr>
            <w:tcW w:w="326"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4,132</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2,605,276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(15,700)</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240,252,707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2,403</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1,272,248</w:t>
            </w:r>
          </w:p>
        </w:tc>
        <w:tc>
          <w:tcPr>
            <w:tcW w:w="326" w:type="dxa"/>
            <w:tcBorders/>
            <w:shd w:fill="CCEEFF" w:val="clear"/>
            <w:vAlign w:val="center"/>
          </w:tcPr>
          <w:p>
            <w:pPr>
              <w:pStyle w:val="TableContents"/>
              <w:bidi w:val="0"/>
              <w:spacing w:before="0" w:after="1"/>
              <w:ind w:left="0" w:right="0" w:hanging="0"/>
              <w:jc w:val="left"/>
              <w:rPr/>
            </w:pPr>
            <w:r>
              <w:rPr/>
              <w:t>​</w:t>
            </w:r>
          </w:p>
        </w:tc>
        <w:tc>
          <w:tcPr>
            <w:tcW w:w="5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(703,120)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571,531</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95" w:name="Tc_hCrAkEhRM0Or7kHAmvZbUw_17_18"/>
      <w:bookmarkStart w:id="496" w:name="Tc_6NTDjoCpjk6Zb6dB7kqXqA_17_15"/>
      <w:bookmarkStart w:id="497" w:name="Tc_ssOUeZ0HTUaDb_vesPDXgA_17_13"/>
      <w:bookmarkStart w:id="498" w:name="Tc_rU3qGWmKR02qACf_YoP9EQ_17_12"/>
      <w:bookmarkStart w:id="499" w:name="Tc_-qxt3Nb2Rkuw2UUdJ4JU6w_17_9"/>
      <w:bookmarkStart w:id="500" w:name="Tc_AaCZXJdaEEuHn9ZcvqBBWA_17_6"/>
      <w:bookmarkStart w:id="501" w:name="Tc_1NAbOJlZG0OLlCSn4oloTA_17_0"/>
      <w:bookmarkStart w:id="502" w:name="Tc_cnDWPMD7SEuldiZN4O3MUQ_16_13"/>
      <w:bookmarkStart w:id="503" w:name="Tc__rhcvIAur02JIgAXlpsBHg_16_10"/>
      <w:bookmarkStart w:id="504" w:name="Tc_pidJvDMGRUihBazQfuG7Nw_16_7"/>
      <w:bookmarkStart w:id="505" w:name="Tc_189Iwqrr0E-p04cU817Uyw_16_4"/>
      <w:bookmarkStart w:id="506" w:name="Tc_J3105zZEek-kq3tTVO9z9w_16_0"/>
      <w:bookmarkStart w:id="507" w:name="Tc_cLnYpReohkWTtDoRxoqYxQ_15_16"/>
      <w:bookmarkStart w:id="508" w:name="Tc_qBNTej7Q5U6fx8T4cUnRSA_15_10"/>
      <w:bookmarkStart w:id="509" w:name="Tc_zQ-eBITovkqk2WlyacAyyA_15_7"/>
      <w:bookmarkStart w:id="510" w:name="Tc_C6cJrHk4mEaZuhAcKB0I8w_15_4"/>
      <w:bookmarkStart w:id="511" w:name="Tc_x9AQec0LzE-6OHdnzRZ_gw_15_0"/>
      <w:bookmarkStart w:id="512" w:name="Tc_54EetQt1XkC9KKpMdXmyUw_14_19"/>
      <w:bookmarkStart w:id="513" w:name="Tc_4Y2GtT6pp0yNQZaScdoc7Q_14_16"/>
      <w:bookmarkStart w:id="514" w:name="Tc_Vs-totpJ-0SdmhjtPMn6xw_14_13"/>
      <w:bookmarkStart w:id="515" w:name="Tc_6IbH67CPjk-oEz6JjPj5Ww_14_2"/>
      <w:bookmarkStart w:id="516" w:name="Tc_lwv04OaaqU-mJAm6sm3Y2w_14_0"/>
      <w:bookmarkStart w:id="517" w:name="Tc_koz9_dgeEUmf8m35tuHjCQ_13_16"/>
      <w:bookmarkStart w:id="518" w:name="Tc_wLzBkDoZd0qtUCKwDucuhw_13_13"/>
      <w:bookmarkStart w:id="519" w:name="Tc_RpqDv767ZUeru1IFeAjJRw_13_7"/>
      <w:bookmarkStart w:id="520" w:name="Tc_HQXQEqXLoUq3Wv0AsfF6lA_13_4"/>
      <w:bookmarkStart w:id="521" w:name="Tc_JyFPXIoDUke7MCIAfp6NYw_13_2"/>
      <w:bookmarkStart w:id="522" w:name="Tc_Zb872CCgRkyIb6py_oeTMw_13_0"/>
      <w:bookmarkStart w:id="523" w:name="Tc_6-euwo8VOEq37HNjbkKyuw_12_18"/>
      <w:bookmarkStart w:id="524" w:name="Tc_N9Ii0U8CIUWOVIaMHv73PQ_12_15"/>
      <w:bookmarkStart w:id="525" w:name="Tc_mPy2IM9I6EybEQCCCMXPoA_12_12"/>
      <w:bookmarkStart w:id="526" w:name="Tc_Rkhglo1MakWoh37Tf2k0RA_12_9"/>
      <w:bookmarkStart w:id="527" w:name="Tc_VSBGHvsvP0-YysBOVLUc6A_12_6"/>
      <w:bookmarkStart w:id="528" w:name="Tc_1HaEygfAh0uoQr4l7ifL9g_12_0"/>
      <w:bookmarkStart w:id="529" w:name="Tc_hWxc80L4P0uzsaU2cPEEjQ_10_18"/>
      <w:bookmarkStart w:id="530" w:name="Tc_TN1cTkU3JEyIt3-AyVgPsQ_10_15"/>
      <w:bookmarkStart w:id="531" w:name="Tc_GRRHeDvSXk-McaSi7R5Isg_10_13"/>
      <w:bookmarkStart w:id="532" w:name="Tc_dMj3YVszPECf3McrTtWNnA_10_12"/>
      <w:bookmarkStart w:id="533" w:name="Tc_LYET6rtvLE6hdl07f7jQrA_10_9"/>
      <w:bookmarkStart w:id="534" w:name="Tc_xBOhXbtTCk-047GgmcgOSw_10_6"/>
      <w:bookmarkStart w:id="535" w:name="Tc_QNukZbsYQkmvysPkX08qCw_10_0"/>
      <w:bookmarkStart w:id="536" w:name="Tc_RelyvUmLY0-S7uhmlT_tIw_9_13"/>
      <w:bookmarkStart w:id="537" w:name="Tc_19Q8NcFzXU-6g51gqJV3tA_9_10"/>
      <w:bookmarkStart w:id="538" w:name="Tc_mFiVHQTswU2L4KvuGQY9Tg_9_7"/>
      <w:bookmarkStart w:id="539" w:name="Tc_0mYdms82sUOv2exo_uSYUg_9_4"/>
      <w:bookmarkStart w:id="540" w:name="Tc_bmtb5HjhE0a_baXElr2Jdg_9_0"/>
      <w:bookmarkStart w:id="541" w:name="Tc_Qf4W40gzoU6iC5YdaR61rw_8_16"/>
      <w:bookmarkStart w:id="542" w:name="Tc_lWl9Tv0tBkaUVqggnAjfZg_8_13"/>
      <w:bookmarkStart w:id="543" w:name="Tc_Mdi2yzIoO0qzXUWw84t6Gw_8_2"/>
      <w:bookmarkStart w:id="544" w:name="Tc_qiqnpQN7qEaLPwf2_5QWiQ_8_0"/>
      <w:bookmarkStart w:id="545" w:name="Tc_H10zwTVDJkWguDdJkckk7g_7_16"/>
      <w:bookmarkStart w:id="546" w:name="Tc_BL1j3SjJKky86tHKorkgfQ_7_13"/>
      <w:bookmarkStart w:id="547" w:name="Tc_JfBkY-c0wU6CpWVe3PF6Zw_7_2"/>
      <w:bookmarkStart w:id="548" w:name="Tc_uwl2P_P4R0Wh6tQIwPIWSw_7_0"/>
      <w:bookmarkStart w:id="549" w:name="Tc_1oR3gR_-7Eu4y_esdXlyQw_6_16"/>
      <w:bookmarkStart w:id="550" w:name="Tc_rfpux05Fd0ehHPVtC13wHQ_6_13"/>
      <w:bookmarkStart w:id="551" w:name="Tc_sj00eboFtUuVJ3x8nWzAFg_6_2"/>
      <w:bookmarkStart w:id="552" w:name="Tc_TbOCkKPhZUW413lpLoJgug_6_0"/>
      <w:bookmarkStart w:id="553" w:name="Tc_b-HGmR5srUqVfiozSVtgaQ_5_16"/>
      <w:bookmarkStart w:id="554" w:name="Tc_xCGj-7TZw0qtP5bRyOorCA_5_13"/>
      <w:bookmarkStart w:id="555" w:name="Tc_PjcHp13deUmLUN59BbEMJQ_5_7"/>
      <w:bookmarkStart w:id="556" w:name="Tc_tGFuiCbHk0uDi2JktuSHYg_5_4"/>
      <w:bookmarkStart w:id="557" w:name="Tc_AQA4wIvvm06v-xu1CcQA9w_5_2"/>
      <w:bookmarkStart w:id="558" w:name="Tc_njYzMiavok2cqS8Jy1_lTQ_5_0"/>
      <w:bookmarkStart w:id="559" w:name="Tc_GphCxl_u80GTi9rzR9_ZKQ_4_18"/>
      <w:bookmarkStart w:id="560" w:name="Tc__OiVK5Z3ZU-WeuZXGih05A_4_15"/>
      <w:bookmarkStart w:id="561" w:name="Tc_yoOzHNahXUqc9qgPezR2tA_4_13"/>
      <w:bookmarkStart w:id="562" w:name="Tc_Ez_DfByXqEm6fAUQ_Z2I6g_4_12"/>
      <w:bookmarkStart w:id="563" w:name="Tc_UqJ-AIX-DUyl7gjvZ_lu5g_4_9"/>
      <w:bookmarkStart w:id="564" w:name="Tc_Dr8rfXuD4k-ci63iCVbYmQ_4_6"/>
      <w:bookmarkStart w:id="565" w:name="Tc_XrHXtRG_qkuCMWvndM3_xA_4_0"/>
      <w:bookmarkStart w:id="566" w:name="Tc_PKghX1ERLkOdYITsv8cOug_3_18"/>
      <w:bookmarkStart w:id="567" w:name="Tc_N30Eb3KnUE6gI4tF513_LQ_3_15"/>
      <w:bookmarkStart w:id="568" w:name="Tc_EGr4kPejHECe2j_1RJTyNQ_3_12"/>
      <w:bookmarkStart w:id="569" w:name="Tc_p3-A0BnqAEyhATPgAOeWmQ_3_9"/>
      <w:bookmarkStart w:id="570" w:name="Tc_AzGELV_x0kuoEV0NLj9QZQ_3_6"/>
      <w:bookmarkStart w:id="571" w:name="Tc_MDTBIXsirEaRminGw9b_kA_3_4"/>
      <w:bookmarkStart w:id="572" w:name="Tc_tSFSmH2CZkaTM3ySoTZXDQ_3_2"/>
      <w:bookmarkStart w:id="573" w:name="Tc_UdVvI2SDM0ipwkbztgYvFA_2_18"/>
      <w:bookmarkStart w:id="574" w:name="Tc_TDNpRULLhECzpc_d9lyRFw_2_15"/>
      <w:bookmarkStart w:id="575" w:name="Tc_XOVNBkyqnU2O1hl36VJW6A_2_12"/>
      <w:bookmarkStart w:id="576" w:name="Tc_dLgyJ1xQBUiJFYe1vDVwSQ_2_4"/>
      <w:bookmarkStart w:id="577" w:name="Tc_AZibVdtAC0mhg_dN_lvUnw_1_4"/>
      <w:bookmarkStart w:id="578" w:name="_6e04fd3c_cc99_4d2a_81e5_9516bb71e25d"/>
      <w:bookmarkStart w:id="579" w:name="Tc_hCrAkEhRM0Or7kHAmvZbUw_17_18"/>
      <w:bookmarkStart w:id="580" w:name="Tc_6NTDjoCpjk6Zb6dB7kqXqA_17_15"/>
      <w:bookmarkStart w:id="581" w:name="Tc_ssOUeZ0HTUaDb_vesPDXgA_17_13"/>
      <w:bookmarkStart w:id="582" w:name="Tc_rU3qGWmKR02qACf_YoP9EQ_17_12"/>
      <w:bookmarkStart w:id="583" w:name="Tc_-qxt3Nb2Rkuw2UUdJ4JU6w_17_9"/>
      <w:bookmarkStart w:id="584" w:name="Tc_AaCZXJdaEEuHn9ZcvqBBWA_17_6"/>
      <w:bookmarkStart w:id="585" w:name="Tc_1NAbOJlZG0OLlCSn4oloTA_17_0"/>
      <w:bookmarkStart w:id="586" w:name="Tc_cnDWPMD7SEuldiZN4O3MUQ_16_13"/>
      <w:bookmarkStart w:id="587" w:name="Tc__rhcvIAur02JIgAXlpsBHg_16_10"/>
      <w:bookmarkStart w:id="588" w:name="Tc_pidJvDMGRUihBazQfuG7Nw_16_7"/>
      <w:bookmarkStart w:id="589" w:name="Tc_189Iwqrr0E-p04cU817Uyw_16_4"/>
      <w:bookmarkStart w:id="590" w:name="Tc_J3105zZEek-kq3tTVO9z9w_16_0"/>
      <w:bookmarkStart w:id="591" w:name="Tc_cLnYpReohkWTtDoRxoqYxQ_15_16"/>
      <w:bookmarkStart w:id="592" w:name="Tc_qBNTej7Q5U6fx8T4cUnRSA_15_10"/>
      <w:bookmarkStart w:id="593" w:name="Tc_zQ-eBITovkqk2WlyacAyyA_15_7"/>
      <w:bookmarkStart w:id="594" w:name="Tc_C6cJrHk4mEaZuhAcKB0I8w_15_4"/>
      <w:bookmarkStart w:id="595" w:name="Tc_x9AQec0LzE-6OHdnzRZ_gw_15_0"/>
      <w:bookmarkStart w:id="596" w:name="Tc_54EetQt1XkC9KKpMdXmyUw_14_19"/>
      <w:bookmarkStart w:id="597" w:name="Tc_4Y2GtT6pp0yNQZaScdoc7Q_14_16"/>
      <w:bookmarkStart w:id="598" w:name="Tc_Vs-totpJ-0SdmhjtPMn6xw_14_13"/>
      <w:bookmarkStart w:id="599" w:name="Tc_6IbH67CPjk-oEz6JjPj5Ww_14_2"/>
      <w:bookmarkStart w:id="600" w:name="Tc_lwv04OaaqU-mJAm6sm3Y2w_14_0"/>
      <w:bookmarkStart w:id="601" w:name="Tc_koz9_dgeEUmf8m35tuHjCQ_13_16"/>
      <w:bookmarkStart w:id="602" w:name="Tc_wLzBkDoZd0qtUCKwDucuhw_13_13"/>
      <w:bookmarkStart w:id="603" w:name="Tc_RpqDv767ZUeru1IFeAjJRw_13_7"/>
      <w:bookmarkStart w:id="604" w:name="Tc_HQXQEqXLoUq3Wv0AsfF6lA_13_4"/>
      <w:bookmarkStart w:id="605" w:name="Tc_JyFPXIoDUke7MCIAfp6NYw_13_2"/>
      <w:bookmarkStart w:id="606" w:name="Tc_Zb872CCgRkyIb6py_oeTMw_13_0"/>
      <w:bookmarkStart w:id="607" w:name="Tc_6-euwo8VOEq37HNjbkKyuw_12_18"/>
      <w:bookmarkStart w:id="608" w:name="Tc_N9Ii0U8CIUWOVIaMHv73PQ_12_15"/>
      <w:bookmarkStart w:id="609" w:name="Tc_mPy2IM9I6EybEQCCCMXPoA_12_12"/>
      <w:bookmarkStart w:id="610" w:name="Tc_Rkhglo1MakWoh37Tf2k0RA_12_9"/>
      <w:bookmarkStart w:id="611" w:name="Tc_VSBGHvsvP0-YysBOVLUc6A_12_6"/>
      <w:bookmarkStart w:id="612" w:name="Tc_1HaEygfAh0uoQr4l7ifL9g_12_0"/>
      <w:bookmarkStart w:id="613" w:name="Tc_hWxc80L4P0uzsaU2cPEEjQ_10_18"/>
      <w:bookmarkStart w:id="614" w:name="Tc_TN1cTkU3JEyIt3-AyVgPsQ_10_15"/>
      <w:bookmarkStart w:id="615" w:name="Tc_GRRHeDvSXk-McaSi7R5Isg_10_13"/>
      <w:bookmarkStart w:id="616" w:name="Tc_dMj3YVszPECf3McrTtWNnA_10_12"/>
      <w:bookmarkStart w:id="617" w:name="Tc_LYET6rtvLE6hdl07f7jQrA_10_9"/>
      <w:bookmarkStart w:id="618" w:name="Tc_xBOhXbtTCk-047GgmcgOSw_10_6"/>
      <w:bookmarkStart w:id="619" w:name="Tc_QNukZbsYQkmvysPkX08qCw_10_0"/>
      <w:bookmarkStart w:id="620" w:name="Tc_RelyvUmLY0-S7uhmlT_tIw_9_13"/>
      <w:bookmarkStart w:id="621" w:name="Tc_19Q8NcFzXU-6g51gqJV3tA_9_10"/>
      <w:bookmarkStart w:id="622" w:name="Tc_mFiVHQTswU2L4KvuGQY9Tg_9_7"/>
      <w:bookmarkStart w:id="623" w:name="Tc_0mYdms82sUOv2exo_uSYUg_9_4"/>
      <w:bookmarkStart w:id="624" w:name="Tc_bmtb5HjhE0a_baXElr2Jdg_9_0"/>
      <w:bookmarkStart w:id="625" w:name="Tc_Qf4W40gzoU6iC5YdaR61rw_8_16"/>
      <w:bookmarkStart w:id="626" w:name="Tc_lWl9Tv0tBkaUVqggnAjfZg_8_13"/>
      <w:bookmarkStart w:id="627" w:name="Tc_Mdi2yzIoO0qzXUWw84t6Gw_8_2"/>
      <w:bookmarkStart w:id="628" w:name="Tc_qiqnpQN7qEaLPwf2_5QWiQ_8_0"/>
      <w:bookmarkStart w:id="629" w:name="Tc_H10zwTVDJkWguDdJkckk7g_7_16"/>
      <w:bookmarkStart w:id="630" w:name="Tc_BL1j3SjJKky86tHKorkgfQ_7_13"/>
      <w:bookmarkStart w:id="631" w:name="Tc_JfBkY-c0wU6CpWVe3PF6Zw_7_2"/>
      <w:bookmarkStart w:id="632" w:name="Tc_uwl2P_P4R0Wh6tQIwPIWSw_7_0"/>
      <w:bookmarkStart w:id="633" w:name="Tc_1oR3gR_-7Eu4y_esdXlyQw_6_16"/>
      <w:bookmarkStart w:id="634" w:name="Tc_rfpux05Fd0ehHPVtC13wHQ_6_13"/>
      <w:bookmarkStart w:id="635" w:name="Tc_sj00eboFtUuVJ3x8nWzAFg_6_2"/>
      <w:bookmarkStart w:id="636" w:name="Tc_TbOCkKPhZUW413lpLoJgug_6_0"/>
      <w:bookmarkStart w:id="637" w:name="Tc_b-HGmR5srUqVfiozSVtgaQ_5_16"/>
      <w:bookmarkStart w:id="638" w:name="Tc_xCGj-7TZw0qtP5bRyOorCA_5_13"/>
      <w:bookmarkStart w:id="639" w:name="Tc_PjcHp13deUmLUN59BbEMJQ_5_7"/>
      <w:bookmarkStart w:id="640" w:name="Tc_tGFuiCbHk0uDi2JktuSHYg_5_4"/>
      <w:bookmarkStart w:id="641" w:name="Tc_AQA4wIvvm06v-xu1CcQA9w_5_2"/>
      <w:bookmarkStart w:id="642" w:name="Tc_njYzMiavok2cqS8Jy1_lTQ_5_0"/>
      <w:bookmarkStart w:id="643" w:name="Tc_GphCxl_u80GTi9rzR9_ZKQ_4_18"/>
      <w:bookmarkStart w:id="644" w:name="Tc__OiVK5Z3ZU-WeuZXGih05A_4_15"/>
      <w:bookmarkStart w:id="645" w:name="Tc_yoOzHNahXUqc9qgPezR2tA_4_13"/>
      <w:bookmarkStart w:id="646" w:name="Tc_Ez_DfByXqEm6fAUQ_Z2I6g_4_12"/>
      <w:bookmarkStart w:id="647" w:name="Tc_UqJ-AIX-DUyl7gjvZ_lu5g_4_9"/>
      <w:bookmarkStart w:id="648" w:name="Tc_Dr8rfXuD4k-ci63iCVbYmQ_4_6"/>
      <w:bookmarkStart w:id="649" w:name="Tc_XrHXtRG_qkuCMWvndM3_xA_4_0"/>
      <w:bookmarkStart w:id="650" w:name="Tc_PKghX1ERLkOdYITsv8cOug_3_18"/>
      <w:bookmarkStart w:id="651" w:name="Tc_N30Eb3KnUE6gI4tF513_LQ_3_15"/>
      <w:bookmarkStart w:id="652" w:name="Tc_EGr4kPejHECe2j_1RJTyNQ_3_12"/>
      <w:bookmarkStart w:id="653" w:name="Tc_p3-A0BnqAEyhATPgAOeWmQ_3_9"/>
      <w:bookmarkStart w:id="654" w:name="Tc_AzGELV_x0kuoEV0NLj9QZQ_3_6"/>
      <w:bookmarkStart w:id="655" w:name="Tc_MDTBIXsirEaRminGw9b_kA_3_4"/>
      <w:bookmarkStart w:id="656" w:name="Tc_tSFSmH2CZkaTM3ySoTZXDQ_3_2"/>
      <w:bookmarkStart w:id="657" w:name="Tc_UdVvI2SDM0ipwkbztgYvFA_2_18"/>
      <w:bookmarkStart w:id="658" w:name="Tc_TDNpRULLhECzpc_d9lyRFw_2_15"/>
      <w:bookmarkStart w:id="659" w:name="Tc_XOVNBkyqnU2O1hl36VJW6A_2_12"/>
      <w:bookmarkStart w:id="660" w:name="Tc_dLgyJ1xQBUiJFYe1vDVwSQ_2_4"/>
      <w:bookmarkStart w:id="661" w:name="Tc_AZibVdtAC0mhg_dN_lvUnw_1_4"/>
      <w:bookmarkStart w:id="662" w:name="_6e04fd3c_cc99_4d2a_81e5_9516bb71e25d"/>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tbl>
      <w:tblPr>
        <w:tblW w:w="11017" w:type="dxa"/>
        <w:jc w:val="left"/>
        <w:tblInd w:w="0" w:type="dxa"/>
        <w:tblLayout w:type="fixed"/>
        <w:tblCellMar>
          <w:top w:w="0" w:type="dxa"/>
          <w:left w:w="0" w:type="dxa"/>
          <w:bottom w:w="0" w:type="dxa"/>
          <w:right w:w="0" w:type="dxa"/>
        </w:tblCellMar>
      </w:tblPr>
      <w:tblGrid>
        <w:gridCol w:w="1351"/>
        <w:gridCol w:w="326"/>
        <w:gridCol w:w="451"/>
        <w:gridCol w:w="326"/>
        <w:gridCol w:w="1141"/>
        <w:gridCol w:w="326"/>
        <w:gridCol w:w="211"/>
        <w:gridCol w:w="571"/>
        <w:gridCol w:w="326"/>
        <w:gridCol w:w="227"/>
        <w:gridCol w:w="1004"/>
        <w:gridCol w:w="326"/>
        <w:gridCol w:w="394"/>
        <w:gridCol w:w="1182"/>
        <w:gridCol w:w="326"/>
        <w:gridCol w:w="211"/>
        <w:gridCol w:w="885"/>
        <w:gridCol w:w="326"/>
        <w:gridCol w:w="211"/>
        <w:gridCol w:w="89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857885" cy="175260"/>
                      <wp:effectExtent l="0" t="0" r="0" b="0"/>
                      <wp:wrapNone/>
                      <wp:docPr id="66" name="Frame6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86385" cy="175260"/>
                      <wp:effectExtent l="0" t="0" r="0" b="0"/>
                      <wp:wrapNone/>
                      <wp:docPr id="68" name="Frame6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24535" cy="175260"/>
                      <wp:effectExtent l="0" t="0" r="0" b="0"/>
                      <wp:wrapNone/>
                      <wp:docPr id="70" name="Frame7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62585" cy="175260"/>
                      <wp:effectExtent l="0" t="0" r="0" b="0"/>
                      <wp:wrapNone/>
                      <wp:docPr id="73" name="Frame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4145" cy="175260"/>
                      <wp:effectExtent l="0" t="0" r="0" b="0"/>
                      <wp:wrapNone/>
                      <wp:docPr id="75" name="Frame7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37540" cy="175260"/>
                      <wp:effectExtent l="0" t="0" r="0" b="0"/>
                      <wp:wrapNone/>
                      <wp:docPr id="76" name="Frame76"/>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50190" cy="175260"/>
                      <wp:effectExtent l="0" t="0" r="0" b="0"/>
                      <wp:wrapNone/>
                      <wp:docPr id="78" name="Frame78"/>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50570" cy="175260"/>
                      <wp:effectExtent l="0" t="0" r="0" b="0"/>
                      <wp:wrapNone/>
                      <wp:docPr id="79" name="Frame79"/>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61975" cy="175260"/>
                      <wp:effectExtent l="0" t="0" r="0" b="0"/>
                      <wp:wrapNone/>
                      <wp:docPr id="82" name="Frame82"/>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68960" cy="175260"/>
                      <wp:effectExtent l="0" t="0" r="0" b="0"/>
                      <wp:wrapNone/>
                      <wp:docPr id="85" name="Frame8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563"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2024 and 2023</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Other </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240,499,833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1,276,581</w:t>
            </w:r>
          </w:p>
        </w:tc>
        <w:tc>
          <w:tcPr>
            <w:tcW w:w="326" w:type="dxa"/>
            <w:tcBorders/>
            <w:shd w:fill="CCEEFF" w:val="clear"/>
            <w:vAlign w:val="center"/>
          </w:tcPr>
          <w:p>
            <w:pPr>
              <w:pStyle w:val="TableContents"/>
              <w:bidi w:val="0"/>
              <w:spacing w:before="0" w:after="1"/>
              <w:ind w:left="0" w:right="0" w:hanging="0"/>
              <w:jc w:val="left"/>
              <w:rPr/>
            </w:pPr>
            <w:r>
              <w:rPr/>
              <w:t>    </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(721,597)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557,389</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12,485</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12,485</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6,015,823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(7,190,006)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(4,638)</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(4,710)</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239,407,448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1,284,957</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(782,630)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504,721</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237,166,625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1,259,527</w:t>
            </w:r>
          </w:p>
        </w:tc>
        <w:tc>
          <w:tcPr>
            <w:tcW w:w="326" w:type="dxa"/>
            <w:tcBorders/>
            <w:shd w:fill="CCEEFF" w:val="clear"/>
            <w:vAlign w:val="center"/>
          </w:tcPr>
          <w:p>
            <w:pPr>
              <w:pStyle w:val="TableContents"/>
              <w:bidi w:val="0"/>
              <w:spacing w:before="0" w:after="1"/>
              <w:ind w:left="0" w:right="0" w:hanging="0"/>
              <w:jc w:val="left"/>
              <w:rPr/>
            </w:pPr>
            <w:r>
              <w:rPr/>
              <w:t>    </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(655,382)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605,477</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12,752</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12,752</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3,086,082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(47,738)</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30, 2023</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240,252,707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2,403</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1,272,248</w:t>
            </w:r>
          </w:p>
        </w:tc>
        <w:tc>
          <w:tcPr>
            <w:tcW w:w="326" w:type="dxa"/>
            <w:tcBorders/>
            <w:vAlign w:val="center"/>
          </w:tcPr>
          <w:p>
            <w:pPr>
              <w:pStyle w:val="TableContents"/>
              <w:bidi w:val="0"/>
              <w:spacing w:before="0" w:after="1"/>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(703,120)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571,531</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63" w:name="_f40a59fb_1dca_49a6_94d0_671d01198324"/>
      <w:bookmarkEnd w:id="663"/>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664" w:name="CONSOLIDATEDSTATEMENTSOFCASHFLOWS_224163"/>
      <w:bookmarkEnd w:id="66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65" w:name="Tc_ZdQxE30jP0ylBrWtD6cgMQ_35_7"/>
      <w:bookmarkStart w:id="666" w:name="Tc_sYPhqdusKk2N49yCYu9EFg_35_4"/>
      <w:bookmarkStart w:id="667" w:name="Tc_NXcrAyzSI0-yA7kPGPVXvw_35_0"/>
      <w:bookmarkStart w:id="668" w:name="Tc_2t_QS5cgdkKGvjcmLm73mw_34_0"/>
      <w:bookmarkStart w:id="669" w:name="Tc_7YyqFHMSdUiT8u59puUyyA_33_0"/>
      <w:bookmarkStart w:id="670" w:name="Tc_k5M3TO7VBEm30PCPcaJQtg_32_0"/>
      <w:bookmarkStart w:id="671" w:name="Tc_GqxGrPx3a0mLUzf6wJ059g_31_8"/>
      <w:bookmarkStart w:id="672" w:name="Tc_ddXi3l1Di0ucghqJ-qUqHw_31_2"/>
      <w:bookmarkStart w:id="673" w:name="Tc_6K5Vq_eG-kqfjMZ42AeIXA_31_0"/>
      <w:bookmarkStart w:id="674" w:name="Tc_vsaoP889qUyl-VpP8iYbkQ_30_2"/>
      <w:bookmarkStart w:id="675" w:name="Tc_B9RtjzRQg02GIBYXGBaOgg_30_0"/>
      <w:bookmarkStart w:id="676" w:name="Tc_u-JcIJZPZka07fwwGXNx5g_29_2"/>
      <w:bookmarkStart w:id="677" w:name="Tc_mU7WcBkmuUKZzDSaUSHrrw_29_0"/>
      <w:bookmarkStart w:id="678" w:name="Tc_f_IfsPoMkkCxMhSaMcHIlg_28_8"/>
      <w:bookmarkStart w:id="679" w:name="Tc_KfA5EdDqu0-v7_t-GZdW8w_28_2"/>
      <w:bookmarkStart w:id="680" w:name="Tc_tAv9MlvzoUiGY5IideWBHw_28_0"/>
      <w:bookmarkStart w:id="681" w:name="Tc_WQrrnxoX4UKm34KnlPE80g_27_8"/>
      <w:bookmarkStart w:id="682" w:name="Tc_DvldXSTziUSKzvdFhmMJ_g_27_2"/>
      <w:bookmarkStart w:id="683" w:name="Tc_INVCak5RX0atSOiZkabAyQ_27_0"/>
      <w:bookmarkStart w:id="684" w:name="Tc_us4vyu5tG0OeKmKCyCqpRw_26_8"/>
      <w:bookmarkStart w:id="685" w:name="Tc_nksxXDBT0EO7RNkasfwPsA_26_2"/>
      <w:bookmarkStart w:id="686" w:name="Tc_Wv_F5_PSJU-If5QZ6VbJFw_26_0"/>
      <w:bookmarkStart w:id="687" w:name="Tc_rnb6-pVcrUi9kHw1gqjJ_w_25_8"/>
      <w:bookmarkStart w:id="688" w:name="Tc_3ayLv5DhZ0ilxc6z4fjyEQ_25_2"/>
      <w:bookmarkStart w:id="689" w:name="Tc_rUSicD0pGEKZMo_T5Y8bCg_25_0"/>
      <w:bookmarkStart w:id="690" w:name="Tc_FEjRhrDnhU2RKPfbPmCDqw_24_0"/>
      <w:bookmarkStart w:id="691" w:name="Tc_1WIM2T_6A06DIcaZ31uQ7g_23_0"/>
      <w:bookmarkStart w:id="692" w:name="Tc_GQL4urVmR0OwnbNk1Z47CA_22_5"/>
      <w:bookmarkStart w:id="693" w:name="Tc_AL71YLPifUigt-xkMjijHg_22_0"/>
      <w:bookmarkStart w:id="694" w:name="Tc_6e1kiyIu10CcnimFfYqeKQ_21_5"/>
      <w:bookmarkStart w:id="695" w:name="Tc_NXhsJ8tzTUOA9mIZWpz85w_21_0"/>
      <w:bookmarkStart w:id="696" w:name="Tc_zxDmOqy4wkKGygx57rTyUw_20_8"/>
      <w:bookmarkStart w:id="697" w:name="Tc_DIwxuLZFd0mXrb_zqQIpug_20_2"/>
      <w:bookmarkStart w:id="698" w:name="Tc_XfkvZ-FIb0KPz79cycypoA_20_0"/>
      <w:bookmarkStart w:id="699" w:name="Tc_QzQQ67rFD02asXFdX5cXHg_19_8"/>
      <w:bookmarkStart w:id="700" w:name="Tc_-QxX5UEsoUeA-h6RlPQ3tA_19_2"/>
      <w:bookmarkStart w:id="701" w:name="Tc_wp1u90CAZ0OPWQ1fpoCA6A_19_0"/>
      <w:bookmarkStart w:id="702" w:name="Tc_gdMzxoRDR0SXngu4v4tMbg_18_8"/>
      <w:bookmarkStart w:id="703" w:name="Tc_pKOKVlnvKk6_EQx6FNA-dg_18_2"/>
      <w:bookmarkStart w:id="704" w:name="Tc_GMBWKJENG0SPip_C-iKj4g_18_0"/>
      <w:bookmarkStart w:id="705" w:name="Tc_8GWP2FrcqEaVCLoXZleqTw_17_2"/>
      <w:bookmarkStart w:id="706" w:name="Tc_47a2wtVDJE2Lw28D6cWKGg_17_0"/>
      <w:bookmarkStart w:id="707" w:name="Tc_sq_ra59Fm0uR2-n9ntrfOQ_16_0"/>
      <w:bookmarkStart w:id="708" w:name="Tc_boxJxhxAs0K0gPXeTG1NbA_15_0"/>
      <w:bookmarkStart w:id="709" w:name="Tc_5rQ94IiTiUGE6B8MNa3diQ_14_2"/>
      <w:bookmarkStart w:id="710" w:name="Tc_BOHfaJDGr0iUO8qCF7oWow_14_0"/>
      <w:bookmarkStart w:id="711" w:name="Tc_YoOv-aAPf0GQbZxz_62faQ_13_2"/>
      <w:bookmarkStart w:id="712" w:name="Tc_aK2xBI3Jr0iB9aHGSxHXVw_13_0"/>
      <w:bookmarkStart w:id="713" w:name="Tc_p8k3x2swz0KUxHHUpkvKLw_12_2"/>
      <w:bookmarkStart w:id="714" w:name="Tc_axDlpHmvtEqckx-k2rXw9g_12_0"/>
      <w:bookmarkStart w:id="715" w:name="Tc_8Xaso5Usn0qYoYb5JxyHGg_11_0"/>
      <w:bookmarkStart w:id="716" w:name="Tc_JuC9Y3RCfU-De6lR4lR__Q_10_0"/>
      <w:bookmarkStart w:id="717" w:name="Tc_2I1RbL7zfEmQK8vnNWxpgA_9_0"/>
      <w:bookmarkStart w:id="718" w:name="Tc_ivT_x4pNAUWyNErVkOyo4Q_8_5"/>
      <w:bookmarkStart w:id="719" w:name="Tc_adWMpGuBp06LjlFyOCvS4A_8_0"/>
      <w:bookmarkStart w:id="720" w:name="Tc_WOihKMYpckKUVSdBiqNLfQ_7_2"/>
      <w:bookmarkStart w:id="721" w:name="Tc_5YjZ067rdkq8ilVMu80hug_7_0"/>
      <w:bookmarkStart w:id="722" w:name="Tc_lkr-QxHi70CBPzR7DDKLNQ_6_2"/>
      <w:bookmarkStart w:id="723" w:name="Tc_4woTeY_pMk6cA6hTS88cyg_6_0"/>
      <w:bookmarkStart w:id="724" w:name="Tc_MXJHVfhMaU-jWSr4aHZOtA_5_0"/>
      <w:bookmarkStart w:id="725" w:name="Tc_8dCuEIfqM02EM9p6MLFlaw_4_7"/>
      <w:bookmarkStart w:id="726" w:name="Tc_-V-Nlm6PlkeLuRF726eEdg_4_4"/>
      <w:bookmarkStart w:id="727" w:name="Tc_lhr-kzmT1kWsMpkCF5bLgw_4_0"/>
      <w:bookmarkStart w:id="728" w:name="Tc_Z3jiNySB6UWGBRBeP2XCsQ_3_0"/>
      <w:bookmarkStart w:id="729" w:name="Tc_uCbTQA24dU6_ByRWT6hTzQ_2_7"/>
      <w:bookmarkStart w:id="730" w:name="Tc_Nvx0sC57TEOHgLoVDhYrhg_2_4"/>
      <w:bookmarkStart w:id="731" w:name="Tc_fKBqYdKLZkKNN-EtuM-v2Q_2_2"/>
      <w:bookmarkStart w:id="732" w:name="Tc_wv18Iyxoc0GoLVlyqbKYMg_1_4"/>
      <w:bookmarkStart w:id="733" w:name="_75ea06c2_783f_429f_b903_71e05484714d"/>
      <w:bookmarkStart w:id="734" w:name="Tc_ZdQxE30jP0ylBrWtD6cgMQ_35_7"/>
      <w:bookmarkStart w:id="735" w:name="Tc_sYPhqdusKk2N49yCYu9EFg_35_4"/>
      <w:bookmarkStart w:id="736" w:name="Tc_NXcrAyzSI0-yA7kPGPVXvw_35_0"/>
      <w:bookmarkStart w:id="737" w:name="Tc_2t_QS5cgdkKGvjcmLm73mw_34_0"/>
      <w:bookmarkStart w:id="738" w:name="Tc_7YyqFHMSdUiT8u59puUyyA_33_0"/>
      <w:bookmarkStart w:id="739" w:name="Tc_k5M3TO7VBEm30PCPcaJQtg_32_0"/>
      <w:bookmarkStart w:id="740" w:name="Tc_GqxGrPx3a0mLUzf6wJ059g_31_8"/>
      <w:bookmarkStart w:id="741" w:name="Tc_ddXi3l1Di0ucghqJ-qUqHw_31_2"/>
      <w:bookmarkStart w:id="742" w:name="Tc_6K5Vq_eG-kqfjMZ42AeIXA_31_0"/>
      <w:bookmarkStart w:id="743" w:name="Tc_vsaoP889qUyl-VpP8iYbkQ_30_2"/>
      <w:bookmarkStart w:id="744" w:name="Tc_B9RtjzRQg02GIBYXGBaOgg_30_0"/>
      <w:bookmarkStart w:id="745" w:name="Tc_u-JcIJZPZka07fwwGXNx5g_29_2"/>
      <w:bookmarkStart w:id="746" w:name="Tc_mU7WcBkmuUKZzDSaUSHrrw_29_0"/>
      <w:bookmarkStart w:id="747" w:name="Tc_f_IfsPoMkkCxMhSaMcHIlg_28_8"/>
      <w:bookmarkStart w:id="748" w:name="Tc_KfA5EdDqu0-v7_t-GZdW8w_28_2"/>
      <w:bookmarkStart w:id="749" w:name="Tc_tAv9MlvzoUiGY5IideWBHw_28_0"/>
      <w:bookmarkStart w:id="750" w:name="Tc_WQrrnxoX4UKm34KnlPE80g_27_8"/>
      <w:bookmarkStart w:id="751" w:name="Tc_DvldXSTziUSKzvdFhmMJ_g_27_2"/>
      <w:bookmarkStart w:id="752" w:name="Tc_INVCak5RX0atSOiZkabAyQ_27_0"/>
      <w:bookmarkStart w:id="753" w:name="Tc_us4vyu5tG0OeKmKCyCqpRw_26_8"/>
      <w:bookmarkStart w:id="754" w:name="Tc_nksxXDBT0EO7RNkasfwPsA_26_2"/>
      <w:bookmarkStart w:id="755" w:name="Tc_Wv_F5_PSJU-If5QZ6VbJFw_26_0"/>
      <w:bookmarkStart w:id="756" w:name="Tc_rnb6-pVcrUi9kHw1gqjJ_w_25_8"/>
      <w:bookmarkStart w:id="757" w:name="Tc_3ayLv5DhZ0ilxc6z4fjyEQ_25_2"/>
      <w:bookmarkStart w:id="758" w:name="Tc_rUSicD0pGEKZMo_T5Y8bCg_25_0"/>
      <w:bookmarkStart w:id="759" w:name="Tc_FEjRhrDnhU2RKPfbPmCDqw_24_0"/>
      <w:bookmarkStart w:id="760" w:name="Tc_1WIM2T_6A06DIcaZ31uQ7g_23_0"/>
      <w:bookmarkStart w:id="761" w:name="Tc_GQL4urVmR0OwnbNk1Z47CA_22_5"/>
      <w:bookmarkStart w:id="762" w:name="Tc_AL71YLPifUigt-xkMjijHg_22_0"/>
      <w:bookmarkStart w:id="763" w:name="Tc_6e1kiyIu10CcnimFfYqeKQ_21_5"/>
      <w:bookmarkStart w:id="764" w:name="Tc_NXhsJ8tzTUOA9mIZWpz85w_21_0"/>
      <w:bookmarkStart w:id="765" w:name="Tc_zxDmOqy4wkKGygx57rTyUw_20_8"/>
      <w:bookmarkStart w:id="766" w:name="Tc_DIwxuLZFd0mXrb_zqQIpug_20_2"/>
      <w:bookmarkStart w:id="767" w:name="Tc_XfkvZ-FIb0KPz79cycypoA_20_0"/>
      <w:bookmarkStart w:id="768" w:name="Tc_QzQQ67rFD02asXFdX5cXHg_19_8"/>
      <w:bookmarkStart w:id="769" w:name="Tc_-QxX5UEsoUeA-h6RlPQ3tA_19_2"/>
      <w:bookmarkStart w:id="770" w:name="Tc_wp1u90CAZ0OPWQ1fpoCA6A_19_0"/>
      <w:bookmarkStart w:id="771" w:name="Tc_gdMzxoRDR0SXngu4v4tMbg_18_8"/>
      <w:bookmarkStart w:id="772" w:name="Tc_pKOKVlnvKk6_EQx6FNA-dg_18_2"/>
      <w:bookmarkStart w:id="773" w:name="Tc_GMBWKJENG0SPip_C-iKj4g_18_0"/>
      <w:bookmarkStart w:id="774" w:name="Tc_8GWP2FrcqEaVCLoXZleqTw_17_2"/>
      <w:bookmarkStart w:id="775" w:name="Tc_47a2wtVDJE2Lw28D6cWKGg_17_0"/>
      <w:bookmarkStart w:id="776" w:name="Tc_sq_ra59Fm0uR2-n9ntrfOQ_16_0"/>
      <w:bookmarkStart w:id="777" w:name="Tc_boxJxhxAs0K0gPXeTG1NbA_15_0"/>
      <w:bookmarkStart w:id="778" w:name="Tc_5rQ94IiTiUGE6B8MNa3diQ_14_2"/>
      <w:bookmarkStart w:id="779" w:name="Tc_BOHfaJDGr0iUO8qCF7oWow_14_0"/>
      <w:bookmarkStart w:id="780" w:name="Tc_YoOv-aAPf0GQbZxz_62faQ_13_2"/>
      <w:bookmarkStart w:id="781" w:name="Tc_aK2xBI3Jr0iB9aHGSxHXVw_13_0"/>
      <w:bookmarkStart w:id="782" w:name="Tc_p8k3x2swz0KUxHHUpkvKLw_12_2"/>
      <w:bookmarkStart w:id="783" w:name="Tc_axDlpHmvtEqckx-k2rXw9g_12_0"/>
      <w:bookmarkStart w:id="784" w:name="Tc_8Xaso5Usn0qYoYb5JxyHGg_11_0"/>
      <w:bookmarkStart w:id="785" w:name="Tc_JuC9Y3RCfU-De6lR4lR__Q_10_0"/>
      <w:bookmarkStart w:id="786" w:name="Tc_2I1RbL7zfEmQK8vnNWxpgA_9_0"/>
      <w:bookmarkStart w:id="787" w:name="Tc_ivT_x4pNAUWyNErVkOyo4Q_8_5"/>
      <w:bookmarkStart w:id="788" w:name="Tc_adWMpGuBp06LjlFyOCvS4A_8_0"/>
      <w:bookmarkStart w:id="789" w:name="Tc_WOihKMYpckKUVSdBiqNLfQ_7_2"/>
      <w:bookmarkStart w:id="790" w:name="Tc_5YjZ067rdkq8ilVMu80hug_7_0"/>
      <w:bookmarkStart w:id="791" w:name="Tc_lkr-QxHi70CBPzR7DDKLNQ_6_2"/>
      <w:bookmarkStart w:id="792" w:name="Tc_4woTeY_pMk6cA6hTS88cyg_6_0"/>
      <w:bookmarkStart w:id="793" w:name="Tc_MXJHVfhMaU-jWSr4aHZOtA_5_0"/>
      <w:bookmarkStart w:id="794" w:name="Tc_8dCuEIfqM02EM9p6MLFlaw_4_7"/>
      <w:bookmarkStart w:id="795" w:name="Tc_-V-Nlm6PlkeLuRF726eEdg_4_4"/>
      <w:bookmarkStart w:id="796" w:name="Tc_lhr-kzmT1kWsMpkCF5bLgw_4_0"/>
      <w:bookmarkStart w:id="797" w:name="Tc_Z3jiNySB6UWGBRBeP2XCsQ_3_0"/>
      <w:bookmarkStart w:id="798" w:name="Tc_uCbTQA24dU6_ByRWT6hTzQ_2_7"/>
      <w:bookmarkStart w:id="799" w:name="Tc_Nvx0sC57TEOHgLoVDhYrhg_2_4"/>
      <w:bookmarkStart w:id="800" w:name="Tc_fKBqYdKLZkKNN-EtuM-v2Q_2_2"/>
      <w:bookmarkStart w:id="801" w:name="Tc_wv18Iyxoc0GoLVlyqbKYMg_1_4"/>
      <w:bookmarkStart w:id="802" w:name="_75ea06c2_783f_429f_b903_71e05484714d"/>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tbl>
      <w:tblPr>
        <w:tblW w:w="9878" w:type="dxa"/>
        <w:jc w:val="left"/>
        <w:tblInd w:w="0" w:type="dxa"/>
        <w:tblLayout w:type="fixed"/>
        <w:tblCellMar>
          <w:top w:w="0" w:type="dxa"/>
          <w:left w:w="0" w:type="dxa"/>
          <w:bottom w:w="0" w:type="dxa"/>
          <w:right w:w="0" w:type="dxa"/>
        </w:tblCellMar>
      </w:tblPr>
      <w:tblGrid>
        <w:gridCol w:w="6031"/>
        <w:gridCol w:w="326"/>
        <w:gridCol w:w="511"/>
        <w:gridCol w:w="326"/>
        <w:gridCol w:w="232"/>
        <w:gridCol w:w="876"/>
        <w:gridCol w:w="358"/>
        <w:gridCol w:w="232"/>
        <w:gridCol w:w="98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829685" cy="175260"/>
                      <wp:effectExtent l="0" t="0" r="0" b="0"/>
                      <wp:wrapNone/>
                      <wp:docPr id="86" name="Frame86"/>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24485" cy="175260"/>
                      <wp:effectExtent l="0" t="0" r="0" b="0"/>
                      <wp:wrapNone/>
                      <wp:docPr id="88" name="Frame8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7320" cy="175260"/>
                      <wp:effectExtent l="0" t="0" r="0" b="0"/>
                      <wp:wrapNone/>
                      <wp:docPr id="90" name="Frame9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56260" cy="175260"/>
                      <wp:effectExtent l="0" t="0" r="0" b="0"/>
                      <wp:wrapNone/>
                      <wp:docPr id="91" name="Frame91"/>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27330" cy="175260"/>
                      <wp:effectExtent l="0" t="0" r="0" b="0"/>
                      <wp:wrapNone/>
                      <wp:docPr id="92" name="Frame92"/>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7320" cy="175260"/>
                      <wp:effectExtent l="0" t="0" r="0" b="0"/>
                      <wp:wrapNone/>
                      <wp:docPr id="93" name="Frame9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26110" cy="175260"/>
                      <wp:effectExtent l="0" t="0" r="0" b="0"/>
                      <wp:wrapNone/>
                      <wp:docPr id="94" name="Frame94"/>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1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8" w:type="dxa"/>
            <w:tcBorders/>
            <w:vAlign w:val="center"/>
          </w:tcPr>
          <w:p>
            <w:pPr>
              <w:pStyle w:val="TableContents"/>
              <w:bidi w:val="0"/>
              <w:spacing w:before="0" w:after="1"/>
              <w:ind w:left="0" w:right="0" w:hanging="0"/>
              <w:jc w:val="left"/>
              <w:rPr/>
            </w:pPr>
            <w:r>
              <w:rPr/>
              <w:t>    </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876" w:type="dxa"/>
            <w:tcBorders/>
            <w:shd w:fill="CCEEFF" w:val="clear"/>
            <w:vAlign w:val="center"/>
          </w:tcPr>
          <w:p>
            <w:pPr>
              <w:pStyle w:val="TableContents"/>
              <w:bidi w:val="0"/>
              <w:spacing w:before="0" w:after="1"/>
              <w:ind w:left="0" w:right="0" w:hanging="0"/>
              <w:jc w:val="right"/>
              <w:rPr/>
            </w:pPr>
            <w:r>
              <w:rPr/>
              <w:t>  </w:t>
            </w:r>
          </w:p>
        </w:tc>
        <w:tc>
          <w:tcPr>
            <w:tcW w:w="358"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98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(47,738)</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98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12,485</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8, 9</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12,222</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14,323</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marketable securities discount</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pPr>
            <w:r>
              <w:rPr/>
              <w:t>—</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noncash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1,847</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 net of effects of acquisition:</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pPr>
            <w:r>
              <w:rPr/>
              <w:t>​</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(1,766)</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 deposits and other assets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5, 10</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(10,750)</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non-current liabilities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6,814</w:t>
            </w:r>
          </w:p>
        </w:tc>
        <w:tc>
          <w:tcPr>
            <w:tcW w:w="358"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(38,540)</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(21,128)</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pPr>
            <w:r>
              <w:rPr/>
              <w:t>  </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8, 20</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(36,459)</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(61,413)</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investment tax credit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15,336</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earnest money deposit</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CultivateAI, net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(6,070)</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maturity of marketable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168,550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property, plant and equipment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8"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provided by investing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(37,193)</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107,171</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pPr>
            <w:r>
              <w:rPr/>
              <w:t>  </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Remarketed Bonds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Extinguishment of 2021 Bonds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debt offering costs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the exercise of warrants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loans payable</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finance lease liabilities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(4,710)</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(6,993)</w:t>
            </w:r>
          </w:p>
        </w:tc>
        <w:tc>
          <w:tcPr>
            <w:tcW w:w="358"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(82,726)</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85,893</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375,597</w:t>
            </w:r>
          </w:p>
        </w:tc>
        <w:tc>
          <w:tcPr>
            <w:tcW w:w="358"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315,376</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at end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292,871</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401,269</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803" w:name="Tc_Dkuw-W90YUajoFxf2stETg_6_5"/>
      <w:bookmarkStart w:id="804" w:name="Tc_KH5N6pTGTU-E2icrsTeWOw_6_2"/>
      <w:bookmarkStart w:id="805" w:name="Tc_Y2fZ25R-BEu5L5-BEMkeew_6_0"/>
      <w:bookmarkStart w:id="806" w:name="Tc_fDOEytJCcECnwYXxxf2GEQ_5_6"/>
      <w:bookmarkStart w:id="807" w:name="Tc_9G9vO6DRB0qXB5cqtbYzDw_5_0"/>
      <w:bookmarkStart w:id="808" w:name="Tc_hIBo4eqAI02qrh9ngITfmw_4_0"/>
      <w:bookmarkStart w:id="809" w:name="Tc_yQD0w9u150eDPhTB-WyE0g_3_5"/>
      <w:bookmarkStart w:id="810" w:name="Tc_-YYoSE6jI0qiBvXNRznmdQ_3_2"/>
      <w:bookmarkStart w:id="811" w:name="Tc_5tAqQQ9idUGKYZeW9b8Drg_3_0"/>
      <w:bookmarkStart w:id="812" w:name="Tc__blS4IVyAUe2Ih2WYoKXSA_2_5"/>
      <w:bookmarkStart w:id="813" w:name="Tc_a2Ox3MxBEEO6TyjB6Thjrw_2_2"/>
      <w:bookmarkStart w:id="814" w:name="Tc_S2WdXXG3WEql1njl1fzUKw_2_0"/>
      <w:bookmarkStart w:id="815" w:name="Tc_70cAK2ah0E-dkKYKqXCklA_1_2"/>
      <w:bookmarkStart w:id="816" w:name="_a9c348a3_a5d0_4d9f_8481_89902312bf21"/>
      <w:bookmarkStart w:id="817" w:name="Tc_Dkuw-W90YUajoFxf2stETg_6_5"/>
      <w:bookmarkStart w:id="818" w:name="Tc_KH5N6pTGTU-E2icrsTeWOw_6_2"/>
      <w:bookmarkStart w:id="819" w:name="Tc_Y2fZ25R-BEu5L5-BEMkeew_6_0"/>
      <w:bookmarkStart w:id="820" w:name="Tc_fDOEytJCcECnwYXxxf2GEQ_5_6"/>
      <w:bookmarkStart w:id="821" w:name="Tc_9G9vO6DRB0qXB5cqtbYzDw_5_0"/>
      <w:bookmarkStart w:id="822" w:name="Tc_hIBo4eqAI02qrh9ngITfmw_4_0"/>
      <w:bookmarkStart w:id="823" w:name="Tc_yQD0w9u150eDPhTB-WyE0g_3_5"/>
      <w:bookmarkStart w:id="824" w:name="Tc_-YYoSE6jI0qiBvXNRznmdQ_3_2"/>
      <w:bookmarkStart w:id="825" w:name="Tc_5tAqQQ9idUGKYZeW9b8Drg_3_0"/>
      <w:bookmarkStart w:id="826" w:name="Tc__blS4IVyAUe2Ih2WYoKXSA_2_5"/>
      <w:bookmarkStart w:id="827" w:name="Tc_a2Ox3MxBEEO6TyjB6Thjrw_2_2"/>
      <w:bookmarkStart w:id="828" w:name="Tc_S2WdXXG3WEql1njl1fzUKw_2_0"/>
      <w:bookmarkStart w:id="829" w:name="Tc_70cAK2ah0E-dkKYKqXCklA_1_2"/>
      <w:bookmarkStart w:id="830" w:name="_a9c348a3_a5d0_4d9f_8481_89902312bf21"/>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tbl>
      <w:tblPr>
        <w:tblW w:w="7616" w:type="dxa"/>
        <w:jc w:val="left"/>
        <w:tblInd w:w="0" w:type="dxa"/>
        <w:tblLayout w:type="fixed"/>
        <w:tblCellMar>
          <w:top w:w="0" w:type="dxa"/>
          <w:left w:w="0" w:type="dxa"/>
          <w:bottom w:w="0" w:type="dxa"/>
          <w:right w:w="0" w:type="dxa"/>
        </w:tblCellMar>
      </w:tblPr>
      <w:tblGrid>
        <w:gridCol w:w="4606"/>
        <w:gridCol w:w="326"/>
        <w:gridCol w:w="233"/>
        <w:gridCol w:w="865"/>
        <w:gridCol w:w="361"/>
        <w:gridCol w:w="233"/>
        <w:gridCol w:w="992"/>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924810" cy="175260"/>
                      <wp:effectExtent l="0" t="0" r="0" b="0"/>
                      <wp:wrapNone/>
                      <wp:docPr id="95" name="Frame95"/>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7955" cy="175260"/>
                      <wp:effectExtent l="0" t="0" r="0" b="0"/>
                      <wp:wrapNone/>
                      <wp:docPr id="97" name="Frame9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49275" cy="175260"/>
                      <wp:effectExtent l="0" t="0" r="0" b="0"/>
                      <wp:wrapNone/>
                      <wp:docPr id="98" name="Frame98"/>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29235" cy="175260"/>
                      <wp:effectExtent l="0" t="0" r="0" b="0"/>
                      <wp:wrapNone/>
                      <wp:docPr id="99" name="Frame9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7955" cy="175260"/>
                      <wp:effectExtent l="0" t="0" r="0" b="0"/>
                      <wp:wrapNone/>
                      <wp:docPr id="100" name="Frame10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29920" cy="175260"/>
                      <wp:effectExtent l="0" t="0" r="0" b="0"/>
                      <wp:wrapNone/>
                      <wp:docPr id="101" name="Frame101"/>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Schedule of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12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223,227</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323,510</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(current)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77,759</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292,871</w:t>
            </w:r>
          </w:p>
        </w:tc>
        <w:tc>
          <w:tcPr>
            <w:tcW w:w="361"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401,269</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831" w:name="Tc_UgPL4DPv2EKfribV7DWCpA_6_5"/>
      <w:bookmarkStart w:id="832" w:name="Tc_eItgVTOiN0yJFZHJnsqKOQ_6_2"/>
      <w:bookmarkStart w:id="833" w:name="Tc_NqdaEiTtE0ONdn4i1GHBKg_6_0"/>
      <w:bookmarkStart w:id="834" w:name="Tc_dRNNf4PEbU2C85qL6s_Z5g_5_6"/>
      <w:bookmarkStart w:id="835" w:name="Tc_iFVlqbL73UOYaiIXGh5aLg_5_5"/>
      <w:bookmarkStart w:id="836" w:name="Tc_C3PTcSgICky_fnK8yDs7_A_5_2"/>
      <w:bookmarkStart w:id="837" w:name="Tc_4TGl8iwBDESGHJupJubNCA_5_0"/>
      <w:bookmarkStart w:id="838" w:name="Tc_ml-AwV7gqkmpmPAMI7Wzpw_4_5"/>
      <w:bookmarkStart w:id="839" w:name="Tc_JhZC08O_8Eqfq6i0qxe1FQ_4_2"/>
      <w:bookmarkStart w:id="840" w:name="Tc_4S-0-kCnw0-Xje-aII8JPg_4_0"/>
      <w:bookmarkStart w:id="841" w:name="Tc_oWRel8dN1kWNlRdR34JD8w_3_5"/>
      <w:bookmarkStart w:id="842" w:name="Tc_jxoB3RtDjkabyCPkq0sQJw_3_2"/>
      <w:bookmarkStart w:id="843" w:name="Tc__BuEE0JNu0aemrjbqHS-GA_3_0"/>
      <w:bookmarkStart w:id="844" w:name="Tc_gH90xLeAdUGftdzpiem6kw_2_5"/>
      <w:bookmarkStart w:id="845" w:name="Tc_BgR-GjEQYECX0vZ2Ewl6Og_2_2"/>
      <w:bookmarkStart w:id="846" w:name="Tc_7OqFfcZCuUS7GF-ZgbWpyg_2_0"/>
      <w:bookmarkStart w:id="847" w:name="Tc_jwauGYFTkU6JxDSz9AR7mw_1_2"/>
      <w:bookmarkStart w:id="848" w:name="_848ee656_dc8b_440b_bd65_52abb7af0673"/>
      <w:bookmarkStart w:id="849" w:name="Tc_UgPL4DPv2EKfribV7DWCpA_6_5"/>
      <w:bookmarkStart w:id="850" w:name="Tc_eItgVTOiN0yJFZHJnsqKOQ_6_2"/>
      <w:bookmarkStart w:id="851" w:name="Tc_NqdaEiTtE0ONdn4i1GHBKg_6_0"/>
      <w:bookmarkStart w:id="852" w:name="Tc_dRNNf4PEbU2C85qL6s_Z5g_5_6"/>
      <w:bookmarkStart w:id="853" w:name="Tc_iFVlqbL73UOYaiIXGh5aLg_5_5"/>
      <w:bookmarkStart w:id="854" w:name="Tc_C3PTcSgICky_fnK8yDs7_A_5_2"/>
      <w:bookmarkStart w:id="855" w:name="Tc_4TGl8iwBDESGHJupJubNCA_5_0"/>
      <w:bookmarkStart w:id="856" w:name="Tc_ml-AwV7gqkmpmPAMI7Wzpw_4_5"/>
      <w:bookmarkStart w:id="857" w:name="Tc_JhZC08O_8Eqfq6i0qxe1FQ_4_2"/>
      <w:bookmarkStart w:id="858" w:name="Tc_4S-0-kCnw0-Xje-aII8JPg_4_0"/>
      <w:bookmarkStart w:id="859" w:name="Tc_oWRel8dN1kWNlRdR34JD8w_3_5"/>
      <w:bookmarkStart w:id="860" w:name="Tc_jxoB3RtDjkabyCPkq0sQJw_3_2"/>
      <w:bookmarkStart w:id="861" w:name="Tc__BuEE0JNu0aemrjbqHS-GA_3_0"/>
      <w:bookmarkStart w:id="862" w:name="Tc_gH90xLeAdUGftdzpiem6kw_2_5"/>
      <w:bookmarkStart w:id="863" w:name="Tc_BgR-GjEQYECX0vZ2Ewl6Og_2_2"/>
      <w:bookmarkStart w:id="864" w:name="Tc_7OqFfcZCuUS7GF-ZgbWpyg_2_0"/>
      <w:bookmarkStart w:id="865" w:name="Tc_jwauGYFTkU6JxDSz9AR7mw_1_2"/>
      <w:bookmarkStart w:id="866" w:name="_848ee656_dc8b_440b_bd65_52abb7af0673"/>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tbl>
      <w:tblPr>
        <w:tblW w:w="10135" w:type="dxa"/>
        <w:jc w:val="left"/>
        <w:tblInd w:w="0" w:type="dxa"/>
        <w:tblLayout w:type="fixed"/>
        <w:tblCellMar>
          <w:top w:w="0" w:type="dxa"/>
          <w:left w:w="0" w:type="dxa"/>
          <w:bottom w:w="0" w:type="dxa"/>
          <w:right w:w="0" w:type="dxa"/>
        </w:tblCellMar>
      </w:tblPr>
      <w:tblGrid>
        <w:gridCol w:w="7126"/>
        <w:gridCol w:w="326"/>
        <w:gridCol w:w="277"/>
        <w:gridCol w:w="751"/>
        <w:gridCol w:w="429"/>
        <w:gridCol w:w="277"/>
        <w:gridCol w:w="949"/>
      </w:tblGrid>
      <w:tr>
        <w:trPr/>
        <w:tc>
          <w:tcPr>
            <w:tcW w:w="7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525010" cy="175260"/>
                      <wp:effectExtent l="0" t="0" r="0" b="0"/>
                      <wp:wrapNone/>
                      <wp:docPr id="102" name="Frame102"/>
                      <a:graphic xmlns:a="http://schemas.openxmlformats.org/drawingml/2006/main">
                        <a:graphicData uri="http://schemas.microsoft.com/office/word/2010/wordprocessingShape">
                          <wps:wsp>
                            <wps:cNvSpPr txBox="1"/>
                            <wps:spPr>
                              <a:xfrm>
                                <a:off x="0" y="0"/>
                                <a:ext cx="452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75895" cy="175260"/>
                      <wp:effectExtent l="0" t="0" r="0" b="0"/>
                      <wp:wrapNone/>
                      <wp:docPr id="104" name="Frame10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76885" cy="175260"/>
                      <wp:effectExtent l="0" t="0" r="0" b="0"/>
                      <wp:wrapNone/>
                      <wp:docPr id="105" name="Frame10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72415" cy="175260"/>
                      <wp:effectExtent l="0" t="0" r="0" b="0"/>
                      <wp:wrapNone/>
                      <wp:docPr id="106" name="Frame106"/>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75895" cy="175260"/>
                      <wp:effectExtent l="0" t="0" r="0" b="0"/>
                      <wp:wrapNone/>
                      <wp:docPr id="107" name="Frame10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02615" cy="175260"/>
                      <wp:effectExtent l="0" t="0" r="0" b="0"/>
                      <wp:wrapNone/>
                      <wp:docPr id="108" name="Frame108"/>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disclosures of cash and non-cash investing and financing transactions</w:t>
            </w:r>
          </w:p>
        </w:tc>
        <w:tc>
          <w:tcPr>
            <w:tcW w:w="326" w:type="dxa"/>
            <w:tcBorders/>
            <w:vAlign w:val="center"/>
          </w:tcPr>
          <w:p>
            <w:pPr>
              <w:pStyle w:val="TableContents"/>
              <w:bidi w:val="0"/>
              <w:spacing w:before="0" w:after="0"/>
              <w:ind w:left="0" w:right="0" w:hanging="0"/>
              <w:jc w:val="center"/>
              <w:rPr/>
            </w:pPr>
            <w:r>
              <w:rPr/>
              <w:t>​</w:t>
            </w:r>
          </w:p>
        </w:tc>
        <w:tc>
          <w:tcPr>
            <w:tcW w:w="10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29" w:type="dxa"/>
            <w:tcBorders/>
            <w:vAlign w:val="center"/>
          </w:tcPr>
          <w:p>
            <w:pPr>
              <w:pStyle w:val="TableContents"/>
              <w:bidi w:val="0"/>
              <w:spacing w:before="0" w:after="0"/>
              <w:ind w:left="0" w:right="0" w:hanging="0"/>
              <w:jc w:val="center"/>
              <w:rPr/>
            </w:pPr>
            <w:r>
              <w:rPr/>
              <w:t>    </w:t>
            </w:r>
          </w:p>
        </w:tc>
        <w:tc>
          <w:tcPr>
            <w:tcW w:w="12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42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purchase of property, plant and equipment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5,600</w:t>
            </w:r>
          </w:p>
        </w:tc>
        <w:tc>
          <w:tcPr>
            <w:tcW w:w="42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15,593</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purchased with financing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w:t>
            </w:r>
          </w:p>
        </w:tc>
        <w:tc>
          <w:tcPr>
            <w:tcW w:w="42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0"/>
              <w:ind w:left="0" w:right="0" w:hanging="0"/>
              <w:jc w:val="righ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purchased with operating lease</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2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199</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867" w:name="a1NatureofBusinessFinancialConditionandB"/>
      <w:bookmarkStart w:id="868" w:name="a1NatureofBusinessFinancialConditionandB"/>
      <w:bookmarkEnd w:id="868"/>
    </w:p>
    <w:tbl>
      <w:tblPr>
        <w:tblW w:w="5942" w:type="dxa"/>
        <w:jc w:val="left"/>
        <w:tblInd w:w="0" w:type="dxa"/>
        <w:tblLayout w:type="fixed"/>
        <w:tblCellMar>
          <w:top w:w="0" w:type="dxa"/>
          <w:left w:w="0" w:type="dxa"/>
          <w:bottom w:w="0" w:type="dxa"/>
          <w:right w:w="0" w:type="dxa"/>
        </w:tblCellMar>
      </w:tblPr>
      <w:tblGrid>
        <w:gridCol w:w="271"/>
        <w:gridCol w:w="56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56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Business, Financial Condition and Basis of Presentation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Nature of business.</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Inc. (Nasdaq: GEVO) (“Gevo”, “we”, “us”, “our”, or the “Company,” which, unless otherwise indicated, refers to Gevo, Inc. and its subsidiaries), a Delaware corporation founded in 2005, is a growth-oriented, carbon abatement company with the mission of solving greenhouse gas (“GHG”) emissions for those sectors of the transportation industry that are not amenable to electrification or hydrogen.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focused on transforming renewable energy into energy-dense liquid drop-in hydrocarbons that can be used as renewable fuels, such as sustainable aviation fuel (“SAF”) and other fuels and chemicals, with the potential to achieve a “net-zero” GHG, or even carbon negative footprint measured by the Argonne National Laboratory’s GREET (Greenhouse gases, Regulated Emissions, and Energy use in Transportation) model (the “GREET Model”) to measure, predict and verify GHG emissions across the life-cycle. Our “net-zero” concept means production of drop-in hydrocarbon fuels by using sustainably grown feedstocks (e.g., low till, no-till and dry corn cultivation) and renewable and substantially decarbonized energy sources, resulting in an expected net-zero carbon footprint from the full life cycle of the fuel measured from the capture of renewable carbon through the burning of the fuel.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primary market focus, given current demand and growing customer interest, is SAF. The Company believes that SAF from carbohydrates to alcohol is the most economically viable approach for carbon abatement. The Company also has commercial opportunities for other renewable hydrocarbon products, such as (i) renewable natural gas, also known as biogas (“RNG”), (ii) hydrocarbons for gasoline blendstocks and diesel fuel, and (iii) plastics, materials and other chemicals. We are engaged in technology, process and intellectual property development targeted to large scale deployment of net-zero hydrocarbon fuels and chemicals. We are developing the marketplace and customers for SAF and other related products. We also are engaged as a developer and enabler/licensor for large scale commercial production, and we expect to be a co-investor on certain projects. Gevo’s business model is that of a developer of projects, licensor, process technology developer, and operator of certain assets in the future.</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Net-Zero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early 2021, we announced our proprietary “Net-Zero Projects” that we are developing and engineering as a series of planned facilities to produce energy dense liquid hydrocarbons using renewable energy and our proprietary technology. Our Net-Zero Projects will convert renewable energy (e.g., photosynthetic, wind, and RNG) from a variety of sources into energy dense liquid hydrocarbons that, when burned in traditional engines, has the potential to achieve net-zero GHG emissions across the whole lifecycle of the liquid fuel: from the way carbon is captured from the atmosphere, processed to make liquid fuel products, and burned as a fuel for planes, cars, trucks, and ships. Gevo owns our Net-Zero plant designs and the overall Gevo Net-Zero process (i.e., the process to enable carbon-negative olefins, and hydrocarbon fuels with an anticipated net-zero or better carbon footprint measured across the lifecycle of the whole processes). The proprietary Gevo Net-Zero processes and plant designs are based upon the conversion of carbohydrates to alcohols, followed by the conversion of the alcohols to olefins (i.e., building blocks for chemicals, plastics, and fuels), and then the conversion of the olefins into fuels, all optimized and integrated to achieve a net-zero carbon footprint. Our partners in developing and executing the Net Zero projects have included Fluid Quip Technologies, LLC, PRAJ Industries Limited (“PRAJ”), Zero6 Clean Energy Assets, Inc. (“Zero6”), McDermott International Ltd., and Fagen, Inc. Gevo owns the overall proprietary plant designs, engineering details, integration technologies, and has filed patents on several process improvements.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initial Net-Zero Project, Net-Zero 1 (“NZ1”), is expected to be located in Lake Preston, South Dakota, and is being currently designed to produce approximately 65 million gallons per year (“MGPY”) of total hydrocarbon volumes, including 60 MGPY of SAF. Along with the hydrocarbons, NZ1 is being currently designed to produce approximately 1.3 billion pounds per year of high-value protein products for use in the food chain and approximately 30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We are also developing other commercial production projects for SAF at other locations in the United States where we expect to use our Net-Zero plant designs based on work done for NZ1 at Lake Preston. Gevo expects to play the role of project developer, plant designer, technology licensor, and investor, based on traditional developer business models where the developer gets a partial ownership stake for developing the project. We may also co-invest in projects to increase our equity ownership in those projects.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Renewable Natural Gas Facilities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RNG facilities in Northwest Iowa (“NW Iowa RNG”), recorded in the Renewable Natural Gas segment, produce RNG captured from dairy cow manure supplied by three local dairies. Animal manure can be digested anaerobically to produce biogas, which is then upgraded to pipeline quality gas referred to as RNG. The annual expected capacity for this project was 355,000, but has since been expanded to 400,000 million British thermal units (“MMBtu”). We sell our RNG to the California market through an agreement with BP Canada Energy Marketing Corp. and BP Products North America Inc. (collectively, “BP”). In addition, we generate and sell Low Carbon Fuel Standard (“LCFS”) credits as well as D3 Renewable Identification Numbers (“RINs”) through the production of RNG (collectively, “environmental attributes”).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Luverne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Gevo’s development plant in Luverne, Minnesota (the “Luverne Facility”), recorded in the Agri-Energy segment, is currently being used for market development and customer education, but is not currently operating as a production plant. The Luverne Facility was originally constructed in 1998 and is located on approximately 55 acres of land, which contains approximately 50,000 square feet of building space. Gevo may use the Luverne Facility in the future to prove our processes, process concepts, unit operations and for other purposes to optimize feedstocks and the processes used for producing hydrocarbons from alcohols. </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Red Trail Energy Asset Purchase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September 10, 2024, the Company and its wholly owned subsidiaries Richardton CCS, LLC (“R-CCS”), and Net-Zero Richardton, LLC (together with the Company and R-CCS, the “Buyers”) entered into an Asset Purchase Agreement (the “Red Trail Purchase Agreement”) with Red Trail Energy, LLC (“Seller”). Pursuant to the Red Trail Purchase Agreement, and subject to the terms and conditions thereof, Buyers will acquire substantially all of the assets, and assume certain liabilities, of Seller on the terms set forth therein (the “Transaction”). The purchase price is $210,000,000, subject to customary adjustments, including a working capital adjustment (the “Purchase Price”). It is expected that the Purchase Price will be funded by a mixture of Company cash on hand and additional debt financing to be obtained prior to closing. The Transaction is expected to close in the first quarter of 2025, subject to (i) the approval of the Transaction by holders of a majority of the Seller’s outstanding Class A Membership Units, (ii) regulatory approvals under the Hart-Scott-Rodino Antitrust Improvements Act, (iii) the procurement of debt financing by the Buyers on terms satisfactory to the Buyers and (iv) other closing conditions.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Red Trail Purchase Agreement, the Company and Seller entered into an escrow agreement pursuant to which the Company (i) has deposited $10,000,000 in earnest money, see Note 10, Deposits and Other Assets, which will be applied against the Purchase Price, (ii) will deposit $1,260,000 of the Purchase Price at closing for the purposes of securing the post-closing indemnification obligations of Seller, and (iii) will deposit $5,000,000 of the Purchase Price at closing for purposes of securing any Purchase Price adjustments. In addition, Buyers have obtained a representation and warranty insurance policy to provide coverage for certain breaches of representations and warranties of the Seller, which coverage is subject to certain exclusions, deductibles and other terms and conditions as set forth in the policy.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U.S. generally accepted accounting principles (“GAAP”) along with the instructions to Form 10-Q and Article 10 of Regulation S-X. Accordingly, they do not include the information and footnotes required by GAAP for complete financial statements. These statements reflect all normal and recurring adjustments which, in the opinion of management, are necessary to present fairly the financial position, results of operations and cash flows of the Company as of, and for the nine months ended, September 30, 2024,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2023</w:t>
      </w:r>
      <w:r>
        <w:rPr>
          <w:rFonts w:ascii="Times New Roman;Times;serif" w:hAnsi="Times New Roman;Times;serif"/>
          <w:i/>
          <w:sz w:val="20"/>
        </w:rPr>
        <w:t xml:space="preserve">. </w:t>
      </w:r>
      <w:r>
        <w:rPr>
          <w:rFonts w:ascii="Times New Roman;Times;serif" w:hAnsi="Times New Roman;Times;serif"/>
          <w:sz w:val="20"/>
        </w:rPr>
        <w:t>The financial statements at December 31, 2023, have been derived from the audited financial statements as of that date. For further information, refer to our audited financial statements and notes thereto included for the year ended December 31, 2023 (the “2023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Governmental Grants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no U.S. GAAP that explicitly covers accounting for government "grants" to for-profit entities, with the exception of certain agricultural subsidies. In the absence of authoritative U.S. GAAP guidance, the Company considered the application of other authoritative accounting guidance by analogy and concluded that the guidance outlined in International Accounting Standard 20 – Accounting for Government Grants and Disclosures of Government Assistance (“IAS 20”) was the most appropriate analogy for the purpose of recording and classifying the federal funds received by the Company. Under IAS 20, once it is reasonably assured that the entity will comply with the conditions of the grant, the grant money should be recognized on a systematic basis over the periods in which the entity recognizes the related expenses or losses for which the grant money is intended to compensate.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recognizes grants once both of the following conditions are met: (1) the Company is able to comply with the relevant conditions of the grant and (2) the grant is received. Further, IAS 20 permits for the recognition in earnings either (1) separately under a general heading such as other income, or (2) as a reduction of the related expenses. The Company records such grants either as a reduction of the related expense, a reduction of the cost of the related asset, or as other income depending upon the nature of the grant.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Investment Tax Credit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August 16, 2022, the Inflation Reduction Act (“IRA’) was signed into law. The IRA includes significant extensions, expansions, and enhancements of numerous energy-related tax credits and also creates new credits in multiple categories. The law provides an election to transfer (i.e., sell) certain credits to another taxpayer in an effort to monetize them. The Company might achieve a better economic benefit by selling the credit in situations where sufficient taxable income is not available to use all or a portion of the income tax credit or in which using such credits might take multiple tax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scope of Accounting Standards Codification (“ASC”) 740: Income Taxes (“ASC 740”) does not directly address how to account for transferable tax credits, however multiple acceptable views to account for transferable credits exists, including accounting for the entire credit outside of income taxes in the Condensed Consolidated Statements of Operations, analogous treatment to governmental grants under IAS 20.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capital investment in the RNG project generated a tax credit under Section 48 of the Internal Revenue Code of 1986, as amended (the “IRC”), which provides an energy tax credit for investments in renewable energy property. Our activities in the renewable energy space may continue to generate eligible transferable tax credits in the future that we may seek monetization for. The Company has elected to apply a policy similar to the accounting method described in IAS 20 and recorded the transferable tax credit as a credit against the related asset, thus, reducing the amount of depreciation expense to be recognized over the remaining useful life of the associated asset.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September 18, 2024, we sold approximately $15.3 million in Investment Tax Credits (“ITCs”) to a corporate buyer. This transaction monetized IRA Investment Tax Credits generated from the commercialization of the RNG Project by Gevo NW Iowa RNG, LLC and provided net cash proceeds of approximately $14.0 million to us after transaction fees. As of September 30, 2024, the Company recorded $15.3 million as a reduction to </w:t>
      </w:r>
      <w:r>
        <w:rPr>
          <w:rFonts w:ascii="Times New Roman;Times;serif" w:hAnsi="Times New Roman;Times;serif"/>
          <w:b w:val="false"/>
          <w:i w:val="false"/>
          <w:caps w:val="false"/>
          <w:smallCaps w:val="false"/>
          <w:sz w:val="20"/>
        </w:rPr>
        <w:t>Property, plant, and equipment, net</w:t>
      </w:r>
      <w:r>
        <w:rPr>
          <w:rFonts w:ascii="Times New Roman;Times;serif" w:hAnsi="Times New Roman;Times;serif"/>
          <w:sz w:val="20"/>
        </w:rPr>
        <w:t xml:space="preserve"> on the Consolidated Balance Sheet, and transaction costs of $1.3 million, included in </w:t>
      </w:r>
      <w:r>
        <w:rPr>
          <w:rFonts w:ascii="Times New Roman;Times;serif" w:hAnsi="Times New Roman;Times;serif"/>
          <w:b w:val="false"/>
          <w:i w:val="false"/>
          <w:caps w:val="false"/>
          <w:smallCaps w:val="false"/>
          <w:sz w:val="20"/>
        </w:rPr>
        <w:t>General and administrative expenses</w:t>
      </w:r>
      <w:r>
        <w:rPr>
          <w:rFonts w:ascii="Times New Roman;Times;serif" w:hAnsi="Times New Roman;Times;serif"/>
          <w:sz w:val="20"/>
        </w:rPr>
        <w:t xml:space="preserve"> in the Condensed Consolidated Statement of Operations, for net proceeds of $14.0 million related to the monetization of an IRC Code 48 tax credit.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USDA Grant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In September 2023, we received a grant from the U.S. Department of Agriculture (“USDA”) through its Partnerships for Climate-Smart Commodities grant for Gevo’s Climate-Smart Farm-to-Flight Program (the “USDA Grant”). The USDA Grant was awarded for up to </w:t>
      </w:r>
      <w:r>
        <w:rPr>
          <w:rFonts w:ascii="Times New Roman;Times;serif" w:hAnsi="Times New Roman;Times;serif"/>
          <w:sz w:val="20"/>
        </w:rPr>
        <w:t>$46.3 million, of which $30.0 million is anticipated being reimbursed to Gevo from the USDA Grant, contingent on Gevo’s spend of up to $43.3 million and other third-party spend of up to $3.0 million</w:t>
      </w:r>
      <w:r>
        <w:rPr>
          <w:rFonts w:ascii="Times New Roman;Times;serif" w:hAnsi="Times New Roman;Times;serif"/>
          <w:sz w:val="20"/>
          <w:shd w:fill="FFFFFF" w:val="clear"/>
        </w:rPr>
        <w:t>. The project expects to create critical structural climate-smart market incentives for corn with a low carbon intensity (“CI”) score as well as to accelerate the production of SAF to reduce dependency on fossil-based fuels. In addition, this program will help provide support and incentive payments for farmers to produce, measure, report and verify low CI corn using climate smart agricultural practices, as well as accelerate development of the low-CI corn supply chain for low-carbon ethanol and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and nine months ended September 30, 2024, the Company incurred $1.1 and $4.6 million, respectively, of costs under the USDA Grant, which are included in Project development costs in the Condensed Consolidated Statement of Operations. During the three and nine months ended September 30, 2024, the Company recognized $1.5 and $3.5 million, respectively, of grant reimbursements, as a reduction to Project development costs in the Condensed Consolidated Statement of Operations, which represent reimbursements for prior period costs. The Company expects to be reimbursed for all remaining costs not yet reimbursed by the USDA under the grant in future periods.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Recently Issued, Not Yet Adopted Accounting Pronouncements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Segment Reporting. </w:t>
      </w:r>
      <w:r>
        <w:rPr>
          <w:rFonts w:ascii="Times New Roman;Times;serif" w:hAnsi="Times New Roman;Times;serif"/>
          <w:sz w:val="20"/>
        </w:rPr>
        <w:t>In November 2023, the Financial Accounting Standards Board (“FASB”) issued Accounting Standards Update (“ASU”) 2023-07, Segment Reporting (ASC 280: Segment Reporting (“ASC 280”)): Improvements to Reportable Segment Disclosures (“ASU 2023-07”). ASU 2023-07 would enhance disclosures for significant segment expenses for all public entities required to report segment information in accordance with ASC 280. ASC 280 requires a public entity to report for each reportable segment a measure of segment profit or loss that its chief operating decision maker (“CODM”) uses to assess segment performance and to make decisions about resource allocations. The amendments in ASU 2023-07 improve financial reporting by requiring disclosure of incremental segment information on an annual and interim basis for all public entities to enable investors to develop more useful financial analyses. Currently, ASC 280 requires that a public entity disclose certain information about its reportable segments. For example, a public entity is required to report a measure of segment profit or loss that the CODM uses to assess segment performance and make decisions about allocating resources. ASC 280 also requires other specified segment items and amounts such as depreciation, amortization and depletion expense to be disclosed under certain circumstances. The amendments in ASU 2023-07 do not change or 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are effective for fiscal years beginning after December 15, 2023, and interim periods within fiscal years beginning after December 15, 2024. Early adoption is permitted. A public entity should apply the amendments in ASU 2023-07 retrospectively to all prior periods presented in the financial statements. The Company is currently evaluating the impact that ASU 2023-07 may have on its financial statements and related disclosures when adopted.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869" w:name="Tc_8xbIxvtIR0yyrRuTcTe1iA_7_11"/>
      <w:bookmarkStart w:id="870" w:name="Tc_9vxCCn_8kkesKF-wprocEw_7_8"/>
      <w:bookmarkStart w:id="871" w:name="Tc_y8RMc8mXbEez583h1BRykQ_7_5"/>
      <w:bookmarkStart w:id="872" w:name="Tc_b2FOA75iukSSTpY89AUnbA_7_2"/>
      <w:bookmarkStart w:id="873" w:name="Tc_Fr3pgiVf3E6ZnSB1mLWX5w_7_0"/>
      <w:bookmarkStart w:id="874" w:name="Tc_FBXtWWwouEGF44m7qVbs0Q_6_0"/>
      <w:bookmarkStart w:id="875" w:name="Tc_dt38u9GTbEOw5MaDvAv8nw_5_6"/>
      <w:bookmarkStart w:id="876" w:name="Tc_xNRg9bqSp0qfvEbfjLYasw_5_3"/>
      <w:bookmarkStart w:id="877" w:name="Tc_9rLQ-DcZ_kSWPWjGi7eL8w_5_0"/>
      <w:bookmarkStart w:id="878" w:name="Tc_gug6u62ntky8gA4HqSfsvA_4_0"/>
      <w:bookmarkStart w:id="879" w:name="Tc_-0BpXK1cu0medyUWYZV7vw_3_11"/>
      <w:bookmarkStart w:id="880" w:name="Tc_40mn_EJs6EeHg4ZDzDNrSQ_3_8"/>
      <w:bookmarkStart w:id="881" w:name="Tc_qGGq-klL0U6cWqB4OrWBBg_3_5"/>
      <w:bookmarkStart w:id="882" w:name="Tc_jvS60pjjAEWVCASGxp0vdw_3_2"/>
      <w:bookmarkStart w:id="883" w:name="Tc_yxNds42FqUq3EFLSEasqhw_3_0"/>
      <w:bookmarkStart w:id="884" w:name="Tc__YXwBHaSBk-JjLwX3N7XHw_2_11"/>
      <w:bookmarkStart w:id="885" w:name="Tc_XAUSx4m7TkqzCrfxvABTkQ_2_8"/>
      <w:bookmarkStart w:id="886" w:name="Tc_Wy9vK66FX0-31PWWb6H-bw_2_5"/>
      <w:bookmarkStart w:id="887" w:name="Tc_RCkNxzB40ESteqjX10RvAg_2_2"/>
      <w:bookmarkStart w:id="888" w:name="Tc_Mxvg3yPY6EKWWnqx0X4fFQ_2_0"/>
      <w:bookmarkStart w:id="889" w:name="Tc_wZXwLdH0KUSMT-Vs0Ed16w_1_8"/>
      <w:bookmarkStart w:id="890" w:name="Tc_fqFvh11gGk663xxP-5nyIw_1_2"/>
      <w:bookmarkStart w:id="891" w:name="_14deeea8_748c_4709_bb39_2e84d7f8d00f"/>
      <w:bookmarkStart w:id="892" w:name="Tc_8xbIxvtIR0yyrRuTcTe1iA_7_11"/>
      <w:bookmarkStart w:id="893" w:name="Tc_9vxCCn_8kkesKF-wprocEw_7_8"/>
      <w:bookmarkStart w:id="894" w:name="Tc_y8RMc8mXbEez583h1BRykQ_7_5"/>
      <w:bookmarkStart w:id="895" w:name="Tc_b2FOA75iukSSTpY89AUnbA_7_2"/>
      <w:bookmarkStart w:id="896" w:name="Tc_Fr3pgiVf3E6ZnSB1mLWX5w_7_0"/>
      <w:bookmarkStart w:id="897" w:name="Tc_FBXtWWwouEGF44m7qVbs0Q_6_0"/>
      <w:bookmarkStart w:id="898" w:name="Tc_dt38u9GTbEOw5MaDvAv8nw_5_6"/>
      <w:bookmarkStart w:id="899" w:name="Tc_xNRg9bqSp0qfvEbfjLYasw_5_3"/>
      <w:bookmarkStart w:id="900" w:name="Tc_9rLQ-DcZ_kSWPWjGi7eL8w_5_0"/>
      <w:bookmarkStart w:id="901" w:name="Tc_gug6u62ntky8gA4HqSfsvA_4_0"/>
      <w:bookmarkStart w:id="902" w:name="Tc_-0BpXK1cu0medyUWYZV7vw_3_11"/>
      <w:bookmarkStart w:id="903" w:name="Tc_40mn_EJs6EeHg4ZDzDNrSQ_3_8"/>
      <w:bookmarkStart w:id="904" w:name="Tc_qGGq-klL0U6cWqB4OrWBBg_3_5"/>
      <w:bookmarkStart w:id="905" w:name="Tc_jvS60pjjAEWVCASGxp0vdw_3_2"/>
      <w:bookmarkStart w:id="906" w:name="Tc_yxNds42FqUq3EFLSEasqhw_3_0"/>
      <w:bookmarkStart w:id="907" w:name="Tc__YXwBHaSBk-JjLwX3N7XHw_2_11"/>
      <w:bookmarkStart w:id="908" w:name="Tc_XAUSx4m7TkqzCrfxvABTkQ_2_8"/>
      <w:bookmarkStart w:id="909" w:name="Tc_Wy9vK66FX0-31PWWb6H-bw_2_5"/>
      <w:bookmarkStart w:id="910" w:name="Tc_RCkNxzB40ESteqjX10RvAg_2_2"/>
      <w:bookmarkStart w:id="911" w:name="Tc_Mxvg3yPY6EKWWnqx0X4fFQ_2_0"/>
      <w:bookmarkStart w:id="912" w:name="Tc_wZXwLdH0KUSMT-Vs0Ed16w_1_8"/>
      <w:bookmarkStart w:id="913" w:name="Tc_fqFvh11gGk663xxP-5nyIw_1_2"/>
      <w:bookmarkStart w:id="914" w:name="_14deeea8_748c_4709_bb39_2e84d7f8d00f"/>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tbl>
      <w:tblPr>
        <w:tblW w:w="5567" w:type="dxa"/>
        <w:jc w:val="left"/>
        <w:tblInd w:w="0" w:type="dxa"/>
        <w:tblLayout w:type="fixed"/>
        <w:tblCellMar>
          <w:top w:w="0" w:type="dxa"/>
          <w:left w:w="0" w:type="dxa"/>
          <w:bottom w:w="0" w:type="dxa"/>
          <w:right w:w="0" w:type="dxa"/>
        </w:tblCellMar>
      </w:tblPr>
      <w:tblGrid>
        <w:gridCol w:w="271"/>
        <w:gridCol w:w="529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5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Revenues from Contracts with Customers and Other Revenue</w:t>
            </w:r>
          </w:p>
        </w:tc>
      </w:tr>
    </w:tbl>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RNG and Environmental Attribute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revenues are primarily comprised of the sale of RNG and related environmental attributes produced at the NW Iowa RNG facility under long-term contracts with customers. Revenue is recognized at a point in time when the Company transfers the product to its customer. The customer obtains control of the product upon RNG delivery into gas pipeline system, whereas the title and control for the environmental attributes are transferred to the customer subsequent to the issuance of such attributes by the relevant regulatory agency. The Company generally has multiple performance obligations in our arrangements with customers. The Company’s performance obligation related to the sales of RNG and related environmental attributes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w:t>
      </w:r>
      <w:r>
        <w:rPr>
          <w:rFonts w:ascii="Times New Roman;Times;serif" w:hAnsi="Times New Roman;Times;serif"/>
          <w:sz w:val="20"/>
          <w:shd w:fill="FFFFFF" w:val="clear"/>
        </w:rPr>
        <w:t>All material contracts have payment terms of between one to three months and there are no return or refund rights.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Licensing and Development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licensing and development revenue is related to a joint development agreement with LG Chem, Ltd. ("LG Chem") to develop bio-propylene for renewable chemicals using Gevo’s Ethanol-to-Olefins ("ETO") technology. As the contractually promised intellectual properties (“IP”) are not individually distinct, the Company combined each individual IP noted in the contract into a bundle of IP (“IP Rights”) that is distinct and accounted for all of the IP Rights promised in the contract as a single performance obligation. The IP Rights granted were “functional IP rights” that have significant standalone functionality. The Company’s subsequent activities do not substantively change that functionality and do not significantly affect the utility of the IP to which the licensee has rights. The Company has no further obligation with respect to the grant of IP Rights, including no expressed or implied obligation to maintain or upgrade the technology, or provide future support or services. The earnings process is complete when the licensee obtains control of the IP and revenue is recognized upon the achievement of certain project milestones, when collectability is probable and all other revenue recognition criteria have been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realized $1.3 million in Q2 2023 when the first milestone was met under the joint development agreement and received another $0.8 million in Q2 2024 due to the achievement of the second milestone in April 2024.</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Other Hydrocarbon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limited revenues from its development-scale plant, the Luverne Facility during the three and nine months ended September 30, 2024 and 2023. These revenues were promotional in nature and from customer contracts for ethanol sales and related products and hydrocarbon revenues, which included SAF, isooctene, and isooctane. These products were sold mostly on a free-on-board shipping point basis (recognized at a point in time), were independent transactions, did not provide post-sale support or promises to deliver future goods, and were single performance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displays the Company’s revenue by major source based on product type (in thousands):</w:t>
      </w:r>
    </w:p>
    <w:tbl>
      <w:tblPr>
        <w:tblW w:w="10205" w:type="dxa"/>
        <w:jc w:val="left"/>
        <w:tblInd w:w="0" w:type="dxa"/>
        <w:tblLayout w:type="fixed"/>
        <w:tblCellMar>
          <w:top w:w="0" w:type="dxa"/>
          <w:left w:w="0" w:type="dxa"/>
          <w:bottom w:w="0" w:type="dxa"/>
          <w:right w:w="0" w:type="dxa"/>
        </w:tblCellMar>
      </w:tblPr>
      <w:tblGrid>
        <w:gridCol w:w="4369"/>
        <w:gridCol w:w="326"/>
        <w:gridCol w:w="303"/>
        <w:gridCol w:w="822"/>
        <w:gridCol w:w="469"/>
        <w:gridCol w:w="303"/>
        <w:gridCol w:w="822"/>
        <w:gridCol w:w="109"/>
        <w:gridCol w:w="254"/>
        <w:gridCol w:w="817"/>
        <w:gridCol w:w="394"/>
        <w:gridCol w:w="254"/>
        <w:gridCol w:w="963"/>
      </w:tblGrid>
      <w:tr>
        <w:trPr/>
        <w:tc>
          <w:tcPr>
            <w:tcW w:w="4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774315" cy="175260"/>
                      <wp:effectExtent l="0" t="0" r="0" b="0"/>
                      <wp:wrapNone/>
                      <wp:docPr id="109" name="Frame109"/>
                      <a:graphic xmlns:a="http://schemas.openxmlformats.org/drawingml/2006/main">
                        <a:graphicData uri="http://schemas.microsoft.com/office/word/2010/wordprocessingShape">
                          <wps:wsp>
                            <wps:cNvSpPr txBox="1"/>
                            <wps:spPr>
                              <a:xfrm>
                                <a:off x="0" y="0"/>
                                <a:ext cx="277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92405" cy="175260"/>
                      <wp:effectExtent l="0" t="0" r="0" b="0"/>
                      <wp:wrapNone/>
                      <wp:docPr id="111" name="Frame11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21970" cy="175260"/>
                      <wp:effectExtent l="0" t="0" r="0" b="0"/>
                      <wp:wrapNone/>
                      <wp:docPr id="112" name="Frame112"/>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97815" cy="175260"/>
                      <wp:effectExtent l="0" t="0" r="0" b="0"/>
                      <wp:wrapNone/>
                      <wp:docPr id="113" name="Frame113"/>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92405" cy="175260"/>
                      <wp:effectExtent l="0" t="0" r="0" b="0"/>
                      <wp:wrapNone/>
                      <wp:docPr id="114" name="Frame11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21970" cy="175260"/>
                      <wp:effectExtent l="0" t="0" r="0" b="0"/>
                      <wp:wrapNone/>
                      <wp:docPr id="115" name="Frame115"/>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61290" cy="175260"/>
                      <wp:effectExtent l="0" t="0" r="0" b="0"/>
                      <wp:wrapNone/>
                      <wp:docPr id="117" name="Frame117"/>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18795" cy="175260"/>
                      <wp:effectExtent l="0" t="0" r="0" b="0"/>
                      <wp:wrapNone/>
                      <wp:docPr id="118" name="Frame118"/>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50190" cy="175260"/>
                      <wp:effectExtent l="0" t="0" r="0" b="0"/>
                      <wp:wrapNone/>
                      <wp:docPr id="119" name="Frame119"/>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61290" cy="175260"/>
                      <wp:effectExtent l="0" t="0" r="0" b="0"/>
                      <wp:wrapNone/>
                      <wp:docPr id="120" name="Frame120"/>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11505" cy="175260"/>
                      <wp:effectExtent l="0" t="0" r="0" b="0"/>
                      <wp:wrapNone/>
                      <wp:docPr id="121" name="Frame121"/>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1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center"/>
              <w:rPr/>
            </w:pPr>
            <w:r>
              <w:rPr/>
              <w:t>​</w:t>
            </w:r>
          </w:p>
        </w:tc>
        <w:tc>
          <w:tcPr>
            <w:tcW w:w="26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3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Major Goods/Service Line</w:t>
            </w:r>
          </w:p>
        </w:tc>
        <w:tc>
          <w:tcPr>
            <w:tcW w:w="326" w:type="dxa"/>
            <w:tcBorders/>
            <w:vAlign w:val="center"/>
          </w:tcPr>
          <w:p>
            <w:pPr>
              <w:pStyle w:val="TableContents"/>
              <w:bidi w:val="0"/>
              <w:spacing w:before="0" w:after="1"/>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69" w:type="dxa"/>
            <w:tcBorders/>
            <w:vAlign w:val="center"/>
          </w:tcPr>
          <w:p>
            <w:pPr>
              <w:pStyle w:val="TableContents"/>
              <w:bidi w:val="0"/>
              <w:spacing w:before="0" w:after="1"/>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0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4" w:type="dxa"/>
            <w:tcBorders/>
            <w:vAlign w:val="center"/>
          </w:tcPr>
          <w:p>
            <w:pPr>
              <w:pStyle w:val="TableContents"/>
              <w:bidi w:val="0"/>
              <w:spacing w:before="0" w:after="1"/>
              <w:ind w:left="0" w:right="0" w:hanging="0"/>
              <w:jc w:val="center"/>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46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94"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r>
      <w:tr>
        <w:trPr/>
        <w:tc>
          <w:tcPr>
            <w:tcW w:w="43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32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w:t>
            </w:r>
          </w:p>
        </w:tc>
        <w:tc>
          <w:tcPr>
            <w:tcW w:w="469"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4,330</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9,733</w:t>
            </w:r>
          </w:p>
        </w:tc>
        <w:tc>
          <w:tcPr>
            <w:tcW w:w="394"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10,640</w:t>
            </w:r>
          </w:p>
        </w:tc>
      </w:tr>
      <w:tr>
        <w:trPr/>
        <w:tc>
          <w:tcPr>
            <w:tcW w:w="4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and development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2" w:type="dxa"/>
            <w:tcBorders/>
            <w:shd w:fill="CCEEFF" w:val="clear"/>
            <w:vAlign w:val="center"/>
          </w:tcPr>
          <w:p>
            <w:pPr>
              <w:pStyle w:val="TableContents"/>
              <w:bidi w:val="0"/>
              <w:spacing w:before="0" w:after="1"/>
              <w:ind w:left="0" w:right="0" w:hanging="0"/>
              <w:jc w:val="right"/>
              <w:rPr/>
            </w:pPr>
            <w:r>
              <w:rPr/>
              <w:t>—</w:t>
            </w:r>
          </w:p>
        </w:tc>
        <w:tc>
          <w:tcPr>
            <w:tcW w:w="46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94"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9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43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hydrocarbon revenue - ethanol, isooctane, IBA</w:t>
            </w:r>
          </w:p>
        </w:tc>
        <w:tc>
          <w:tcPr>
            <w:tcW w:w="32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69"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94"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r>
      <w:tr>
        <w:trPr/>
        <w:tc>
          <w:tcPr>
            <w:tcW w:w="4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w:t>
            </w:r>
          </w:p>
        </w:tc>
        <w:tc>
          <w:tcPr>
            <w:tcW w:w="469"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4,528</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11,215</w:t>
            </w:r>
          </w:p>
        </w:tc>
        <w:tc>
          <w:tcPr>
            <w:tcW w:w="394"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12,826</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915" w:name="Tc_Zk8wbSx2qkG1yVWTSugP9Q_5_11"/>
      <w:bookmarkStart w:id="916" w:name="Tc_7qH78rw_kUupG5_A67oL8w_5_8"/>
      <w:bookmarkStart w:id="917" w:name="Tc_VfLn9M8HIEChCo8rSb8JMg_5_5"/>
      <w:bookmarkStart w:id="918" w:name="Tc_rLbahkSvKkieKsLRw2wyDg_5_2"/>
      <w:bookmarkStart w:id="919" w:name="Tc_SFiSom8Uu0-UNctHGIPCaw_5_0"/>
      <w:bookmarkStart w:id="920" w:name="Tc_VYNK-rugtkC8e78gv6LSnw_4_0"/>
      <w:bookmarkStart w:id="921" w:name="Tc_TtN0nz69IEKx5y04u2s5Tg_3_11"/>
      <w:bookmarkStart w:id="922" w:name="Tc_yMNHokpsIUSwiXWfhTaWqQ_3_8"/>
      <w:bookmarkStart w:id="923" w:name="Tc__gEX28GWckOOt1dRs5YXFA_3_5"/>
      <w:bookmarkStart w:id="924" w:name="Tc_cUxNOw7zz0CBffAdneWrJQ_3_2"/>
      <w:bookmarkStart w:id="925" w:name="Tc_4bnH82hrhEeua68BySnlew_3_0"/>
      <w:bookmarkStart w:id="926" w:name="Tc_aSiaVW6mn0S8qCHI-g4Q6Q_2_11"/>
      <w:bookmarkStart w:id="927" w:name="Tc_B8CHGaZ5f06NLXEi7tHsKw_2_8"/>
      <w:bookmarkStart w:id="928" w:name="Tc_nKQ0x2EVM0eHlksgiZJiGg_2_5"/>
      <w:bookmarkStart w:id="929" w:name="Tc_ph2kR4k9SEGBz8x1u972vQ_2_2"/>
      <w:bookmarkStart w:id="930" w:name="Tc_5sjSaGEtoU2H9Y0OLgRtnQ_1_8"/>
      <w:bookmarkStart w:id="931" w:name="Tc_GkS02fouSkCtr6z2Tw1B-Q_1_2"/>
      <w:bookmarkStart w:id="932" w:name="_c4f05e0f_83ec_4a96_899e_51c525181789"/>
      <w:bookmarkStart w:id="933" w:name="_a9338548_b010_4c5c_ba08_4c4c7ea6eeed"/>
      <w:bookmarkStart w:id="934" w:name="Tc_Zk8wbSx2qkG1yVWTSugP9Q_5_11"/>
      <w:bookmarkStart w:id="935" w:name="Tc_7qH78rw_kUupG5_A67oL8w_5_8"/>
      <w:bookmarkStart w:id="936" w:name="Tc_VfLn9M8HIEChCo8rSb8JMg_5_5"/>
      <w:bookmarkStart w:id="937" w:name="Tc_rLbahkSvKkieKsLRw2wyDg_5_2"/>
      <w:bookmarkStart w:id="938" w:name="Tc_SFiSom8Uu0-UNctHGIPCaw_5_0"/>
      <w:bookmarkStart w:id="939" w:name="Tc_VYNK-rugtkC8e78gv6LSnw_4_0"/>
      <w:bookmarkStart w:id="940" w:name="Tc_TtN0nz69IEKx5y04u2s5Tg_3_11"/>
      <w:bookmarkStart w:id="941" w:name="Tc_yMNHokpsIUSwiXWfhTaWqQ_3_8"/>
      <w:bookmarkStart w:id="942" w:name="Tc__gEX28GWckOOt1dRs5YXFA_3_5"/>
      <w:bookmarkStart w:id="943" w:name="Tc_cUxNOw7zz0CBffAdneWrJQ_3_2"/>
      <w:bookmarkStart w:id="944" w:name="Tc_4bnH82hrhEeua68BySnlew_3_0"/>
      <w:bookmarkStart w:id="945" w:name="Tc_aSiaVW6mn0S8qCHI-g4Q6Q_2_11"/>
      <w:bookmarkStart w:id="946" w:name="Tc_B8CHGaZ5f06NLXEi7tHsKw_2_8"/>
      <w:bookmarkStart w:id="947" w:name="Tc_nKQ0x2EVM0eHlksgiZJiGg_2_5"/>
      <w:bookmarkStart w:id="948" w:name="Tc_ph2kR4k9SEGBz8x1u972vQ_2_2"/>
      <w:bookmarkStart w:id="949" w:name="Tc_5sjSaGEtoU2H9Y0OLgRtnQ_1_8"/>
      <w:bookmarkStart w:id="950" w:name="Tc_GkS02fouSkCtr6z2Tw1B-Q_1_2"/>
      <w:bookmarkStart w:id="951" w:name="_c4f05e0f_83ec_4a96_899e_51c525181789"/>
      <w:bookmarkStart w:id="952" w:name="_a9338548_b010_4c5c_ba08_4c4c7ea6eeed"/>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tbl>
      <w:tblPr>
        <w:tblW w:w="2012" w:type="dxa"/>
        <w:jc w:val="left"/>
        <w:tblInd w:w="0" w:type="dxa"/>
        <w:tblLayout w:type="fixed"/>
        <w:tblCellMar>
          <w:top w:w="0" w:type="dxa"/>
          <w:left w:w="0" w:type="dxa"/>
          <w:bottom w:w="0" w:type="dxa"/>
          <w:right w:w="0" w:type="dxa"/>
        </w:tblCellMar>
      </w:tblPr>
      <w:tblGrid>
        <w:gridCol w:w="271"/>
        <w:gridCol w:w="174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7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Loss per Share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net loss per share is calculated based on the weighted average number of common shares outstanding for the period. Diluted net loss per share is calculated based on the assumption that stock options and other dilutive securities outstanding, which have an exercise price less than the average market price of the Company’s common shares during the period, would have been exercised on the later of the beginning of the period or the date granted, and that the funds obtained from the exercise were used to purchase common shares at the average market price during the period. None of the Company’s stock options or other dilutive securities are considered to be dilutive in periods with net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effect of the Company’s dilutive securities is calculated using the treasury stock method and only those instruments that result in a reduction in net income per common share are included in the calculation. Diluted net loss per share excluded common stock equivalents because the effect of their inclusion would be anti-dilutive or would decrease the reported net loss per share. Therefore an insignificant amount of dilutive common stock equivalents have been excluded for each of the three and nine months ended September 30, 2024, and 2023, as the Company is in a net loss position. See Notes 13 and 17 for all outstanding options and warrants that were not included in the computation of diluted weighted average common shares outstanding, as the exercise price of the options and warrants exceeded the average price of the Company’s common stock during the reporting period, and therefore are anti-dilutive.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and diluted net loss per share is calculated as follows (net loss in thousands):</w:t>
      </w:r>
    </w:p>
    <w:tbl>
      <w:tblPr>
        <w:tblW w:w="10156" w:type="dxa"/>
        <w:jc w:val="left"/>
        <w:tblInd w:w="0" w:type="dxa"/>
        <w:tblLayout w:type="fixed"/>
        <w:tblCellMar>
          <w:top w:w="0" w:type="dxa"/>
          <w:left w:w="0" w:type="dxa"/>
          <w:bottom w:w="0" w:type="dxa"/>
          <w:right w:w="0" w:type="dxa"/>
        </w:tblCellMar>
      </w:tblPr>
      <w:tblGrid>
        <w:gridCol w:w="3616"/>
        <w:gridCol w:w="326"/>
        <w:gridCol w:w="211"/>
        <w:gridCol w:w="1141"/>
        <w:gridCol w:w="326"/>
        <w:gridCol w:w="211"/>
        <w:gridCol w:w="1141"/>
        <w:gridCol w:w="109"/>
        <w:gridCol w:w="211"/>
        <w:gridCol w:w="1141"/>
        <w:gridCol w:w="326"/>
        <w:gridCol w:w="211"/>
        <w:gridCol w:w="1186"/>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96160" cy="175260"/>
                      <wp:effectExtent l="0" t="0" r="0" b="0"/>
                      <wp:wrapNone/>
                      <wp:docPr id="122" name="Frame122"/>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724535" cy="175260"/>
                      <wp:effectExtent l="0" t="0" r="0" b="0"/>
                      <wp:wrapNone/>
                      <wp:docPr id="125" name="Frame12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24535" cy="175260"/>
                      <wp:effectExtent l="0" t="0" r="0" b="0"/>
                      <wp:wrapNone/>
                      <wp:docPr id="128" name="Frame12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24535" cy="175260"/>
                      <wp:effectExtent l="0" t="0" r="0" b="0"/>
                      <wp:wrapNone/>
                      <wp:docPr id="131" name="Frame13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53110" cy="175260"/>
                      <wp:effectExtent l="0" t="0" r="0" b="0"/>
                      <wp:wrapNone/>
                      <wp:docPr id="134" name="Frame13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center"/>
              <w:rPr/>
            </w:pPr>
            <w:r>
              <w:rPr/>
              <w:t>​</w:t>
            </w:r>
          </w:p>
        </w:tc>
        <w:tc>
          <w:tcPr>
            <w:tcW w:w="30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(47,738)</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weighted-average shares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239,445,900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239,537,811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239,767,047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238,100,986</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1742" w:type="dxa"/>
        <w:jc w:val="left"/>
        <w:tblInd w:w="0" w:type="dxa"/>
        <w:tblLayout w:type="fixed"/>
        <w:tblCellMar>
          <w:top w:w="0" w:type="dxa"/>
          <w:left w:w="0" w:type="dxa"/>
          <w:bottom w:w="0" w:type="dxa"/>
          <w:right w:w="0" w:type="dxa"/>
        </w:tblCellMar>
      </w:tblPr>
      <w:tblGrid>
        <w:gridCol w:w="271"/>
        <w:gridCol w:w="14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14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Cash</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2024, current and non-current restricted cash of $69.6 million consists of amounts held as collateral for letters of credit to provide financing support for the Company’s 2021 Bonds (as defined in Note 12,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entered into an irrevocable direct pay letter of credit (the “Bond Letter of Credit”) with Citibank N.A (“Citibank”) in April 2021, to support the 2021 Bonds for the development and construction of NW Iowa RNG. See Note 12, Debt, for additional information on the 2021 Bonds. The Bond Letter of Credit has a 0.5% annual fee and would have expired April 4, 2024 (but was terminated earlier and replaced with the New Bond Letter of Credit on April 1, 2024, as described below). The Company deposited $71.2 million with Citibank as restricted cash to secure any amounts drawn under the Bond Letter of Credit. In April 2024, Citibank closed the Bond Letter of Credit in connection with the Remarketed Bonds, see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September 2022, the Company entered into a Pledge and Assignment agreement with Citibank to provide credit support in the form of a letter of credit (the “Power Letter of Credit”) from Citibank to a local electric utility company in order to induce the utility company to design and construct the power transmission and distribution facilities that will serve NZ1. The Company deposited $6.6 million of restricted cash in an account with Citibank to collateralize the Power Letter of Credit, which had a 0.3% annual fee and an expiration date of September 30, 2024 (unless terminated earlier). In January 2024, Citibank was notified by the local electric utility company to close the letter of credit, as the Company has discontinued its relationship with the local utility and fulfilled all obligations under the Power Letter of Credit.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2024, the Company entered into an irrevocable direct pay letter of credit (the “New Bond Letter of Credit”) with Citibank to support the Remarketed Bonds (as defined in Note 12, Debt). See Note 12, Debt, for additional information on the Remarketed Bonds. The New Bond Letter of Credit has a 0.75% annual fee and expires April 6, 2026 (unless terminated earlier). The Company maintained $69.6 million of the existing collateral with Citibank as restricted cash to secure any amounts drawn under the New Bond Letter of Credit, with $0.3 million of the balance as of March 31, 2024, returned to the Company in the second quarter of 2024. As of September 30, 2024, no amounts have been drawn under the New Bond Letter of Credit.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entitled to receive interest income on the restricted cash, and recorded interest income of $0.9 million, $2.7 million, $0.9 million, and $2.5 million for the three and nine months ended September 30, 2024 and 2023, respectively, included in “Other income (expense), net” in the Consolidated Statements of Operations.</w:t>
      </w:r>
    </w:p>
    <w:p>
      <w:pPr>
        <w:pStyle w:val="Normal"/>
        <w:bidi w:val="0"/>
        <w:spacing w:before="0" w:after="0"/>
        <w:jc w:val="left"/>
        <w:rPr>
          <w:sz w:val="4"/>
          <w:szCs w:val="4"/>
        </w:rPr>
      </w:pPr>
      <w:r>
        <w:rPr>
          <w:sz w:val="4"/>
          <w:szCs w:val="4"/>
        </w:rPr>
      </w:r>
      <w:bookmarkStart w:id="953" w:name="Tc_gJRzQEvIQ0mzHTZ8u17xcQ_6_5"/>
      <w:bookmarkStart w:id="954" w:name="Tc_hN1TnRVeIEaSnWgjpgmkYQ_6_2"/>
      <w:bookmarkStart w:id="955" w:name="Tc_x_U_08C8fUGQyAHyqYZTXA_6_0"/>
      <w:bookmarkStart w:id="956" w:name="Tc_T8De_KHLC0mXpV0PP1Kn6w_5_0"/>
      <w:bookmarkStart w:id="957" w:name="Tc_EPOcPLSSM0qQ2rxJ3QhDJA_4_0"/>
      <w:bookmarkStart w:id="958" w:name="Tc_dLolVq-Z9UixNc-xC9We9Q_3_0"/>
      <w:bookmarkStart w:id="959" w:name="Tc_q9Ay0QtosECw_vmf5Y7nuw_2_5"/>
      <w:bookmarkStart w:id="960" w:name="Tc_LCKNVzQs30a1x-hUqNpD2Q_2_2"/>
      <w:bookmarkStart w:id="961" w:name="Tc_9lxKgexj_0ezIODCm6b0jA_2_0"/>
      <w:bookmarkStart w:id="962" w:name="Tc_zjjRd0y-Wki3BHVkrVIhsA_1_5"/>
      <w:bookmarkStart w:id="963" w:name="Tc_fVF9gsX4yE-jispzL3qV9w_1_2"/>
      <w:bookmarkStart w:id="964" w:name="_6fb8556f_31c7_4c47_b4ca_86220d3ecdf7"/>
      <w:bookmarkStart w:id="965" w:name="Tc_gJRzQEvIQ0mzHTZ8u17xcQ_6_5"/>
      <w:bookmarkStart w:id="966" w:name="Tc_hN1TnRVeIEaSnWgjpgmkYQ_6_2"/>
      <w:bookmarkStart w:id="967" w:name="Tc_x_U_08C8fUGQyAHyqYZTXA_6_0"/>
      <w:bookmarkStart w:id="968" w:name="Tc_T8De_KHLC0mXpV0PP1Kn6w_5_0"/>
      <w:bookmarkStart w:id="969" w:name="Tc_EPOcPLSSM0qQ2rxJ3QhDJA_4_0"/>
      <w:bookmarkStart w:id="970" w:name="Tc_dLolVq-Z9UixNc-xC9We9Q_3_0"/>
      <w:bookmarkStart w:id="971" w:name="Tc_q9Ay0QtosECw_vmf5Y7nuw_2_5"/>
      <w:bookmarkStart w:id="972" w:name="Tc_LCKNVzQs30a1x-hUqNpD2Q_2_2"/>
      <w:bookmarkStart w:id="973" w:name="Tc_9lxKgexj_0ezIODCm6b0jA_2_0"/>
      <w:bookmarkStart w:id="974" w:name="Tc_zjjRd0y-Wki3BHVkrVIhsA_1_5"/>
      <w:bookmarkStart w:id="975" w:name="Tc_fVF9gsX4yE-jispzL3qV9w_1_2"/>
      <w:bookmarkStart w:id="976" w:name="_6fb8556f_31c7_4c47_b4ca_86220d3ecdf7"/>
      <w:bookmarkEnd w:id="965"/>
      <w:bookmarkEnd w:id="966"/>
      <w:bookmarkEnd w:id="967"/>
      <w:bookmarkEnd w:id="968"/>
      <w:bookmarkEnd w:id="969"/>
      <w:bookmarkEnd w:id="970"/>
      <w:bookmarkEnd w:id="971"/>
      <w:bookmarkEnd w:id="972"/>
      <w:bookmarkEnd w:id="973"/>
      <w:bookmarkEnd w:id="974"/>
      <w:bookmarkEnd w:id="975"/>
      <w:bookmarkEnd w:id="976"/>
    </w:p>
    <w:tbl>
      <w:tblPr>
        <w:tblW w:w="4097" w:type="dxa"/>
        <w:jc w:val="left"/>
        <w:tblInd w:w="0" w:type="dxa"/>
        <w:tblLayout w:type="fixed"/>
        <w:tblCellMar>
          <w:top w:w="0" w:type="dxa"/>
          <w:left w:w="0" w:type="dxa"/>
          <w:bottom w:w="0" w:type="dxa"/>
          <w:right w:w="0" w:type="dxa"/>
        </w:tblCellMar>
      </w:tblPr>
      <w:tblGrid>
        <w:gridCol w:w="271"/>
        <w:gridCol w:w="382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38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Prepaid Expenses and Other Current Assets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prepaid and other current assets (in thousands) as of:</w:t>
      </w:r>
    </w:p>
    <w:tbl>
      <w:tblPr>
        <w:tblW w:w="7458" w:type="dxa"/>
        <w:jc w:val="left"/>
        <w:tblInd w:w="0" w:type="dxa"/>
        <w:tblLayout w:type="fixed"/>
        <w:tblCellMar>
          <w:top w:w="0" w:type="dxa"/>
          <w:left w:w="0" w:type="dxa"/>
          <w:bottom w:w="0" w:type="dxa"/>
          <w:right w:w="0" w:type="dxa"/>
        </w:tblCellMar>
      </w:tblPr>
      <w:tblGrid>
        <w:gridCol w:w="3931"/>
        <w:gridCol w:w="109"/>
        <w:gridCol w:w="417"/>
        <w:gridCol w:w="1129"/>
        <w:gridCol w:w="326"/>
        <w:gridCol w:w="363"/>
        <w:gridCol w:w="1183"/>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496185" cy="175260"/>
                      <wp:effectExtent l="0" t="0" r="0" b="0"/>
                      <wp:wrapNone/>
                      <wp:docPr id="135" name="Frame135"/>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64795" cy="175260"/>
                      <wp:effectExtent l="0" t="0" r="0" b="0"/>
                      <wp:wrapNone/>
                      <wp:docPr id="137" name="Frame137"/>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16915" cy="175260"/>
                      <wp:effectExtent l="0" t="0" r="0" b="0"/>
                      <wp:wrapNone/>
                      <wp:docPr id="138" name="Frame138"/>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30505" cy="175260"/>
                      <wp:effectExtent l="0" t="0" r="0" b="0"/>
                      <wp:wrapNone/>
                      <wp:docPr id="140" name="Frame140"/>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51205" cy="175260"/>
                      <wp:effectExtent l="0" t="0" r="0" b="0"/>
                      <wp:wrapNone/>
                      <wp:docPr id="141" name="Frame141"/>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109"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109"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 </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c>
          <w:tcPr>
            <w:tcW w:w="32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feedstock</w:t>
            </w:r>
          </w:p>
        </w:tc>
        <w:tc>
          <w:tcPr>
            <w:tcW w:w="109"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 </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09" w:type="dxa"/>
            <w:tcBorders/>
            <w:vAlign w:val="center"/>
          </w:tcPr>
          <w:p>
            <w:pPr>
              <w:pStyle w:val="TableContents"/>
              <w:bidi w:val="0"/>
              <w:spacing w:before="0" w:after="1"/>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w:t>
            </w:r>
          </w:p>
        </w:tc>
        <w:tc>
          <w:tcPr>
            <w:tcW w:w="326" w:type="dxa"/>
            <w:tcBorders/>
            <w:vAlign w:val="center"/>
          </w:tcPr>
          <w:p>
            <w:pPr>
              <w:pStyle w:val="TableContents"/>
              <w:bidi w:val="0"/>
              <w:spacing w:before="0" w:after="1"/>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4,659</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4,353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4652" w:type="dxa"/>
        <w:jc w:val="left"/>
        <w:tblInd w:w="0" w:type="dxa"/>
        <w:tblLayout w:type="fixed"/>
        <w:tblCellMar>
          <w:top w:w="0" w:type="dxa"/>
          <w:left w:w="0" w:type="dxa"/>
          <w:bottom w:w="0" w:type="dxa"/>
          <w:right w:w="0" w:type="dxa"/>
        </w:tblCellMar>
      </w:tblPr>
      <w:tblGrid>
        <w:gridCol w:w="271"/>
        <w:gridCol w:w="438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43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Leases, Right-of-Use Assets and Related Liabilities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party to an operating lease for the Company’s office and research facility in Englewood, Colorado, which expires in January 2029, and two operating leases for additional office space in Albuquerque, New Mexico, and San Diego, California, which expire in 2025. The Company’s office facility lease contains an option to extend the lease, which management does not reasonably expect to exercise, so they are not included in the length of the terms. The additional office space leases do not contain options to extend.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four finance leases for land, one for a processing facility, and one for a piece of operating equipment. The land leases are for NW Iowa RNG. The Company leases land from dairy farmers on which it has built three anaerobic digesters, and a gas upgrade facility to condition raw biogas from cow manure provided by the farmers. These leases expire at various dates between 2031 and 2050</w:t>
      </w:r>
      <w:r>
        <w:rPr>
          <w:rFonts w:ascii="Times New Roman;Times;serif" w:hAnsi="Times New Roman;Times;serif"/>
          <w:i/>
          <w:sz w:val="20"/>
        </w:rPr>
        <w:t>.</w:t>
      </w:r>
      <w:r>
        <w:rPr>
          <w:rFonts w:ascii="Times New Roman;Times;serif" w:hAnsi="Times New Roman;Times;serif"/>
          <w:sz w:val="20"/>
        </w:rPr>
        <w:t xml:space="preserve"> The Company accounts for lease components separately from non-lease components for the Company’s dairy lease asset class. The total consideration in the lease agreement is allocated to the lease and non-lease components based on their relative standalone selling prices. These leases contain options to extend the leases, which management reasonably expects to exercise, and so are included in the length of the terms. The lease of operating equipment is to be used at NW Iowa RNG, and expires in 2025. The lease does not contain an option to extend, and contains a purchase option upon termination that the Company expects to exercise.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2024, the Company entered into an amendment that extended the term of an existing agreement to use a third-party processing facility beyond the previous 12 month term, which resulted in the agreement being recorded as a lease. The agreement for the leased facility expires in 2025, with no option to extend the lease term. Lease amortization for the third-party processing facility was recorded as a component of Project development costs on the Condensed Consolidated Statement of Operations prior to the signing of a customer offtake agreement in August 2024, and after which it is included as a component of work-in-progress inventory, to be expended as a component of Cost of production as sales are made in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977" w:name="Tc_eGvsO1UB90-kNDKujOwIVw_12_5"/>
      <w:bookmarkStart w:id="978" w:name="Tc_imH12Dl5o0ugnwq25PdGPQ_12_2"/>
      <w:bookmarkStart w:id="979" w:name="Tc_bp_1ObmxNEi5v7lyviZ2AA_12_0"/>
      <w:bookmarkStart w:id="980" w:name="Tc_lSybo0me5UG0XGK_m8aK8A_11_0"/>
      <w:bookmarkStart w:id="981" w:name="Tc_SPUWKVtxJEWEfGWYPQRNlw_10_0"/>
      <w:bookmarkStart w:id="982" w:name="Tc_Feb9h4tvqUKRAR9c7HLfgA_9_0"/>
      <w:bookmarkStart w:id="983" w:name="Tc_M_1VqLeyG0aEmQed0TKl1A_8_0"/>
      <w:bookmarkStart w:id="984" w:name="Tc_FU0vxa685kOihDoG8m5Wjw_7_3"/>
      <w:bookmarkStart w:id="985" w:name="Tc_a2UTrBOj50aL9AJrZXwyZA_7_0"/>
      <w:bookmarkStart w:id="986" w:name="Tc_mzxKyv3YuUux7egh9qQPXw_6_0"/>
      <w:bookmarkStart w:id="987" w:name="Tc_fItTE9_lL0y4C6cXUDfqqA_5_0"/>
      <w:bookmarkStart w:id="988" w:name="Tc_8OzRvmKMaEOCviceHpNJfA_4_0"/>
      <w:bookmarkStart w:id="989" w:name="Tc_YcSyWueEg0GJVICgHsjpXg_3_0"/>
      <w:bookmarkStart w:id="990" w:name="Tc_YZAgLn9z3km5NjLbliFSew_2_5"/>
      <w:bookmarkStart w:id="991" w:name="Tc_NhO2-r1sWka1Frm3EtUuRg_2_2"/>
      <w:bookmarkStart w:id="992" w:name="Tc__FV2CSdlaEussBfcvNzTmg_2_0"/>
      <w:bookmarkStart w:id="993" w:name="Tc_SVIrBjMA6UiU-gc6WzxPTQ_1_5"/>
      <w:bookmarkStart w:id="994" w:name="Tc_A0HqlOTmq0aZ5_R7IG-_Rg_1_2"/>
      <w:bookmarkStart w:id="995" w:name="Tc_p3QZEy8FskOZ-P-oK2sXtw_1_0"/>
      <w:bookmarkStart w:id="996" w:name="Tc_oLcJHS6ygkGeBwbxz7MJ6g_13_7"/>
      <w:bookmarkStart w:id="997" w:name="Tc_tJb18Fjpw0OHqi6oF6gKKQ_13_4"/>
      <w:bookmarkStart w:id="998" w:name="Tc_2nVTMaKtbUW-MrRFSkrC-g_13_0"/>
      <w:bookmarkStart w:id="999" w:name="Tc_Gh1c7o0Go06gWPr_F8lMuQ_12_7"/>
      <w:bookmarkStart w:id="1000" w:name="Tc_0TVV3U62CUqrFMG0d_8egA_12_4"/>
      <w:bookmarkStart w:id="1001" w:name="Tc_ll17VAmv8Ui_CIQdXeyXoA_12_0"/>
      <w:bookmarkStart w:id="1002" w:name="Tc_27Mw9TTPyUS6l9a7VcoY-w_11_0"/>
      <w:bookmarkStart w:id="1003" w:name="Tc_7gRrfHtjKUGGOc2x3xRQ8w_10_0"/>
      <w:bookmarkStart w:id="1004" w:name="Tc_4Nbr_VHuvE6DdxzcqlA-Ww_9_5"/>
      <w:bookmarkStart w:id="1005" w:name="Tc_iG6ZZCg1CEWw4_l7YIaCWQ_9_2"/>
      <w:bookmarkStart w:id="1006" w:name="Tc_OpfbuTipvUKIia9Fv6cc-Q_9_0"/>
      <w:bookmarkStart w:id="1007" w:name="Tc_EATD2dD5m0WmVfN4-H_MOQ_8_5"/>
      <w:bookmarkStart w:id="1008" w:name="Tc_5W0_eBdrU0mlR9fL7-AQjw_8_2"/>
      <w:bookmarkStart w:id="1009" w:name="Tc_wr2olfz4iUSluq4FTk51LQ_8_0"/>
      <w:bookmarkStart w:id="1010" w:name="Tc_kpcHldj8O0u3v_be2igI3w_7_5"/>
      <w:bookmarkStart w:id="1011" w:name="Tc_EPny0rRzcUO3NhXUW9llbg_7_2"/>
      <w:bookmarkStart w:id="1012" w:name="Tc_ZSlXtydtekSrAcIC6skQaw_7_0"/>
      <w:bookmarkStart w:id="1013" w:name="Tc_G_qosJzeOUuX1-IHVGtymQ_6_5"/>
      <w:bookmarkStart w:id="1014" w:name="Tc_sR-i8K4QqUmGWXkBZsa7mQ_6_2"/>
      <w:bookmarkStart w:id="1015" w:name="Tc_17zCfCVaIEGy7RkpN0R0EQ_6_0"/>
      <w:bookmarkStart w:id="1016" w:name="Tc_CyxVWZ5PvE6ioZwMdmjQPg_5_5"/>
      <w:bookmarkStart w:id="1017" w:name="Tc_chyEPoEJ5E-6XVwQxczewQ_5_2"/>
      <w:bookmarkStart w:id="1018" w:name="Tc_7jHZoWWV5EGKwVZJ7JCEtA_5_0"/>
      <w:bookmarkStart w:id="1019" w:name="Tc_1nJoG5nBs0a8kTMscUzilw_4_0"/>
      <w:bookmarkStart w:id="1020" w:name="Tc_q3ag_sUankuHF3_6kNiThQ_3_0"/>
      <w:bookmarkStart w:id="1021" w:name="Tc_uVb60OwSAEGyD0WN9NKBAQ_2_5"/>
      <w:bookmarkStart w:id="1022" w:name="Tc_r6EkDV5EW0ego0fN4eGTqQ_2_2"/>
      <w:bookmarkStart w:id="1023" w:name="Tc_EYL2H3j60k-r3VFxfDRUxw_1_2"/>
      <w:bookmarkStart w:id="1024" w:name="_fafa6307_760a_4868_a239_e430cb9c5c58"/>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r>
        <w:rPr>
          <w:rFonts w:ascii="Times New Roman;Times;serif" w:hAnsi="Times New Roman;Times;serif"/>
          <w:sz w:val="20"/>
        </w:rPr>
        <w:t>The following tables present the (i) other quantitative information and (ii) future minimum payments under non-cancelable financing and operating leases as they relate to the Company’s leases (in thousands, except for weighted averages):</w:t>
      </w:r>
    </w:p>
    <w:tbl>
      <w:tblPr>
        <w:tblW w:w="9401" w:type="dxa"/>
        <w:jc w:val="left"/>
        <w:tblInd w:w="0" w:type="dxa"/>
        <w:tblLayout w:type="fixed"/>
        <w:tblCellMar>
          <w:top w:w="0" w:type="dxa"/>
          <w:left w:w="0" w:type="dxa"/>
          <w:bottom w:w="0" w:type="dxa"/>
          <w:right w:w="0" w:type="dxa"/>
        </w:tblCellMar>
      </w:tblPr>
      <w:tblGrid>
        <w:gridCol w:w="6121"/>
        <w:gridCol w:w="326"/>
        <w:gridCol w:w="313"/>
        <w:gridCol w:w="849"/>
        <w:gridCol w:w="537"/>
        <w:gridCol w:w="313"/>
        <w:gridCol w:w="626"/>
        <w:gridCol w:w="316"/>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886835" cy="175260"/>
                      <wp:effectExtent l="0" t="0" r="0" b="0"/>
                      <wp:wrapNone/>
                      <wp:docPr id="142" name="Frame142"/>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98755" cy="175260"/>
                      <wp:effectExtent l="0" t="0" r="0" b="0"/>
                      <wp:wrapNone/>
                      <wp:docPr id="144" name="Frame144"/>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39115" cy="175260"/>
                      <wp:effectExtent l="0" t="0" r="0" b="0"/>
                      <wp:wrapNone/>
                      <wp:docPr id="145" name="Frame145"/>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40995" cy="175260"/>
                      <wp:effectExtent l="0" t="0" r="0" b="0"/>
                      <wp:wrapNone/>
                      <wp:docPr id="146" name="Frame146"/>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98755" cy="175260"/>
                      <wp:effectExtent l="0" t="0" r="0" b="0"/>
                      <wp:wrapNone/>
                      <wp:docPr id="147" name="Frame147"/>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97510" cy="175260"/>
                      <wp:effectExtent l="0" t="0" r="0" b="0"/>
                      <wp:wrapNone/>
                      <wp:docPr id="148" name="Frame148"/>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0660" cy="175260"/>
                      <wp:effectExtent l="0" t="0" r="0" b="0"/>
                      <wp:wrapNone/>
                      <wp:docPr id="149" name="Frame1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37" w:type="dxa"/>
            <w:tcBorders/>
            <w:vAlign w:val="center"/>
          </w:tcPr>
          <w:p>
            <w:pPr>
              <w:pStyle w:val="TableContents"/>
              <w:bidi w:val="0"/>
              <w:spacing w:before="0" w:after="1"/>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326" w:type="dxa"/>
            <w:tcBorders/>
            <w:shd w:fill="CCEEFF" w:val="clear"/>
            <w:vAlign w:val="center"/>
          </w:tcPr>
          <w:p>
            <w:pPr>
              <w:pStyle w:val="TableContents"/>
              <w:bidi w:val="0"/>
              <w:spacing w:before="0" w:after="1"/>
              <w:ind w:left="0" w:right="0" w:hanging="0"/>
              <w:jc w:val="left"/>
              <w:rPr/>
            </w:pPr>
            <w:r>
              <w:rPr/>
              <w:t> </w:t>
            </w:r>
          </w:p>
        </w:tc>
        <w:tc>
          <w:tcPr>
            <w:tcW w:w="313"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  </w:t>
            </w:r>
          </w:p>
        </w:tc>
        <w:tc>
          <w:tcPr>
            <w:tcW w:w="537" w:type="dxa"/>
            <w:tcBorders/>
            <w:shd w:fill="CCEEFF" w:val="clear"/>
            <w:vAlign w:val="center"/>
          </w:tcPr>
          <w:p>
            <w:pPr>
              <w:pStyle w:val="TableContents"/>
              <w:bidi w:val="0"/>
              <w:spacing w:before="0" w:after="1"/>
              <w:ind w:left="0" w:right="0" w:hanging="0"/>
              <w:jc w:val="left"/>
              <w:rPr/>
            </w:pPr>
            <w:r>
              <w:rPr/>
              <w:t> </w:t>
            </w:r>
          </w:p>
        </w:tc>
        <w:tc>
          <w:tcPr>
            <w:tcW w:w="313"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vAlign w:val="center"/>
          </w:tcPr>
          <w:p>
            <w:pPr>
              <w:pStyle w:val="TableContents"/>
              <w:bidi w:val="0"/>
              <w:spacing w:before="0" w:after="1"/>
              <w:ind w:left="0" w:right="0" w:hanging="0"/>
              <w:jc w:val="left"/>
              <w:rPr/>
            </w:pPr>
            <w:r>
              <w:rPr/>
              <w:t> </w:t>
            </w:r>
          </w:p>
        </w:tc>
        <w:tc>
          <w:tcPr>
            <w:tcW w:w="313"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  </w:t>
            </w:r>
          </w:p>
        </w:tc>
        <w:tc>
          <w:tcPr>
            <w:tcW w:w="537" w:type="dxa"/>
            <w:tcBorders/>
            <w:vAlign w:val="center"/>
          </w:tcPr>
          <w:p>
            <w:pPr>
              <w:pStyle w:val="TableContents"/>
              <w:bidi w:val="0"/>
              <w:spacing w:before="0" w:after="1"/>
              <w:ind w:left="0" w:right="0" w:hanging="0"/>
              <w:jc w:val="left"/>
              <w:rPr/>
            </w:pPr>
            <w:r>
              <w:rPr/>
              <w:t> </w:t>
            </w:r>
          </w:p>
        </w:tc>
        <w:tc>
          <w:tcPr>
            <w:tcW w:w="313"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537"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537"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537"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finance lease liabilities</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2,731</w:t>
            </w:r>
          </w:p>
        </w:tc>
        <w:tc>
          <w:tcPr>
            <w:tcW w:w="537"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537"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finance lease (months)</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537"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operating leases (months)</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537"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finance leases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5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13"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operating leases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5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13"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tc>
      </w:tr>
    </w:tbl>
    <w:p>
      <w:pPr>
        <w:pStyle w:val="TextBody"/>
        <w:bidi w:val="0"/>
        <w:spacing w:before="0" w:after="0"/>
        <w:ind w:left="0" w:right="0" w:hanging="0"/>
        <w:jc w:val="left"/>
        <w:rPr/>
      </w:pPr>
      <w:r>
        <w:rPr/>
        <w:t>​</w:t>
      </w:r>
    </w:p>
    <w:tbl>
      <w:tblPr>
        <w:tblW w:w="7523" w:type="dxa"/>
        <w:jc w:val="left"/>
        <w:tblInd w:w="0" w:type="dxa"/>
        <w:tblLayout w:type="fixed"/>
        <w:tblCellMar>
          <w:top w:w="0" w:type="dxa"/>
          <w:left w:w="0" w:type="dxa"/>
          <w:bottom w:w="0" w:type="dxa"/>
          <w:right w:w="0" w:type="dxa"/>
        </w:tblCellMar>
      </w:tblPr>
      <w:tblGrid>
        <w:gridCol w:w="4276"/>
        <w:gridCol w:w="326"/>
        <w:gridCol w:w="367"/>
        <w:gridCol w:w="998"/>
        <w:gridCol w:w="326"/>
        <w:gridCol w:w="314"/>
        <w:gridCol w:w="91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715260" cy="175260"/>
                      <wp:effectExtent l="0" t="0" r="0" b="0"/>
                      <wp:wrapNone/>
                      <wp:docPr id="150" name="Frame150"/>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33045" cy="175260"/>
                      <wp:effectExtent l="0" t="0" r="0" b="0"/>
                      <wp:wrapNone/>
                      <wp:docPr id="152" name="Frame15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33730" cy="175260"/>
                      <wp:effectExtent l="0" t="0" r="0" b="0"/>
                      <wp:wrapNone/>
                      <wp:docPr id="153" name="Frame153"/>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99390" cy="175260"/>
                      <wp:effectExtent l="0" t="0" r="0" b="0"/>
                      <wp:wrapNone/>
                      <wp:docPr id="155" name="Frame15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81660" cy="175260"/>
                      <wp:effectExtent l="0" t="0" r="0" b="0"/>
                      <wp:wrapNone/>
                      <wp:docPr id="156" name="Frame15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0"/>
              <w:ind w:left="0" w:right="0" w:hanging="0"/>
              <w:jc w:val="center"/>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 Leases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(remaining)</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3,181</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representing present value discounts</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025" w:name="Tc_hsDwyxG8wUqQAvr62M3EWg_9_5"/>
      <w:bookmarkStart w:id="1026" w:name="Tc_qLX4gL5ofE2eS-4LBd16-A_9_2"/>
      <w:bookmarkStart w:id="1027" w:name="Tc_tNc8WukOvEiS867MEyBMJA_9_0"/>
      <w:bookmarkStart w:id="1028" w:name="Tc_N2rB4r1iQkK-hFJogWmisg_8_0"/>
      <w:bookmarkStart w:id="1029" w:name="Tc_7QAeHoRKTU2yK8UAunW5yw_7_6"/>
      <w:bookmarkStart w:id="1030" w:name="Tc_mVLzExwLdUuAI_s_1dPJuA_7_0"/>
      <w:bookmarkStart w:id="1031" w:name="Tc_t5-ac49nWEGQcQQ_Cqot7w_6_0"/>
      <w:bookmarkStart w:id="1032" w:name="Tc_vGlvrX4qF0eS-maP-vDZTw_5_0"/>
      <w:bookmarkStart w:id="1033" w:name="Tc_TvHvNr3rBUu0XcIGJhH0oQ_4_0"/>
      <w:bookmarkStart w:id="1034" w:name="Tc_u8knj3L8HE6Mit-FyZt7oQ_3_0"/>
      <w:bookmarkStart w:id="1035" w:name="Tc_3rp1-BijIkS5Gt2Lbnd5Vw_2_5"/>
      <w:bookmarkStart w:id="1036" w:name="Tc_1a443PDu90OAgcKFDZ_9nQ_2_2"/>
      <w:bookmarkStart w:id="1037" w:name="Tc_CCfuRZpZvUCqZpZgnSBecg_2_0"/>
      <w:bookmarkStart w:id="1038" w:name="Tc_VxB24rskrUird8DPxI02_Q_1_5"/>
      <w:bookmarkStart w:id="1039" w:name="Tc_ULyqAcw220O5WS3X6VwCqA_1_2"/>
      <w:bookmarkStart w:id="1040" w:name="_2e0ed70a_f699_48c0_9530_ab44c79c5143"/>
      <w:bookmarkStart w:id="1041" w:name="Tc_hsDwyxG8wUqQAvr62M3EWg_9_5"/>
      <w:bookmarkStart w:id="1042" w:name="Tc_qLX4gL5ofE2eS-4LBd16-A_9_2"/>
      <w:bookmarkStart w:id="1043" w:name="Tc_tNc8WukOvEiS867MEyBMJA_9_0"/>
      <w:bookmarkStart w:id="1044" w:name="Tc_N2rB4r1iQkK-hFJogWmisg_8_0"/>
      <w:bookmarkStart w:id="1045" w:name="Tc_7QAeHoRKTU2yK8UAunW5yw_7_6"/>
      <w:bookmarkStart w:id="1046" w:name="Tc_mVLzExwLdUuAI_s_1dPJuA_7_0"/>
      <w:bookmarkStart w:id="1047" w:name="Tc_t5-ac49nWEGQcQQ_Cqot7w_6_0"/>
      <w:bookmarkStart w:id="1048" w:name="Tc_vGlvrX4qF0eS-maP-vDZTw_5_0"/>
      <w:bookmarkStart w:id="1049" w:name="Tc_TvHvNr3rBUu0XcIGJhH0oQ_4_0"/>
      <w:bookmarkStart w:id="1050" w:name="Tc_u8knj3L8HE6Mit-FyZt7oQ_3_0"/>
      <w:bookmarkStart w:id="1051" w:name="Tc_3rp1-BijIkS5Gt2Lbnd5Vw_2_5"/>
      <w:bookmarkStart w:id="1052" w:name="Tc_1a443PDu90OAgcKFDZ_9nQ_2_2"/>
      <w:bookmarkStart w:id="1053" w:name="Tc_CCfuRZpZvUCqZpZgnSBecg_2_0"/>
      <w:bookmarkStart w:id="1054" w:name="Tc_VxB24rskrUird8DPxI02_Q_1_5"/>
      <w:bookmarkStart w:id="1055" w:name="Tc_ULyqAcw220O5WS3X6VwCqA_1_2"/>
      <w:bookmarkStart w:id="1056" w:name="_2e0ed70a_f699_48c0_9530_ab44c79c5143"/>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p>
    <w:tbl>
      <w:tblPr>
        <w:tblW w:w="1382" w:type="dxa"/>
        <w:jc w:val="left"/>
        <w:tblInd w:w="0" w:type="dxa"/>
        <w:tblLayout w:type="fixed"/>
        <w:tblCellMar>
          <w:top w:w="0" w:type="dxa"/>
          <w:left w:w="0" w:type="dxa"/>
          <w:bottom w:w="0" w:type="dxa"/>
          <w:right w:w="0" w:type="dxa"/>
        </w:tblCellMar>
      </w:tblPr>
      <w:tblGrid>
        <w:gridCol w:w="271"/>
        <w:gridCol w:w="11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11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inventory balances (in thousands) as of:</w:t>
      </w:r>
    </w:p>
    <w:tbl>
      <w:tblPr>
        <w:tblW w:w="5710" w:type="dxa"/>
        <w:jc w:val="left"/>
        <w:tblInd w:w="0" w:type="dxa"/>
        <w:tblLayout w:type="fixed"/>
        <w:tblCellMar>
          <w:top w:w="0" w:type="dxa"/>
          <w:left w:w="0" w:type="dxa"/>
          <w:bottom w:w="0" w:type="dxa"/>
          <w:right w:w="0" w:type="dxa"/>
        </w:tblCellMar>
      </w:tblPr>
      <w:tblGrid>
        <w:gridCol w:w="2146"/>
        <w:gridCol w:w="146"/>
        <w:gridCol w:w="417"/>
        <w:gridCol w:w="1129"/>
        <w:gridCol w:w="326"/>
        <w:gridCol w:w="363"/>
        <w:gridCol w:w="1183"/>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62710" cy="175260"/>
                      <wp:effectExtent l="0" t="0" r="0" b="0"/>
                      <wp:wrapNone/>
                      <wp:docPr id="157" name="Frame157"/>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92710" cy="175260"/>
                      <wp:effectExtent l="0" t="0" r="0" b="0"/>
                      <wp:wrapNone/>
                      <wp:docPr id="158" name="Frame15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64795" cy="175260"/>
                      <wp:effectExtent l="0" t="0" r="0" b="0"/>
                      <wp:wrapNone/>
                      <wp:docPr id="159" name="Frame159"/>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16915" cy="175260"/>
                      <wp:effectExtent l="0" t="0" r="0" b="0"/>
                      <wp:wrapNone/>
                      <wp:docPr id="160" name="Frame160"/>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30505" cy="175260"/>
                      <wp:effectExtent l="0" t="0" r="0" b="0"/>
                      <wp:wrapNone/>
                      <wp:docPr id="162" name="Frame16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51205" cy="175260"/>
                      <wp:effectExtent l="0" t="0" r="0" b="0"/>
                      <wp:wrapNone/>
                      <wp:docPr id="163" name="Frame163"/>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146" w:type="dxa"/>
            <w:tcBorders/>
            <w:shd w:fill="CCEEFF" w:val="clear"/>
            <w:vAlign w:val="center"/>
          </w:tcPr>
          <w:p>
            <w:pPr>
              <w:pStyle w:val="TableContents"/>
              <w:bidi w:val="0"/>
              <w:spacing w:before="0" w:after="1"/>
              <w:ind w:left="0" w:right="0" w:hanging="0"/>
              <w:jc w:val="left"/>
              <w:rPr/>
            </w:pPr>
            <w:r>
              <w:rPr/>
              <w:t> </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1"/>
              <w:ind w:left="0" w:right="0" w:hanging="0"/>
              <w:jc w:val="left"/>
              <w:rPr/>
            </w:pPr>
            <w:r>
              <w:rPr/>
              <w:t> </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4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 </w:t>
            </w:r>
          </w:p>
        </w:tc>
        <w:tc>
          <w:tcPr>
            <w:tcW w:w="11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pPr>
            <w:r>
              <w:rPr/>
              <w:t>​</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Biofuels</w:t>
            </w:r>
          </w:p>
        </w:tc>
        <w:tc>
          <w:tcPr>
            <w:tcW w:w="14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 </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14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 </w:t>
            </w:r>
          </w:p>
        </w:tc>
        <w:tc>
          <w:tcPr>
            <w:tcW w:w="11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pPr>
            <w:r>
              <w:rPr/>
              <w:t>​</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14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3,698</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2,067</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Biofuels</w:t>
            </w:r>
          </w:p>
        </w:tc>
        <w:tc>
          <w:tcPr>
            <w:tcW w:w="14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w:t>
            </w:r>
          </w:p>
        </w:tc>
        <w:tc>
          <w:tcPr>
            <w:tcW w:w="32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183" w:type="dxa"/>
            <w:tcBorders/>
            <w:vAlign w:val="center"/>
          </w:tcPr>
          <w:p>
            <w:pPr>
              <w:pStyle w:val="TableContents"/>
              <w:bidi w:val="0"/>
              <w:spacing w:before="0" w:after="1"/>
              <w:ind w:left="0" w:right="0" w:hanging="0"/>
              <w:jc w:val="right"/>
              <w:rPr/>
            </w:pPr>
            <w:r>
              <w:rPr/>
              <w:t>—</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Spare parts</w:t>
            </w:r>
          </w:p>
        </w:tc>
        <w:tc>
          <w:tcPr>
            <w:tcW w:w="146" w:type="dxa"/>
            <w:tcBorders/>
            <w:shd w:fill="CCEEFF" w:val="clear"/>
            <w:vAlign w:val="center"/>
          </w:tcPr>
          <w:p>
            <w:pPr>
              <w:pStyle w:val="TableContents"/>
              <w:bidi w:val="0"/>
              <w:spacing w:before="0" w:after="1"/>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146" w:type="dxa"/>
            <w:tcBorders/>
            <w:vAlign w:val="center"/>
          </w:tcPr>
          <w:p>
            <w:pPr>
              <w:pStyle w:val="TableContents"/>
              <w:bidi w:val="0"/>
              <w:spacing w:before="0" w:after="1"/>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5,846</w:t>
            </w:r>
          </w:p>
        </w:tc>
        <w:tc>
          <w:tcPr>
            <w:tcW w:w="326" w:type="dxa"/>
            <w:tcBorders/>
            <w:vAlign w:val="center"/>
          </w:tcPr>
          <w:p>
            <w:pPr>
              <w:pStyle w:val="TableContents"/>
              <w:bidi w:val="0"/>
              <w:spacing w:before="0" w:after="1"/>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3,809</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1057" w:name="Tc_SFpMjIlUF06zHlvFlHaFPg_10_5"/>
      <w:bookmarkStart w:id="1058" w:name="Tc_ROABDQPzUUO0GY9d3CDKJQ_10_2"/>
      <w:bookmarkStart w:id="1059" w:name="Tc_LNR_F4MpIEKVoMnLxjKKCA_10_0"/>
      <w:bookmarkStart w:id="1060" w:name="Tc_5UizpWTu7kOH2aa6MNnwSw_9_0"/>
      <w:bookmarkStart w:id="1061" w:name="Tc_KvK_Ps9--UudCQqTyhzoMw_8_0"/>
      <w:bookmarkStart w:id="1062" w:name="Tc_-oKl7DwJBEinz66DHU7wtw_7_0"/>
      <w:bookmarkStart w:id="1063" w:name="Tc_A605Q5duK0uxr4BkiVm0kg_6_0"/>
      <w:bookmarkStart w:id="1064" w:name="Tc_geN8OYz6-ka25GP11_ADDw_5_0"/>
      <w:bookmarkStart w:id="1065" w:name="Tc_YtrPOoMRZEu1PCHcqzemNA_4_0"/>
      <w:bookmarkStart w:id="1066" w:name="Tc_sXW_4FnOB0m_TjAjsirg5Q_3_0"/>
      <w:bookmarkStart w:id="1067" w:name="Tc_RJTXgsQ81Ei-3ePxL_JKLQ_2_5"/>
      <w:bookmarkStart w:id="1068" w:name="Tc_p2t3BdYiPEGoRPqQHC8vjw_2_2"/>
      <w:bookmarkStart w:id="1069" w:name="Tc_KN-XgW3LwUOuuhOJlYG6Zg_2_0"/>
      <w:bookmarkStart w:id="1070" w:name="Tc_cBqLMVikA0GeNOY9zgvINA_1_5"/>
      <w:bookmarkStart w:id="1071" w:name="Tc_OBKaqx38AEOGsMaDX0bgAg_1_2"/>
      <w:bookmarkStart w:id="1072" w:name="_8d027fb1_4af5_4450_881a_1a445b8776bb"/>
      <w:bookmarkStart w:id="1073" w:name="Tc_SFpMjIlUF06zHlvFlHaFPg_10_5"/>
      <w:bookmarkStart w:id="1074" w:name="Tc_ROABDQPzUUO0GY9d3CDKJQ_10_2"/>
      <w:bookmarkStart w:id="1075" w:name="Tc_LNR_F4MpIEKVoMnLxjKKCA_10_0"/>
      <w:bookmarkStart w:id="1076" w:name="Tc_5UizpWTu7kOH2aa6MNnwSw_9_0"/>
      <w:bookmarkStart w:id="1077" w:name="Tc_KvK_Ps9--UudCQqTyhzoMw_8_0"/>
      <w:bookmarkStart w:id="1078" w:name="Tc_-oKl7DwJBEinz66DHU7wtw_7_0"/>
      <w:bookmarkStart w:id="1079" w:name="Tc_A605Q5duK0uxr4BkiVm0kg_6_0"/>
      <w:bookmarkStart w:id="1080" w:name="Tc_geN8OYz6-ka25GP11_ADDw_5_0"/>
      <w:bookmarkStart w:id="1081" w:name="Tc_YtrPOoMRZEu1PCHcqzemNA_4_0"/>
      <w:bookmarkStart w:id="1082" w:name="Tc_sXW_4FnOB0m_TjAjsirg5Q_3_0"/>
      <w:bookmarkStart w:id="1083" w:name="Tc_RJTXgsQ81Ei-3ePxL_JKLQ_2_5"/>
      <w:bookmarkStart w:id="1084" w:name="Tc_p2t3BdYiPEGoRPqQHC8vjw_2_2"/>
      <w:bookmarkStart w:id="1085" w:name="Tc_KN-XgW3LwUOuuhOJlYG6Zg_2_0"/>
      <w:bookmarkStart w:id="1086" w:name="Tc_cBqLMVikA0GeNOY9zgvINA_1_5"/>
      <w:bookmarkStart w:id="1087" w:name="Tc_OBKaqx38AEOGsMaDX0bgAg_1_2"/>
      <w:bookmarkStart w:id="1088" w:name="_8d027fb1_4af5_4450_881a_1a445b8776bb"/>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p>
    <w:tbl>
      <w:tblPr>
        <w:tblW w:w="3062" w:type="dxa"/>
        <w:jc w:val="left"/>
        <w:tblInd w:w="0" w:type="dxa"/>
        <w:tblLayout w:type="fixed"/>
        <w:tblCellMar>
          <w:top w:w="0" w:type="dxa"/>
          <w:left w:w="0" w:type="dxa"/>
          <w:bottom w:w="0" w:type="dxa"/>
          <w:right w:w="0" w:type="dxa"/>
        </w:tblCellMar>
      </w:tblPr>
      <w:tblGrid>
        <w:gridCol w:w="271"/>
        <w:gridCol w:w="279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27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property, plant and equipment by classification (in thousands) as of:</w:t>
      </w:r>
    </w:p>
    <w:tbl>
      <w:tblPr>
        <w:tblW w:w="7855" w:type="dxa"/>
        <w:jc w:val="left"/>
        <w:tblInd w:w="0" w:type="dxa"/>
        <w:tblLayout w:type="fixed"/>
        <w:tblCellMar>
          <w:top w:w="0" w:type="dxa"/>
          <w:left w:w="0" w:type="dxa"/>
          <w:bottom w:w="0" w:type="dxa"/>
          <w:right w:w="0" w:type="dxa"/>
        </w:tblCellMar>
      </w:tblPr>
      <w:tblGrid>
        <w:gridCol w:w="4111"/>
        <w:gridCol w:w="326"/>
        <w:gridCol w:w="328"/>
        <w:gridCol w:w="1218"/>
        <w:gridCol w:w="326"/>
        <w:gridCol w:w="294"/>
        <w:gridCol w:w="1252"/>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610485" cy="175260"/>
                      <wp:effectExtent l="0" t="0" r="0" b="0"/>
                      <wp:wrapNone/>
                      <wp:docPr id="164" name="Frame16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8280" cy="175260"/>
                      <wp:effectExtent l="0" t="0" r="0" b="0"/>
                      <wp:wrapNone/>
                      <wp:docPr id="166" name="Frame16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73430" cy="175260"/>
                      <wp:effectExtent l="0" t="0" r="0" b="0"/>
                      <wp:wrapNone/>
                      <wp:docPr id="167" name="Frame167"/>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6690" cy="175260"/>
                      <wp:effectExtent l="0" t="0" r="0" b="0"/>
                      <wp:wrapNone/>
                      <wp:docPr id="169" name="Frame169"/>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95020" cy="175260"/>
                      <wp:effectExtent l="0" t="0" r="0" b="0"/>
                      <wp:wrapNone/>
                      <wp:docPr id="170" name="Frame170"/>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6,588</w:t>
            </w:r>
          </w:p>
        </w:tc>
        <w:tc>
          <w:tcPr>
            <w:tcW w:w="32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6,505</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facilities and infrastructure</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74,573</w:t>
            </w:r>
          </w:p>
        </w:tc>
        <w:tc>
          <w:tcPr>
            <w:tcW w:w="326" w:type="dxa"/>
            <w:tcBorders/>
            <w:vAlign w:val="center"/>
          </w:tcPr>
          <w:p>
            <w:pPr>
              <w:pStyle w:val="TableContents"/>
              <w:bidi w:val="0"/>
              <w:spacing w:before="0" w:after="1"/>
              <w:ind w:left="0" w:right="0" w:hanging="0"/>
              <w:jc w:val="right"/>
              <w:rPr/>
            </w:pPr>
            <w:r>
              <w:rPr/>
              <w:t>​</w:t>
            </w:r>
          </w:p>
        </w:tc>
        <w:tc>
          <w:tcPr>
            <w:tcW w:w="294"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77,329</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83,998</w:t>
            </w:r>
          </w:p>
        </w:tc>
        <w:tc>
          <w:tcPr>
            <w:tcW w:w="326" w:type="dxa"/>
            <w:tcBorders/>
            <w:shd w:fill="CCEEFF" w:val="clear"/>
            <w:vAlign w:val="center"/>
          </w:tcPr>
          <w:p>
            <w:pPr>
              <w:pStyle w:val="TableContents"/>
              <w:bidi w:val="0"/>
              <w:spacing w:before="0" w:after="1"/>
              <w:ind w:left="0" w:right="0" w:hanging="0"/>
              <w:jc w:val="righ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95,212</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office equipment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2,764</w:t>
            </w:r>
          </w:p>
        </w:tc>
        <w:tc>
          <w:tcPr>
            <w:tcW w:w="326" w:type="dxa"/>
            <w:tcBorders/>
            <w:vAlign w:val="center"/>
          </w:tcPr>
          <w:p>
            <w:pPr>
              <w:pStyle w:val="TableContents"/>
              <w:bidi w:val="0"/>
              <w:spacing w:before="0" w:after="1"/>
              <w:ind w:left="0" w:right="0" w:hanging="0"/>
              <w:jc w:val="right"/>
              <w:rPr/>
            </w:pPr>
            <w:r>
              <w:rPr/>
              <w:t>​</w:t>
            </w:r>
          </w:p>
        </w:tc>
        <w:tc>
          <w:tcPr>
            <w:tcW w:w="294"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w:t>
            </w:r>
          </w:p>
        </w:tc>
        <w:tc>
          <w:tcPr>
            <w:tcW w:w="326" w:type="dxa"/>
            <w:tcBorders/>
            <w:shd w:fill="CCEEFF" w:val="clear"/>
            <w:vAlign w:val="center"/>
          </w:tcPr>
          <w:p>
            <w:pPr>
              <w:pStyle w:val="TableContents"/>
              <w:bidi w:val="0"/>
              <w:spacing w:before="0" w:after="1"/>
              <w:ind w:left="0" w:right="0" w:hanging="0"/>
              <w:jc w:val="righ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147,836</w:t>
            </w:r>
          </w:p>
        </w:tc>
        <w:tc>
          <w:tcPr>
            <w:tcW w:w="326" w:type="dxa"/>
            <w:tcBorders/>
            <w:vAlign w:val="center"/>
          </w:tcPr>
          <w:p>
            <w:pPr>
              <w:pStyle w:val="TableContents"/>
              <w:bidi w:val="0"/>
              <w:spacing w:before="0" w:after="1"/>
              <w:ind w:left="0" w:right="0" w:hanging="0"/>
              <w:jc w:val="righ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114,332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317,460</w:t>
            </w:r>
          </w:p>
        </w:tc>
        <w:tc>
          <w:tcPr>
            <w:tcW w:w="326" w:type="dxa"/>
            <w:tcBorders/>
            <w:shd w:fill="CCEEFF" w:val="clear"/>
            <w:vAlign w:val="center"/>
          </w:tcPr>
          <w:p>
            <w:pPr>
              <w:pStyle w:val="TableContents"/>
              <w:bidi w:val="0"/>
              <w:spacing w:before="0" w:after="1"/>
              <w:ind w:left="0" w:right="0" w:hanging="0"/>
              <w:jc w:val="righ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297,878</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(97,656)</w:t>
            </w:r>
          </w:p>
        </w:tc>
        <w:tc>
          <w:tcPr>
            <w:tcW w:w="326" w:type="dxa"/>
            <w:tcBorders/>
            <w:vAlign w:val="center"/>
          </w:tcPr>
          <w:p>
            <w:pPr>
              <w:pStyle w:val="TableContents"/>
              <w:bidi w:val="0"/>
              <w:spacing w:before="0" w:after="1"/>
              <w:ind w:left="0" w:right="0" w:hanging="0"/>
              <w:jc w:val="righ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(86,315)</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219,804</w:t>
            </w:r>
          </w:p>
        </w:tc>
        <w:tc>
          <w:tcPr>
            <w:tcW w:w="326" w:type="dxa"/>
            <w:tcBorders/>
            <w:shd w:fill="CCEEFF" w:val="clear"/>
            <w:vAlign w:val="center"/>
          </w:tcPr>
          <w:p>
            <w:pPr>
              <w:pStyle w:val="TableContents"/>
              <w:bidi w:val="0"/>
              <w:spacing w:before="0" w:after="1"/>
              <w:ind w:left="0" w:right="0" w:hanging="0"/>
              <w:jc w:val="righ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211,563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and nine months ended September 30, 2024, the Company recorded depreciation expense of $3.1 million and $11.0 million, respectively. During the three and nine months ended September 30, 2023, the Company recorded depreciation expense of $5.2 million and $13.3 million, respectively. During the three and nine months ended September 30, 2024, and 2023, $1.2 million, $3.7 million, $1.1 million, and $3.0 million, respectively, of depreciation expense was recorded into inventory. During the three and nine months ended September 30, 2024, and 2023, $0.6 million, $3.2 million, $1.6 million, and $4.6 million, respectively, was recorded to depreciation expense due to sales of inventory.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Construction in progress includes $131.0 million for Gevo, primarily related to the NZ1 project, $16.0 million for the Agri-Energy segment (“Agri-Energy”) related to a fractionation and hydrocarbon skid, and $0.8 million for NW Iowa RNG at September 30, 2024. Construction in progress includes $98.2 million for Gevo, primarily related to the NZ1 project, $15.5 million for Agri-Energy, and $0.6 million for NW Iowa RNG at December 31, 2023. Construction in progress is not subject to depreciation until the assets are placed into service.</w:t>
      </w:r>
    </w:p>
    <w:p>
      <w:pPr>
        <w:pStyle w:val="Normal"/>
        <w:bidi w:val="0"/>
        <w:spacing w:before="0" w:after="0"/>
        <w:jc w:val="left"/>
        <w:rPr>
          <w:sz w:val="4"/>
          <w:szCs w:val="4"/>
        </w:rPr>
      </w:pPr>
      <w:r>
        <w:rPr>
          <w:sz w:val="4"/>
          <w:szCs w:val="4"/>
        </w:rPr>
      </w:r>
      <w:bookmarkStart w:id="1089" w:name="Tc_jvhPJ71H1Ea22vIbROAsSA_10_8"/>
      <w:bookmarkStart w:id="1090" w:name="Tc_0VyNoN2PDU6RqVPce98cqw_10_5"/>
      <w:bookmarkStart w:id="1091" w:name="Tc_LGpTU75Yj0K8isRhQTZJzw_10_2"/>
      <w:bookmarkStart w:id="1092" w:name="Tc_D0_ZbX6dYUSLJi4u097svA_10_0"/>
      <w:bookmarkStart w:id="1093" w:name="Tc_ycVj-53ttUO1RTU6T6etDQ_9_6"/>
      <w:bookmarkStart w:id="1094" w:name="Tc_f7aOzPLEckGdL8yZQ2UZSQ_9_0"/>
      <w:bookmarkStart w:id="1095" w:name="Tc_HsBGJvJIu06APm9P-rlqHw_8_6"/>
      <w:bookmarkStart w:id="1096" w:name="Tc_mWUR8WQgFUmcfBTkBy6p2g_8_0"/>
      <w:bookmarkStart w:id="1097" w:name="Tc_mJ8iOMIqeEKjtUNUIrqdNg_7_6"/>
      <w:bookmarkStart w:id="1098" w:name="Tc_IwL7KRC_jUKEcGeVKxpxtQ_7_0"/>
      <w:bookmarkStart w:id="1099" w:name="Tc_nO1C_EbqP0aCEP-v3X4ZUw_6_0"/>
      <w:bookmarkStart w:id="1100" w:name="Tc_Yfc9607cL0KM-FbwZYxA2A_5_8"/>
      <w:bookmarkStart w:id="1101" w:name="Tc_zCvYOIldCE-4GSTtb3zmsw_5_5"/>
      <w:bookmarkStart w:id="1102" w:name="Tc_GXOpki7KnkGQcE8qXmn7Iw_5_2"/>
      <w:bookmarkStart w:id="1103" w:name="Tc_2yK_ETEuuUyGE8d6c-ObKw_5_0"/>
      <w:bookmarkStart w:id="1104" w:name="Tc_YXnE9C0pyU69IMfF-92eDw_4_11"/>
      <w:bookmarkStart w:id="1105" w:name="Tc_1GS5YXJxrUuUfz28qKMmXA_4_8"/>
      <w:bookmarkStart w:id="1106" w:name="Tc_aDgvQqLIDk2drnzHWCDPDw_4_5"/>
      <w:bookmarkStart w:id="1107" w:name="Tc_9Dxuce3Wwkm_2mY0Wb5dtQ_4_2"/>
      <w:bookmarkStart w:id="1108" w:name="Tc_VgT68jiboE6t8g6hReO8uQ_3_11"/>
      <w:bookmarkStart w:id="1109" w:name="Tc_SgTBhdlYrkSorcjBpfJG0g_3_8"/>
      <w:bookmarkStart w:id="1110" w:name="Tc_5rA6TIwLLUGuhmBd0niRig_3_5"/>
      <w:bookmarkStart w:id="1111" w:name="Tc_INMPu-r_Pk-_-HDX2Rlf6g_3_2"/>
      <w:bookmarkStart w:id="1112" w:name="Tc_OVl-hnZGLk-lF1wQFsOrKg_2_11"/>
      <w:bookmarkStart w:id="1113" w:name="Tc_ka7sKavU1U-dNsQvtstTzg_2_8"/>
      <w:bookmarkStart w:id="1114" w:name="Tc_nOiF3QkQCkObLkcjI_ogYg_1_2"/>
      <w:bookmarkStart w:id="1115" w:name="_8ba42d3a_a4f0_412a_99e4_062be4b50962"/>
      <w:bookmarkStart w:id="1116" w:name="Tc_jvhPJ71H1Ea22vIbROAsSA_10_8"/>
      <w:bookmarkStart w:id="1117" w:name="Tc_0VyNoN2PDU6RqVPce98cqw_10_5"/>
      <w:bookmarkStart w:id="1118" w:name="Tc_LGpTU75Yj0K8isRhQTZJzw_10_2"/>
      <w:bookmarkStart w:id="1119" w:name="Tc_D0_ZbX6dYUSLJi4u097svA_10_0"/>
      <w:bookmarkStart w:id="1120" w:name="Tc_ycVj-53ttUO1RTU6T6etDQ_9_6"/>
      <w:bookmarkStart w:id="1121" w:name="Tc_f7aOzPLEckGdL8yZQ2UZSQ_9_0"/>
      <w:bookmarkStart w:id="1122" w:name="Tc_HsBGJvJIu06APm9P-rlqHw_8_6"/>
      <w:bookmarkStart w:id="1123" w:name="Tc_mWUR8WQgFUmcfBTkBy6p2g_8_0"/>
      <w:bookmarkStart w:id="1124" w:name="Tc_mJ8iOMIqeEKjtUNUIrqdNg_7_6"/>
      <w:bookmarkStart w:id="1125" w:name="Tc_IwL7KRC_jUKEcGeVKxpxtQ_7_0"/>
      <w:bookmarkStart w:id="1126" w:name="Tc_nO1C_EbqP0aCEP-v3X4ZUw_6_0"/>
      <w:bookmarkStart w:id="1127" w:name="Tc_Yfc9607cL0KM-FbwZYxA2A_5_8"/>
      <w:bookmarkStart w:id="1128" w:name="Tc_zCvYOIldCE-4GSTtb3zmsw_5_5"/>
      <w:bookmarkStart w:id="1129" w:name="Tc_GXOpki7KnkGQcE8qXmn7Iw_5_2"/>
      <w:bookmarkStart w:id="1130" w:name="Tc_2yK_ETEuuUyGE8d6c-ObKw_5_0"/>
      <w:bookmarkStart w:id="1131" w:name="Tc_YXnE9C0pyU69IMfF-92eDw_4_11"/>
      <w:bookmarkStart w:id="1132" w:name="Tc_1GS5YXJxrUuUfz28qKMmXA_4_8"/>
      <w:bookmarkStart w:id="1133" w:name="Tc_aDgvQqLIDk2drnzHWCDPDw_4_5"/>
      <w:bookmarkStart w:id="1134" w:name="Tc_9Dxuce3Wwkm_2mY0Wb5dtQ_4_2"/>
      <w:bookmarkStart w:id="1135" w:name="Tc_VgT68jiboE6t8g6hReO8uQ_3_11"/>
      <w:bookmarkStart w:id="1136" w:name="Tc_SgTBhdlYrkSorcjBpfJG0g_3_8"/>
      <w:bookmarkStart w:id="1137" w:name="Tc_5rA6TIwLLUGuhmBd0niRig_3_5"/>
      <w:bookmarkStart w:id="1138" w:name="Tc_INMPu-r_Pk-_-HDX2Rlf6g_3_2"/>
      <w:bookmarkStart w:id="1139" w:name="Tc_OVl-hnZGLk-lF1wQFsOrKg_2_11"/>
      <w:bookmarkStart w:id="1140" w:name="Tc_ka7sKavU1U-dNsQvtstTzg_2_8"/>
      <w:bookmarkStart w:id="1141" w:name="Tc_nOiF3QkQCkObLkcjI_ogYg_1_2"/>
      <w:bookmarkStart w:id="1142" w:name="_8ba42d3a_a4f0_412a_99e4_062be4b50962"/>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p>
    <w:tbl>
      <w:tblPr>
        <w:tblW w:w="1847" w:type="dxa"/>
        <w:jc w:val="left"/>
        <w:tblInd w:w="0" w:type="dxa"/>
        <w:tblLayout w:type="fixed"/>
        <w:tblCellMar>
          <w:top w:w="0" w:type="dxa"/>
          <w:left w:w="0" w:type="dxa"/>
          <w:bottom w:w="0" w:type="dxa"/>
          <w:right w:w="0" w:type="dxa"/>
        </w:tblCellMar>
      </w:tblPr>
      <w:tblGrid>
        <w:gridCol w:w="271"/>
        <w:gridCol w:w="157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15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Intangible Assets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Identifiable intangible assets consist of acquired patents, which management evaluates to determine whether they (i) support current products, (ii) support planned research and development, or (iii) prevent others from competing with Gevo’s products, and identifiable intangible assets acquired as part of the acquisition of Cultivate Agricultural Intelligence, LLC, see Note 18 Business Combinations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set forth the Company’s intangible assets by classification (in thousands) as of:</w:t>
      </w:r>
    </w:p>
    <w:tbl>
      <w:tblPr>
        <w:tblW w:w="8553" w:type="dxa"/>
        <w:jc w:val="left"/>
        <w:tblInd w:w="0" w:type="dxa"/>
        <w:tblLayout w:type="fixed"/>
        <w:tblCellMar>
          <w:top w:w="0" w:type="dxa"/>
          <w:left w:w="0" w:type="dxa"/>
          <w:bottom w:w="0" w:type="dxa"/>
          <w:right w:w="0" w:type="dxa"/>
        </w:tblCellMar>
      </w:tblPr>
      <w:tblGrid>
        <w:gridCol w:w="2401"/>
        <w:gridCol w:w="326"/>
        <w:gridCol w:w="296"/>
        <w:gridCol w:w="949"/>
        <w:gridCol w:w="326"/>
        <w:gridCol w:w="270"/>
        <w:gridCol w:w="811"/>
        <w:gridCol w:w="326"/>
        <w:gridCol w:w="251"/>
        <w:gridCol w:w="680"/>
        <w:gridCol w:w="326"/>
        <w:gridCol w:w="159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524635" cy="175260"/>
                      <wp:effectExtent l="0" t="0" r="0" b="0"/>
                      <wp:wrapNone/>
                      <wp:docPr id="171" name="Frame171"/>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87960" cy="175260"/>
                      <wp:effectExtent l="0" t="0" r="0" b="0"/>
                      <wp:wrapNone/>
                      <wp:docPr id="173" name="Frame173"/>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02615" cy="175260"/>
                      <wp:effectExtent l="0" t="0" r="0" b="0"/>
                      <wp:wrapNone/>
                      <wp:docPr id="174" name="Frame174"/>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71450" cy="175260"/>
                      <wp:effectExtent l="0" t="0" r="0" b="0"/>
                      <wp:wrapNone/>
                      <wp:docPr id="176" name="Frame17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14985" cy="175260"/>
                      <wp:effectExtent l="0" t="0" r="0" b="0"/>
                      <wp:wrapNone/>
                      <wp:docPr id="177" name="Frame17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59385" cy="175260"/>
                      <wp:effectExtent l="0" t="0" r="0" b="0"/>
                      <wp:wrapNone/>
                      <wp:docPr id="179" name="Frame179"/>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31800" cy="175260"/>
                      <wp:effectExtent l="0" t="0" r="0" b="0"/>
                      <wp:wrapNone/>
                      <wp:docPr id="180" name="Frame180"/>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010285" cy="175260"/>
                      <wp:effectExtent l="0" t="0" r="0" b="0"/>
                      <wp:wrapNone/>
                      <wp:docPr id="182" name="Frame182"/>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24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9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70"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4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24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2,523</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3,125</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Customer-related intangible</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(3,832)</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8,548</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8.9</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1143" w:name="Tc_eyUPQGrog02plBT2mwdDLQ_9_17"/>
      <w:bookmarkStart w:id="1144" w:name="Tc_nShLyctHwEa1fserIPTH-A_9_14"/>
      <w:bookmarkStart w:id="1145" w:name="Tc_EnSFmBPKiE2j5z8RlefHiA_9_11"/>
      <w:bookmarkStart w:id="1146" w:name="Tc_xYlwfwsLI0u0T1V_4IedTQ_9_8"/>
      <w:bookmarkStart w:id="1147" w:name="Tc_4SWdUZVZz0qAquY3GooBHg_9_5"/>
      <w:bookmarkStart w:id="1148" w:name="Tc_gqF6EmzpTkafpDVUNL09_A_9_2"/>
      <w:bookmarkStart w:id="1149" w:name="Tc_yUXbD6uwdkeLU5pFAJluLQ_9_0"/>
      <w:bookmarkStart w:id="1150" w:name="Tc_EVtOLOWM8kOqI6J4Gj67Cw_8_15"/>
      <w:bookmarkStart w:id="1151" w:name="Tc_nPefQpO_pEuCXmxN6WJdQA_8_0"/>
      <w:bookmarkStart w:id="1152" w:name="Tc_Samjp_HLNUKKqI9vqd6ntA_7_0"/>
      <w:bookmarkStart w:id="1153" w:name="Tc_fiBvMRGIPEW26bSVthLHmg_6_0"/>
      <w:bookmarkStart w:id="1154" w:name="Tc_PhFqAuuPiEyKS6Tl3qlJ9w_5_0"/>
      <w:bookmarkStart w:id="1155" w:name="Tc_VeaJheyHzkmAK6URinFN5Q_4_0"/>
      <w:bookmarkStart w:id="1156" w:name="Tc_xeey5C_P1EKMvYlhS6OaYg_3_17"/>
      <w:bookmarkStart w:id="1157" w:name="Tc_w42pTlCvHkuFxrGIqKscMA_3_14"/>
      <w:bookmarkStart w:id="1158" w:name="Tc_RqG71fdyA0CC1e5H6HtcXA_3_11"/>
      <w:bookmarkStart w:id="1159" w:name="Tc_2ZvraAVCmkOYwxKTbysmrA_3_8"/>
      <w:bookmarkStart w:id="1160" w:name="Tc_vrHpad6s_kenEGYK478iDA_3_5"/>
      <w:bookmarkStart w:id="1161" w:name="Tc_g6NgCIvRzUGJCiqMJpU-tA_3_2"/>
      <w:bookmarkStart w:id="1162" w:name="Tc_38vbQd5wA0KFOEgPimE1mQ_3_0"/>
      <w:bookmarkStart w:id="1163" w:name="Tc_6jMFJ5w_wE-XxOTAPvJ9cQ_2_17"/>
      <w:bookmarkStart w:id="1164" w:name="Tc_NzSxCCSD_UKHfmS3iAnv9Q_2_14"/>
      <w:bookmarkStart w:id="1165" w:name="Tc_TafevZwLVUWmyXbH8jZyKA_2_11"/>
      <w:bookmarkStart w:id="1166" w:name="Tc_uRKxYc1Ay06au9DmPAmhLA_2_8"/>
      <w:bookmarkStart w:id="1167" w:name="Tc_8pHIRYOiFkW2iy_KHQUryw_2_5"/>
      <w:bookmarkStart w:id="1168" w:name="Tc_p9wSjsSEEU2rINDMa8iu0A_2_2"/>
      <w:bookmarkStart w:id="1169" w:name="Tc_mAt3WOv11E6m6xhJi1i8BA_2_0"/>
      <w:bookmarkStart w:id="1170" w:name="Tc_gpk9VbcKMUSjXDC7gFiO5w_1_11"/>
      <w:bookmarkStart w:id="1171" w:name="Tc_fiqjLz49FkaOJU7o2pjUBQ_1_8"/>
      <w:bookmarkStart w:id="1172" w:name="_a9d8aa79_3bf3_4ebf_9e9b_b2c60457a516"/>
      <w:bookmarkStart w:id="1173" w:name="Tc_jVUVdkUu-0yhp6zZh-Y15g_7_8"/>
      <w:bookmarkStart w:id="1174" w:name="Tc_uZgquGW8RUKVaS-cpGMg1g_7_5"/>
      <w:bookmarkStart w:id="1175" w:name="Tc_b-LRIGe2U027Nq_0xXCB7A_7_2"/>
      <w:bookmarkStart w:id="1176" w:name="Tc_ptPgNr3uHUa2b6O9eHRFww_7_0"/>
      <w:bookmarkStart w:id="1177" w:name="Tc_vpC2lC4Hn0-jW7RgMncKFw_6_0"/>
      <w:bookmarkStart w:id="1178" w:name="Tc_b1j8pqAxW0WOC3sELYeGiw_5_8"/>
      <w:bookmarkStart w:id="1179" w:name="Tc_MvgzFpB1Jk6imAp_NRPTtw_5_5"/>
      <w:bookmarkStart w:id="1180" w:name="Tc_ntU9zw4Z-k-atjqxevaARg_5_2"/>
      <w:bookmarkStart w:id="1181" w:name="Tc_XPMAqnCigE-TcfmLB7OO2g_5_0"/>
      <w:bookmarkStart w:id="1182" w:name="Tc_t5l-ErmJFEeRaXqadZIqqA_4_11"/>
      <w:bookmarkStart w:id="1183" w:name="Tc_8zR3NqDSh0KdUoKNerBuow_4_8"/>
      <w:bookmarkStart w:id="1184" w:name="Tc_aGHCvQyxTU6ZQu9891pMgA_4_5"/>
      <w:bookmarkStart w:id="1185" w:name="Tc_05BohJLyV0yxzrMlSNymFw_4_2"/>
      <w:bookmarkStart w:id="1186" w:name="Tc_q6fSTWAQd0mwvY1O1xPq4w_3_11"/>
      <w:bookmarkStart w:id="1187" w:name="Tc_83ja__CsCEeYUnRlgVOuHA_3_8"/>
      <w:bookmarkStart w:id="1188" w:name="Tc_l5xK38UbOkCBj2ujosOy2A_3_5"/>
      <w:bookmarkStart w:id="1189" w:name="Tc_NEH0HX_pz0aBCQOIpW7qkQ_3_2"/>
      <w:bookmarkStart w:id="1190" w:name="Tc_ZuPUSK3mNEe3a9S13aqJzg_2_11"/>
      <w:bookmarkStart w:id="1191" w:name="Tc_OIHsCI36Mke_RSsMGtxvkg_2_8"/>
      <w:bookmarkStart w:id="1192" w:name="Tc_FbD6dnxAIk6C-a6x0jJDJQ_1_2"/>
      <w:bookmarkStart w:id="1193" w:name="_9420d2c3_4102_48fb_af9e_11d675399932"/>
      <w:bookmarkStart w:id="1194" w:name="Tc_eyUPQGrog02plBT2mwdDLQ_9_17"/>
      <w:bookmarkStart w:id="1195" w:name="Tc_nShLyctHwEa1fserIPTH-A_9_14"/>
      <w:bookmarkStart w:id="1196" w:name="Tc_EnSFmBPKiE2j5z8RlefHiA_9_11"/>
      <w:bookmarkStart w:id="1197" w:name="Tc_xYlwfwsLI0u0T1V_4IedTQ_9_8"/>
      <w:bookmarkStart w:id="1198" w:name="Tc_4SWdUZVZz0qAquY3GooBHg_9_5"/>
      <w:bookmarkStart w:id="1199" w:name="Tc_gqF6EmzpTkafpDVUNL09_A_9_2"/>
      <w:bookmarkStart w:id="1200" w:name="Tc_yUXbD6uwdkeLU5pFAJluLQ_9_0"/>
      <w:bookmarkStart w:id="1201" w:name="Tc_EVtOLOWM8kOqI6J4Gj67Cw_8_15"/>
      <w:bookmarkStart w:id="1202" w:name="Tc_nPefQpO_pEuCXmxN6WJdQA_8_0"/>
      <w:bookmarkStart w:id="1203" w:name="Tc_Samjp_HLNUKKqI9vqd6ntA_7_0"/>
      <w:bookmarkStart w:id="1204" w:name="Tc_fiBvMRGIPEW26bSVthLHmg_6_0"/>
      <w:bookmarkStart w:id="1205" w:name="Tc_PhFqAuuPiEyKS6Tl3qlJ9w_5_0"/>
      <w:bookmarkStart w:id="1206" w:name="Tc_VeaJheyHzkmAK6URinFN5Q_4_0"/>
      <w:bookmarkStart w:id="1207" w:name="Tc_xeey5C_P1EKMvYlhS6OaYg_3_17"/>
      <w:bookmarkStart w:id="1208" w:name="Tc_w42pTlCvHkuFxrGIqKscMA_3_14"/>
      <w:bookmarkStart w:id="1209" w:name="Tc_RqG71fdyA0CC1e5H6HtcXA_3_11"/>
      <w:bookmarkStart w:id="1210" w:name="Tc_2ZvraAVCmkOYwxKTbysmrA_3_8"/>
      <w:bookmarkStart w:id="1211" w:name="Tc_vrHpad6s_kenEGYK478iDA_3_5"/>
      <w:bookmarkStart w:id="1212" w:name="Tc_g6NgCIvRzUGJCiqMJpU-tA_3_2"/>
      <w:bookmarkStart w:id="1213" w:name="Tc_38vbQd5wA0KFOEgPimE1mQ_3_0"/>
      <w:bookmarkStart w:id="1214" w:name="Tc_6jMFJ5w_wE-XxOTAPvJ9cQ_2_17"/>
      <w:bookmarkStart w:id="1215" w:name="Tc_NzSxCCSD_UKHfmS3iAnv9Q_2_14"/>
      <w:bookmarkStart w:id="1216" w:name="Tc_TafevZwLVUWmyXbH8jZyKA_2_11"/>
      <w:bookmarkStart w:id="1217" w:name="Tc_uRKxYc1Ay06au9DmPAmhLA_2_8"/>
      <w:bookmarkStart w:id="1218" w:name="Tc_8pHIRYOiFkW2iy_KHQUryw_2_5"/>
      <w:bookmarkStart w:id="1219" w:name="Tc_p9wSjsSEEU2rINDMa8iu0A_2_2"/>
      <w:bookmarkStart w:id="1220" w:name="Tc_mAt3WOv11E6m6xhJi1i8BA_2_0"/>
      <w:bookmarkStart w:id="1221" w:name="Tc_gpk9VbcKMUSjXDC7gFiO5w_1_11"/>
      <w:bookmarkStart w:id="1222" w:name="Tc_fiqjLz49FkaOJU7o2pjUBQ_1_8"/>
      <w:bookmarkStart w:id="1223" w:name="_a9d8aa79_3bf3_4ebf_9e9b_b2c60457a516"/>
      <w:bookmarkStart w:id="1224" w:name="Tc_jVUVdkUu-0yhp6zZh-Y15g_7_8"/>
      <w:bookmarkStart w:id="1225" w:name="Tc_uZgquGW8RUKVaS-cpGMg1g_7_5"/>
      <w:bookmarkStart w:id="1226" w:name="Tc_b-LRIGe2U027Nq_0xXCB7A_7_2"/>
      <w:bookmarkStart w:id="1227" w:name="Tc_ptPgNr3uHUa2b6O9eHRFww_7_0"/>
      <w:bookmarkStart w:id="1228" w:name="Tc_vpC2lC4Hn0-jW7RgMncKFw_6_0"/>
      <w:bookmarkStart w:id="1229" w:name="Tc_b1j8pqAxW0WOC3sELYeGiw_5_8"/>
      <w:bookmarkStart w:id="1230" w:name="Tc_MvgzFpB1Jk6imAp_NRPTtw_5_5"/>
      <w:bookmarkStart w:id="1231" w:name="Tc_ntU9zw4Z-k-atjqxevaARg_5_2"/>
      <w:bookmarkStart w:id="1232" w:name="Tc_XPMAqnCigE-TcfmLB7OO2g_5_0"/>
      <w:bookmarkStart w:id="1233" w:name="Tc_t5l-ErmJFEeRaXqadZIqqA_4_11"/>
      <w:bookmarkStart w:id="1234" w:name="Tc_8zR3NqDSh0KdUoKNerBuow_4_8"/>
      <w:bookmarkStart w:id="1235" w:name="Tc_aGHCvQyxTU6ZQu9891pMgA_4_5"/>
      <w:bookmarkStart w:id="1236" w:name="Tc_05BohJLyV0yxzrMlSNymFw_4_2"/>
      <w:bookmarkStart w:id="1237" w:name="Tc_q6fSTWAQd0mwvY1O1xPq4w_3_11"/>
      <w:bookmarkStart w:id="1238" w:name="Tc_83ja__CsCEeYUnRlgVOuHA_3_8"/>
      <w:bookmarkStart w:id="1239" w:name="Tc_l5xK38UbOkCBj2ujosOy2A_3_5"/>
      <w:bookmarkStart w:id="1240" w:name="Tc_NEH0HX_pz0aBCQOIpW7qkQ_3_2"/>
      <w:bookmarkStart w:id="1241" w:name="Tc_ZuPUSK3mNEe3a9S13aqJzg_2_11"/>
      <w:bookmarkStart w:id="1242" w:name="Tc_OIHsCI36Mke_RSsMGtxvkg_2_8"/>
      <w:bookmarkStart w:id="1243" w:name="Tc_FbD6dnxAIk6C-a6x0jJDJQ_1_2"/>
      <w:bookmarkStart w:id="1244" w:name="_9420d2c3_4102_48fb_af9e_11d675399932"/>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p>
    <w:tbl>
      <w:tblPr>
        <w:tblW w:w="7623" w:type="dxa"/>
        <w:jc w:val="left"/>
        <w:tblInd w:w="0" w:type="dxa"/>
        <w:tblLayout w:type="fixed"/>
        <w:tblCellMar>
          <w:top w:w="0" w:type="dxa"/>
          <w:left w:w="0" w:type="dxa"/>
          <w:bottom w:w="0" w:type="dxa"/>
          <w:right w:w="0" w:type="dxa"/>
        </w:tblCellMar>
      </w:tblPr>
      <w:tblGrid>
        <w:gridCol w:w="1471"/>
        <w:gridCol w:w="326"/>
        <w:gridCol w:w="336"/>
        <w:gridCol w:w="909"/>
        <w:gridCol w:w="326"/>
        <w:gridCol w:w="270"/>
        <w:gridCol w:w="811"/>
        <w:gridCol w:w="326"/>
        <w:gridCol w:w="251"/>
        <w:gridCol w:w="680"/>
        <w:gridCol w:w="326"/>
        <w:gridCol w:w="159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934085" cy="175260"/>
                      <wp:effectExtent l="0" t="0" r="0" b="0"/>
                      <wp:wrapNone/>
                      <wp:docPr id="183" name="Frame18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3360" cy="175260"/>
                      <wp:effectExtent l="0" t="0" r="0" b="0"/>
                      <wp:wrapNone/>
                      <wp:docPr id="185" name="Frame185"/>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77215" cy="175260"/>
                      <wp:effectExtent l="0" t="0" r="0" b="0"/>
                      <wp:wrapNone/>
                      <wp:docPr id="186" name="Frame186"/>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1450" cy="175260"/>
                      <wp:effectExtent l="0" t="0" r="0" b="0"/>
                      <wp:wrapNone/>
                      <wp:docPr id="188" name="Frame18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14985" cy="175260"/>
                      <wp:effectExtent l="0" t="0" r="0" b="0"/>
                      <wp:wrapNone/>
                      <wp:docPr id="189" name="Frame18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9385" cy="175260"/>
                      <wp:effectExtent l="0" t="0" r="0" b="0"/>
                      <wp:wrapNone/>
                      <wp:docPr id="191" name="Frame19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1800" cy="175260"/>
                      <wp:effectExtent l="0" t="0" r="0" b="0"/>
                      <wp:wrapNone/>
                      <wp:docPr id="192" name="Frame192"/>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010285" cy="175260"/>
                      <wp:effectExtent l="0" t="0" r="0" b="0"/>
                      <wp:wrapNone/>
                      <wp:docPr id="194" name="Frame194"/>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6" w:type="dxa"/>
            <w:tcBorders/>
            <w:vAlign w:val="center"/>
          </w:tcPr>
          <w:p>
            <w:pPr>
              <w:pStyle w:val="TableContents"/>
              <w:bidi w:val="0"/>
              <w:spacing w:before="0" w:after="1"/>
              <w:ind w:left="0" w:right="0" w:hanging="0"/>
              <w:jc w:val="center"/>
              <w:rPr/>
            </w:pPr>
            <w:r>
              <w:rPr/>
              <w:t>​</w:t>
            </w:r>
          </w:p>
        </w:tc>
        <w:tc>
          <w:tcPr>
            <w:tcW w:w="9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70"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2,959</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26"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3,565</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(2,956)</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6,524</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amortization expense of $0.3 million and $0.9 million for each of the three and nine months ended September 30, 2024 and 2023,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details the estimated amortization of identifiable intangible assets as of September 30, 2024 (in thousands):</w:t>
      </w:r>
    </w:p>
    <w:tbl>
      <w:tblPr>
        <w:tblW w:w="9752" w:type="dxa"/>
        <w:jc w:val="left"/>
        <w:tblInd w:w="0" w:type="dxa"/>
        <w:tblLayout w:type="fixed"/>
        <w:tblCellMar>
          <w:top w:w="0" w:type="dxa"/>
          <w:left w:w="0" w:type="dxa"/>
          <w:bottom w:w="0" w:type="dxa"/>
          <w:right w:w="0" w:type="dxa"/>
        </w:tblCellMar>
      </w:tblPr>
      <w:tblGrid>
        <w:gridCol w:w="2116"/>
        <w:gridCol w:w="326"/>
        <w:gridCol w:w="211"/>
        <w:gridCol w:w="571"/>
        <w:gridCol w:w="326"/>
        <w:gridCol w:w="343"/>
        <w:gridCol w:w="932"/>
        <w:gridCol w:w="109"/>
        <w:gridCol w:w="254"/>
        <w:gridCol w:w="692"/>
        <w:gridCol w:w="109"/>
        <w:gridCol w:w="384"/>
        <w:gridCol w:w="1042"/>
        <w:gridCol w:w="109"/>
        <w:gridCol w:w="335"/>
        <w:gridCol w:w="670"/>
        <w:gridCol w:w="326"/>
        <w:gridCol w:w="211"/>
        <w:gridCol w:w="68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43660" cy="175260"/>
                      <wp:effectExtent l="0" t="0" r="0" b="0"/>
                      <wp:wrapNone/>
                      <wp:docPr id="195" name="Frame195"/>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62585" cy="175260"/>
                      <wp:effectExtent l="0" t="0" r="0" b="0"/>
                      <wp:wrapNone/>
                      <wp:docPr id="198" name="Frame1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7805" cy="175260"/>
                      <wp:effectExtent l="0" t="0" r="0" b="0"/>
                      <wp:wrapNone/>
                      <wp:docPr id="200" name="Frame200"/>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91820" cy="175260"/>
                      <wp:effectExtent l="0" t="0" r="0" b="0"/>
                      <wp:wrapNone/>
                      <wp:docPr id="201" name="Frame201"/>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1290" cy="175260"/>
                      <wp:effectExtent l="0" t="0" r="0" b="0"/>
                      <wp:wrapNone/>
                      <wp:docPr id="203" name="Frame203"/>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39420" cy="175260"/>
                      <wp:effectExtent l="0" t="0" r="0" b="0"/>
                      <wp:wrapNone/>
                      <wp:docPr id="204" name="Frame204"/>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43840" cy="175260"/>
                      <wp:effectExtent l="0" t="0" r="0" b="0"/>
                      <wp:wrapNone/>
                      <wp:docPr id="206" name="Frame206"/>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61670" cy="175260"/>
                      <wp:effectExtent l="0" t="0" r="0" b="0"/>
                      <wp:wrapNone/>
                      <wp:docPr id="207" name="Frame207"/>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2725" cy="175260"/>
                      <wp:effectExtent l="0" t="0" r="0" b="0"/>
                      <wp:wrapNone/>
                      <wp:docPr id="209" name="Frame20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25450" cy="175260"/>
                      <wp:effectExtent l="0" t="0" r="0" b="0"/>
                      <wp:wrapNone/>
                      <wp:docPr id="210" name="Frame210"/>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35610" cy="175260"/>
                      <wp:effectExtent l="0" t="0" r="0" b="0"/>
                      <wp:wrapNone/>
                      <wp:docPr id="213" name="Frame21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Developed </w:t>
            </w:r>
          </w:p>
        </w:tc>
        <w:tc>
          <w:tcPr>
            <w:tcW w:w="109" w:type="dxa"/>
            <w:tcBorders/>
            <w:vAlign w:val="center"/>
          </w:tcPr>
          <w:p>
            <w:pPr>
              <w:pStyle w:val="TableContents"/>
              <w:bidi w:val="0"/>
              <w:spacing w:before="0" w:after="1"/>
              <w:ind w:left="0" w:right="0" w:hanging="0"/>
              <w:jc w:val="left"/>
              <w:rPr/>
            </w:pPr>
            <w:r>
              <w:rPr/>
              <w:t>​</w:t>
            </w:r>
          </w:p>
        </w:tc>
        <w:tc>
          <w:tcPr>
            <w:tcW w:w="14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Customer-Related</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6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lef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Patents</w:t>
            </w:r>
          </w:p>
        </w:tc>
        <w:tc>
          <w:tcPr>
            <w:tcW w:w="326" w:type="dxa"/>
            <w:tcBorders/>
            <w:vAlign w:val="center"/>
          </w:tcPr>
          <w:p>
            <w:pPr>
              <w:pStyle w:val="TableContents"/>
              <w:bidi w:val="0"/>
              <w:spacing w:before="0" w:after="1"/>
              <w:ind w:left="0" w:right="0" w:hanging="0"/>
              <w:jc w:val="center"/>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Defensive Assets</w:t>
            </w:r>
          </w:p>
        </w:tc>
        <w:tc>
          <w:tcPr>
            <w:tcW w:w="109" w:type="dxa"/>
            <w:tcBorders/>
            <w:vAlign w:val="center"/>
          </w:tcPr>
          <w:p>
            <w:pPr>
              <w:pStyle w:val="TableContents"/>
              <w:bidi w:val="0"/>
              <w:spacing w:before="0" w:after="1"/>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109" w:type="dxa"/>
            <w:tcBorders/>
            <w:vAlign w:val="center"/>
          </w:tcPr>
          <w:p>
            <w:pPr>
              <w:pStyle w:val="TableContents"/>
              <w:bidi w:val="0"/>
              <w:spacing w:before="0" w:after="1"/>
              <w:ind w:left="0" w:right="0" w:hanging="0"/>
              <w:jc w:val="left"/>
              <w:rPr/>
            </w:pPr>
            <w:r>
              <w:rPr/>
              <w:t>​</w:t>
            </w:r>
          </w:p>
        </w:tc>
        <w:tc>
          <w:tcPr>
            <w:tcW w:w="14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Trade Name</w:t>
            </w:r>
          </w:p>
        </w:tc>
        <w:tc>
          <w:tcPr>
            <w:tcW w:w="326" w:type="dxa"/>
            <w:tcBorders/>
            <w:vAlign w:val="center"/>
          </w:tcPr>
          <w:p>
            <w:pPr>
              <w:pStyle w:val="TableContents"/>
              <w:bidi w:val="0"/>
              <w:spacing w:before="0" w:after="1"/>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 (remaining)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6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pPr>
            <w:r>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6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6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pPr>
            <w:r>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6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1,541</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109" w:type="dxa"/>
            <w:tcBorders/>
            <w:vAlign w:val="center"/>
          </w:tcPr>
          <w:p>
            <w:pPr>
              <w:pStyle w:val="TableContents"/>
              <w:bidi w:val="0"/>
              <w:spacing w:before="0" w:after="1"/>
              <w:ind w:left="0" w:right="0" w:hanging="0"/>
              <w:jc w:val="left"/>
              <w:rPr/>
            </w:pPr>
            <w:r>
              <w:rPr/>
              <w:t>​</w:t>
            </w:r>
          </w:p>
        </w:tc>
        <w:tc>
          <w:tcPr>
            <w:tcW w:w="3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w:t>
            </w:r>
          </w:p>
        </w:tc>
        <w:tc>
          <w:tcPr>
            <w:tcW w:w="109"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2,523</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3,125</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109" w:type="dxa"/>
            <w:tcBorders/>
            <w:shd w:fill="CCEEFF" w:val="clear"/>
            <w:vAlign w:val="center"/>
          </w:tcPr>
          <w:p>
            <w:pPr>
              <w:pStyle w:val="TableContents"/>
              <w:bidi w:val="0"/>
              <w:spacing w:before="0" w:after="1"/>
              <w:ind w:left="0" w:right="0" w:hanging="0"/>
              <w:jc w:val="left"/>
              <w:rPr/>
            </w:pPr>
            <w:r>
              <w:rPr/>
              <w:t>​</w:t>
            </w:r>
          </w:p>
        </w:tc>
        <w:tc>
          <w:tcPr>
            <w:tcW w:w="3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8,548</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45" w:name="Tc_zqmOKTScR0mprxEcQFgOVQ_9_5"/>
      <w:bookmarkStart w:id="1246" w:name="Tc_eW4Zb9YmokKmfa4vyTBlTA_9_2"/>
      <w:bookmarkStart w:id="1247" w:name="Tc_A-67EEZjskGegQtanL_cpg_9_0"/>
      <w:bookmarkStart w:id="1248" w:name="Tc_BqQAwPSWqkK4lE3Cv5vCig_8_0"/>
      <w:bookmarkStart w:id="1249" w:name="Tc_123jMlyi0EevA34Qu0qycg_7_6"/>
      <w:bookmarkStart w:id="1250" w:name="Tc_hZBqrhejZEiVaq--_xOavQ_7_0"/>
      <w:bookmarkStart w:id="1251" w:name="Tc_XdNUhFeOKUGaTUdErbEZgQ_6_0"/>
      <w:bookmarkStart w:id="1252" w:name="Tc_WDWzXcLeAEuitFOR0Vry8w_5_3"/>
      <w:bookmarkStart w:id="1253" w:name="Tc_YrlPeiRnCkCr36FqI0FDbw_5_0"/>
      <w:bookmarkStart w:id="1254" w:name="Tc_pBkwUv_VoEmJ1-mdV2k7SA_4_0"/>
      <w:bookmarkStart w:id="1255" w:name="Tc_N3D1KKWo2kuRkIZaIAfoZw_3_0"/>
      <w:bookmarkStart w:id="1256" w:name="Tc_6561Kq5ToEiulKy69uo_yQ_2_5"/>
      <w:bookmarkStart w:id="1257" w:name="Tc_NRSBbuqcSUuaMdeHDaCcAg_2_2"/>
      <w:bookmarkStart w:id="1258" w:name="Tc_ijfnd3d3KU-Xuid64_9EuA_2_0"/>
      <w:bookmarkStart w:id="1259" w:name="Tc_oNKv3-oihEapdsL4Szm9Dw_1_5"/>
      <w:bookmarkStart w:id="1260" w:name="Tc_rQy5e2foGU26rxp4cfpZmA_1_2"/>
      <w:bookmarkStart w:id="1261" w:name="_217a9570_6961_4f22_b850_b47faa4c5d19"/>
      <w:bookmarkStart w:id="1262" w:name="Tc_zqmOKTScR0mprxEcQFgOVQ_9_5"/>
      <w:bookmarkStart w:id="1263" w:name="Tc_eW4Zb9YmokKmfa4vyTBlTA_9_2"/>
      <w:bookmarkStart w:id="1264" w:name="Tc_A-67EEZjskGegQtanL_cpg_9_0"/>
      <w:bookmarkStart w:id="1265" w:name="Tc_BqQAwPSWqkK4lE3Cv5vCig_8_0"/>
      <w:bookmarkStart w:id="1266" w:name="Tc_123jMlyi0EevA34Qu0qycg_7_6"/>
      <w:bookmarkStart w:id="1267" w:name="Tc_hZBqrhejZEiVaq--_xOavQ_7_0"/>
      <w:bookmarkStart w:id="1268" w:name="Tc_XdNUhFeOKUGaTUdErbEZgQ_6_0"/>
      <w:bookmarkStart w:id="1269" w:name="Tc_WDWzXcLeAEuitFOR0Vry8w_5_3"/>
      <w:bookmarkStart w:id="1270" w:name="Tc_YrlPeiRnCkCr36FqI0FDbw_5_0"/>
      <w:bookmarkStart w:id="1271" w:name="Tc_pBkwUv_VoEmJ1-mdV2k7SA_4_0"/>
      <w:bookmarkStart w:id="1272" w:name="Tc_N3D1KKWo2kuRkIZaIAfoZw_3_0"/>
      <w:bookmarkStart w:id="1273" w:name="Tc_6561Kq5ToEiulKy69uo_yQ_2_5"/>
      <w:bookmarkStart w:id="1274" w:name="Tc_NRSBbuqcSUuaMdeHDaCcAg_2_2"/>
      <w:bookmarkStart w:id="1275" w:name="Tc_ijfnd3d3KU-Xuid64_9EuA_2_0"/>
      <w:bookmarkStart w:id="1276" w:name="Tc_oNKv3-oihEapdsL4Szm9Dw_1_5"/>
      <w:bookmarkStart w:id="1277" w:name="Tc_rQy5e2foGU26rxp4cfpZmA_1_2"/>
      <w:bookmarkStart w:id="1278" w:name="_217a9570_6961_4f22_b850_b47faa4c5d19"/>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p>
    <w:tbl>
      <w:tblPr>
        <w:tblW w:w="2687" w:type="dxa"/>
        <w:jc w:val="left"/>
        <w:tblInd w:w="0" w:type="dxa"/>
        <w:tblLayout w:type="fixed"/>
        <w:tblCellMar>
          <w:top w:w="0" w:type="dxa"/>
          <w:left w:w="0" w:type="dxa"/>
          <w:bottom w:w="0" w:type="dxa"/>
          <w:right w:w="0" w:type="dxa"/>
        </w:tblCellMar>
      </w:tblPr>
      <w:tblGrid>
        <w:gridCol w:w="376"/>
        <w:gridCol w:w="231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23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Deposits and Other Assets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deposits and other assets (in thousands) as of:</w:t>
      </w:r>
    </w:p>
    <w:tbl>
      <w:tblPr>
        <w:tblW w:w="6340" w:type="dxa"/>
        <w:jc w:val="left"/>
        <w:tblInd w:w="0" w:type="dxa"/>
        <w:tblLayout w:type="fixed"/>
        <w:tblCellMar>
          <w:top w:w="0" w:type="dxa"/>
          <w:left w:w="0" w:type="dxa"/>
          <w:bottom w:w="0" w:type="dxa"/>
          <w:right w:w="0" w:type="dxa"/>
        </w:tblCellMar>
      </w:tblPr>
      <w:tblGrid>
        <w:gridCol w:w="2596"/>
        <w:gridCol w:w="326"/>
        <w:gridCol w:w="367"/>
        <w:gridCol w:w="1179"/>
        <w:gridCol w:w="326"/>
        <w:gridCol w:w="325"/>
        <w:gridCol w:w="122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48460" cy="175260"/>
                      <wp:effectExtent l="0" t="0" r="0" b="0"/>
                      <wp:wrapNone/>
                      <wp:docPr id="214" name="Frame21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33045" cy="175260"/>
                      <wp:effectExtent l="0" t="0" r="0" b="0"/>
                      <wp:wrapNone/>
                      <wp:docPr id="216" name="Frame216"/>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748665" cy="175260"/>
                      <wp:effectExtent l="0" t="0" r="0" b="0"/>
                      <wp:wrapNone/>
                      <wp:docPr id="217" name="Frame217"/>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6375" cy="175260"/>
                      <wp:effectExtent l="0" t="0" r="0" b="0"/>
                      <wp:wrapNone/>
                      <wp:docPr id="219" name="Frame219"/>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775335" cy="175260"/>
                      <wp:effectExtent l="0" t="0" r="0" b="0"/>
                      <wp:wrapNone/>
                      <wp:docPr id="220" name="Frame220"/>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Prepaid feedstock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w:t>
            </w:r>
          </w:p>
        </w:tc>
        <w:tc>
          <w:tcPr>
            <w:tcW w:w="32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interest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Exclusivity fees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receivable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41,688</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33,602</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Earnest money deposit </w:t>
            </w:r>
            <w:r>
              <w:rPr>
                <w:rFonts w:ascii="Times New Roman;Times;serif" w:hAnsi="Times New Roman;Times;serif"/>
                <w:sz w:val="15"/>
              </w:rPr>
              <w:t>(6)</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221"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assets, net </w:t>
            </w:r>
            <w:r>
              <w:rPr>
                <w:rFonts w:ascii="Times New Roman;Times;serif" w:hAnsi="Times New Roman;Times;serif"/>
                <w:sz w:val="15"/>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8,161</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8,028</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deposits and other assets</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63,524</w:t>
            </w:r>
          </w:p>
        </w:tc>
        <w:tc>
          <w:tcPr>
            <w:tcW w:w="326" w:type="dxa"/>
            <w:tcBorders/>
            <w:vAlign w:val="center"/>
          </w:tcPr>
          <w:p>
            <w:pPr>
              <w:pStyle w:val="TableContents"/>
              <w:bidi w:val="0"/>
              <w:spacing w:before="0" w:after="1"/>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44,319</w:t>
            </w:r>
          </w:p>
        </w:tc>
      </w:tr>
    </w:tbl>
    <w:tbl>
      <w:tblPr>
        <w:tblW w:w="2207" w:type="dxa"/>
        <w:jc w:val="left"/>
        <w:tblInd w:w="0" w:type="dxa"/>
        <w:tblLayout w:type="fixed"/>
        <w:tblCellMar>
          <w:top w:w="0" w:type="dxa"/>
          <w:left w:w="0" w:type="dxa"/>
          <w:bottom w:w="0" w:type="dxa"/>
          <w:right w:w="0" w:type="dxa"/>
        </w:tblCellMar>
      </w:tblPr>
      <w:tblGrid>
        <w:gridCol w:w="346"/>
        <w:gridCol w:w="1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for services.</w:t>
            </w:r>
          </w:p>
        </w:tc>
      </w:tr>
    </w:tbl>
    <w:tbl>
      <w:tblPr>
        <w:tblW w:w="5597" w:type="dxa"/>
        <w:jc w:val="left"/>
        <w:tblInd w:w="0" w:type="dxa"/>
        <w:tblLayout w:type="fixed"/>
        <w:tblCellMar>
          <w:top w:w="0" w:type="dxa"/>
          <w:left w:w="0" w:type="dxa"/>
          <w:bottom w:w="0" w:type="dxa"/>
          <w:right w:w="0" w:type="dxa"/>
        </w:tblCellMar>
      </w:tblPr>
      <w:tblGrid>
        <w:gridCol w:w="346"/>
        <w:gridCol w:w="52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feedstock fees, non-current, for the production of RNG.</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directly holds a 3.6%</w:t>
            </w:r>
            <w:r>
              <w:rPr>
                <w:caps w:val="false"/>
                <w:smallCaps w:val="false"/>
              </w:rPr>
              <w:t xml:space="preserve"> </w:t>
            </w:r>
            <w:r>
              <w:rPr>
                <w:rFonts w:ascii="Times New Roman;Times;serif" w:hAnsi="Times New Roman;Times;serif"/>
                <w:b w:val="false"/>
                <w:i w:val="false"/>
                <w:caps w:val="false"/>
                <w:smallCaps w:val="false"/>
                <w:sz w:val="20"/>
              </w:rPr>
              <w:t>interest in the Series A Preferred Stock of Zero6 Clean Energy Assets, Inc. (“Zero6”), formerly Juhl Clean Energy Assets, Inc., which is not a publicly listed entity with a readily determinable fair value. The Company therefore measures the securities at cost. Recent observable equity raises indicated no impairment issues. This ownership interest is also pledged as collateral against two</w:t>
            </w:r>
            <w:r>
              <w:rPr>
                <w:caps w:val="false"/>
                <w:smallCaps w:val="false"/>
              </w:rPr>
              <w:t xml:space="preserve"> </w:t>
            </w:r>
            <w:r>
              <w:rPr>
                <w:rFonts w:ascii="Times New Roman;Times;serif" w:hAnsi="Times New Roman;Times;serif"/>
                <w:b w:val="false"/>
                <w:i w:val="false"/>
                <w:caps w:val="false"/>
                <w:smallCaps w:val="false"/>
                <w:sz w:val="20"/>
              </w:rPr>
              <w:t>future obligations to Rock County Wind Fuel, LLC (“RCWF”), a Zero6 subsidiary, see Note 15, Commitments and Contingencies, for additional information.</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Axens will provide certain alcohol-to-SAF technologies and services exclusively provided to the Company which may be offset against future license fees subject to the delivery of a process design package.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Deposits provided to a developer of certain wind-farm projects and power utility contractor to induce to design and construct the power generation, transmission and distribution facilities that will serve NZ1, $5.5</w:t>
            </w:r>
            <w:r>
              <w:rPr>
                <w:caps w:val="false"/>
                <w:smallCaps w:val="false"/>
              </w:rPr>
              <w:t xml:space="preserve"> </w:t>
            </w:r>
            <w:r>
              <w:rPr>
                <w:rFonts w:ascii="Times New Roman;Times;serif" w:hAnsi="Times New Roman;Times;serif"/>
                <w:b w:val="false"/>
                <w:i w:val="false"/>
                <w:caps w:val="false"/>
                <w:smallCaps w:val="false"/>
                <w:sz w:val="20"/>
              </w:rPr>
              <w:t>million of which will be either reimbursed or used as an investment into the wind generation facility, with the remaining $36.2</w:t>
            </w:r>
            <w:r>
              <w:rPr>
                <w:caps w:val="false"/>
                <w:smallCaps w:val="false"/>
              </w:rPr>
              <w:t xml:space="preserve"> </w:t>
            </w:r>
            <w:r>
              <w:rPr>
                <w:rFonts w:ascii="Times New Roman;Times;serif" w:hAnsi="Times New Roman;Times;serif"/>
                <w:b w:val="false"/>
                <w:i w:val="false"/>
                <w:caps w:val="false"/>
                <w:smallCaps w:val="false"/>
                <w:sz w:val="20"/>
              </w:rPr>
              <w:t>million expected to be fully reimbursed upon completion of the project. Gevo has contractual priority liens against the equipment and constructed facilities under the contracts.</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Earnest money deposited in connection with the announced Red Trail Purchase Agreement, see Note 1, Nature of Business, Financial Condition and Basis of Presentation for additional information.</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comprised of pre-operation payments for sand separation systems to process manure feedstock which were allocated to the non-lease fuel supply, being amortized over the life of the project.</w:t>
            </w:r>
          </w:p>
        </w:tc>
      </w:tr>
    </w:tbl>
    <w:p>
      <w:pPr>
        <w:pStyle w:val="Normal"/>
        <w:bidi w:val="0"/>
        <w:spacing w:before="0" w:after="0"/>
        <w:jc w:val="left"/>
        <w:rPr>
          <w:sz w:val="4"/>
          <w:szCs w:val="4"/>
        </w:rPr>
      </w:pPr>
      <w:r>
        <w:rPr>
          <w:sz w:val="4"/>
          <w:szCs w:val="4"/>
        </w:rPr>
      </w:r>
      <w:bookmarkStart w:id="1279" w:name="Tc_-mrWi0utskWb3JJlykHOmw_6_5"/>
      <w:bookmarkStart w:id="1280" w:name="Tc_eW4W-jQXsUOJTvPqg0cKpw_6_2"/>
      <w:bookmarkStart w:id="1281" w:name="Tc_DJmGUwIECUiJ0XGi8_X7oQ_6_0"/>
      <w:bookmarkStart w:id="1282" w:name="Tc_d74Px7ACd0-764AQf6lvPg_5_0"/>
      <w:bookmarkStart w:id="1283" w:name="Tc_PchFaxUAJkS-Wj2QEbPh8w_4_0"/>
      <w:bookmarkStart w:id="1284" w:name="Tc_OP3cEboQ2EaLAO8PL2zRDw_3_0"/>
      <w:bookmarkStart w:id="1285" w:name="Tc_8uemf1HBJUSfx2-Lv_U6eQ_2_5"/>
      <w:bookmarkStart w:id="1286" w:name="Tc_LfzZF9vEOUyWj2j-cTIL0A_2_2"/>
      <w:bookmarkStart w:id="1287" w:name="Tc_rd0sBfJOl0-_RbKJmkiAAg_2_0"/>
      <w:bookmarkStart w:id="1288" w:name="Tc_5qzFFJggRUOXZr-AGQ4Y-g_1_5"/>
      <w:bookmarkStart w:id="1289" w:name="Tc_C8NJaydozUC7kwOPANfDHg_1_2"/>
      <w:bookmarkStart w:id="1290" w:name="_e47aa786_3f8e_4bbf_85a7_01a6b4c392a5"/>
      <w:bookmarkStart w:id="1291" w:name="Tc_-mrWi0utskWb3JJlykHOmw_6_5"/>
      <w:bookmarkStart w:id="1292" w:name="Tc_eW4W-jQXsUOJTvPqg0cKpw_6_2"/>
      <w:bookmarkStart w:id="1293" w:name="Tc_DJmGUwIECUiJ0XGi8_X7oQ_6_0"/>
      <w:bookmarkStart w:id="1294" w:name="Tc_d74Px7ACd0-764AQf6lvPg_5_0"/>
      <w:bookmarkStart w:id="1295" w:name="Tc_PchFaxUAJkS-Wj2QEbPh8w_4_0"/>
      <w:bookmarkStart w:id="1296" w:name="Tc_OP3cEboQ2EaLAO8PL2zRDw_3_0"/>
      <w:bookmarkStart w:id="1297" w:name="Tc_8uemf1HBJUSfx2-Lv_U6eQ_2_5"/>
      <w:bookmarkStart w:id="1298" w:name="Tc_LfzZF9vEOUyWj2j-cTIL0A_2_2"/>
      <w:bookmarkStart w:id="1299" w:name="Tc_rd0sBfJOl0-_RbKJmkiAAg_2_0"/>
      <w:bookmarkStart w:id="1300" w:name="Tc_5qzFFJggRUOXZr-AGQ4Y-g_1_5"/>
      <w:bookmarkStart w:id="1301" w:name="Tc_C8NJaydozUC7kwOPANfDHg_1_2"/>
      <w:bookmarkStart w:id="1302" w:name="_e47aa786_3f8e_4bbf_85a7_01a6b4c392a5"/>
      <w:bookmarkEnd w:id="1291"/>
      <w:bookmarkEnd w:id="1292"/>
      <w:bookmarkEnd w:id="1293"/>
      <w:bookmarkEnd w:id="1294"/>
      <w:bookmarkEnd w:id="1295"/>
      <w:bookmarkEnd w:id="1296"/>
      <w:bookmarkEnd w:id="1297"/>
      <w:bookmarkEnd w:id="1298"/>
      <w:bookmarkEnd w:id="1299"/>
      <w:bookmarkEnd w:id="1300"/>
      <w:bookmarkEnd w:id="1301"/>
      <w:bookmarkEnd w:id="1302"/>
    </w:p>
    <w:tbl>
      <w:tblPr>
        <w:tblW w:w="4052" w:type="dxa"/>
        <w:jc w:val="left"/>
        <w:tblInd w:w="0" w:type="dxa"/>
        <w:tblLayout w:type="fixed"/>
        <w:tblCellMar>
          <w:top w:w="0" w:type="dxa"/>
          <w:left w:w="0" w:type="dxa"/>
          <w:bottom w:w="0" w:type="dxa"/>
          <w:right w:w="0" w:type="dxa"/>
        </w:tblCellMar>
      </w:tblPr>
      <w:tblGrid>
        <w:gridCol w:w="376"/>
        <w:gridCol w:w="367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36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Accounts Payable and Accrued Liabilities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accounts payable and accrued liabilities (in thousands) as of:</w:t>
      </w:r>
    </w:p>
    <w:tbl>
      <w:tblPr>
        <w:tblW w:w="7600" w:type="dxa"/>
        <w:jc w:val="left"/>
        <w:tblInd w:w="0" w:type="dxa"/>
        <w:tblLayout w:type="fixed"/>
        <w:tblCellMar>
          <w:top w:w="0" w:type="dxa"/>
          <w:left w:w="0" w:type="dxa"/>
          <w:bottom w:w="0" w:type="dxa"/>
          <w:right w:w="0" w:type="dxa"/>
        </w:tblCellMar>
      </w:tblPr>
      <w:tblGrid>
        <w:gridCol w:w="3856"/>
        <w:gridCol w:w="326"/>
        <w:gridCol w:w="367"/>
        <w:gridCol w:w="1179"/>
        <w:gridCol w:w="326"/>
        <w:gridCol w:w="325"/>
        <w:gridCol w:w="122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448560" cy="175260"/>
                      <wp:effectExtent l="0" t="0" r="0" b="0"/>
                      <wp:wrapNone/>
                      <wp:docPr id="221" name="Frame221"/>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33045" cy="175260"/>
                      <wp:effectExtent l="0" t="0" r="0" b="0"/>
                      <wp:wrapNone/>
                      <wp:docPr id="223" name="Frame223"/>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748665" cy="175260"/>
                      <wp:effectExtent l="0" t="0" r="0" b="0"/>
                      <wp:wrapNone/>
                      <wp:docPr id="224" name="Frame224"/>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6375" cy="175260"/>
                      <wp:effectExtent l="0" t="0" r="0" b="0"/>
                      <wp:wrapNone/>
                      <wp:docPr id="226" name="Frame226"/>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775335" cy="175260"/>
                      <wp:effectExtent l="0" t="0" r="0" b="0"/>
                      <wp:wrapNone/>
                      <wp:docPr id="227" name="Frame227"/>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2,718</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12,095</w:t>
            </w:r>
          </w:p>
        </w:tc>
        <w:tc>
          <w:tcPr>
            <w:tcW w:w="32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6,448</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5,600</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6,965</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related benefits</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7,089</w:t>
            </w:r>
          </w:p>
        </w:tc>
        <w:tc>
          <w:tcPr>
            <w:tcW w:w="32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6,621</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26,396</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22,752</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917" w:type="dxa"/>
        <w:jc w:val="left"/>
        <w:tblInd w:w="0" w:type="dxa"/>
        <w:tblLayout w:type="fixed"/>
        <w:tblCellMar>
          <w:top w:w="0" w:type="dxa"/>
          <w:left w:w="0" w:type="dxa"/>
          <w:bottom w:w="0" w:type="dxa"/>
          <w:right w:w="0" w:type="dxa"/>
        </w:tblCellMar>
      </w:tblPr>
      <w:tblGrid>
        <w:gridCol w:w="376"/>
        <w:gridCol w:w="5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5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2021 Bond Issuance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15, 2021, on behalf of Gevo NW Iowa RNG, LLC, the Iowa Finance Authority (the “Issuer”)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2021 Bonds were issued under a Trust Indenture dated April 1, 2021 (the “Indenture”) between the Issuer and Citibank, N.A. as trustee (the “Trustee”). The 2021 Bonds had a maturity date of January 1, 2042. The bonds bore interest at 1.5% per annum during the Initial Term Rate Period (as defined in the Indenture), payable semi-annually on January 1 and July 1 of each year. The effective interest rate was 1.1%. The 2021 Bonds were supported by the $71.2 million Bond Letter of Credit; see Note 4, Restricted Cash. The Trustee could draw sufficient amounts on the Bond Letter of Credit to pay the principal and interest until the first mandatory tender date of April 1, 2024. The 2021 Bonds were callable and re-marketable on or after October 1,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2021 Bonds were issued at a premium of $0.8 million and debt issuance costs were $3.0 million. The bond debt was classified as current debt and is presented net of the premium and issuance costs, which were being amortized over the life of the 2021 Bonds using the interest method. As of December 31, 2023, the premium balance and the debt issuance cost net of amortization were $0.1 million and $0.3 million, respectively. As of the Conversion Date (defined below) all premiums and debt issuance costs were fully amortized.</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2024 Bond Remarketing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 2024 (the “Conversion Date”), the 2021 Bonds became subject to mandatory tender for purchase and have been remarketed to bear interest in a new term rate period (the “Remarketed Bonds”). In connection with the conversion and remarketing of the 2021 Bonds on the Conversion Date, the original Indenture was amended by a First Supplemental Indenture dated April 1, 2024 (together with the original Indenture the “First Supplemental Indenture,”) between the Issuer and the Trustee. The original bond financing agreement was amended by a First Supplemental Bond Financing Agreement dated April 1, 2024 (together with the original bond financing Agreement, the “First Supplemental Bond Financing Agreement”) between the Issuer and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303" w:name="Tc_i7fecdDW9EWv11GyfHMV5A_5_2"/>
      <w:bookmarkStart w:id="1304" w:name="Tc_P5azxckN7062LUrjZysYKA_5_0"/>
      <w:bookmarkStart w:id="1305" w:name="Tc_eVAeujznnUqzaeyCej8BfQ_4_0"/>
      <w:bookmarkStart w:id="1306" w:name="Tc_dZjVxzqXJEm3K3naW4Ovgw_3_0"/>
      <w:bookmarkStart w:id="1307" w:name="Tc__6VP99eFykm2TXA4fDzwHQ_2_2"/>
      <w:bookmarkStart w:id="1308" w:name="Tc_JJLGH46TmUeXOyuTxFRPYg_2_0"/>
      <w:bookmarkStart w:id="1309" w:name="Tc_WRCz-BfUnkmQagSnAS4K5A_1_2"/>
      <w:bookmarkStart w:id="1310" w:name="Tc_xZI16mQq90mJhBD149lYOA_1_0"/>
      <w:bookmarkStart w:id="1311" w:name="_564897e9_b547_43c8_8642_b94699b0d0d1"/>
      <w:bookmarkStart w:id="1312" w:name="Tc_KxdjE9Zhy0m1PY5DU6utFw_10_9"/>
      <w:bookmarkStart w:id="1313" w:name="Tc_DBaiTqJ6kkSLB_csbGu9qw_10_6"/>
      <w:bookmarkStart w:id="1314" w:name="Tc_jvPo6tc--0-cSNQ_CggAkw_10_0"/>
      <w:bookmarkStart w:id="1315" w:name="Tc_E4pvJ1wXlUGyMypHU8QqPg_9_0"/>
      <w:bookmarkStart w:id="1316" w:name="Tc_PCj332ecLkuXz2n1ZAsIRQ_8_9"/>
      <w:bookmarkStart w:id="1317" w:name="Tc_Ccc4IktA7E2aAvhRDfp1Qg_8_6"/>
      <w:bookmarkStart w:id="1318" w:name="Tc_Mb79BU2xV0a1g2CiyW2a-g_8_0"/>
      <w:bookmarkStart w:id="1319" w:name="Tc_F8lmiXiXEk2851K1T6sdug_7_0"/>
      <w:bookmarkStart w:id="1320" w:name="Tc_2hPdJnA-502Hn2ooX8wuVw_6_0"/>
      <w:bookmarkStart w:id="1321" w:name="Tc_S8WCYfT-OE-WQiM4jYUhwA_5_4"/>
      <w:bookmarkStart w:id="1322" w:name="Tc_vpIRonYRsEu9sfhwXK7HLw_5_2"/>
      <w:bookmarkStart w:id="1323" w:name="Tc_JVJcHh2uyUSBYt-1yYM10w_5_0"/>
      <w:bookmarkStart w:id="1324" w:name="Tc_1zTFLqvSnUC-76E-Feaerg_4_4"/>
      <w:bookmarkStart w:id="1325" w:name="Tc_2xKL_D-q3Ee3sYYXS5UhtQ_4_0"/>
      <w:bookmarkStart w:id="1326" w:name="Tc_f8LgDmmImkq8hpPo-HfGMQ_3_9"/>
      <w:bookmarkStart w:id="1327" w:name="Tc__uumsr6A3EK8QbAyiSi39w_3_6"/>
      <w:bookmarkStart w:id="1328" w:name="Tc_aOvdY1wnC0GxFtBdaJ_2WQ_3_4"/>
      <w:bookmarkStart w:id="1329" w:name="Tc_K0UhMdL4nEmlrw6iZeQusQ_3_0"/>
      <w:bookmarkStart w:id="1330" w:name="Tc_lClU-yjIwkScxki5own4mw_2_9"/>
      <w:bookmarkStart w:id="1331" w:name="Tc_m9PBitz050W8PCWjjWaqbg_2_6"/>
      <w:bookmarkStart w:id="1332" w:name="Tc_w5XYR7zWpESd-vmflUVWqA_2_4"/>
      <w:bookmarkStart w:id="1333" w:name="Tc_BfQKWpjNZkeoy6OR03nfow_2_2"/>
      <w:bookmarkStart w:id="1334" w:name="_91deaaf2_7188_45d5_af8e_f08703d61fab"/>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r>
        <w:rPr>
          <w:rFonts w:ascii="Times New Roman;Times;serif" w:hAnsi="Times New Roman;Times;serif"/>
          <w:sz w:val="20"/>
        </w:rPr>
        <w:t>The Remarketed Bonds retained the same maturity date of January 1, 2042. The Remarketed Bonds now bear interest of 3.875% per annum during the Initial Term Rate Period (as defined in the Indenture), payable semi-annually. The effective interest rate is 1.2%. The Company incurred $1.7 million of debt issuance costs associated with the remarketing. As of September 30, 2024, debt issuance costs net of amortization were $1.3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Remarketed Bonds are supported by a $69.6 million New Bond Letter of Credit; see Note 4, Restricted Cash, issued to the incumbent Trustee that can draw sufficient amounts on the New Bond Letter of Credit to pay the principal and interest, in case of default, until the first mandatory tender date of April 1, 2026. The Remarketed Bonds are callable and re-marketable on or after November 1, 2024. If the Remarketed Bonds have not been called and re-marketed by the first mandatory tender date, the Trustee may draw on the New Bond Letter of Credit to repay the bonds in their entirety at the purchase price. As of September 30, 2024, no amounts have been drawn under the New Bond Letter of Credit.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Loans Payable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2020, the Company entered into loan agreements with Live Oak Banking Company, pursuant to which the Company obtained loans from the Small Business Administration’s Paycheck Protection Program (“SBA PPP”) totaling $1.0 million (the “SBA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2021, the balance of $0.6 million of loans and accrued interest obtained through the SBA PPP were forgiven. The remaining SBA Loan totals $0.2 million, bears interest at 1.0% per annum and matures in April 2025. Monthly payments of $8,230, including interest, began on June 5, 2021, and are payable through April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summary of the Company’s long-term debt is as follows (in thousands) as of:</w:t>
      </w:r>
    </w:p>
    <w:tbl>
      <w:tblPr>
        <w:tblW w:w="8884" w:type="dxa"/>
        <w:jc w:val="left"/>
        <w:tblInd w:w="0" w:type="dxa"/>
        <w:tblLayout w:type="fixed"/>
        <w:tblCellMar>
          <w:top w:w="0" w:type="dxa"/>
          <w:left w:w="0" w:type="dxa"/>
          <w:bottom w:w="0" w:type="dxa"/>
          <w:right w:w="0" w:type="dxa"/>
        </w:tblCellMar>
      </w:tblPr>
      <w:tblGrid>
        <w:gridCol w:w="2056"/>
        <w:gridCol w:w="326"/>
        <w:gridCol w:w="1051"/>
        <w:gridCol w:w="326"/>
        <w:gridCol w:w="1381"/>
        <w:gridCol w:w="326"/>
        <w:gridCol w:w="367"/>
        <w:gridCol w:w="1179"/>
        <w:gridCol w:w="326"/>
        <w:gridCol w:w="328"/>
        <w:gridCol w:w="1218"/>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05560" cy="175260"/>
                      <wp:effectExtent l="0" t="0" r="0" b="0"/>
                      <wp:wrapNone/>
                      <wp:docPr id="228" name="Frame228"/>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67385" cy="175260"/>
                      <wp:effectExtent l="0" t="0" r="0" b="0"/>
                      <wp:wrapNone/>
                      <wp:docPr id="230" name="Frame23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876935" cy="175260"/>
                      <wp:effectExtent l="0" t="0" r="0" b="0"/>
                      <wp:wrapNone/>
                      <wp:docPr id="232" name="Frame232"/>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33045" cy="175260"/>
                      <wp:effectExtent l="0" t="0" r="0" b="0"/>
                      <wp:wrapNone/>
                      <wp:docPr id="234" name="Frame234"/>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748665" cy="175260"/>
                      <wp:effectExtent l="0" t="0" r="0" b="0"/>
                      <wp:wrapNone/>
                      <wp:docPr id="235" name="Frame235"/>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8280" cy="175260"/>
                      <wp:effectExtent l="0" t="0" r="0" b="0"/>
                      <wp:wrapNone/>
                      <wp:docPr id="237" name="Frame237"/>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773430" cy="175260"/>
                      <wp:effectExtent l="0" t="0" r="0" b="0"/>
                      <wp:wrapNone/>
                      <wp:docPr id="238" name="Frame238"/>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38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left"/>
              <w:rPr/>
            </w:pPr>
            <w:r>
              <w:rPr/>
              <w:t>​</w:t>
            </w:r>
          </w:p>
        </w:tc>
      </w:tr>
      <w:tr>
        <w:trPr/>
        <w:tc>
          <w:tcPr>
            <w:tcW w:w="2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26" w:type="dxa"/>
            <w:tcBorders/>
            <w:vAlign w:val="center"/>
          </w:tcPr>
          <w:p>
            <w:pPr>
              <w:pStyle w:val="TableContents"/>
              <w:bidi w:val="0"/>
              <w:spacing w:before="0" w:after="1"/>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Remarketed Bonds, net</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2042</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SBA Loans</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2025</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 to 5%</w:t>
            </w:r>
          </w:p>
        </w:tc>
        <w:tc>
          <w:tcPr>
            <w:tcW w:w="32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2024</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68,208</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68,306</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costs</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net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66,955</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68,118</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(68,097)</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debt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66,902</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Future payments for the Company’s long-term debt are as follows (in thousands):</w:t>
      </w:r>
    </w:p>
    <w:tbl>
      <w:tblPr>
        <w:tblW w:w="3444" w:type="dxa"/>
        <w:jc w:val="left"/>
        <w:tblInd w:w="0" w:type="dxa"/>
        <w:tblLayout w:type="fixed"/>
        <w:tblCellMar>
          <w:top w:w="0" w:type="dxa"/>
          <w:left w:w="0" w:type="dxa"/>
          <w:bottom w:w="0" w:type="dxa"/>
          <w:right w:w="0" w:type="dxa"/>
        </w:tblCellMar>
      </w:tblPr>
      <w:tblGrid>
        <w:gridCol w:w="2116"/>
        <w:gridCol w:w="326"/>
        <w:gridCol w:w="211"/>
        <w:gridCol w:w="79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43660" cy="175260"/>
                      <wp:effectExtent l="0" t="0" r="0" b="0"/>
                      <wp:wrapNone/>
                      <wp:docPr id="239" name="Frame239"/>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02285" cy="175260"/>
                      <wp:effectExtent l="0" t="0" r="0" b="0"/>
                      <wp:wrapNone/>
                      <wp:docPr id="242" name="Frame24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1"/>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Debt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 (remaining)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68,208</w:t>
            </w:r>
          </w:p>
        </w:tc>
      </w:tr>
    </w:tbl>
    <w:p>
      <w:pPr>
        <w:pStyle w:val="TextBody"/>
        <w:bidi w:val="0"/>
        <w:spacing w:before="0" w:after="240"/>
        <w:ind w:left="0" w:right="0" w:firstLine="360"/>
        <w:jc w:val="left"/>
        <w:rPr/>
      </w:pPr>
      <w:r>
        <w:rPr/>
        <w:t>​</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24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Equity incentive plans</w:t>
      </w:r>
      <w:r>
        <w:rPr>
          <w:rFonts w:ascii="Times New Roman;Times;serif" w:hAnsi="Times New Roman;Times;serif"/>
          <w:sz w:val="20"/>
        </w:rPr>
        <w:t>. In February 2011, the Company’s stockholders approved the Gevo, Inc. 2010 Stock Incentive Plan (as amended and restated to date, the “2010 Plan”), and the Employee Stock Purchase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335" w:name="Tc_Q2lbTEX9HUqKs4VOwA6s1w_12_13"/>
      <w:bookmarkStart w:id="1336" w:name="Tc_NvlRpGlOhkODg7Swju8O2A_12_10"/>
      <w:bookmarkStart w:id="1337" w:name="Tc_MR8hT5FKXkqoBqsCeiS80w_12_4"/>
      <w:bookmarkStart w:id="1338" w:name="Tc_uh9BXQtUmUGdwqtcQdCTqA_12_0"/>
      <w:bookmarkStart w:id="1339" w:name="Tc_h8-YUt7ZL0W5R9XXdKJW7g_11_13"/>
      <w:bookmarkStart w:id="1340" w:name="Tc_iBmZQ3XRyUaYAdZsstM0Hw_11_10"/>
      <w:bookmarkStart w:id="1341" w:name="Tc_e-l6aRvGvEmWdTtEJSAYqA_11_4"/>
      <w:bookmarkStart w:id="1342" w:name="Tc_MgfVWvgwKkekx3DJNu1Law_11_0"/>
      <w:bookmarkStart w:id="1343" w:name="Tc_2sO09S2_eE6r0PrconsNbw_10_13"/>
      <w:bookmarkStart w:id="1344" w:name="Tc_bYbJ9Zn_w02Yegb9r3nT9A_10_11"/>
      <w:bookmarkStart w:id="1345" w:name="Tc_189XGIbQCkWONdTEvkJlgA_10_10"/>
      <w:bookmarkStart w:id="1346" w:name="Tc_2_Tjje1upU-hTGyZYmry4g_10_4"/>
      <w:bookmarkStart w:id="1347" w:name="Tc_Df7knw_QPU-qlzeVJNM2vg_10_0"/>
      <w:bookmarkStart w:id="1348" w:name="Tc_41ys9c54wEqHa88P6E1AIw_9_13"/>
      <w:bookmarkStart w:id="1349" w:name="Tc_Q_G53pAfy0O-h38oVbuVFg_9_10"/>
      <w:bookmarkStart w:id="1350" w:name="Tc_BrwMMKGLgUqBfdGdly1QPg_9_4"/>
      <w:bookmarkStart w:id="1351" w:name="Tc_9s90S5AaJUy1EdBs_uHTLw_9_0"/>
      <w:bookmarkStart w:id="1352" w:name="Tc_s3GmFOtL_0enG9jqezBcrw_8_13"/>
      <w:bookmarkStart w:id="1353" w:name="Tc_IYxgYUnBX0atuqgm943wzw_8_10"/>
      <w:bookmarkStart w:id="1354" w:name="Tc_FNrEa2AgrUORoMu4YOkHIg_8_4"/>
      <w:bookmarkStart w:id="1355" w:name="Tc_7u9hX1NJQkq_6Oh0NB3HMQ_8_0"/>
      <w:bookmarkStart w:id="1356" w:name="Tc_MigiUhBoPEanwQgYY9-vcQ_7_13"/>
      <w:bookmarkStart w:id="1357" w:name="Tc_rOQv3cGysE2aH5EjDH7EMA_7_10"/>
      <w:bookmarkStart w:id="1358" w:name="Tc_SSNI36JlBEygkDC9pondMw_7_4"/>
      <w:bookmarkStart w:id="1359" w:name="Tc_u5TtiDEUXkmMN4msPDUmiw_7_0"/>
      <w:bookmarkStart w:id="1360" w:name="Tc_0GuTBgWdfEuFG-rIhvwf2Q_6_13"/>
      <w:bookmarkStart w:id="1361" w:name="Tc_K0C5jpdexEGy4kVJjPFuHQ_6_10"/>
      <w:bookmarkStart w:id="1362" w:name="Tc_lPhRGp15PECeG2eJ9mztfg_6_7"/>
      <w:bookmarkStart w:id="1363" w:name="Tc_DjwykVrtvES0S-d-u1azTw_6_4"/>
      <w:bookmarkStart w:id="1364" w:name="Tc_es3FoBC6Yky98lJushSfxQ_6_2"/>
      <w:bookmarkStart w:id="1365" w:name="Tc_qXdQOLDZqUecFbaRc3Wehg_5_13"/>
      <w:bookmarkStart w:id="1366" w:name="Tc_gwOsfMcfHkq26dlg0FK-6A_5_10"/>
      <w:bookmarkStart w:id="1367" w:name="Tc_h44JoxImyUuFoF4LKrWHiQ_5_7"/>
      <w:bookmarkStart w:id="1368" w:name="Tc_6dHl2Dfcpk6kOqyy-O3bqQ_5_4"/>
      <w:bookmarkStart w:id="1369" w:name="Tc_YwfW43yCN0mY8J5tx9Qp3g_5_2"/>
      <w:bookmarkStart w:id="1370" w:name="Tc_mbmGumg0yE6H-Zl4BNdOFA_4_13"/>
      <w:bookmarkStart w:id="1371" w:name="Tc_4kqvVSLPvEe6vaK0UjZqRQ_4_10"/>
      <w:bookmarkStart w:id="1372" w:name="Tc_LClgANSX_UawBsUUiPEeAw_4_7"/>
      <w:bookmarkStart w:id="1373" w:name="Tc_I3AM36088ke5_9LaVNKpRg_4_4"/>
      <w:bookmarkStart w:id="1374" w:name="Tc_E3E2Xype5Eu-WQChgtagig_3_10"/>
      <w:bookmarkStart w:id="1375" w:name="Tc_J9AAVtYSukyvntSS-W_slg_3_7"/>
      <w:bookmarkStart w:id="1376" w:name="Tc_O0jA1QidCE6n7KeZgZGc2A_3_4"/>
      <w:bookmarkStart w:id="1377" w:name="Tc_mhSVA6zoBk2css__LvPryQ_2_7"/>
      <w:bookmarkStart w:id="1378" w:name="Tc_eCkg5C_p_EiznBOBTr9dXQ_1_7"/>
      <w:bookmarkStart w:id="1379" w:name="_a3373411_05b3_44ff_84af_5f6de767f8bf"/>
      <w:bookmarkStart w:id="1380" w:name="Tc__r2MqPdQLku8tsPClM9wAQ_6_11"/>
      <w:bookmarkStart w:id="1381" w:name="Tc_-HYg00szckmTwhBQFpvUxg_6_8"/>
      <w:bookmarkStart w:id="1382" w:name="Tc_hYrwVupUm0yu0iln_1MG2g_6_5"/>
      <w:bookmarkStart w:id="1383" w:name="Tc_r_ZwkgWluUqJ4ZHa913tkQ_6_2"/>
      <w:bookmarkStart w:id="1384" w:name="Tc_dJFDjK0nnEumopHMmHtcbg_6_0"/>
      <w:bookmarkStart w:id="1385" w:name="Tc_wokxF50BJUWUoFkrE6Huyg_5_0"/>
      <w:bookmarkStart w:id="1386" w:name="Tc_bkw0vvrGIkWy4xF7HjBXpw_4_0"/>
      <w:bookmarkStart w:id="1387" w:name="Tc_brvB6hZpS0q5cSG2apJZsg_3_11"/>
      <w:bookmarkStart w:id="1388" w:name="Tc_2MsKCTsu_EO0wqqlUoks6A_3_8"/>
      <w:bookmarkStart w:id="1389" w:name="Tc_17m_yjhSGkSnH7vF5MFByg_3_5"/>
      <w:bookmarkStart w:id="1390" w:name="Tc_z_uTtZqpJ0mqkv0rbWlo2Q_3_2"/>
      <w:bookmarkStart w:id="1391" w:name="Tc_0cR_eBU4M0mgXwjmsxSEHQ_3_0"/>
      <w:bookmarkStart w:id="1392" w:name="Tc_12aEH_yIok2z59f_hzCMCw_2_11"/>
      <w:bookmarkStart w:id="1393" w:name="Tc_4KXA4zdczEaTN25SY_2TWA_2_8"/>
      <w:bookmarkStart w:id="1394" w:name="Tc_ZnGW9-zVGk6Lq3t4fJqntg_2_5"/>
      <w:bookmarkStart w:id="1395" w:name="Tc_IL_HFJTY4kya-77svtBdxQ_2_2"/>
      <w:bookmarkStart w:id="1396" w:name="Tc_DL_dXVNj4UCAXJhlrf6Bzg_1_8"/>
      <w:bookmarkStart w:id="1397" w:name="Tc_FQ5Q2qE5HkuxxqwSkXIBEQ_1_2"/>
      <w:bookmarkStart w:id="1398" w:name="_24de8d6f_7275_432e_836d_4f69b09015db"/>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r>
        <w:rPr>
          <w:rFonts w:ascii="Times New Roman;Times;serif" w:hAnsi="Times New Roman;Times;serif"/>
          <w:sz w:val="20"/>
        </w:rPr>
        <w:t>The 2010 Plan provides for the grant of non-qualified stock options, incentive stock options, stock appreciation rights, restricted stock awards, restricted stock units and other equity awards to employees and directors of the Company. In May 2023, upon approval of the stockholders at the 2023 Annual Meeting of Stockholders, the 2010 Plan was amended and restated, which increased the number of shares of common stock reserved for issuance under the 2010 Plan to 37,980,074 shares. At September 30, 2024, 1,978,734 shares were available for future issuance under the 2010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Stock-based compensation expense</w:t>
      </w:r>
      <w:r>
        <w:rPr>
          <w:rFonts w:ascii="Times New Roman;Times;serif" w:hAnsi="Times New Roman;Times;serif"/>
          <w:sz w:val="20"/>
        </w:rPr>
        <w:t>. The Company records stock-based compensation expense during the requisite service period for share-based payment awards granted to employees and non-employees.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equity classified stock-based compensation expense for the periods indicated (in thousands):</w:t>
      </w:r>
    </w:p>
    <w:tbl>
      <w:tblPr>
        <w:tblW w:w="8593" w:type="dxa"/>
        <w:jc w:val="left"/>
        <w:tblInd w:w="0" w:type="dxa"/>
        <w:tblLayout w:type="fixed"/>
        <w:tblCellMar>
          <w:top w:w="0" w:type="dxa"/>
          <w:left w:w="0" w:type="dxa"/>
          <w:bottom w:w="0" w:type="dxa"/>
          <w:right w:w="0" w:type="dxa"/>
        </w:tblCellMar>
      </w:tblPr>
      <w:tblGrid>
        <w:gridCol w:w="2746"/>
        <w:gridCol w:w="326"/>
        <w:gridCol w:w="304"/>
        <w:gridCol w:w="825"/>
        <w:gridCol w:w="471"/>
        <w:gridCol w:w="304"/>
        <w:gridCol w:w="825"/>
        <w:gridCol w:w="109"/>
        <w:gridCol w:w="255"/>
        <w:gridCol w:w="819"/>
        <w:gridCol w:w="395"/>
        <w:gridCol w:w="255"/>
        <w:gridCol w:w="959"/>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743710" cy="175260"/>
                      <wp:effectExtent l="0" t="0" r="0" b="0"/>
                      <wp:wrapNone/>
                      <wp:docPr id="243" name="Frame243"/>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93040" cy="175260"/>
                      <wp:effectExtent l="0" t="0" r="0" b="0"/>
                      <wp:wrapNone/>
                      <wp:docPr id="245" name="Frame245"/>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23875" cy="175260"/>
                      <wp:effectExtent l="0" t="0" r="0" b="0"/>
                      <wp:wrapNone/>
                      <wp:docPr id="246" name="Frame246"/>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99085" cy="175260"/>
                      <wp:effectExtent l="0" t="0" r="0" b="0"/>
                      <wp:wrapNone/>
                      <wp:docPr id="247" name="Frame247"/>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93040" cy="175260"/>
                      <wp:effectExtent l="0" t="0" r="0" b="0"/>
                      <wp:wrapNone/>
                      <wp:docPr id="248" name="Frame24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23875" cy="175260"/>
                      <wp:effectExtent l="0" t="0" r="0" b="0"/>
                      <wp:wrapNone/>
                      <wp:docPr id="249" name="Frame249"/>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1925" cy="175260"/>
                      <wp:effectExtent l="0" t="0" r="0" b="0"/>
                      <wp:wrapNone/>
                      <wp:docPr id="251" name="Frame25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20065" cy="175260"/>
                      <wp:effectExtent l="0" t="0" r="0" b="0"/>
                      <wp:wrapNone/>
                      <wp:docPr id="252" name="Frame252"/>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50825" cy="175260"/>
                      <wp:effectExtent l="0" t="0" r="0" b="0"/>
                      <wp:wrapNone/>
                      <wp:docPr id="253" name="Frame253"/>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61925" cy="175260"/>
                      <wp:effectExtent l="0" t="0" r="0" b="0"/>
                      <wp:wrapNone/>
                      <wp:docPr id="254" name="Frame25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08965" cy="175260"/>
                      <wp:effectExtent l="0" t="0" r="0" b="0"/>
                      <wp:wrapNone/>
                      <wp:docPr id="255" name="Frame255"/>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center"/>
              <w:rPr/>
            </w:pPr>
            <w:r>
              <w:rPr/>
              <w:t>​</w:t>
            </w:r>
          </w:p>
        </w:tc>
        <w:tc>
          <w:tcPr>
            <w:tcW w:w="26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71" w:type="dxa"/>
            <w:tcBorders/>
            <w:vAlign w:val="center"/>
          </w:tcPr>
          <w:p>
            <w:pPr>
              <w:pStyle w:val="TableContents"/>
              <w:bidi w:val="0"/>
              <w:spacing w:before="0" w:after="1"/>
              <w:ind w:left="0" w:right="0" w:hanging="0"/>
              <w:jc w:val="center"/>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0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5" w:type="dxa"/>
            <w:tcBorders/>
            <w:vAlign w:val="center"/>
          </w:tcPr>
          <w:p>
            <w:pPr>
              <w:pStyle w:val="TableContents"/>
              <w:bidi w:val="0"/>
              <w:spacing w:before="0" w:after="1"/>
              <w:ind w:left="0" w:right="0" w:hanging="0"/>
              <w:jc w:val="center"/>
              <w:rPr/>
            </w:pPr>
            <w:r>
              <w:rPr/>
              <w:t>    </w:t>
            </w:r>
          </w:p>
        </w:tc>
        <w:tc>
          <w:tcPr>
            <w:tcW w:w="12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95"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3,113</w:t>
            </w:r>
          </w:p>
        </w:tc>
        <w:tc>
          <w:tcPr>
            <w:tcW w:w="471"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4,239</w:t>
            </w:r>
          </w:p>
        </w:tc>
        <w:tc>
          <w:tcPr>
            <w:tcW w:w="109"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10,772</w:t>
            </w:r>
          </w:p>
        </w:tc>
        <w:tc>
          <w:tcPr>
            <w:tcW w:w="395"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11,480</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w:t>
            </w:r>
          </w:p>
        </w:tc>
        <w:tc>
          <w:tcPr>
            <w:tcW w:w="395"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26" w:type="dxa"/>
            <w:tcBorders/>
            <w:vAlign w:val="center"/>
          </w:tcPr>
          <w:p>
            <w:pPr>
              <w:pStyle w:val="TableContents"/>
              <w:bidi w:val="0"/>
              <w:spacing w:before="0" w:after="1"/>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w:t>
            </w:r>
          </w:p>
        </w:tc>
        <w:tc>
          <w:tcPr>
            <w:tcW w:w="471" w:type="dxa"/>
            <w:tcBorders/>
            <w:vAlign w:val="center"/>
          </w:tcPr>
          <w:p>
            <w:pPr>
              <w:pStyle w:val="TableContents"/>
              <w:bidi w:val="0"/>
              <w:spacing w:before="0" w:after="1"/>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4,132</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12,485</w:t>
            </w:r>
          </w:p>
        </w:tc>
        <w:tc>
          <w:tcPr>
            <w:tcW w:w="395"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12,752</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i/>
          <w:sz w:val="20"/>
        </w:rPr>
        <w:t>Stock option award activity</w:t>
      </w:r>
      <w:r>
        <w:rPr>
          <w:rFonts w:ascii="Times New Roman;Times;serif" w:hAnsi="Times New Roman;Times;serif"/>
          <w:sz w:val="20"/>
        </w:rPr>
        <w:t>. Stock option activity under the Company’s stock incentive plans and changes during the nine months ended September 30, 2024,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35"/>
        <w:gridCol w:w="326"/>
        <w:gridCol w:w="1036"/>
        <w:gridCol w:w="326"/>
        <w:gridCol w:w="259"/>
        <w:gridCol w:w="575"/>
        <w:gridCol w:w="326"/>
        <w:gridCol w:w="284"/>
        <w:gridCol w:w="707"/>
        <w:gridCol w:w="326"/>
        <w:gridCol w:w="299"/>
        <w:gridCol w:w="662"/>
        <w:gridCol w:w="326"/>
        <w:gridCol w:w="287"/>
        <w:gridCol w:w="631"/>
      </w:tblGrid>
      <w:tr>
        <w:trPr/>
        <w:tc>
          <w:tcPr>
            <w:tcW w:w="3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435225" cy="175260"/>
                      <wp:effectExtent l="0" t="0" r="0" b="0"/>
                      <wp:wrapNone/>
                      <wp:docPr id="256" name="Frame256"/>
                      <a:graphic xmlns:a="http://schemas.openxmlformats.org/drawingml/2006/main">
                        <a:graphicData uri="http://schemas.microsoft.com/office/word/2010/wordprocessingShape">
                          <wps:wsp>
                            <wps:cNvSpPr txBox="1"/>
                            <wps:spPr>
                              <a:xfrm>
                                <a:off x="0" y="0"/>
                                <a:ext cx="2435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57860" cy="175260"/>
                      <wp:effectExtent l="0" t="0" r="0" b="0"/>
                      <wp:wrapNone/>
                      <wp:docPr id="258" name="Frame25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64465" cy="175260"/>
                      <wp:effectExtent l="0" t="0" r="0" b="0"/>
                      <wp:wrapNone/>
                      <wp:docPr id="260" name="Frame26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65125" cy="175260"/>
                      <wp:effectExtent l="0" t="0" r="0" b="0"/>
                      <wp:wrapNone/>
                      <wp:docPr id="261" name="Frame261"/>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80340" cy="175260"/>
                      <wp:effectExtent l="0" t="0" r="0" b="0"/>
                      <wp:wrapNone/>
                      <wp:docPr id="263" name="Frame263"/>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48945" cy="175260"/>
                      <wp:effectExtent l="0" t="0" r="0" b="0"/>
                      <wp:wrapNone/>
                      <wp:docPr id="264" name="Frame264"/>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89865" cy="175260"/>
                      <wp:effectExtent l="0" t="0" r="0" b="0"/>
                      <wp:wrapNone/>
                      <wp:docPr id="266" name="Frame26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20370" cy="175260"/>
                      <wp:effectExtent l="0" t="0" r="0" b="0"/>
                      <wp:wrapNone/>
                      <wp:docPr id="267" name="Frame267"/>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82245" cy="175260"/>
                      <wp:effectExtent l="0" t="0" r="0" b="0"/>
                      <wp:wrapNone/>
                      <wp:docPr id="269" name="Frame269"/>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00685" cy="175260"/>
                      <wp:effectExtent l="0" t="0" r="0" b="0"/>
                      <wp:wrapNone/>
                      <wp:docPr id="270" name="Frame27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34"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    </w:t>
            </w:r>
          </w:p>
        </w:tc>
        <w:tc>
          <w:tcPr>
            <w:tcW w:w="96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87"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r>
      <w:tr>
        <w:trPr/>
        <w:tc>
          <w:tcPr>
            <w:tcW w:w="38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34"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r>
      <w:tr>
        <w:trPr/>
        <w:tc>
          <w:tcPr>
            <w:tcW w:w="38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26"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r>
      <w:tr>
        <w:trPr/>
        <w:tc>
          <w:tcPr>
            <w:tcW w:w="38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326" w:type="dxa"/>
            <w:tcBorders/>
            <w:vAlign w:val="center"/>
          </w:tcPr>
          <w:p>
            <w:pPr>
              <w:pStyle w:val="TableContents"/>
              <w:bidi w:val="0"/>
              <w:spacing w:before="0" w:after="1"/>
              <w:ind w:left="0" w:right="0" w:hanging="0"/>
              <w:jc w:val="center"/>
              <w:rPr/>
            </w:pPr>
            <w:r>
              <w:rPr/>
              <w:t>​</w:t>
            </w:r>
          </w:p>
        </w:tc>
        <w:tc>
          <w:tcPr>
            <w:tcW w:w="91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8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8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c>
          <w:tcPr>
            <w:tcW w:w="326" w:type="dxa"/>
            <w:tcBorders/>
            <w:vAlign w:val="center"/>
          </w:tcPr>
          <w:p>
            <w:pPr>
              <w:pStyle w:val="TableContents"/>
              <w:bidi w:val="0"/>
              <w:spacing w:before="0" w:after="1"/>
              <w:ind w:left="0" w:right="0" w:hanging="0"/>
              <w:jc w:val="center"/>
              <w:rPr/>
            </w:pPr>
            <w:r>
              <w:rPr/>
              <w:t>​</w:t>
            </w:r>
          </w:p>
        </w:tc>
        <w:tc>
          <w:tcPr>
            <w:tcW w:w="91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8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    </w:t>
            </w:r>
          </w:p>
        </w:tc>
        <w:tc>
          <w:tcPr>
            <w:tcW w:w="834"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Price </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1"/>
              <w:ind w:left="0" w:right="0" w:hanging="0"/>
              <w:jc w:val="center"/>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center"/>
              <w:rPr/>
            </w:pPr>
            <w:r>
              <w:rPr/>
              <w:t>    </w:t>
            </w:r>
          </w:p>
        </w:tc>
        <w:tc>
          <w:tcPr>
            <w:tcW w:w="9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8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8,109,123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26" w:type="dxa"/>
            <w:tcBorders/>
            <w:shd w:fill="CCEEFF" w:val="clear"/>
            <w:vAlign w:val="center"/>
          </w:tcPr>
          <w:p>
            <w:pPr>
              <w:pStyle w:val="TableContents"/>
              <w:bidi w:val="0"/>
              <w:spacing w:before="0" w:after="1"/>
              <w:ind w:left="0" w:right="0" w:hanging="0"/>
              <w:jc w:val="left"/>
              <w:rPr/>
            </w:pPr>
            <w:r>
              <w:rPr/>
              <w:t> </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38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6,538,646</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0.62</w:t>
            </w:r>
          </w:p>
        </w:tc>
        <w:tc>
          <w:tcPr>
            <w:tcW w:w="326" w:type="dxa"/>
            <w:tcBorders/>
            <w:vAlign w:val="center"/>
          </w:tcPr>
          <w:p>
            <w:pPr>
              <w:pStyle w:val="TableContents"/>
              <w:bidi w:val="0"/>
              <w:spacing w:before="0" w:after="1"/>
              <w:ind w:left="0" w:right="0" w:hanging="0"/>
              <w:jc w:val="left"/>
              <w:rPr/>
            </w:pPr>
            <w:r>
              <w:rPr/>
              <w:t> </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1"/>
              <w:ind w:left="0" w:right="0" w:hanging="0"/>
              <w:jc w:val="right"/>
              <w:rPr/>
            </w:pPr>
            <w:r>
              <w:rPr/>
              <w:t>—</w:t>
            </w:r>
          </w:p>
        </w:tc>
      </w:tr>
      <w:tr>
        <w:trPr/>
        <w:tc>
          <w:tcPr>
            <w:tcW w:w="38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(248,977)</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CCEEFF" w:val="clear"/>
            <w:vAlign w:val="center"/>
          </w:tcPr>
          <w:p>
            <w:pPr>
              <w:pStyle w:val="TableContents"/>
              <w:bidi w:val="0"/>
              <w:spacing w:before="0" w:after="1"/>
              <w:ind w:left="0" w:right="0" w:hanging="0"/>
              <w:jc w:val="left"/>
              <w:rPr/>
            </w:pPr>
            <w:r>
              <w:rPr/>
              <w:t> </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38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1"/>
              <w:ind w:left="0" w:right="0" w:hanging="0"/>
              <w:jc w:val="right"/>
              <w:rPr/>
            </w:pPr>
            <w:r>
              <w:rPr/>
              <w:t>—</w:t>
            </w:r>
          </w:p>
        </w:tc>
      </w:tr>
      <w:tr>
        <w:trPr/>
        <w:tc>
          <w:tcPr>
            <w:tcW w:w="38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September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14,398,792</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38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expected to vest at September 30, 2024</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14,398,792</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1"/>
              <w:ind w:left="0" w:right="7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Exercise price of options outstanding ranges from $0.67</w:t>
            </w:r>
            <w:r>
              <w:rPr>
                <w:caps w:val="false"/>
                <w:smallCaps w:val="false"/>
              </w:rPr>
              <w:t xml:space="preserve"> </w:t>
            </w:r>
            <w:r>
              <w:rPr>
                <w:rFonts w:ascii="Times New Roman;Times;serif" w:hAnsi="Times New Roman;Times;serif"/>
                <w:b w:val="false"/>
                <w:i w:val="false"/>
                <w:caps w:val="false"/>
                <w:smallCaps w:val="false"/>
                <w:sz w:val="20"/>
              </w:rPr>
              <w:t>to $876</w:t>
            </w:r>
            <w:r>
              <w:rPr>
                <w:caps w:val="false"/>
                <w:smallCaps w:val="false"/>
              </w:rPr>
              <w:t xml:space="preserve"> </w:t>
            </w:r>
            <w:r>
              <w:rPr>
                <w:rFonts w:ascii="Times New Roman;Times;serif" w:hAnsi="Times New Roman;Times;serif"/>
                <w:b w:val="false"/>
                <w:i w:val="false"/>
                <w:caps w:val="false"/>
                <w:smallCaps w:val="false"/>
                <w:sz w:val="20"/>
              </w:rPr>
              <w:t>as of September 30, 2024</w:t>
            </w:r>
            <w:r>
              <w:rPr>
                <w:rFonts w:ascii="Times New Roman;Times;serif" w:hAnsi="Times New Roman;Times;serif"/>
                <w:b w:val="false"/>
                <w:i/>
                <w:sz w:val="20"/>
              </w:rPr>
              <w:t xml:space="preserve">. </w:t>
            </w:r>
            <w:r>
              <w:rPr>
                <w:rFonts w:ascii="Times New Roman;Times;serif" w:hAnsi="Times New Roman;Times;serif"/>
                <w:b w:val="false"/>
                <w:i w:val="false"/>
                <w:caps w:val="false"/>
                <w:smallCaps w:val="false"/>
                <w:sz w:val="20"/>
              </w:rPr>
              <w:t>The higher end of the range is due to the impact of several reverse stock splits during the years 2015 to 2018.</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2024</w:t>
      </w:r>
      <w:r>
        <w:rPr>
          <w:rFonts w:ascii="Times New Roman;Times;serif" w:hAnsi="Times New Roman;Times;serif"/>
          <w:i/>
          <w:sz w:val="20"/>
        </w:rPr>
        <w:t xml:space="preserve">, </w:t>
      </w:r>
      <w:r>
        <w:rPr>
          <w:rFonts w:ascii="Times New Roman;Times;serif" w:hAnsi="Times New Roman;Times;serif"/>
          <w:sz w:val="20"/>
        </w:rPr>
        <w:t>the total unrecognized compensation expense, net of actual forfeitures and expirations, relating to stock options was $6.7 million, which is expected to be expensed over the remaining weighted-average recognition period of approximately 1.9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Restricted stock</w:t>
      </w:r>
      <w:r>
        <w:rPr>
          <w:rFonts w:ascii="Times New Roman;Times;serif" w:hAnsi="Times New Roman;Times;serif"/>
          <w:sz w:val="20"/>
        </w:rPr>
        <w:t>. The Company periodically grants restricted stock awards to employees and directors. The vesting period for restricted stock awards granted may be based upon a service period or based upon the attainment of performance objectives. The Company recognizes stock-based compensation over the vesting period, which for awards that vest based on a service period is generally two to three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399" w:name="Tc_O6GuwmcPv0WEhnDmGicQ7A_9_4"/>
      <w:bookmarkStart w:id="1400" w:name="Tc_OS6aO2o4z0asA6-uzX4zxQ_9_0"/>
      <w:bookmarkStart w:id="1401" w:name="Tc_n8hnPdulsUmpqNLVcIKYbg_8_4"/>
      <w:bookmarkStart w:id="1402" w:name="Tc_RtHBrwRNMESRWp_8J7JgzA_8_0"/>
      <w:bookmarkStart w:id="1403" w:name="Tc_xSZvVQDtb0-SWPIgMIg4TA_7_4"/>
      <w:bookmarkStart w:id="1404" w:name="Tc_YaMLHdGJ3kGUhrgmZLKKww_7_0"/>
      <w:bookmarkStart w:id="1405" w:name="Tc_cyT0rcCsyUC0eCbcxPPPvw_6_4"/>
      <w:bookmarkStart w:id="1406" w:name="Tc_RNwRFdCuAkyRyHNYVgPSwQ_6_0"/>
      <w:bookmarkStart w:id="1407" w:name="Tc_0o5PkyNDg0W1GWD5fEs0ag_5_4"/>
      <w:bookmarkStart w:id="1408" w:name="Tc_nd6LHV-T3ECoNjTgFOfkbA_5_0"/>
      <w:bookmarkStart w:id="1409" w:name="Tc_IuSEanI-_EafI4RuameW3w_4_4"/>
      <w:bookmarkStart w:id="1410" w:name="Tc_MU31sYZdBE60ht4SyOz-ow_4_2"/>
      <w:bookmarkStart w:id="1411" w:name="Tc_3mq7nrQNOEuo98OKRJ9dHQ_3_4"/>
      <w:bookmarkStart w:id="1412" w:name="Tc_voRV-MCJTUK3ukncWsWuLA_3_2"/>
      <w:bookmarkStart w:id="1413" w:name="Tc_--En5rxUzE-8EXBRZvZWLw_2_4"/>
      <w:bookmarkStart w:id="1414" w:name="Tc_VdQl9Z3xK0evqxm_JOnZyw_1_4"/>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r>
        <w:rPr>
          <w:rFonts w:ascii="Times New Roman;Times;serif" w:hAnsi="Times New Roman;Times;serif"/>
          <w:sz w:val="20"/>
        </w:rPr>
        <w:t>Non-vested restricted stock awards and the changes during the nine months ended September 30, 2024, were as follows:</w:t>
      </w:r>
    </w:p>
    <w:p>
      <w:pPr>
        <w:pStyle w:val="TextBody"/>
        <w:bidi w:val="0"/>
        <w:spacing w:before="0" w:after="0"/>
        <w:ind w:left="0" w:right="0" w:hanging="0"/>
        <w:jc w:val="left"/>
        <w:rPr/>
      </w:pPr>
      <w:r>
        <w:rPr/>
        <w:t>​</w:t>
      </w:r>
    </w:p>
    <w:tbl>
      <w:tblPr>
        <w:tblW w:w="5650" w:type="dxa"/>
        <w:jc w:val="left"/>
        <w:tblInd w:w="0" w:type="dxa"/>
        <w:tblLayout w:type="fixed"/>
        <w:tblCellMar>
          <w:top w:w="0" w:type="dxa"/>
          <w:left w:w="0" w:type="dxa"/>
          <w:bottom w:w="0" w:type="dxa"/>
          <w:right w:w="0" w:type="dxa"/>
        </w:tblCellMar>
      </w:tblPr>
      <w:tblGrid>
        <w:gridCol w:w="2941"/>
        <w:gridCol w:w="326"/>
        <w:gridCol w:w="1051"/>
        <w:gridCol w:w="326"/>
        <w:gridCol w:w="267"/>
        <w:gridCol w:w="739"/>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867535" cy="175260"/>
                      <wp:effectExtent l="0" t="0" r="0" b="0"/>
                      <wp:wrapNone/>
                      <wp:docPr id="271" name="Frame271"/>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67385" cy="175260"/>
                      <wp:effectExtent l="0" t="0" r="0" b="0"/>
                      <wp:wrapNone/>
                      <wp:docPr id="273" name="Frame27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69545" cy="175260"/>
                      <wp:effectExtent l="0" t="0" r="0" b="0"/>
                      <wp:wrapNone/>
                      <wp:docPr id="275" name="Frame27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69265" cy="175260"/>
                      <wp:effectExtent l="0" t="0" r="0" b="0"/>
                      <wp:wrapNone/>
                      <wp:docPr id="276" name="Frame276"/>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6,159,341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5,674,401</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0.74</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(3,409,285)</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(202,677)</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September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8,221,780</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1.08</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2024, the total unrecognized compensation expense, net of actual forfeitures and expirations, relating to restricted stock awards was $7.5 million, which is expected to be recognized over the remaining weighted-average period of approximately 1.9 years.</w:t>
      </w:r>
    </w:p>
    <w:tbl>
      <w:tblPr>
        <w:tblW w:w="1712" w:type="dxa"/>
        <w:jc w:val="left"/>
        <w:tblInd w:w="0" w:type="dxa"/>
        <w:tblLayout w:type="fixed"/>
        <w:tblCellMar>
          <w:top w:w="0" w:type="dxa"/>
          <w:left w:w="0" w:type="dxa"/>
          <w:bottom w:w="0" w:type="dxa"/>
          <w:right w:w="0" w:type="dxa"/>
        </w:tblCellMar>
      </w:tblPr>
      <w:tblGrid>
        <w:gridCol w:w="376"/>
        <w:gridCol w:w="133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incurred operating losses since inception; therefore, no provision for income taxes was recorded and all related deferred tax assets are fully reserved. We continue to assess the impact of our deferred tax assets as they relate to income taxes. Our effective tax rate from continuing operations was 0% for each of the three and nine months ended September 30, 2024, and 2023. The rate differs from the U.S. Federal statutory tax rate of 21% due to a full valuation allowance.</w:t>
      </w:r>
    </w:p>
    <w:tbl>
      <w:tblPr>
        <w:tblW w:w="3302" w:type="dxa"/>
        <w:jc w:val="left"/>
        <w:tblInd w:w="0" w:type="dxa"/>
        <w:tblLayout w:type="fixed"/>
        <w:tblCellMar>
          <w:top w:w="0" w:type="dxa"/>
          <w:left w:w="0" w:type="dxa"/>
          <w:bottom w:w="0" w:type="dxa"/>
          <w:right w:w="0" w:type="dxa"/>
        </w:tblCellMar>
      </w:tblPr>
      <w:tblGrid>
        <w:gridCol w:w="376"/>
        <w:gridCol w:w="29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29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Legal Matters</w:t>
      </w:r>
      <w:r>
        <w:rPr>
          <w:rFonts w:ascii="Times New Roman;Times;serif" w:hAnsi="Times New Roman;Times;serif"/>
          <w:sz w:val="20"/>
        </w:rPr>
        <w:t>. From time to time, the Company has been, and may again become, involved in legal proceedings arising in the 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State Tax Audit. </w:t>
      </w:r>
      <w:r>
        <w:rPr>
          <w:rFonts w:ascii="Times New Roman;Times;serif" w:hAnsi="Times New Roman;Times;serif"/>
          <w:sz w:val="20"/>
        </w:rPr>
        <w:t>During 2023, the Company was notified of a pending sales and use tax audit by the South Dakota Department of Revenue for the period covering January 2021 through December 2023. Although the final resolution of the Company’s sales and use tax audit is uncertain, based on current information, in the opinion of the Company’s management, the ultimate disposition of these matters will not have a material adverse effect on the Consolidated Balance Sheets, Statements of Operations, or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Indemnifications</w:t>
      </w:r>
      <w:r>
        <w:rPr>
          <w:rFonts w:ascii="Times New Roman;Times;serif" w:hAnsi="Times New Roman;Times;serif"/>
          <w:sz w:val="20"/>
        </w:rPr>
        <w:t>. In the ordinary course of its business, the Company makes certain indemnities under which it may be required to make payments in relation to certain transactions. As of September 30, 2024</w:t>
      </w:r>
      <w:r>
        <w:rPr>
          <w:rFonts w:ascii="Times New Roman;Times;serif" w:hAnsi="Times New Roman;Times;serif"/>
          <w:i/>
          <w:sz w:val="20"/>
        </w:rPr>
        <w:t xml:space="preserve">, </w:t>
      </w:r>
      <w:r>
        <w:rPr>
          <w:rFonts w:ascii="Times New Roman;Times;serif" w:hAnsi="Times New Roman;Times;serif"/>
          <w:sz w:val="20"/>
        </w:rPr>
        <w:t>the Company did not have any liabilities associated with indemnities.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415" w:name="Tc_hYNmmTFECUmF-VFhhc33CQ_8_20"/>
      <w:bookmarkStart w:id="1416" w:name="Tc_J-9mvolBzESp4yN5V5vXsQ_8_17"/>
      <w:bookmarkStart w:id="1417" w:name="Tc_BobLu6srIUeMTdwLx3lNTA_8_14"/>
      <w:bookmarkStart w:id="1418" w:name="Tc_VOhDDUxCRUOJxfRuK4ehMw_8_11"/>
      <w:bookmarkStart w:id="1419" w:name="Tc_OzVSBbA1Y0GYNVUr_rr3zA_8_8"/>
      <w:bookmarkStart w:id="1420" w:name="Tc_UCInPlrP7kCcgB0hqwF8XA_8_5"/>
      <w:bookmarkStart w:id="1421" w:name="Tc_SCZUOREk00CtGecEnY5qRw_8_2"/>
      <w:bookmarkStart w:id="1422" w:name="Tc_V4CatH8oLEGhaHD0YzyC_w_8_0"/>
      <w:bookmarkStart w:id="1423" w:name="Tc_oWTaiyLe6U6qcrTZKfdN0A_7_18"/>
      <w:bookmarkStart w:id="1424" w:name="Tc_Hf1TTNaw6Uq5melJ6vxcww_7_15"/>
      <w:bookmarkStart w:id="1425" w:name="Tc_ATFyXwzjmUK_-ZwEtsC3Mg_7_12"/>
      <w:bookmarkStart w:id="1426" w:name="Tc_KTfTBayPtESU0FgXYGooWg_7_9"/>
      <w:bookmarkStart w:id="1427" w:name="Tc_kGI2-jDoykaktSgG9b4F0A_7_6"/>
      <w:bookmarkStart w:id="1428" w:name="Tc_PI4AZPeSBkOvy9pmGlGujA_7_0"/>
      <w:bookmarkStart w:id="1429" w:name="Tc_fBL_z5x1UU69ZZmPdo6Vrg_6_0"/>
      <w:bookmarkStart w:id="1430" w:name="Tc_druE4ANfGkKc72sIlU_ZVA_5_0"/>
      <w:bookmarkStart w:id="1431" w:name="Tc_ivD1wKNe7E6xhZ2b4aFe5w_4_20"/>
      <w:bookmarkStart w:id="1432" w:name="Tc_IbV6V-w8JEK6_2AUfgDxEg_4_17"/>
      <w:bookmarkStart w:id="1433" w:name="Tc_msuQCDntdUW_eNHUwWD1xQ_4_14"/>
      <w:bookmarkStart w:id="1434" w:name="Tc_-TglnQhr_UCFQBVUeQOpaQ_4_11"/>
      <w:bookmarkStart w:id="1435" w:name="Tc_mcPU42gT0UqmNt-PbJuuxw_4_8"/>
      <w:bookmarkStart w:id="1436" w:name="Tc_pG7PuVKme0GDYLxBhO2N5Q_4_5"/>
      <w:bookmarkStart w:id="1437" w:name="Tc_3EFeQZ6R6EO6_LAdqScHUw_4_2"/>
      <w:bookmarkStart w:id="1438" w:name="Tc_en7UkPnCP0yUQ-lJcwa3pQ_4_0"/>
      <w:bookmarkStart w:id="1439" w:name="Tc_Dqs6zhh4qUiysAQT2zyhXw_3_20"/>
      <w:bookmarkStart w:id="1440" w:name="Tc_uoa_cVPyMkqtDKDhVOOd5A_3_17"/>
      <w:bookmarkStart w:id="1441" w:name="Tc_y8oxlzrO-UCKjtrOzgfMNQ_3_14"/>
      <w:bookmarkStart w:id="1442" w:name="Tc_WywJHFML4Ue1isoe7TDZKA_3_11"/>
      <w:bookmarkStart w:id="1443" w:name="Tc_-uzaoBNC2keT3RQBeWTYsA_3_8"/>
      <w:bookmarkStart w:id="1444" w:name="Tc_FsCc4KYC9EeCNqEJEQsJVQ_3_5"/>
      <w:bookmarkStart w:id="1445" w:name="Tc_g42PViR-_UOQCFXa3yJSvA_3_2"/>
      <w:bookmarkStart w:id="1446" w:name="Tc_SNcNVVM1w0GAkSrQCaM8dQ_2_17"/>
      <w:bookmarkStart w:id="1447" w:name="Tc_o9cP6USsPUm3XgH_l3WM8g_1_2"/>
      <w:bookmarkStart w:id="1448" w:name="_96d4c6dd_6bd9_4c29_a011_dd7a95d48a26"/>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r>
        <w:rPr>
          <w:rFonts w:ascii="Times New Roman;Times;serif" w:hAnsi="Times New Roman;Times;serif"/>
          <w:i/>
          <w:sz w:val="20"/>
        </w:rPr>
        <w:t>Environmental Liabilities</w:t>
      </w:r>
      <w:r>
        <w:rPr>
          <w:rFonts w:ascii="Times New Roman;Times;serif" w:hAnsi="Times New Roman;Times;serif"/>
          <w:sz w:val="20"/>
        </w:rPr>
        <w:t>. The Company’s operations are subject to environmental laws and regulations adopted by various 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September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Fuel Supply Commitment.</w:t>
      </w:r>
      <w:r>
        <w:rPr>
          <w:rFonts w:ascii="Times New Roman;Times;serif" w:hAnsi="Times New Roman;Times;serif"/>
          <w:sz w:val="20"/>
        </w:rPr>
        <w:t xml:space="preserve"> The Company has three long-term fuel supply contracts to source feedstock for our anaerobic digesters at the NW Iowa RNG project. These contracts provide an annual amount of feedstock to be used in the production of RNG.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Zero6 Commitments. </w:t>
      </w:r>
      <w:r>
        <w:rPr>
          <w:rFonts w:ascii="Times New Roman;Times;serif" w:hAnsi="Times New Roman;Times;serif"/>
          <w:sz w:val="20"/>
        </w:rPr>
        <w:t>In September 2022, the Company entered into a development agreement with Zero6 to construct and operate a wind project for the provision of electric energy for NZ1. Pursuant to the agreement, the Company has committed to pay Zero6 total development charges of $9.5 million, comprised of advanced development fee payments of $1.2 million and $8.4 million upon completion of the project, in addition to certain reimbursable costs of $1.2 million. The Company is not contractually obligated for the specified development charges until certain milestones are met in future periods, and upon completion of the project. Further, the Company has committed to fund certain discretionary, budgeted costs associated with long lead equipment and engineering services for NZ1, totaling an estimated $18.6 million. The amount is expected to be fully reimbursed upon completion of the project. Gevo has priority liens against the equipment and constructed facilities under the contracts. See Note 19 below for further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the Company’s investment in Zero6, see Note 10 above, is pledged separately as collateral for two commitments for the purchase of wind electricity for the Luverne Facility, as well as the purchase of 100% of RCWF’s renewable energy credits. Gevo has a commitment to purchase all of RCWF’s electricity. The portion not used by the Luverne Facility is charged to the Company at a lower price.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estimated commitments as of September 30, 2024, and thereafter are shown below (in thousands):</w:t>
      </w:r>
    </w:p>
    <w:tbl>
      <w:tblPr>
        <w:tblW w:w="10205" w:type="dxa"/>
        <w:jc w:val="left"/>
        <w:tblInd w:w="0" w:type="dxa"/>
        <w:tblLayout w:type="fixed"/>
        <w:tblCellMar>
          <w:top w:w="0" w:type="dxa"/>
          <w:left w:w="0" w:type="dxa"/>
          <w:bottom w:w="0" w:type="dxa"/>
          <w:right w:w="0" w:type="dxa"/>
        </w:tblCellMar>
      </w:tblPr>
      <w:tblGrid>
        <w:gridCol w:w="1809"/>
        <w:gridCol w:w="326"/>
        <w:gridCol w:w="211"/>
        <w:gridCol w:w="676"/>
        <w:gridCol w:w="326"/>
        <w:gridCol w:w="211"/>
        <w:gridCol w:w="676"/>
        <w:gridCol w:w="326"/>
        <w:gridCol w:w="211"/>
        <w:gridCol w:w="571"/>
        <w:gridCol w:w="326"/>
        <w:gridCol w:w="211"/>
        <w:gridCol w:w="676"/>
        <w:gridCol w:w="326"/>
        <w:gridCol w:w="211"/>
        <w:gridCol w:w="571"/>
        <w:gridCol w:w="326"/>
        <w:gridCol w:w="211"/>
        <w:gridCol w:w="676"/>
        <w:gridCol w:w="326"/>
        <w:gridCol w:w="211"/>
        <w:gridCol w:w="791"/>
      </w:tblGrid>
      <w:tr>
        <w:trPr/>
        <w:tc>
          <w:tcPr>
            <w:tcW w:w="1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148715" cy="175260"/>
                      <wp:effectExtent l="0" t="0" r="0" b="0"/>
                      <wp:wrapNone/>
                      <wp:docPr id="277" name="Frame277"/>
                      <a:graphic xmlns:a="http://schemas.openxmlformats.org/drawingml/2006/main">
                        <a:graphicData uri="http://schemas.microsoft.com/office/word/2010/wordprocessingShape">
                          <wps:wsp>
                            <wps:cNvSpPr txBox="1"/>
                            <wps:spPr>
                              <a:xfrm>
                                <a:off x="0" y="0"/>
                                <a:ext cx="1148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29260" cy="175260"/>
                      <wp:effectExtent l="0" t="0" r="0" b="0"/>
                      <wp:wrapNone/>
                      <wp:docPr id="280" name="Frame2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29260" cy="175260"/>
                      <wp:effectExtent l="0" t="0" r="0" b="0"/>
                      <wp:wrapNone/>
                      <wp:docPr id="283" name="Frame2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62585" cy="175260"/>
                      <wp:effectExtent l="0" t="0" r="0" b="0"/>
                      <wp:wrapNone/>
                      <wp:docPr id="286" name="Frame2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29260" cy="175260"/>
                      <wp:effectExtent l="0" t="0" r="0" b="0"/>
                      <wp:wrapNone/>
                      <wp:docPr id="289" name="Frame2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62585" cy="175260"/>
                      <wp:effectExtent l="0" t="0" r="0" b="0"/>
                      <wp:wrapNone/>
                      <wp:docPr id="292" name="Frame2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29260" cy="175260"/>
                      <wp:effectExtent l="0" t="0" r="0" b="0"/>
                      <wp:wrapNone/>
                      <wp:docPr id="295" name="Frame2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02285" cy="175260"/>
                      <wp:effectExtent l="0" t="0" r="0" b="0"/>
                      <wp:wrapNone/>
                      <wp:docPr id="298" name="Frame298"/>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070" w:type="dxa"/>
            <w:gridSpan w:val="2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8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2029 and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1" w:type="dxa"/>
            <w:tcBorders/>
            <w:vAlign w:val="center"/>
          </w:tcPr>
          <w:p>
            <w:pPr>
              <w:pStyle w:val="TableContents"/>
              <w:bidi w:val="0"/>
              <w:spacing w:before="0" w:after="1"/>
              <w:ind w:left="0" w:right="0" w:hanging="0"/>
              <w:jc w:val="center"/>
              <w:rPr/>
            </w:pPr>
            <w:r>
              <w:rPr/>
              <w:t>​</w:t>
            </w:r>
          </w:p>
        </w:tc>
      </w:tr>
      <w:tr>
        <w:trPr/>
        <w:tc>
          <w:tcPr>
            <w:tcW w:w="18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vAlign w:val="center"/>
          </w:tcPr>
          <w:p>
            <w:pPr>
              <w:pStyle w:val="TableContents"/>
              <w:bidi w:val="0"/>
              <w:spacing w:before="0" w:after="1"/>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 Supply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34,010</w:t>
            </w:r>
          </w:p>
        </w:tc>
      </w:tr>
      <w:tr>
        <w:trPr/>
        <w:tc>
          <w:tcPr>
            <w:tcW w:w="18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Zero6 Commitment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27,279</w:t>
            </w:r>
          </w:p>
        </w:tc>
      </w:tr>
      <w:tr>
        <w:trPr/>
        <w:tc>
          <w:tcPr>
            <w:tcW w:w="18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Energy Credits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2,077</w:t>
            </w:r>
          </w:p>
        </w:tc>
      </w:tr>
      <w:tr>
        <w:trPr/>
        <w:tc>
          <w:tcPr>
            <w:tcW w:w="18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Electricity Above Use (Est.)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80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63,451</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2717" w:type="dxa"/>
        <w:jc w:val="left"/>
        <w:tblInd w:w="0" w:type="dxa"/>
        <w:tblLayout w:type="fixed"/>
        <w:tblCellMar>
          <w:top w:w="0" w:type="dxa"/>
          <w:left w:w="0" w:type="dxa"/>
          <w:bottom w:w="0" w:type="dxa"/>
          <w:right w:w="0" w:type="dxa"/>
        </w:tblCellMar>
      </w:tblPr>
      <w:tblGrid>
        <w:gridCol w:w="376"/>
        <w:gridCol w:w="23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1 – inputs include quoted market prices in an active market for identical assets or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449" w:name="Tc_4fnCo5E2NUmVnj5zuEQxSQ_3_5"/>
      <w:bookmarkStart w:id="1450" w:name="Tc_2-EOTEytLEah43Dqo3G2wQ_3_2"/>
      <w:bookmarkStart w:id="1451" w:name="Tc_EpL_UTjJ4UaMC-d4FKRf5g_3_0"/>
      <w:bookmarkStart w:id="1452" w:name="Tc_7fFlhG3hVUKOioDeNJ-_lA_2_5"/>
      <w:bookmarkStart w:id="1453" w:name="Tc_Cn_n4QpkH0iddO73OQM_Ew_2_2"/>
      <w:bookmarkStart w:id="1454" w:name="Tc_WcV0kXmAmUewluSjkZWpDg_1_5"/>
      <w:bookmarkStart w:id="1455" w:name="Tc_ZNN5yM5n9U-qANHVoDtkew_1_2"/>
      <w:bookmarkStart w:id="1456" w:name="_92298159_3e9c_473a_80f6_112941de23eb"/>
      <w:bookmarkStart w:id="1457" w:name="Tc_3utDk1OE9UmXkxczjcnIIw_9_11"/>
      <w:bookmarkStart w:id="1458" w:name="Tc_wAcfF650REmVDTqOJYFMKQ_9_8"/>
      <w:bookmarkStart w:id="1459" w:name="Tc_NgqhHakHBkWn747V1Gd5JA_9_5"/>
      <w:bookmarkStart w:id="1460" w:name="Tc_9HbsoIQKnEKRMxQG6wuw1g_9_2"/>
      <w:bookmarkStart w:id="1461" w:name="Tc_BD_oZlxVZ06USjXkrtMt-g_9_0"/>
      <w:bookmarkStart w:id="1462" w:name="Tc_4cE1q8-rIEKNHfTgL81sHQ_8_11"/>
      <w:bookmarkStart w:id="1463" w:name="Tc_EFaKcCE4KUKzFFK2FCCvRw_8_8"/>
      <w:bookmarkStart w:id="1464" w:name="Tc_tuK8QvVWN0CGPjL9AwrR_w_8_5"/>
      <w:bookmarkStart w:id="1465" w:name="Tc_cNRJ0LeOXUiNtd3mAJQ9SQ_8_2"/>
      <w:bookmarkStart w:id="1466" w:name="Tc_a14WhZBHNEaFX7Cza0uwmQ_7_11"/>
      <w:bookmarkStart w:id="1467" w:name="Tc_iMKoK8IyhkyoBbI4IJi2wg_7_8"/>
      <w:bookmarkStart w:id="1468" w:name="Tc_M_tRB583REK57eeIjO3nVQ_7_5"/>
      <w:bookmarkStart w:id="1469" w:name="Tc_3AGui1nXCEacKC9YkpPZBA_7_2"/>
      <w:bookmarkStart w:id="1470" w:name="Tc_XfRX3W7bX0yV-oFPNtNYqg_6_11"/>
      <w:bookmarkStart w:id="1471" w:name="Tc_1WwMLjynV02BxTdm-cM0Yg_6_8"/>
      <w:bookmarkStart w:id="1472" w:name="Tc__hpk4NPFhkelTYYobwhKgg_6_5"/>
      <w:bookmarkStart w:id="1473" w:name="Tc_IfsDiBVLhkKSzHZtWjrQqw_6_2"/>
      <w:bookmarkStart w:id="1474" w:name="Tc_yaQYeDYwkkKZLQEMRnjgbg_5_11"/>
      <w:bookmarkStart w:id="1475" w:name="Tc_-eJLDB8whka906R6A6fpHg_5_8"/>
      <w:bookmarkStart w:id="1476" w:name="Tc_d67A-prRE0GrF0eeoNzIcg_5_5"/>
      <w:bookmarkStart w:id="1477" w:name="Tc_8532-DBBGkma0T4OHg3YEg_4_8"/>
      <w:bookmarkStart w:id="1478" w:name="Tc_Wy9sQh6h4UOzCnjAfnrvZg_4_5"/>
      <w:bookmarkStart w:id="1479" w:name="Tc_L4ZRkiK1_E6OtHDCXSwTWA_3_5"/>
      <w:bookmarkStart w:id="1480" w:name="Tc_xLj7STDEu0adX7BUjWW4JA_2_5"/>
      <w:bookmarkStart w:id="1481" w:name="Tc_FMHC6E9jjU20X6oIM0yMmA_1_5"/>
      <w:bookmarkStart w:id="1482" w:name="_0942fd3f_65f1_41f3_87fd_942b70188cd2"/>
      <w:bookmarkStart w:id="1483" w:name="Tc_XzbepXt-PkKAa4POcHxTuw_9_11"/>
      <w:bookmarkStart w:id="1484" w:name="Tc_YvyGMMAE2USTzUfNY4TyWA_9_8"/>
      <w:bookmarkStart w:id="1485" w:name="Tc_YHwz98W7aUi2rPIMjJneuA_9_5"/>
      <w:bookmarkStart w:id="1486" w:name="Tc_sfSkSaqZ9k-R1_m3-ZAD9g_9_2"/>
      <w:bookmarkStart w:id="1487" w:name="Tc_gxYFFGNaxEqj8TNeSTtrug_9_0"/>
      <w:bookmarkStart w:id="1488" w:name="Tc_bVsomQdZUkuxaeae_fUtwQ_8_11"/>
      <w:bookmarkStart w:id="1489" w:name="Tc_OgMHL4n_eEW3VUvkBLviqQ_8_8"/>
      <w:bookmarkStart w:id="1490" w:name="Tc_HW8HN-cBqEWknz3Xs2MG9g_8_5"/>
      <w:bookmarkStart w:id="1491" w:name="Tc_edHABpr6GUe4InVA70dG4g_8_2"/>
      <w:bookmarkStart w:id="1492" w:name="Tc_KtmeazDqgECrfepZER-U3g_7_11"/>
      <w:bookmarkStart w:id="1493" w:name="Tc_m1L6REhKN02JVc2Sz1fpCw_7_8"/>
      <w:bookmarkStart w:id="1494" w:name="Tc_GcdEGEERx0qmliDtSSDvIw_7_5"/>
      <w:bookmarkStart w:id="1495" w:name="Tc_sQM5eI4gq06tAYuFOTIhjA_7_2"/>
      <w:bookmarkStart w:id="1496" w:name="Tc_1-9GBQug3EK5RDkxTEdAUg_6_11"/>
      <w:bookmarkStart w:id="1497" w:name="Tc_EKvSUeVtJkGTIDMc1VtZTg_6_8"/>
      <w:bookmarkStart w:id="1498" w:name="Tc_zcJ9XsQk3kmAD3UJt0_gtA_6_5"/>
      <w:bookmarkStart w:id="1499" w:name="Tc_LQYOtPNHYUqtIpQNSc2Uew_6_2"/>
      <w:bookmarkStart w:id="1500" w:name="Tc_y_Ulhmf2MkOs9MY9pbHurA_5_11"/>
      <w:bookmarkStart w:id="1501" w:name="Tc_wKyD6fI9REWRilPUOMIWvQ_5_8"/>
      <w:bookmarkStart w:id="1502" w:name="Tc_GAiVIgMpdkuszRV-0aWCwA_5_5"/>
      <w:bookmarkStart w:id="1503" w:name="Tc_wWApEGCfYk-l7P9jLCoF_A_4_8"/>
      <w:bookmarkStart w:id="1504" w:name="Tc_9tu6lMhWp06QTAXjhWUkHA_4_5"/>
      <w:bookmarkStart w:id="1505" w:name="Tc_RNsciw7Gt0qxWrXJkelJ4w_3_5"/>
      <w:bookmarkStart w:id="1506" w:name="Tc_KPF020H3H0GNkHpMNVQ4mQ_2_5"/>
      <w:bookmarkStart w:id="1507" w:name="Tc_mPSrANiPOk65Tj3zMtC5zA_1_5"/>
      <w:bookmarkStart w:id="1508" w:name="_8fb06f93_c7e9_4d55_8ac9_2801ab4926d7"/>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r>
        <w:rPr>
          <w:rFonts w:ascii="Times New Roman;Times;serif" w:hAnsi="Times New Roman;Times;serif"/>
          <w:sz w:val="20"/>
        </w:rPr>
        <w:t>Level 3 – inputs are unobservable and corroborated by little or no market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and fair value, by fair value hierarchy, of the Company’s financial instruments at September 30, 2024, and December 31, 2023 are as follows (in thousands):</w:t>
      </w:r>
    </w:p>
    <w:tbl>
      <w:tblPr>
        <w:tblW w:w="8495" w:type="dxa"/>
        <w:jc w:val="left"/>
        <w:tblInd w:w="0" w:type="dxa"/>
        <w:tblLayout w:type="fixed"/>
        <w:tblCellMar>
          <w:top w:w="0" w:type="dxa"/>
          <w:left w:w="0" w:type="dxa"/>
          <w:bottom w:w="0" w:type="dxa"/>
          <w:right w:w="0" w:type="dxa"/>
        </w:tblCellMar>
      </w:tblPr>
      <w:tblGrid>
        <w:gridCol w:w="2476"/>
        <w:gridCol w:w="326"/>
        <w:gridCol w:w="251"/>
        <w:gridCol w:w="934"/>
        <w:gridCol w:w="326"/>
        <w:gridCol w:w="271"/>
        <w:gridCol w:w="1003"/>
        <w:gridCol w:w="418"/>
        <w:gridCol w:w="352"/>
        <w:gridCol w:w="579"/>
        <w:gridCol w:w="418"/>
        <w:gridCol w:w="356"/>
        <w:gridCol w:w="785"/>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572260" cy="175260"/>
                      <wp:effectExtent l="0" t="0" r="0" b="0"/>
                      <wp:wrapNone/>
                      <wp:docPr id="299" name="Frame299"/>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59385" cy="175260"/>
                      <wp:effectExtent l="0" t="0" r="0" b="0"/>
                      <wp:wrapNone/>
                      <wp:docPr id="301" name="Frame30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93090" cy="175260"/>
                      <wp:effectExtent l="0" t="0" r="0" b="0"/>
                      <wp:wrapNone/>
                      <wp:docPr id="302" name="Frame302"/>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72085" cy="175260"/>
                      <wp:effectExtent l="0" t="0" r="0" b="0"/>
                      <wp:wrapNone/>
                      <wp:docPr id="304" name="Frame30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36905" cy="175260"/>
                      <wp:effectExtent l="0" t="0" r="0" b="0"/>
                      <wp:wrapNone/>
                      <wp:docPr id="305" name="Frame305"/>
                      <a:graphic xmlns:a="http://schemas.openxmlformats.org/drawingml/2006/main">
                        <a:graphicData uri="http://schemas.microsoft.com/office/word/2010/wordprocessingShape">
                          <wps:wsp>
                            <wps:cNvSpPr txBox="1"/>
                            <wps:spPr>
                              <a:xfrm>
                                <a:off x="0" y="0"/>
                                <a:ext cx="636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65430" cy="175260"/>
                      <wp:effectExtent l="0" t="0" r="0" b="0"/>
                      <wp:wrapNone/>
                      <wp:docPr id="306" name="Frame306"/>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23520" cy="175260"/>
                      <wp:effectExtent l="0" t="0" r="0" b="0"/>
                      <wp:wrapNone/>
                      <wp:docPr id="307" name="Frame30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67665" cy="175260"/>
                      <wp:effectExtent l="0" t="0" r="0" b="0"/>
                      <wp:wrapNone/>
                      <wp:docPr id="308" name="Frame308"/>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65430" cy="175260"/>
                      <wp:effectExtent l="0" t="0" r="0" b="0"/>
                      <wp:wrapNone/>
                      <wp:docPr id="309" name="Frame309"/>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26060" cy="175260"/>
                      <wp:effectExtent l="0" t="0" r="0" b="0"/>
                      <wp:wrapNone/>
                      <wp:docPr id="310" name="Frame310"/>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98475" cy="175260"/>
                      <wp:effectExtent l="0" t="0" r="0" b="0"/>
                      <wp:wrapNone/>
                      <wp:docPr id="311" name="Frame311"/>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5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18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September 30, 2024</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7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418"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418"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7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418"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418"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7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418"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18"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7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18"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18"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26" w:type="dxa"/>
            <w:tcBorders/>
            <w:vAlign w:val="center"/>
          </w:tcPr>
          <w:p>
            <w:pPr>
              <w:pStyle w:val="TableContents"/>
              <w:bidi w:val="0"/>
              <w:spacing w:before="0" w:after="1"/>
              <w:ind w:left="0" w:right="0" w:hanging="0"/>
              <w:jc w:val="left"/>
              <w:rPr/>
            </w:pPr>
            <w:r>
              <w:rPr/>
              <w:t>​</w:t>
            </w:r>
          </w:p>
        </w:tc>
        <w:tc>
          <w:tcPr>
            <w:tcW w:w="127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418"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18"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27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18"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18"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2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18"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18" w:type="dxa"/>
            <w:tcBorders/>
            <w:vAlign w:val="center"/>
          </w:tcPr>
          <w:p>
            <w:pPr>
              <w:pStyle w:val="TableContents"/>
              <w:bidi w:val="0"/>
              <w:spacing w:before="0" w:after="1"/>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223,227</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223,227</w:t>
            </w:r>
          </w:p>
        </w:tc>
        <w:tc>
          <w:tcPr>
            <w:tcW w:w="418"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418"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1"/>
              <w:ind w:left="0" w:right="70" w:hanging="0"/>
              <w:jc w:val="right"/>
              <w:rPr/>
            </w:pPr>
            <w:r>
              <w:rPr/>
              <w:t>—</w:t>
            </w:r>
          </w:p>
        </w:tc>
      </w:tr>
    </w:tbl>
    <w:p>
      <w:pPr>
        <w:pStyle w:val="TextBody"/>
        <w:bidi w:val="0"/>
        <w:spacing w:before="0" w:after="240"/>
        <w:ind w:left="0" w:right="0" w:firstLine="360"/>
        <w:jc w:val="left"/>
        <w:rPr/>
      </w:pPr>
      <w:r>
        <w:rPr/>
        <w:t>​</w:t>
      </w:r>
    </w:p>
    <w:tbl>
      <w:tblPr>
        <w:tblW w:w="8424" w:type="dxa"/>
        <w:jc w:val="left"/>
        <w:tblInd w:w="0" w:type="dxa"/>
        <w:tblLayout w:type="fixed"/>
        <w:tblCellMar>
          <w:top w:w="0" w:type="dxa"/>
          <w:left w:w="0" w:type="dxa"/>
          <w:bottom w:w="0" w:type="dxa"/>
          <w:right w:w="0" w:type="dxa"/>
        </w:tblCellMar>
      </w:tblPr>
      <w:tblGrid>
        <w:gridCol w:w="2476"/>
        <w:gridCol w:w="326"/>
        <w:gridCol w:w="241"/>
        <w:gridCol w:w="899"/>
        <w:gridCol w:w="326"/>
        <w:gridCol w:w="267"/>
        <w:gridCol w:w="991"/>
        <w:gridCol w:w="413"/>
        <w:gridCol w:w="352"/>
        <w:gridCol w:w="579"/>
        <w:gridCol w:w="413"/>
        <w:gridCol w:w="355"/>
        <w:gridCol w:w="78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572260" cy="175260"/>
                      <wp:effectExtent l="0" t="0" r="0" b="0"/>
                      <wp:wrapNone/>
                      <wp:docPr id="312" name="Frame312"/>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53035" cy="175260"/>
                      <wp:effectExtent l="0" t="0" r="0" b="0"/>
                      <wp:wrapNone/>
                      <wp:docPr id="314" name="Frame31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70865" cy="175260"/>
                      <wp:effectExtent l="0" t="0" r="0" b="0"/>
                      <wp:wrapNone/>
                      <wp:docPr id="315" name="Frame315"/>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69545" cy="175260"/>
                      <wp:effectExtent l="0" t="0" r="0" b="0"/>
                      <wp:wrapNone/>
                      <wp:docPr id="317" name="Frame31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29285" cy="175260"/>
                      <wp:effectExtent l="0" t="0" r="0" b="0"/>
                      <wp:wrapNone/>
                      <wp:docPr id="318" name="Frame31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62255" cy="175260"/>
                      <wp:effectExtent l="0" t="0" r="0" b="0"/>
                      <wp:wrapNone/>
                      <wp:docPr id="319" name="Frame319"/>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23520" cy="175260"/>
                      <wp:effectExtent l="0" t="0" r="0" b="0"/>
                      <wp:wrapNone/>
                      <wp:docPr id="320" name="Frame320"/>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67665" cy="175260"/>
                      <wp:effectExtent l="0" t="0" r="0" b="0"/>
                      <wp:wrapNone/>
                      <wp:docPr id="321" name="Frame321"/>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62255" cy="175260"/>
                      <wp:effectExtent l="0" t="0" r="0" b="0"/>
                      <wp:wrapNone/>
                      <wp:docPr id="322" name="Frame322"/>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25425" cy="175260"/>
                      <wp:effectExtent l="0" t="0" r="0" b="0"/>
                      <wp:wrapNone/>
                      <wp:docPr id="323" name="Frame323"/>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99110" cy="175260"/>
                      <wp:effectExtent l="0" t="0" r="0" b="0"/>
                      <wp:wrapNone/>
                      <wp:docPr id="324" name="Frame324"/>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15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2023</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413"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13" w:type="dxa"/>
            <w:tcBorders/>
            <w:vAlign w:val="center"/>
          </w:tcPr>
          <w:p>
            <w:pPr>
              <w:pStyle w:val="TableContents"/>
              <w:bidi w:val="0"/>
              <w:spacing w:before="0" w:after="1"/>
              <w:ind w:left="0" w:right="0" w:hanging="0"/>
              <w:jc w:val="center"/>
              <w:rPr/>
            </w:pPr>
            <w:r>
              <w:rPr/>
              <w:t>​</w:t>
            </w:r>
          </w:p>
        </w:tc>
        <w:tc>
          <w:tcPr>
            <w:tcW w:w="355"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413"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13" w:type="dxa"/>
            <w:tcBorders/>
            <w:vAlign w:val="center"/>
          </w:tcPr>
          <w:p>
            <w:pPr>
              <w:pStyle w:val="TableContents"/>
              <w:bidi w:val="0"/>
              <w:spacing w:before="0" w:after="1"/>
              <w:ind w:left="0" w:right="0" w:hanging="0"/>
              <w:jc w:val="center"/>
              <w:rPr/>
            </w:pPr>
            <w:r>
              <w:rPr/>
              <w:t>​</w:t>
            </w:r>
          </w:p>
        </w:tc>
        <w:tc>
          <w:tcPr>
            <w:tcW w:w="355"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413"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13" w:type="dxa"/>
            <w:tcBorders/>
            <w:vAlign w:val="center"/>
          </w:tcPr>
          <w:p>
            <w:pPr>
              <w:pStyle w:val="TableContents"/>
              <w:bidi w:val="0"/>
              <w:spacing w:before="0" w:after="1"/>
              <w:ind w:left="0" w:right="0" w:hanging="0"/>
              <w:jc w:val="center"/>
              <w:rPr/>
            </w:pPr>
            <w:r>
              <w:rPr/>
              <w:t>​</w:t>
            </w:r>
          </w:p>
        </w:tc>
        <w:tc>
          <w:tcPr>
            <w:tcW w:w="355"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13"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13"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413"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13"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13"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13"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13"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13" w:type="dxa"/>
            <w:tcBorders/>
            <w:vAlign w:val="center"/>
          </w:tcPr>
          <w:p>
            <w:pPr>
              <w:pStyle w:val="TableContents"/>
              <w:bidi w:val="0"/>
              <w:spacing w:before="0" w:after="1"/>
              <w:ind w:left="0" w:right="0" w:hanging="0"/>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298,349</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298,349</w:t>
            </w:r>
          </w:p>
        </w:tc>
        <w:tc>
          <w:tcPr>
            <w:tcW w:w="413"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1"/>
              <w:ind w:left="0" w:right="7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Cash and cash equivalents includes $213.2</w:t>
            </w:r>
            <w:r>
              <w:rPr>
                <w:caps w:val="false"/>
                <w:smallCaps w:val="false"/>
              </w:rPr>
              <w:t> </w:t>
            </w:r>
            <w:r>
              <w:rPr>
                <w:rFonts w:ascii="Times New Roman;Times;serif" w:hAnsi="Times New Roman;Times;serif"/>
                <w:b w:val="false"/>
                <w:i w:val="false"/>
                <w:caps w:val="false"/>
                <w:smallCaps w:val="false"/>
                <w:sz w:val="20"/>
              </w:rPr>
              <w:t>million and $283.2</w:t>
            </w:r>
            <w:r>
              <w:rPr>
                <w:caps w:val="false"/>
                <w:smallCaps w:val="false"/>
              </w:rPr>
              <w:t> </w:t>
            </w:r>
            <w:r>
              <w:rPr>
                <w:rFonts w:ascii="Times New Roman;Times;serif" w:hAnsi="Times New Roman;Times;serif"/>
                <w:b w:val="false"/>
                <w:i w:val="false"/>
                <w:caps w:val="false"/>
                <w:smallCaps w:val="false"/>
                <w:sz w:val="20"/>
              </w:rPr>
              <w:t>million invested in U.S. government money market funds as of September 30, 2024 and December 31, 2023, respectively.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had no transfers of assets or liabilities between fair value hierarchy levels between December 31, 2023, and September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Remarketed Bonds, the fair values are estimated using the Black-Derman-Toy interest rate lattice framework. The effective maturity of the Remarketed Bonds was assumed to be April 1, 2026 (two years from issuance) with repayment of 100% of principal on that date. The impact of the Company’s optional redemption feature, effective November 1, 2024, is appropriately captured by the Black-Derman-Toy interest rate lattice. The carrying values and estimated fair values of the Remarketed Bonds as of September 30, 2024, are summarized as follows (in thousands):</w:t>
      </w:r>
    </w:p>
    <w:p>
      <w:pPr>
        <w:pStyle w:val="TextBody"/>
        <w:bidi w:val="0"/>
        <w:spacing w:before="0" w:after="0"/>
        <w:ind w:left="0" w:right="0" w:hanging="0"/>
        <w:jc w:val="left"/>
        <w:rPr/>
      </w:pPr>
      <w:r>
        <w:rPr/>
        <w:t>​</w:t>
      </w:r>
    </w:p>
    <w:tbl>
      <w:tblPr>
        <w:tblW w:w="4207" w:type="dxa"/>
        <w:jc w:val="left"/>
        <w:tblInd w:w="0" w:type="dxa"/>
        <w:tblLayout w:type="fixed"/>
        <w:tblCellMar>
          <w:top w:w="0" w:type="dxa"/>
          <w:left w:w="0" w:type="dxa"/>
          <w:bottom w:w="0" w:type="dxa"/>
          <w:right w:w="0" w:type="dxa"/>
        </w:tblCellMar>
      </w:tblPr>
      <w:tblGrid>
        <w:gridCol w:w="1666"/>
        <w:gridCol w:w="326"/>
        <w:gridCol w:w="211"/>
        <w:gridCol w:w="676"/>
        <w:gridCol w:w="326"/>
        <w:gridCol w:w="211"/>
        <w:gridCol w:w="79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057910" cy="175260"/>
                      <wp:effectExtent l="0" t="0" r="0" b="0"/>
                      <wp:wrapNone/>
                      <wp:docPr id="325" name="Frame325"/>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29260" cy="175260"/>
                      <wp:effectExtent l="0" t="0" r="0" b="0"/>
                      <wp:wrapNone/>
                      <wp:docPr id="328" name="Frame3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02285" cy="175260"/>
                      <wp:effectExtent l="0" t="0" r="0" b="0"/>
                      <wp:wrapNone/>
                      <wp:docPr id="331" name="Frame33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Remarketed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68,993</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2297" w:type="dxa"/>
        <w:jc w:val="left"/>
        <w:tblInd w:w="0" w:type="dxa"/>
        <w:tblLayout w:type="fixed"/>
        <w:tblCellMar>
          <w:top w:w="0" w:type="dxa"/>
          <w:left w:w="0" w:type="dxa"/>
          <w:bottom w:w="0" w:type="dxa"/>
          <w:right w:w="0" w:type="dxa"/>
        </w:tblCellMar>
      </w:tblPr>
      <w:tblGrid>
        <w:gridCol w:w="376"/>
        <w:gridCol w:w="192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19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Stockholders’ Equity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Issuances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At-the-Market Offering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2024 the Company filed a registration statement on Form S-3, which included </w:t>
      </w:r>
      <w:r>
        <w:rPr>
          <w:rFonts w:ascii="Times New Roman;Times;serif" w:hAnsi="Times New Roman;Times;serif"/>
          <w:spacing w:val="4"/>
          <w:sz w:val="20"/>
        </w:rPr>
        <w:t>a base prospectus which covers the offer, issuance and sale of up to an aggregate of $750.0 million of the registrant’s common stock, preferred stock, debt securities, depositary shares, warrants, purchase contracts and units and an at-the-market offering prospectus supplement covering the offering, issuance and sale by the Company of up to a maximum aggregate offering price of $500.0 million of common stock that may be issued and sold under an at-the-market-offering agreement</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2024, the Company has remaining capacity to issue up to $500.0 million of common stock under the at-the-market offering program.</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Registered Direct Offering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September 30, 2024, none of the Series 2022-A Warrants had been exercised.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net proceeds to the Company from the June 2022 Offering were $139.2 million, after deducting placement agent’s fees, advisory fees and other offering expenses payable by the Company, and assuming none of the Series 2022-A Warrants issued in the June 2022 Offering are exercised for cash.</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30, 2023, the Company authorized a stock repurchase program, under which it may repurchase up to $25 million of its common stock. The primary goal of the repurchase program is to allow the Company to opportunistically repurchase shares, while maintaining the Company’s ability to fund its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by the Company and does not have an expiration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repurchased 1.1 million and 7.2 million shares of common stock for $0.6 million and $4.7 million under the stock repurchase program during the three and nine months ended September 30, 2024, respectively. Shares were repurchased at market value, and were retired immediately upon repurchase. The Company did not repurchase any shares during the three and nine months ended September 30, 2023. As of September 30, 2024, approximately $20.3 million remained available under the stock repurchase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Series 2022-A Warrants, the Company has warrants outstanding that were issued in conjunction with a registered direct offering in August 2020 (the “Series 2020-A Warrants”). The Company evaluated the Series 2022-A Warrants and Series 2020-A Warrants for liability or equity classification and determined that equity treatment was appropriate because both the Series 2022-A Warrants and Series 2020-A Warrants do not meet the definition of liability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Series 2022-A Warrants and Series 2020-A Warrants are classified as a component of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and Series 2020-A Warrants do not provide any guarantee of value or return.</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509" w:name="Tc_QIUNc2uQ5kqOPBC66rK2ww_2_6"/>
      <w:bookmarkStart w:id="1510" w:name="Tc_2uKlv7PKoEGulv1K9vNZCA_2_0"/>
      <w:bookmarkStart w:id="1511" w:name="Tc_jCg0pq-lCEKlawbyosBu-w_1_7"/>
      <w:bookmarkStart w:id="1512" w:name="Tc_MKsvI2e2HEOhzigfVU_glg_1_4"/>
      <w:bookmarkStart w:id="1513" w:name="_55121a27_ab88_42a6_9fb9_bdc3d384156f"/>
      <w:bookmarkStart w:id="1514" w:name="Tc_3kMLxBIG9kKNZKNa1yo4ug_10_0"/>
      <w:bookmarkStart w:id="1515" w:name="Tc_H4XzHAX5U0SDsgfvahvxkQ_9_6"/>
      <w:bookmarkStart w:id="1516" w:name="Tc_HdrFVSQTGkGxHquONBjugA_9_4"/>
      <w:bookmarkStart w:id="1517" w:name="Tc_yzWESfYLW0-tHmKUgfX5sA_9_2"/>
      <w:bookmarkStart w:id="1518" w:name="Tc_XobOjlprl02q0tHtjJpBIQ_9_0"/>
      <w:bookmarkStart w:id="1519" w:name="Tc_ae7pukvtdk-1Zf19WAbTrQ_8_6"/>
      <w:bookmarkStart w:id="1520" w:name="Tc_Dkp13U3ZUkSStxwYS-is6g_8_4"/>
      <w:bookmarkStart w:id="1521" w:name="Tc_Hl9aYR3J90aapbkEsqWbKQ_8_2"/>
      <w:bookmarkStart w:id="1522" w:name="Tc_pv3Lc3I54kCrCd7QIWA15Q_8_0"/>
      <w:bookmarkStart w:id="1523" w:name="Tc_P12dH2Vllka96IJyIuC7_Q_7_13"/>
      <w:bookmarkStart w:id="1524" w:name="Tc_fn5r7ucK70-k0QdBfV4_cQ_7_11"/>
      <w:bookmarkStart w:id="1525" w:name="Tc_f6J0qD3ttE2EDz-f5IpF1g_7_9"/>
      <w:bookmarkStart w:id="1526" w:name="Tc_Lgxzj1ojZES6Ic1GSmm9UQ_7_6"/>
      <w:bookmarkStart w:id="1527" w:name="Tc_0nCknEdOLUC7c9tNJG9SyA_7_4"/>
      <w:bookmarkStart w:id="1528" w:name="Tc_gdr8nBo6XUe1IG0UgfoEew_7_2"/>
      <w:bookmarkStart w:id="1529" w:name="Tc_U177hi-q9E6P7Po6o7JslA_6_13"/>
      <w:bookmarkStart w:id="1530" w:name="Tc_SY94mEdXG0uE8Q8_WOTwrA_6_11"/>
      <w:bookmarkStart w:id="1531" w:name="Tc_xFNEHsquJEC10jLVbvl_YA_6_9"/>
      <w:bookmarkStart w:id="1532" w:name="Tc_HJj3jvSdTkGBlHWS2KWvNg_6_7"/>
      <w:bookmarkStart w:id="1533" w:name="Tc_GU61f89kRU2vhS-IYO-L5w_6_4"/>
      <w:bookmarkStart w:id="1534" w:name="Tc_w8eWN_6xqkKBFPPRLdKxnA_6_2"/>
      <w:bookmarkStart w:id="1535" w:name="Tc_81Y9O0ApIEmUubYOruFtjw_5_13"/>
      <w:bookmarkStart w:id="1536" w:name="Tc_v5Dc--rVmkydHY3_K9ATzw_5_11"/>
      <w:bookmarkStart w:id="1537" w:name="Tc_nyUDIbZbyEyWsmZnefQuig_5_9"/>
      <w:bookmarkStart w:id="1538" w:name="Tc_LrbK_D7hTkm0QmjeOKp1GQ_5_6"/>
      <w:bookmarkStart w:id="1539" w:name="Tc_l4U2Uxrk4ESsxKfbweBjHw_4_13"/>
      <w:bookmarkStart w:id="1540" w:name="Tc__A8AfR47y0y0-_fnAYKb4w_4_11"/>
      <w:bookmarkStart w:id="1541" w:name="Tc_i-bLhcKRTUaPaSRIZGZMpQ_4_9"/>
      <w:bookmarkStart w:id="1542" w:name="Tc_QIJkjTHS8kiYZfGX8-LMeA_4_6"/>
      <w:bookmarkStart w:id="1543" w:name="Tc_uNh-RMtTxEGWdCo2XOSbgA_3_13"/>
      <w:bookmarkStart w:id="1544" w:name="Tc_fog75m8H8ECM9BnYuYDB9Q_3_11"/>
      <w:bookmarkStart w:id="1545" w:name="Tc_DwLiXchRXE24MBsiajB6dQ_3_9"/>
      <w:bookmarkStart w:id="1546" w:name="Tc__v6MLMv8oEGAiOro6cH6Hg_2_13"/>
      <w:bookmarkStart w:id="1547" w:name="Tc_3Bfmujeyc0SR6oUX9mdMxg_2_11"/>
      <w:bookmarkStart w:id="1548" w:name="Tc_TQTEt7dSYkukmoxhfXD8Lw_1_13"/>
      <w:bookmarkStart w:id="1549" w:name="Tc_cT-5c9dc3U-cTPJ7zSHyKw_1_11"/>
      <w:bookmarkStart w:id="1550" w:name="_2da9ffc9_f35f_4995_901f_744913f0ec83"/>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r>
        <w:rPr>
          <w:rFonts w:ascii="Times New Roman;Times;serif" w:hAnsi="Times New Roman;Times;serif"/>
          <w:sz w:val="20"/>
        </w:rPr>
        <w:t>The following table sets forth information pertaining to shares issued upon the exercise of warrants:</w:t>
      </w:r>
    </w:p>
    <w:tbl>
      <w:tblPr>
        <w:tblW w:w="10205" w:type="dxa"/>
        <w:jc w:val="left"/>
        <w:tblInd w:w="0" w:type="dxa"/>
        <w:tblLayout w:type="fixed"/>
        <w:tblCellMar>
          <w:top w:w="0" w:type="dxa"/>
          <w:left w:w="0" w:type="dxa"/>
          <w:bottom w:w="0" w:type="dxa"/>
          <w:right w:w="0" w:type="dxa"/>
        </w:tblCellMar>
      </w:tblPr>
      <w:tblGrid>
        <w:gridCol w:w="1788"/>
        <w:gridCol w:w="326"/>
        <w:gridCol w:w="807"/>
        <w:gridCol w:w="326"/>
        <w:gridCol w:w="886"/>
        <w:gridCol w:w="326"/>
        <w:gridCol w:w="211"/>
        <w:gridCol w:w="1157"/>
        <w:gridCol w:w="326"/>
        <w:gridCol w:w="1036"/>
        <w:gridCol w:w="326"/>
        <w:gridCol w:w="1157"/>
        <w:gridCol w:w="326"/>
        <w:gridCol w:w="1207"/>
      </w:tblGrid>
      <w:tr>
        <w:trPr/>
        <w:tc>
          <w:tcPr>
            <w:tcW w:w="1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135380" cy="175260"/>
                      <wp:effectExtent l="0" t="0" r="0" b="0"/>
                      <wp:wrapNone/>
                      <wp:docPr id="332" name="Frame332"/>
                      <a:graphic xmlns:a="http://schemas.openxmlformats.org/drawingml/2006/main">
                        <a:graphicData uri="http://schemas.microsoft.com/office/word/2010/wordprocessingShape">
                          <wps:wsp>
                            <wps:cNvSpPr txBox="1"/>
                            <wps:spPr>
                              <a:xfrm>
                                <a:off x="0" y="0"/>
                                <a:ext cx="1135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12445" cy="175260"/>
                      <wp:effectExtent l="0" t="0" r="0" b="0"/>
                      <wp:wrapNone/>
                      <wp:docPr id="334" name="Frame334"/>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62610" cy="175260"/>
                      <wp:effectExtent l="0" t="0" r="0" b="0"/>
                      <wp:wrapNone/>
                      <wp:docPr id="336" name="Frame33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8"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734695" cy="175260"/>
                      <wp:effectExtent l="0" t="0" r="0" b="0"/>
                      <wp:wrapNone/>
                      <wp:docPr id="339" name="Frame339"/>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57860" cy="175260"/>
                      <wp:effectExtent l="0" t="0" r="0" b="0"/>
                      <wp:wrapNone/>
                      <wp:docPr id="341" name="Frame34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734695" cy="175260"/>
                      <wp:effectExtent l="0" t="0" r="0" b="0"/>
                      <wp:wrapNone/>
                      <wp:docPr id="343" name="Frame343"/>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766445" cy="175260"/>
                      <wp:effectExtent l="0" t="0" r="0" b="0"/>
                      <wp:wrapNone/>
                      <wp:docPr id="345" name="Frame345"/>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1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20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17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1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26" w:type="dxa"/>
            <w:tcBorders/>
            <w:vAlign w:val="center"/>
          </w:tcPr>
          <w:p>
            <w:pPr>
              <w:pStyle w:val="TableContents"/>
              <w:bidi w:val="0"/>
              <w:spacing w:before="0" w:after="1"/>
              <w:ind w:left="0" w:right="0" w:hanging="0"/>
              <w:jc w:val="center"/>
              <w:rPr/>
            </w:pPr>
            <w:r>
              <w:rPr/>
              <w:t> </w:t>
            </w:r>
          </w:p>
        </w:tc>
        <w:tc>
          <w:tcPr>
            <w:tcW w:w="120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r>
      <w:tr>
        <w:trPr/>
        <w:tc>
          <w:tcPr>
            <w:tcW w:w="17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1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1"/>
              <w:ind w:left="0" w:right="0" w:hanging="0"/>
              <w:jc w:val="center"/>
              <w:rPr/>
            </w:pPr>
            <w:r>
              <w:rPr/>
              <w:t> </w:t>
            </w:r>
          </w:p>
        </w:tc>
        <w:tc>
          <w:tcPr>
            <w:tcW w:w="120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r>
      <w:tr>
        <w:trPr/>
        <w:tc>
          <w:tcPr>
            <w:tcW w:w="17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3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vAlign w:val="center"/>
          </w:tcPr>
          <w:p>
            <w:pPr>
              <w:pStyle w:val="TableContents"/>
              <w:bidi w:val="0"/>
              <w:spacing w:before="0" w:after="1"/>
              <w:ind w:left="0" w:right="0" w:hanging="0"/>
              <w:jc w:val="center"/>
              <w:rPr/>
            </w:pPr>
            <w:r>
              <w:rPr/>
              <w:t> </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Exercises as</w:t>
            </w:r>
          </w:p>
        </w:tc>
        <w:tc>
          <w:tcPr>
            <w:tcW w:w="326" w:type="dxa"/>
            <w:tcBorders/>
            <w:vAlign w:val="center"/>
          </w:tcPr>
          <w:p>
            <w:pPr>
              <w:pStyle w:val="TableContents"/>
              <w:bidi w:val="0"/>
              <w:spacing w:before="0" w:after="1"/>
              <w:ind w:left="0" w:right="0" w:hanging="0"/>
              <w:jc w:val="center"/>
              <w:rPr/>
            </w:pPr>
            <w:r>
              <w:rPr/>
              <w:t> </w:t>
            </w:r>
          </w:p>
        </w:tc>
        <w:tc>
          <w:tcPr>
            <w:tcW w:w="120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17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as of</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on</w:t>
            </w:r>
          </w:p>
        </w:tc>
        <w:tc>
          <w:tcPr>
            <w:tcW w:w="326" w:type="dxa"/>
            <w:tcBorders/>
            <w:vAlign w:val="center"/>
          </w:tcPr>
          <w:p>
            <w:pPr>
              <w:pStyle w:val="TableContents"/>
              <w:bidi w:val="0"/>
              <w:spacing w:before="0" w:after="1"/>
              <w:ind w:left="0" w:right="0" w:hanging="0"/>
              <w:jc w:val="center"/>
              <w:rPr/>
            </w:pPr>
            <w:r>
              <w:rPr/>
              <w:t> </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1"/>
              <w:ind w:left="0" w:right="0" w:hanging="0"/>
              <w:jc w:val="center"/>
              <w:rPr/>
            </w:pPr>
            <w:r>
              <w:rPr/>
              <w:t> </w:t>
            </w:r>
          </w:p>
        </w:tc>
        <w:tc>
          <w:tcPr>
            <w:tcW w:w="120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7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center"/>
              <w:rPr/>
            </w:pPr>
            <w:r>
              <w:rPr/>
              <w:t> </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 </w:t>
            </w:r>
          </w:p>
        </w:tc>
        <w:tc>
          <w:tcPr>
            <w:tcW w:w="120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17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13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115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20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8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2020-A Warrants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7/6/2020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30,000,000</w:t>
            </w:r>
          </w:p>
        </w:tc>
        <w:tc>
          <w:tcPr>
            <w:tcW w:w="326" w:type="dxa"/>
            <w:tcBorders/>
            <w:shd w:fill="CCEEFF" w:val="clear"/>
            <w:vAlign w:val="center"/>
          </w:tcPr>
          <w:p>
            <w:pPr>
              <w:pStyle w:val="TableContents"/>
              <w:bidi w:val="0"/>
              <w:spacing w:before="0" w:after="1"/>
              <w:ind w:left="0" w:right="0" w:hanging="0"/>
              <w:jc w:val="left"/>
              <w:rPr/>
            </w:pPr>
            <w:r>
              <w:rPr/>
              <w:t> </w:t>
            </w:r>
          </w:p>
        </w:tc>
        <w:tc>
          <w:tcPr>
            <w:tcW w:w="11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29,995,867</w:t>
            </w:r>
          </w:p>
        </w:tc>
        <w:tc>
          <w:tcPr>
            <w:tcW w:w="326" w:type="dxa"/>
            <w:tcBorders/>
            <w:shd w:fill="CCEEFF" w:val="clear"/>
            <w:vAlign w:val="center"/>
          </w:tcPr>
          <w:p>
            <w:pPr>
              <w:pStyle w:val="TableContents"/>
              <w:bidi w:val="0"/>
              <w:spacing w:before="0" w:after="1"/>
              <w:ind w:left="0" w:right="0" w:hanging="0"/>
              <w:jc w:val="left"/>
              <w:rPr/>
            </w:pPr>
            <w:r>
              <w:rPr/>
              <w:t> </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4,133</w:t>
            </w:r>
          </w:p>
        </w:tc>
      </w:tr>
      <w:tr>
        <w:trPr/>
        <w:tc>
          <w:tcPr>
            <w:tcW w:w="1788"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2022-A Warrants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6/8/2022</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6/7/2027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26" w:type="dxa"/>
            <w:tcBorders/>
            <w:vAlign w:val="center"/>
          </w:tcPr>
          <w:p>
            <w:pPr>
              <w:pStyle w:val="TableContents"/>
              <w:bidi w:val="0"/>
              <w:spacing w:before="0" w:after="1"/>
              <w:ind w:left="0" w:right="0" w:hanging="0"/>
              <w:jc w:val="left"/>
              <w:rPr/>
            </w:pPr>
            <w:r>
              <w:rPr/>
              <w:t> </w:t>
            </w:r>
          </w:p>
        </w:tc>
        <w:tc>
          <w:tcPr>
            <w:tcW w:w="11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r>
      <w:tr>
        <w:trPr/>
        <w:tc>
          <w:tcPr>
            <w:tcW w:w="17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63,333,336</w:t>
            </w:r>
          </w:p>
        </w:tc>
        <w:tc>
          <w:tcPr>
            <w:tcW w:w="326" w:type="dxa"/>
            <w:tcBorders/>
            <w:shd w:fill="CCEEFF" w:val="clear"/>
            <w:vAlign w:val="center"/>
          </w:tcPr>
          <w:p>
            <w:pPr>
              <w:pStyle w:val="TableContents"/>
              <w:bidi w:val="0"/>
              <w:spacing w:before="0" w:after="1"/>
              <w:ind w:left="0" w:right="0" w:hanging="0"/>
              <w:jc w:val="left"/>
              <w:rPr/>
            </w:pPr>
            <w:r>
              <w:rPr/>
              <w:t> </w:t>
            </w:r>
          </w:p>
        </w:tc>
        <w:tc>
          <w:tcPr>
            <w:tcW w:w="11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29,995,867</w:t>
            </w:r>
          </w:p>
        </w:tc>
        <w:tc>
          <w:tcPr>
            <w:tcW w:w="326" w:type="dxa"/>
            <w:tcBorders/>
            <w:shd w:fill="CCEEFF" w:val="clear"/>
            <w:vAlign w:val="center"/>
          </w:tcPr>
          <w:p>
            <w:pPr>
              <w:pStyle w:val="TableContents"/>
              <w:bidi w:val="0"/>
              <w:spacing w:before="0" w:after="1"/>
              <w:ind w:left="0" w:right="0" w:hanging="0"/>
              <w:jc w:val="left"/>
              <w:rPr/>
            </w:pPr>
            <w:r>
              <w:rPr/>
              <w:t> </w:t>
            </w:r>
          </w:p>
        </w:tc>
        <w:tc>
          <w:tcPr>
            <w:tcW w:w="120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33,337,469</w:t>
            </w:r>
          </w:p>
        </w:tc>
      </w:tr>
    </w:tbl>
    <w:tbl>
      <w:tblPr>
        <w:tblW w:w="2642" w:type="dxa"/>
        <w:jc w:val="left"/>
        <w:tblInd w:w="0" w:type="dxa"/>
        <w:tblLayout w:type="fixed"/>
        <w:tblCellMar>
          <w:top w:w="0" w:type="dxa"/>
          <w:left w:w="0" w:type="dxa"/>
          <w:bottom w:w="0" w:type="dxa"/>
          <w:right w:w="0" w:type="dxa"/>
        </w:tblCellMar>
      </w:tblPr>
      <w:tblGrid>
        <w:gridCol w:w="346"/>
        <w:gridCol w:w="22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warrants.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2024</w:t>
      </w:r>
      <w:r>
        <w:rPr>
          <w:rFonts w:ascii="Times New Roman;Times;serif" w:hAnsi="Times New Roman;Times;serif"/>
          <w:i/>
          <w:sz w:val="20"/>
        </w:rPr>
        <w:t xml:space="preserve">, </w:t>
      </w:r>
      <w:r>
        <w:rPr>
          <w:rFonts w:ascii="Times New Roman;Times;serif" w:hAnsi="Times New Roman;Times;serif"/>
          <w:sz w:val="20"/>
        </w:rPr>
        <w:t>common stock was issued as a result of the exercise of warrants as shown below (dollars in thousands):</w:t>
      </w:r>
    </w:p>
    <w:tbl>
      <w:tblPr>
        <w:tblW w:w="5180" w:type="dxa"/>
        <w:jc w:val="left"/>
        <w:tblInd w:w="0" w:type="dxa"/>
        <w:tblLayout w:type="fixed"/>
        <w:tblCellMar>
          <w:top w:w="0" w:type="dxa"/>
          <w:left w:w="0" w:type="dxa"/>
          <w:bottom w:w="0" w:type="dxa"/>
          <w:right w:w="0" w:type="dxa"/>
        </w:tblCellMar>
      </w:tblPr>
      <w:tblGrid>
        <w:gridCol w:w="2026"/>
        <w:gridCol w:w="109"/>
        <w:gridCol w:w="109"/>
        <w:gridCol w:w="109"/>
        <w:gridCol w:w="1696"/>
        <w:gridCol w:w="109"/>
        <w:gridCol w:w="226"/>
        <w:gridCol w:w="79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86510" cy="175260"/>
                      <wp:effectExtent l="0" t="0" r="0" b="0"/>
                      <wp:wrapNone/>
                      <wp:docPr id="346" name="Frame346"/>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9215" cy="175260"/>
                      <wp:effectExtent l="0" t="0" r="0" b="0"/>
                      <wp:wrapNone/>
                      <wp:docPr id="349" name="Frame3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076960" cy="175260"/>
                      <wp:effectExtent l="0" t="0" r="0" b="0"/>
                      <wp:wrapNone/>
                      <wp:docPr id="350" name="Frame350"/>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51" name="Frame3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43510" cy="175260"/>
                      <wp:effectExtent l="0" t="0" r="0" b="0"/>
                      <wp:wrapNone/>
                      <wp:docPr id="352" name="Frame3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05460" cy="175260"/>
                      <wp:effectExtent l="0" t="0" r="0" b="0"/>
                      <wp:wrapNone/>
                      <wp:docPr id="353" name="Frame35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 Issued</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Proceeds</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2020-A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81,798</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796" w:type="dxa"/>
            <w:tcBorders/>
            <w:shd w:fill="CCEEFF" w:val="clear"/>
            <w:vAlign w:val="center"/>
          </w:tcPr>
          <w:p>
            <w:pPr>
              <w:pStyle w:val="TableContents"/>
              <w:bidi w:val="0"/>
              <w:spacing w:before="0" w:after="1"/>
              <w:ind w:left="0" w:right="70" w:hanging="0"/>
              <w:jc w:val="right"/>
              <w:rPr>
                <w:rFonts w:ascii="Times New Roman;Times;serif" w:hAnsi="Times New Roman;Times;serif"/>
                <w:sz w:val="22"/>
              </w:rPr>
            </w:pPr>
            <w:r>
              <w:rPr>
                <w:rFonts w:ascii="Times New Roman;Times;serif" w:hAnsi="Times New Roman;Times;serif"/>
                <w:sz w:val="22"/>
              </w:rPr>
              <w:t>49</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2477" w:type="dxa"/>
        <w:jc w:val="left"/>
        <w:tblInd w:w="0" w:type="dxa"/>
        <w:tblLayout w:type="fixed"/>
        <w:tblCellMar>
          <w:top w:w="0" w:type="dxa"/>
          <w:left w:w="0" w:type="dxa"/>
          <w:bottom w:w="0" w:type="dxa"/>
          <w:right w:w="0" w:type="dxa"/>
        </w:tblCellMar>
      </w:tblPr>
      <w:tblGrid>
        <w:gridCol w:w="376"/>
        <w:gridCol w:w="210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21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Business Combinations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Acquisition of Cultivate Agricultural Intelligence, LLC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September 25, 2024 (the “Cultivate Acquisition Date”), the Company acquired all of the issued and outstanding membership interests of Cultivate Agricultural Intelligence, LLC (“Cultivate”) pursuant to the terms of the Membership Interest Purchase Agreement between the Company and Cultivate, as well as Cultivate’s individual members (the “Cultivate Acquisition”).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Cultivate Acquisition met the requirements to be considered a business combination under ASC 805: Business Combinations (“ASC 805”). The assets and liabilities acquired from Cultivate, affected for preliminary adjustments to reflect the fair market values assigned to assets purchased and liabilities assumed, and results of operations, are included in the Company’s consolidated financial statements from the Cultivate Acquisition Date. The Company has allocated the purchase price to the tangible and identifiable intangible assets and liabilities assumed based on their estimated fair market values at the Cultivate Acquisition Date as required under ASC 805. The Company has not presented pro forma results because the Cultivate Acquisition was not deemed significant at the date of closing. Amounts related to the Cultivate Acquisition included in Condensed Consolidated Statements of Operations are insignificant.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Cultivate Acquisition was accounted for using the acquisition method of accounting and the fair value of the total purchase consideration transferred was $6.9 million. Included in the total consideration is cash consideration of $6.2 million and estimated contingent consideration totaling $0.7 million (the “Cultivate Earn-out liability”), for which the Company may be required to pay additional cash consideration contingent on future net profit-based performance targets between the closing date and the fourth anniversary of the closing date, up to a maximum of $2.0 million. As of the Cultivate Acquisition Date, the fair value of the Cultivate Earn-out liability was determined using a Monte Carlo simulation approach, and is considered a </w:t>
      </w:r>
      <w:r>
        <w:rPr>
          <w:rFonts w:ascii="Times New Roman;Times;serif" w:hAnsi="Times New Roman;Times;serif"/>
          <w:b w:val="false"/>
          <w:i w:val="false"/>
          <w:caps w:val="false"/>
          <w:smallCaps w:val="false"/>
          <w:sz w:val="20"/>
        </w:rPr>
        <w:t>Level 3 fair value</w:t>
      </w:r>
      <w:r>
        <w:rPr>
          <w:rFonts w:ascii="Times New Roman;Times;serif" w:hAnsi="Times New Roman;Times;serif"/>
          <w:sz w:val="20"/>
        </w:rPr>
        <w:t xml:space="preserve"> measurement. As of September 30, 2024, the Cultivate Earn-out liability’s fair value of $0.7 million is reported within the Other long-term liabilities line item in the Condensed Consolidated Balance Sheets. The fair value will be remeasured at each reporting date in accordance with ASC 820, Fair Value Measurement, with changes in the fair value of the Cultivate Earn-out Liability recognized in the Condensed Consolidated Statements of Operations.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551" w:name="Tc_hvQuaSwx5Ue_YgstRr96MQ_7_2"/>
      <w:bookmarkStart w:id="1552" w:name="Tc_APNKf9rqO0K1aM1H8AAiVQ_7_0"/>
      <w:bookmarkStart w:id="1553" w:name="Tc_4zJhP8blSEO3G_8x2X_Ufw_6_0"/>
      <w:bookmarkStart w:id="1554" w:name="Tc_6teFO46H40qxLvsH6x6irg_5_0"/>
      <w:bookmarkStart w:id="1555" w:name="Tc_1joUg42HDEKEn0gPZS5W5g_4_2"/>
      <w:bookmarkStart w:id="1556" w:name="Tc_0NbbB0gR9EuTw6gfoZmh7Q_4_0"/>
      <w:bookmarkStart w:id="1557" w:name="Tc_qXPK74g2i06UfhfISIw-cA_3_5"/>
      <w:bookmarkStart w:id="1558" w:name="Tc_ZZ8b9_jzpEG2k9jahYN8PQ_3_2"/>
      <w:bookmarkStart w:id="1559" w:name="Tc_pzHhwkgu5kGzUog6NezwXA_2_5"/>
      <w:bookmarkStart w:id="1560" w:name="Tc_hEgtDelnkkSAKiqiqdKlpQ_2_2"/>
      <w:bookmarkStart w:id="1561" w:name="Tc_kvSwSBHwKESDNhuTM11bvg_1_5"/>
      <w:bookmarkStart w:id="1562" w:name="Tc_ulUgmN48lEK0ASWMKJpQIg_1_2"/>
      <w:bookmarkStart w:id="1563" w:name="_4aea3de5_cb89_4b6f_9ae1_e93462d9fed8"/>
      <w:bookmarkStart w:id="1564" w:name="Tc_nKvGfc4iBkychVyqKKF3Hg_12_2"/>
      <w:bookmarkStart w:id="1565" w:name="Tc_7zW5CAw7q0KGmJJysf23Tg_12_0"/>
      <w:bookmarkStart w:id="1566" w:name="Tc_g7Fx3moznEWUG6OYfOihcA_11_0"/>
      <w:bookmarkStart w:id="1567" w:name="Tc_Jyqk0WUPmUOqvfrAn8sgPg_10_0"/>
      <w:bookmarkStart w:id="1568" w:name="Tc_ffEUo3zAZE6je9C-P95tig_9_0"/>
      <w:bookmarkStart w:id="1569" w:name="Tc_Js8jS474vkucIdgYTF-eAQ_8_0"/>
      <w:bookmarkStart w:id="1570" w:name="Tc_PLnrd9-Fi0ucrYXfL_8wvA_7_0"/>
      <w:bookmarkStart w:id="1571" w:name="Tc_YJBPrnIPJ0i42dcDtZ0N0w_6_0"/>
      <w:bookmarkStart w:id="1572" w:name="Tc_AVMe-fPAxkWoTFxSXQTq_w_5_0"/>
      <w:bookmarkStart w:id="1573" w:name="Tc_9RexIWiefEGH6iZVOTxbCQ_4_2"/>
      <w:bookmarkStart w:id="1574" w:name="Tc_7J9BPGlURk2oASPfLsWUIw_4_0"/>
      <w:bookmarkStart w:id="1575" w:name="Tc_GO63eSIoKECm4eo6btcKMw_3_2"/>
      <w:bookmarkStart w:id="1576" w:name="Tc_-5M47RM1_EOdXiJhHx6LLg_2_2"/>
      <w:bookmarkStart w:id="1577" w:name="Tc_qNsTBcn7pEKfNz6O_xtlhQ_1_2"/>
      <w:bookmarkStart w:id="1578" w:name="_1fd4a941_bd52_4d76_83bf_32230f775db3"/>
      <w:bookmarkStart w:id="1579" w:name="Tc_Ufhg6oBNCU6HgNn0mglKvw_4_2"/>
      <w:bookmarkStart w:id="1580" w:name="Tc_5vF1UfAgEkSKvGuQaB5gOg_4_0"/>
      <w:bookmarkStart w:id="1581" w:name="Tc_71jEEpx77E2jGLEwCe7lmg_3_0"/>
      <w:bookmarkStart w:id="1582" w:name="Tc_0JaX6Z2ibkmCKe2jlvrdEg_2_2"/>
      <w:bookmarkStart w:id="1583" w:name="Tc_8521RJzR90K1Tj-uJYHAfQ_2_0"/>
      <w:bookmarkStart w:id="1584" w:name="Tc_negRZ0fUBkmGmM-R0eORjg_1_2"/>
      <w:bookmarkStart w:id="1585" w:name="_d7fdc54b_af32_4abf_bfe3_b4f5d6921935"/>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r>
        <w:rPr>
          <w:rFonts w:ascii="Times New Roman;Times;serif" w:hAnsi="Times New Roman;Times;serif"/>
          <w:sz w:val="20"/>
        </w:rPr>
        <w:t>The following table displays the total purchase consideration transferred in the Cultivate Acquisition (in thousands):</w:t>
      </w:r>
    </w:p>
    <w:tbl>
      <w:tblPr>
        <w:tblW w:w="4599" w:type="dxa"/>
        <w:jc w:val="left"/>
        <w:tblInd w:w="0" w:type="dxa"/>
        <w:tblLayout w:type="fixed"/>
        <w:tblCellMar>
          <w:top w:w="0" w:type="dxa"/>
          <w:left w:w="0" w:type="dxa"/>
          <w:bottom w:w="0" w:type="dxa"/>
          <w:right w:w="0" w:type="dxa"/>
        </w:tblCellMar>
      </w:tblPr>
      <w:tblGrid>
        <w:gridCol w:w="3376"/>
        <w:gridCol w:w="326"/>
        <w:gridCol w:w="211"/>
        <w:gridCol w:w="68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43760" cy="175260"/>
                      <wp:effectExtent l="0" t="0" r="0" b="0"/>
                      <wp:wrapNone/>
                      <wp:docPr id="354" name="Frame354"/>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35610" cy="175260"/>
                      <wp:effectExtent l="0" t="0" r="0" b="0"/>
                      <wp:wrapNone/>
                      <wp:docPr id="357" name="Frame357"/>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6,167</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consideration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purchase consideration transferred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6,897</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Company incurred approximately $0.1 million of direct acquisition-related expenditures, which are recognized in General and administrative expense in the Condensed Consolidated Statements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fair values of the assets acquired and liabilities assumed in connection with the Cultivate Acquisition (in thousands):</w:t>
      </w:r>
    </w:p>
    <w:tbl>
      <w:tblPr>
        <w:tblW w:w="5375" w:type="dxa"/>
        <w:jc w:val="left"/>
        <w:tblInd w:w="0" w:type="dxa"/>
        <w:tblLayout w:type="fixed"/>
        <w:tblCellMar>
          <w:top w:w="0" w:type="dxa"/>
          <w:left w:w="0" w:type="dxa"/>
          <w:bottom w:w="0" w:type="dxa"/>
          <w:right w:w="0" w:type="dxa"/>
        </w:tblCellMar>
      </w:tblPr>
      <w:tblGrid>
        <w:gridCol w:w="3721"/>
        <w:gridCol w:w="109"/>
        <w:gridCol w:w="361"/>
        <w:gridCol w:w="1184"/>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362835" cy="175260"/>
                      <wp:effectExtent l="0" t="0" r="0" b="0"/>
                      <wp:wrapNone/>
                      <wp:docPr id="358" name="Frame358"/>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9"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29235" cy="175260"/>
                      <wp:effectExtent l="0" t="0" r="0" b="0"/>
                      <wp:wrapNone/>
                      <wp:docPr id="360" name="Frame36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751840" cy="175260"/>
                      <wp:effectExtent l="0" t="0" r="0" b="0"/>
                      <wp:wrapNone/>
                      <wp:docPr id="361" name="Frame361"/>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Cultivate</w:t>
            </w:r>
          </w:p>
        </w:tc>
      </w:tr>
      <w:tr>
        <w:trPr/>
        <w:tc>
          <w:tcPr>
            <w:tcW w:w="3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Acquisition Date</w:t>
            </w:r>
          </w:p>
        </w:tc>
      </w:tr>
      <w:tr>
        <w:trPr/>
        <w:tc>
          <w:tcPr>
            <w:tcW w:w="3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1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109"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6,983</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109"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 and liabilities assumed</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6,897</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 xml:space="preserve">The purchase price allocation is preliminary and subject to change during the measurement period, which is not to exceed one year from the Cultivate Acquisition Date. When the valuation is final, changes to the valuation of acquired assets and liabilities could result in adjustments to identified intangibles and goodwill. </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Fair Value of Net Assets Acquired and Intangibles</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assets and liabilities were recorded at their respective fair values as of September 25, 2024. The Company developed the fair value of intangible assets, which includes developed technology, a customer-related intangible, and trade names, using various techniques including the relief from royalty method and multi-period excess earnings method. For all other major assets and liabilities acquired, the Company determined that book value approximated fair value. Goodwill represents the future economic benefits that the Company expects to achieve as a result of the acquisition of the human capital and assets acquired. The goodwill resulting from this acquisition is expected to be deductible for tax purposes. The fair value of net assets acquired, intangibles, and goodwill, was assigned to the Company’s Gevo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intangible assets acquired in the Cultivate Acquisition (in thousands):</w:t>
      </w:r>
    </w:p>
    <w:tbl>
      <w:tblPr>
        <w:tblW w:w="5125" w:type="dxa"/>
        <w:jc w:val="left"/>
        <w:tblInd w:w="0" w:type="dxa"/>
        <w:tblLayout w:type="fixed"/>
        <w:tblCellMar>
          <w:top w:w="0" w:type="dxa"/>
          <w:left w:w="0" w:type="dxa"/>
          <w:bottom w:w="0" w:type="dxa"/>
          <w:right w:w="0" w:type="dxa"/>
        </w:tblCellMar>
      </w:tblPr>
      <w:tblGrid>
        <w:gridCol w:w="2401"/>
        <w:gridCol w:w="109"/>
        <w:gridCol w:w="404"/>
        <w:gridCol w:w="1096"/>
        <w:gridCol w:w="109"/>
        <w:gridCol w:w="1006"/>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524635" cy="175260"/>
                      <wp:effectExtent l="0" t="0" r="0" b="0"/>
                      <wp:wrapNone/>
                      <wp:docPr id="362" name="Frame362"/>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215" cy="175260"/>
                      <wp:effectExtent l="0" t="0" r="0" b="0"/>
                      <wp:wrapNone/>
                      <wp:docPr id="363"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56540" cy="175260"/>
                      <wp:effectExtent l="0" t="0" r="0" b="0"/>
                      <wp:wrapNone/>
                      <wp:docPr id="364" name="Frame364"/>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5960" cy="175260"/>
                      <wp:effectExtent l="0" t="0" r="0" b="0"/>
                      <wp:wrapNone/>
                      <wp:docPr id="365" name="Frame36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9215" cy="175260"/>
                      <wp:effectExtent l="0" t="0" r="0" b="0"/>
                      <wp:wrapNone/>
                      <wp:docPr id="366" name="Frame3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38810" cy="175260"/>
                      <wp:effectExtent l="0" t="0" r="0" b="0"/>
                      <wp:wrapNone/>
                      <wp:docPr id="367" name="Frame36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Cultivate</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Estimated</w: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Acquisition Date</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Life</w: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109"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(Years)</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109" w:type="dxa"/>
            <w:tcBorders/>
            <w:shd w:fill="CCEEFF" w:val="clear"/>
            <w:vAlign w:val="center"/>
          </w:tcPr>
          <w:p>
            <w:pPr>
              <w:pStyle w:val="TableContents"/>
              <w:bidi w:val="0"/>
              <w:spacing w:before="0" w:after="1"/>
              <w:ind w:left="0" w:right="0" w:hanging="0"/>
              <w:jc w:val="left"/>
              <w:rPr/>
            </w:pPr>
            <w:r>
              <w:rPr/>
              <w:t>​</w:t>
            </w:r>
          </w:p>
        </w:tc>
        <w:tc>
          <w:tcPr>
            <w:tcW w:w="4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Customer-related intangible</w:t>
            </w:r>
          </w:p>
        </w:tc>
        <w:tc>
          <w:tcPr>
            <w:tcW w:w="109" w:type="dxa"/>
            <w:tcBorders/>
            <w:vAlign w:val="center"/>
          </w:tcPr>
          <w:p>
            <w:pPr>
              <w:pStyle w:val="TableContents"/>
              <w:bidi w:val="0"/>
              <w:spacing w:before="0" w:after="1"/>
              <w:ind w:left="0" w:right="0" w:hanging="0"/>
              <w:jc w:val="left"/>
              <w:rPr/>
            </w:pPr>
            <w:r>
              <w:rPr/>
              <w:t>​</w:t>
            </w:r>
          </w:p>
        </w:tc>
        <w:tc>
          <w:tcPr>
            <w:tcW w:w="404"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109" w:type="dxa"/>
            <w:tcBorders/>
            <w:shd w:fill="CCEEFF" w:val="clear"/>
            <w:vAlign w:val="center"/>
          </w:tcPr>
          <w:p>
            <w:pPr>
              <w:pStyle w:val="TableContents"/>
              <w:bidi w:val="0"/>
              <w:spacing w:before="0" w:after="1"/>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109" w:type="dxa"/>
            <w:tcBorders/>
            <w:vAlign w:val="center"/>
          </w:tcPr>
          <w:p>
            <w:pPr>
              <w:pStyle w:val="TableContents"/>
              <w:bidi w:val="0"/>
              <w:spacing w:before="0" w:after="1"/>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w:t>
            </w:r>
          </w:p>
        </w:tc>
        <w:tc>
          <w:tcPr>
            <w:tcW w:w="109"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2657" w:type="dxa"/>
        <w:jc w:val="left"/>
        <w:tblInd w:w="0" w:type="dxa"/>
        <w:tblLayout w:type="fixed"/>
        <w:tblCellMar>
          <w:top w:w="0" w:type="dxa"/>
          <w:left w:w="0" w:type="dxa"/>
          <w:bottom w:w="0" w:type="dxa"/>
          <w:right w:w="0" w:type="dxa"/>
        </w:tblCellMar>
      </w:tblPr>
      <w:tblGrid>
        <w:gridCol w:w="376"/>
        <w:gridCol w:w="228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22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Variable Interest Entities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entered into agreements with Zero6 Energy Development, Inc. (“ZEDI”) to facilitate the development and construction of facilities to provide carbon neutral power to NZ1. ZEDI established two wholly owned subsidiaries, structured as limited liability companies, to operate the power facilities.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Nonconsolidated VIEs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September 2022 and February 2023, the Company entered into agreements with ZEDI, a national clean energy expert that provides expertise in capital management, development, engineering, and asset management, to develop and construct facilities to provide carbon neutral power to NZ1 via the Net-Zero Project LLCs (the “Project LLCs”). In December 2023 the agreements with ZEDI related to the two Project LLCs were amended to remove certain kickout rights that previously existed.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Project LLC is currently funded via advances for certain long lead equipment items from Gevo. The Company has made certain refundable project advances indirectly to the Project LLCs via ZEDI, to induce ZEDI to design and construct the power generation, transmission and distribution facilities that will serve NZ1.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Each Project LLC is a VIE, and the Company holds an implicit variable interest in each Project LLC. As of December 2023, we have concluded that the removal of the kickout rights from the agreements has resulted in a loss of control and that, therefore, the Company is no longer the primary beneficiary of the Project LLCs. The Project LLCs are a VIE because their equity is insufficient to maintain its on-going collateral requirements without additional financial support from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was no gain or loss recognized as a result of the deconsolidation of the Project LLCs. We have recognized $40.8 million in Deposits and other assets related to advances made to the Project LLCs which are reimbursable upon the achievement or failure to achieve certain milestones. Such amounts represent our maximum exposure to loss as a result of our involvement with the Project LLCs.</w:t>
      </w:r>
    </w:p>
    <w:tbl>
      <w:tblPr>
        <w:tblW w:w="1322" w:type="dxa"/>
        <w:jc w:val="left"/>
        <w:tblInd w:w="0" w:type="dxa"/>
        <w:tblLayout w:type="fixed"/>
        <w:tblCellMar>
          <w:top w:w="0" w:type="dxa"/>
          <w:left w:w="0" w:type="dxa"/>
          <w:bottom w:w="0" w:type="dxa"/>
          <w:right w:w="0" w:type="dxa"/>
        </w:tblCellMar>
      </w:tblPr>
      <w:tblGrid>
        <w:gridCol w:w="376"/>
        <w:gridCol w:w="9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reviews financial information presented on a consolidated basis for the purposes of making operating decisions, allocating resources, and evaluating financial performance. As such, management has determined that the Company has organized its operations and activities into three reportable segments: (i) Gevo segment; (ii) Agri-Energy segment; and (iii) Renewable Natural Gas segment. Transactions between segments are eliminated in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Gevo segment</w:t>
      </w:r>
      <w:r>
        <w:rPr>
          <w:rFonts w:ascii="Times New Roman;Times;serif" w:hAnsi="Times New Roman;Times;serif"/>
          <w:sz w:val="20"/>
        </w:rPr>
        <w:t>. The Gevo segment is responsible for all research and development activities related to the future production of SAF,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and construction of our Net-Zero Projects and other preliminary stage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Agri-Energy segment</w:t>
      </w:r>
      <w:r>
        <w:rPr>
          <w:rFonts w:ascii="Times New Roman;Times;serif" w:hAnsi="Times New Roman;Times;serif"/>
          <w:sz w:val="20"/>
        </w:rPr>
        <w:t>. The Agri-Energy segment is currently responsible for the operation of the Company’s Luverne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Renewable Natural Gas segment</w:t>
      </w:r>
      <w:r>
        <w:rPr>
          <w:rFonts w:ascii="Times New Roman;Times;serif" w:hAnsi="Times New Roman;Times;serif"/>
          <w:sz w:val="20"/>
        </w:rPr>
        <w:t>. The Renewable Natural Gas segment produces pipeline quality methane gas captured from dairy cow manure.</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ind w:left="0" w:right="0" w:hanging="0"/>
        <w:jc w:val="left"/>
        <w:rPr>
          <w:sz w:val="4"/>
          <w:szCs w:val="4"/>
        </w:rPr>
      </w:pPr>
      <w:r>
        <w:rPr>
          <w:sz w:val="4"/>
          <w:szCs w:val="4"/>
        </w:rPr>
      </w:r>
      <w:bookmarkStart w:id="1586" w:name="Tc_Hc69w-25QE2Sd_f7sLUbnQ_4_11"/>
      <w:bookmarkStart w:id="1587" w:name="Tc_tWFaLsVGoU-wig30BKq36g_4_8"/>
      <w:bookmarkStart w:id="1588" w:name="Tc_6QrgChqKfEqzkXR-vUX76w_4_5"/>
      <w:bookmarkStart w:id="1589" w:name="Tc_yIEZnJlBc0axzXK3POczAQ_4_2"/>
      <w:bookmarkStart w:id="1590" w:name="Tc_-MzYLNK7JUq44OcgAaUGSg_4_0"/>
      <w:bookmarkStart w:id="1591" w:name="Tc_nyPj2xgzzEW_604kJVpc9w_3_11"/>
      <w:bookmarkStart w:id="1592" w:name="Tc_Ttv549pC_EiCeTnjy7erVg_3_8"/>
      <w:bookmarkStart w:id="1593" w:name="Tc_bIKnmekeukiSqSdRkMkToQ_3_5"/>
      <w:bookmarkStart w:id="1594" w:name="Tc_3vlbMv1xWEei5vTlOBhaSQ_3_2"/>
      <w:bookmarkStart w:id="1595" w:name="Tc_Og-wbJ_pQU6UduiEl0KYew_2_8"/>
      <w:bookmarkStart w:id="1596" w:name="Tc_VdJLT4Q1zkWmq7lnLiyuvg_1_2"/>
      <w:bookmarkStart w:id="1597" w:name="_b67651f8_9dde_4ae0_890f_8641efcf6b6a"/>
      <w:bookmarkStart w:id="1598" w:name="Tc_1Kn7QW8cxUOD_eX_0V6rIw_4_11"/>
      <w:bookmarkStart w:id="1599" w:name="Tc_40VhMXfDv0CF0V61YEXjdA_4_8"/>
      <w:bookmarkStart w:id="1600" w:name="Tc_RGeC_geRB0S1oQFV20sKmQ_4_5"/>
      <w:bookmarkStart w:id="1601" w:name="Tc_wLTWjeDv1km0gaBX0yrkeQ_4_2"/>
      <w:bookmarkStart w:id="1602" w:name="Tc_4XmxAKg9R0m2YBueD5LOBA_4_0"/>
      <w:bookmarkStart w:id="1603" w:name="Tc_vI9ufXH0VkGwDxy04ze5ow_3_11"/>
      <w:bookmarkStart w:id="1604" w:name="Tc_tAHi65AOKEmoPLXoYLv0zQ_3_8"/>
      <w:bookmarkStart w:id="1605" w:name="Tc_RpUiP9C4OEeWvEUGuLdc-w_3_5"/>
      <w:bookmarkStart w:id="1606" w:name="Tc_g176PcgmTUWkOE13LQVpFg_3_2"/>
      <w:bookmarkStart w:id="1607" w:name="Tc_kPY4VfE42kapNN7NHrwAgA_2_8"/>
      <w:bookmarkStart w:id="1608" w:name="Tc_Cuiw-A_t70CkKJJ-0UOsdQ_1_2"/>
      <w:bookmarkStart w:id="1609" w:name="_0c8a42d6_f62d_46d4_9287_9fdfcf81480e"/>
      <w:bookmarkStart w:id="1610" w:name="Tc_HWyysgnEnE-nQ75SakI3oA_9_11"/>
      <w:bookmarkStart w:id="1611" w:name="Tc_iuLF2bW_EEendJLQGZACIg_9_8"/>
      <w:bookmarkStart w:id="1612" w:name="Tc_UAv8cJL3gke9_HDraADDQA_9_5"/>
      <w:bookmarkStart w:id="1613" w:name="Tc_oiaCw7U3oEmt0SBHt8zkkg_9_2"/>
      <w:bookmarkStart w:id="1614" w:name="Tc_epvIH6UlYEGkKm8WwVyvGw_9_0"/>
      <w:bookmarkStart w:id="1615" w:name="Tc_OkEJobqCTUKKTWsw-ksI8g_8_11"/>
      <w:bookmarkStart w:id="1616" w:name="Tc_gmORudqwwUShhVY6-idfqw_8_8"/>
      <w:bookmarkStart w:id="1617" w:name="Tc_jWZLcdjP70efndGL06n5OA_8_5"/>
      <w:bookmarkStart w:id="1618" w:name="Tc_pwtHwh1v9kq28aLURq6HbQ_8_2"/>
      <w:bookmarkStart w:id="1619" w:name="Tc_Uz_GfwLQ10SjPCsL44Cdzw_8_0"/>
      <w:bookmarkStart w:id="1620" w:name="Tc_rqXYdajqFUuUbVqtTrR00w_7_11"/>
      <w:bookmarkStart w:id="1621" w:name="Tc_Nkg2VZrqNEyXlEvtEuA5pw_7_9"/>
      <w:bookmarkStart w:id="1622" w:name="Tc_tLIkQOMCM0yDmGmGu7CaQw_7_8"/>
      <w:bookmarkStart w:id="1623" w:name="Tc_dnrzLFPhN020L92xO9XO-Q_7_6"/>
      <w:bookmarkStart w:id="1624" w:name="Tc_teQq8bB_u0mp01DLU53FcQ_7_5"/>
      <w:bookmarkStart w:id="1625" w:name="Tc_37vlocXX50i4DHEXIQUtcw_7_2"/>
      <w:bookmarkStart w:id="1626" w:name="Tc_8UuiL7iwpUO7qeZsty461w_7_0"/>
      <w:bookmarkStart w:id="1627" w:name="Tc_lM65y26zFU-ZBY8WBcQlRQ_6_11"/>
      <w:bookmarkStart w:id="1628" w:name="Tc_pWX0nDU7kk2QgI2PSJsDSA_6_8"/>
      <w:bookmarkStart w:id="1629" w:name="Tc_2JtWrDKwwES64__Q7m1jqg_6_5"/>
      <w:bookmarkStart w:id="1630" w:name="Tc_gesGRUUdu0yYQ0kzoEDaww_6_2"/>
      <w:bookmarkStart w:id="1631" w:name="Tc_ggJ6SAvqM0mLmBP8i7zWrg_6_0"/>
      <w:bookmarkStart w:id="1632" w:name="Tc_wv3VKU13x0SIXzyy1cT3Ow_5_11"/>
      <w:bookmarkStart w:id="1633" w:name="Tc_IbqaZ4EciUiZBfaQYOcF4Q_5_8"/>
      <w:bookmarkStart w:id="1634" w:name="Tc_vw-PJ0QL1ki4tUUvGgjKDw_5_5"/>
      <w:bookmarkStart w:id="1635" w:name="Tc_-EYns_shsEWZnIAdPoy8fQ_5_2"/>
      <w:bookmarkStart w:id="1636" w:name="Tc_t4eyG8U26kytwbbOt1T2Rw_5_0"/>
      <w:bookmarkStart w:id="1637" w:name="Tc_V5AWf86BR0G7jIaUEophsQ_4_11"/>
      <w:bookmarkStart w:id="1638" w:name="Tc_6YoJEQH2IEeV30zllA7W9g_4_8"/>
      <w:bookmarkStart w:id="1639" w:name="Tc_eMebTwQCIkOOl7WjL3sfKw_4_6"/>
      <w:bookmarkStart w:id="1640" w:name="Tc_VWxAtsbdm0Ws157Fa6dwXg_4_5"/>
      <w:bookmarkStart w:id="1641" w:name="Tc_piAUglFYTUC2zDJwGW261Q_4_2"/>
      <w:bookmarkStart w:id="1642" w:name="Tc_4TSVBD2SJESO-7r9_r9IcA_4_0"/>
      <w:bookmarkStart w:id="1643" w:name="Tc_34VDV8JHqESXezusXprCNw_3_11"/>
      <w:bookmarkStart w:id="1644" w:name="Tc_A8hYrNaRmUy0lSBrHRx2kg_3_8"/>
      <w:bookmarkStart w:id="1645" w:name="Tc_-UVXJtfubku_QH8HNR0edA_3_5"/>
      <w:bookmarkStart w:id="1646" w:name="Tc_CF9cKNJGtU2kEizWRc19bg_3_2"/>
      <w:bookmarkStart w:id="1647" w:name="Tc__QcydDxMkEu_N8M5qGYcSg_2_8"/>
      <w:bookmarkStart w:id="1648" w:name="Tc_IDqonnxwBUCBeW1w8WXQgQ_1_2"/>
      <w:bookmarkStart w:id="1649" w:name="_bfa8eaaa_4d99_4268_ae7a_1d0e46d2bc1b"/>
      <w:bookmarkStart w:id="1650" w:name="Tc_Uo3OKD1SHEOfAWWzMQ_rFw_9_11"/>
      <w:bookmarkStart w:id="1651" w:name="Tc_pPApcWuBtU2Mvr8lsKuxCg_9_8"/>
      <w:bookmarkStart w:id="1652" w:name="Tc_D4BON9d3a0ypUL5FInNLGg_9_5"/>
      <w:bookmarkStart w:id="1653" w:name="Tc_aRHvic1wSUqCq6lbjBfrdQ_9_2"/>
      <w:bookmarkStart w:id="1654" w:name="Tc_9x4C8ze0hki_sgHKTO0C9Q_9_0"/>
      <w:bookmarkStart w:id="1655" w:name="Tc_pOFo3ZSE7UuD69QI0mS6ZQ_8_11"/>
      <w:bookmarkStart w:id="1656" w:name="Tc_07utlxCDUkOtwMLXF94cYQ_8_8"/>
      <w:bookmarkStart w:id="1657" w:name="Tc_a33VxydEUEC5TOwuwUrDAQ_8_5"/>
      <w:bookmarkStart w:id="1658" w:name="Tc_W7A3iw83806U9cUAZxiKUA_8_2"/>
      <w:bookmarkStart w:id="1659" w:name="Tc_DWNMRlCkF0OoD7Ub12rIUQ_8_0"/>
      <w:bookmarkStart w:id="1660" w:name="Tc_DUPJdorfgUOEwkQmFJu2dw_7_11"/>
      <w:bookmarkStart w:id="1661" w:name="Tc_MhARJ77BDkuk-ujmAefGZQ_7_9"/>
      <w:bookmarkStart w:id="1662" w:name="Tc_09j0Nt8m7E2NZfyJC37Lqw_7_8"/>
      <w:bookmarkStart w:id="1663" w:name="Tc_edJS1iLXhUOQY_qYxIKPfw_7_6"/>
      <w:bookmarkStart w:id="1664" w:name="Tc_g-_v_xwJpk2XJBARfUA_OQ_7_5"/>
      <w:bookmarkStart w:id="1665" w:name="Tc_2x4x4J-1XUiWguz6vQJrzA_7_2"/>
      <w:bookmarkStart w:id="1666" w:name="Tc_MYXzvMOQvEqkJYJYrkfl4A_7_0"/>
      <w:bookmarkStart w:id="1667" w:name="Tc_Hr_oIPJxfE6iZtrDwwNxEw_6_11"/>
      <w:bookmarkStart w:id="1668" w:name="Tc_9DNxSthfI0WTKZFVUcuvNA_6_8"/>
      <w:bookmarkStart w:id="1669" w:name="Tc_C7lR5NG6bkus0m-vR8D7Qg_6_5"/>
      <w:bookmarkStart w:id="1670" w:name="Tc_9b4tg6d4q0ymwPRLD71Y7w_6_2"/>
      <w:bookmarkStart w:id="1671" w:name="Tc_aRwVa_20nU2xcoDdKJp6gA_6_0"/>
      <w:bookmarkStart w:id="1672" w:name="Tc_ghx3pZVcHEq0MjgUpfPQWQ_5_11"/>
      <w:bookmarkStart w:id="1673" w:name="Tc_OxLbHNwHaE-ye18T0u6E6g_5_8"/>
      <w:bookmarkStart w:id="1674" w:name="Tc_q8ZmvN6zsEuQpm0yGN_plQ_5_5"/>
      <w:bookmarkStart w:id="1675" w:name="Tc_15Xk11wEdUul75nxkwA31w_5_2"/>
      <w:bookmarkStart w:id="1676" w:name="Tc_1M6C2VjdB0CR9kqXin-aeQ_5_0"/>
      <w:bookmarkStart w:id="1677" w:name="Tc_GWRcCa-H8Ua-ax37kjuvoA_4_11"/>
      <w:bookmarkStart w:id="1678" w:name="Tc_oAf3c2T2Ik6mlT58XCzayw_4_8"/>
      <w:bookmarkStart w:id="1679" w:name="Tc_f_L60IMhVEyNluOwdCufxg_4_6"/>
      <w:bookmarkStart w:id="1680" w:name="Tc_GNMcqS0q0k-8hUq4miqu0A_4_5"/>
      <w:bookmarkStart w:id="1681" w:name="Tc_Fv6dUT1Qr0qo_CohwsO87Q_4_2"/>
      <w:bookmarkStart w:id="1682" w:name="Tc_1YlEEjgXLkqGemeQS1c42Q_4_0"/>
      <w:bookmarkStart w:id="1683" w:name="Tc_CEPj2qSH1UyUqAQ-OOMeGA_3_11"/>
      <w:bookmarkStart w:id="1684" w:name="Tc_Uy7ozCOSK0eyn3CBGdantw_3_8"/>
      <w:bookmarkStart w:id="1685" w:name="Tc_Sx2FP9crhkqWLpd4sHixjA_3_5"/>
      <w:bookmarkStart w:id="1686" w:name="Tc_dhkw5ktaWk2UdiYp1xsk7A_3_2"/>
      <w:bookmarkStart w:id="1687" w:name="Tc_FDWkJV-jg06hcj2kHPZAIA_2_8"/>
      <w:bookmarkStart w:id="1688" w:name="Tc_PeU1tUmnCEaAh3Yu61zVfA_1_2"/>
      <w:bookmarkStart w:id="1689" w:name="_ed8356f9_1533_4c6b_9f92_c1ef6599ea20"/>
      <w:bookmarkStart w:id="1690" w:name="Tc_5f_AfoQGJU-p9Is5kd0asA_9_11"/>
      <w:bookmarkStart w:id="1691" w:name="Tc_DdytxGhg6EuNxMChWTXK5A_9_8"/>
      <w:bookmarkStart w:id="1692" w:name="Tc_vAlnv5RBmkaWU6qIXfP53g_9_5"/>
      <w:bookmarkStart w:id="1693" w:name="Tc_-Pi25gIWAEyoCoUolc6jEQ_9_2"/>
      <w:bookmarkStart w:id="1694" w:name="Tc_bh8CYR3orkWEDsTEOAuxMA_9_0"/>
      <w:bookmarkStart w:id="1695" w:name="Tc_l-6C1wgO-kWSCiXxA2SThw_8_11"/>
      <w:bookmarkStart w:id="1696" w:name="Tc_8hQEhVyQ8UqWvca25oeJeg_8_8"/>
      <w:bookmarkStart w:id="1697" w:name="Tc_xk0r4GeWn0GFdJ217ah6MQ_8_5"/>
      <w:bookmarkStart w:id="1698" w:name="Tc_FiEEZPKq-kaJSt6o8FIDwQ_8_2"/>
      <w:bookmarkStart w:id="1699" w:name="Tc_fN1qJcyqe0KeGvGjMS3ceg_8_0"/>
      <w:bookmarkStart w:id="1700" w:name="Tc_3WotSJuOFkKMt1PT1Lwpcw_7_11"/>
      <w:bookmarkStart w:id="1701" w:name="Tc_W7tzc5BQZUm2vTLBAXsnJg_7_9"/>
      <w:bookmarkStart w:id="1702" w:name="Tc_7id_yX6BnkunY2Xs6fOBYA_7_8"/>
      <w:bookmarkStart w:id="1703" w:name="Tc_K56LDN7X7EqAmCX3AGjupw_7_6"/>
      <w:bookmarkStart w:id="1704" w:name="Tc_W2_Bpa9xJ0imZwOmNexVxg_7_5"/>
      <w:bookmarkStart w:id="1705" w:name="Tc_1NL46qzXJEOkGtMW7bjHmw_7_2"/>
      <w:bookmarkStart w:id="1706" w:name="Tc_ULvWo_a1eEGNUXYP3Jm0Zg_7_0"/>
      <w:bookmarkStart w:id="1707" w:name="Tc_ijFCk-UG3kKGUUhVkPl2lg_6_11"/>
      <w:bookmarkStart w:id="1708" w:name="Tc_7HdIBywFBkqGvW1PC3A22g_6_8"/>
      <w:bookmarkStart w:id="1709" w:name="Tc_QPMtg6AWskGtgG6v_71LVg_6_5"/>
      <w:bookmarkStart w:id="1710" w:name="Tc_x6_gCGH9cE6JgxkwnQj9yw_6_2"/>
      <w:bookmarkStart w:id="1711" w:name="Tc_39hGcgVba06Chu6wqIG-Ng_6_0"/>
      <w:bookmarkStart w:id="1712" w:name="Tc_IrKChK8H7Ue-8adc99UGrw_5_11"/>
      <w:bookmarkStart w:id="1713" w:name="Tc_zxavIrtKxk24B7kdmMyVWg_5_8"/>
      <w:bookmarkStart w:id="1714" w:name="Tc_mBgd07ACYUyG90DWXJNfEQ_5_5"/>
      <w:bookmarkStart w:id="1715" w:name="Tc_VC4L-FClgkOvw_Ok2tlvsw_5_2"/>
      <w:bookmarkStart w:id="1716" w:name="Tc_RDYWR1tpt0OZhQr49k60qA_5_0"/>
      <w:bookmarkStart w:id="1717" w:name="Tc_Oxx7vtU3gEGv8Msj8nuvgg_4_11"/>
      <w:bookmarkStart w:id="1718" w:name="Tc_CeXbMl8WuEOhfwlCDuS6rQ_4_8"/>
      <w:bookmarkStart w:id="1719" w:name="Tc_pbtNtA7id0aotDAN4oBpHA_4_6"/>
      <w:bookmarkStart w:id="1720" w:name="Tc_XaKLbOHpME-HkL809QTXoA_4_5"/>
      <w:bookmarkStart w:id="1721" w:name="Tc_l_2itaBi-0G2ps1ZcL0oXg_4_2"/>
      <w:bookmarkStart w:id="1722" w:name="Tc_WAjAWt-uDU-sqzB4thItog_4_0"/>
      <w:bookmarkStart w:id="1723" w:name="Tc_hSYifIX90kKs9fKKIdz77Q_3_11"/>
      <w:bookmarkStart w:id="1724" w:name="Tc_kt96zWymXkmUldve-LluhQ_3_8"/>
      <w:bookmarkStart w:id="1725" w:name="Tc_iPDSd7mwQkSATZsIYH11qg_3_5"/>
      <w:bookmarkStart w:id="1726" w:name="Tc_nEG0T99hEUuY3EeUrBhkFA_3_2"/>
      <w:bookmarkStart w:id="1727" w:name="Tc_kMJMLHtw9UWTOa6eXGsadQ_2_8"/>
      <w:bookmarkStart w:id="1728" w:name="Tc_W9FZlynPN0CXWE1DZSpywg_1_2"/>
      <w:bookmarkStart w:id="1729" w:name="_59fd7b34_21d9_4968_b83e_dc6376d35b80"/>
      <w:bookmarkStart w:id="1730" w:name="Tc_jEGF6gwUyESbZgt-5kcYsQ_9_11"/>
      <w:bookmarkStart w:id="1731" w:name="Tc_24XXFztI00WlyfzGX95QAA_9_8"/>
      <w:bookmarkStart w:id="1732" w:name="Tc_MoTJqTMPukufuA0wx0CAIg_9_5"/>
      <w:bookmarkStart w:id="1733" w:name="Tc_pTbE30THo0KOvP-hyOnuoQ_9_2"/>
      <w:bookmarkStart w:id="1734" w:name="Tc_TTpAn_YiaEecuSxEou6muA_9_0"/>
      <w:bookmarkStart w:id="1735" w:name="Tc_1C-rCSz8EE6vltGt_SAlGg_8_11"/>
      <w:bookmarkStart w:id="1736" w:name="Tc_W7eb6fl3Tkmriypj8lkDwQ_8_8"/>
      <w:bookmarkStart w:id="1737" w:name="Tc_wTW0vN39qEiPDcotKtyImg_8_6"/>
      <w:bookmarkStart w:id="1738" w:name="Tc_sJJE7s-SuECPIqs_ZSd0ig_8_5"/>
      <w:bookmarkStart w:id="1739" w:name="Tc_VuuK0loFBUSJHZTw9kL_HQ_8_2"/>
      <w:bookmarkStart w:id="1740" w:name="Tc_jratIec2VUW--BzNbRzV1w_8_0"/>
      <w:bookmarkStart w:id="1741" w:name="Tc_OnylSXstYUaZqcX4PzS8uA_7_11"/>
      <w:bookmarkStart w:id="1742" w:name="Tc_IQ63hQY29ECokQiTWjtOjw_7_9"/>
      <w:bookmarkStart w:id="1743" w:name="Tc_DiFfsBM_-EiavKhX_UW5Yg_7_8"/>
      <w:bookmarkStart w:id="1744" w:name="Tc_yIzbbr5kY0OjVRmrgKzmLA_7_6"/>
      <w:bookmarkStart w:id="1745" w:name="Tc_-IEYk2tfkEWz-yc_HtZFWg_7_5"/>
      <w:bookmarkStart w:id="1746" w:name="Tc_FMqL1lk7R0G6-riXmgu_aA_7_2"/>
      <w:bookmarkStart w:id="1747" w:name="Tc_sLMM4arwKUKjSHZYzKW4tg_7_0"/>
      <w:bookmarkStart w:id="1748" w:name="Tc_kTeUG8UWUUGg2_rMLpyqOg_6_11"/>
      <w:bookmarkStart w:id="1749" w:name="Tc_TdgR_xHsUUml1XyETQ2b7A_6_8"/>
      <w:bookmarkStart w:id="1750" w:name="Tc_fSjD6Zi2R0yKDKD12yGm4Q_6_5"/>
      <w:bookmarkStart w:id="1751" w:name="Tc_9c0moV0J8U24tLU4Vq6hhw_6_2"/>
      <w:bookmarkStart w:id="1752" w:name="Tc_fmUQUfH3N0SZWtf5r1CFaA_6_0"/>
      <w:bookmarkStart w:id="1753" w:name="Tc_7tJkk2lNNkGaP-17LC4c3A_5_11"/>
      <w:bookmarkStart w:id="1754" w:name="Tc_FwVGAFIJJEGXv5i_Tp8XRQ_5_8"/>
      <w:bookmarkStart w:id="1755" w:name="Tc_iXYuZiw3G0-eEN8AzTK4WA_5_5"/>
      <w:bookmarkStart w:id="1756" w:name="Tc_rx1yV9vtfkuvzlAdSDOauw_5_2"/>
      <w:bookmarkStart w:id="1757" w:name="Tc_v7WqwjJ-JkuM6iP1gSxTDg_5_0"/>
      <w:bookmarkStart w:id="1758" w:name="Tc_fzNcI0_w9kO_LWOMCAayPQ_4_11"/>
      <w:bookmarkStart w:id="1759" w:name="Tc_PTtSIbbmA0SPjZ3SSBAKIQ_4_8"/>
      <w:bookmarkStart w:id="1760" w:name="Tc_kD_YC-BqDEOOOu_A1ueirA_4_6"/>
      <w:bookmarkStart w:id="1761" w:name="Tc_AZLDG6jI9kGMIAvGw1p7vw_4_5"/>
      <w:bookmarkStart w:id="1762" w:name="Tc_FTT7VjQrMk23uqQizjn4cQ_4_2"/>
      <w:bookmarkStart w:id="1763" w:name="Tc_r-mYaGWANkmyZ2fpStF3Ww_4_0"/>
      <w:bookmarkStart w:id="1764" w:name="Tc_tUH-2F0nMEKLpYnbFL_1Lw_3_11"/>
      <w:bookmarkStart w:id="1765" w:name="Tc_qHosZm2pX06tlnXqS6rMNA_3_8"/>
      <w:bookmarkStart w:id="1766" w:name="Tc_DBPmAre6UUmDbhMyeOAT_g_3_5"/>
      <w:bookmarkStart w:id="1767" w:name="Tc_ci5NErmSh0GRqAitHWr7mg_3_2"/>
      <w:bookmarkStart w:id="1768" w:name="Tc_ypicoNldqEi_gAD-3sqFjw_3_0"/>
      <w:bookmarkStart w:id="1769" w:name="Tc_fjM1cL4Ovkal3LhXyMcXww_2_8"/>
      <w:bookmarkStart w:id="1770" w:name="Tc_KeNrnnStBUaDj0JvYiyH5w_1_2"/>
      <w:bookmarkStart w:id="1771" w:name="_96efe9e0_2ef4_474e_b246_b29c28ac3bdf"/>
      <w:bookmarkStart w:id="1772" w:name="Tc_Hc69w-25QE2Sd_f7sLUbnQ_4_11"/>
      <w:bookmarkStart w:id="1773" w:name="Tc_tWFaLsVGoU-wig30BKq36g_4_8"/>
      <w:bookmarkStart w:id="1774" w:name="Tc_6QrgChqKfEqzkXR-vUX76w_4_5"/>
      <w:bookmarkStart w:id="1775" w:name="Tc_yIEZnJlBc0axzXK3POczAQ_4_2"/>
      <w:bookmarkStart w:id="1776" w:name="Tc_-MzYLNK7JUq44OcgAaUGSg_4_0"/>
      <w:bookmarkStart w:id="1777" w:name="Tc_nyPj2xgzzEW_604kJVpc9w_3_11"/>
      <w:bookmarkStart w:id="1778" w:name="Tc_Ttv549pC_EiCeTnjy7erVg_3_8"/>
      <w:bookmarkStart w:id="1779" w:name="Tc_bIKnmekeukiSqSdRkMkToQ_3_5"/>
      <w:bookmarkStart w:id="1780" w:name="Tc_3vlbMv1xWEei5vTlOBhaSQ_3_2"/>
      <w:bookmarkStart w:id="1781" w:name="Tc_Og-wbJ_pQU6UduiEl0KYew_2_8"/>
      <w:bookmarkStart w:id="1782" w:name="Tc_VdJLT4Q1zkWmq7lnLiyuvg_1_2"/>
      <w:bookmarkStart w:id="1783" w:name="_b67651f8_9dde_4ae0_890f_8641efcf6b6a"/>
      <w:bookmarkStart w:id="1784" w:name="Tc_1Kn7QW8cxUOD_eX_0V6rIw_4_11"/>
      <w:bookmarkStart w:id="1785" w:name="Tc_40VhMXfDv0CF0V61YEXjdA_4_8"/>
      <w:bookmarkStart w:id="1786" w:name="Tc_RGeC_geRB0S1oQFV20sKmQ_4_5"/>
      <w:bookmarkStart w:id="1787" w:name="Tc_wLTWjeDv1km0gaBX0yrkeQ_4_2"/>
      <w:bookmarkStart w:id="1788" w:name="Tc_4XmxAKg9R0m2YBueD5LOBA_4_0"/>
      <w:bookmarkStart w:id="1789" w:name="Tc_vI9ufXH0VkGwDxy04ze5ow_3_11"/>
      <w:bookmarkStart w:id="1790" w:name="Tc_tAHi65AOKEmoPLXoYLv0zQ_3_8"/>
      <w:bookmarkStart w:id="1791" w:name="Tc_RpUiP9C4OEeWvEUGuLdc-w_3_5"/>
      <w:bookmarkStart w:id="1792" w:name="Tc_g176PcgmTUWkOE13LQVpFg_3_2"/>
      <w:bookmarkStart w:id="1793" w:name="Tc_kPY4VfE42kapNN7NHrwAgA_2_8"/>
      <w:bookmarkStart w:id="1794" w:name="Tc_Cuiw-A_t70CkKJJ-0UOsdQ_1_2"/>
      <w:bookmarkStart w:id="1795" w:name="_0c8a42d6_f62d_46d4_9287_9fdfcf81480e"/>
      <w:bookmarkStart w:id="1796" w:name="Tc_HWyysgnEnE-nQ75SakI3oA_9_11"/>
      <w:bookmarkStart w:id="1797" w:name="Tc_iuLF2bW_EEendJLQGZACIg_9_8"/>
      <w:bookmarkStart w:id="1798" w:name="Tc_UAv8cJL3gke9_HDraADDQA_9_5"/>
      <w:bookmarkStart w:id="1799" w:name="Tc_oiaCw7U3oEmt0SBHt8zkkg_9_2"/>
      <w:bookmarkStart w:id="1800" w:name="Tc_epvIH6UlYEGkKm8WwVyvGw_9_0"/>
      <w:bookmarkStart w:id="1801" w:name="Tc_OkEJobqCTUKKTWsw-ksI8g_8_11"/>
      <w:bookmarkStart w:id="1802" w:name="Tc_gmORudqwwUShhVY6-idfqw_8_8"/>
      <w:bookmarkStart w:id="1803" w:name="Tc_jWZLcdjP70efndGL06n5OA_8_5"/>
      <w:bookmarkStart w:id="1804" w:name="Tc_pwtHwh1v9kq28aLURq6HbQ_8_2"/>
      <w:bookmarkStart w:id="1805" w:name="Tc_Uz_GfwLQ10SjPCsL44Cdzw_8_0"/>
      <w:bookmarkStart w:id="1806" w:name="Tc_rqXYdajqFUuUbVqtTrR00w_7_11"/>
      <w:bookmarkStart w:id="1807" w:name="Tc_Nkg2VZrqNEyXlEvtEuA5pw_7_9"/>
      <w:bookmarkStart w:id="1808" w:name="Tc_tLIkQOMCM0yDmGmGu7CaQw_7_8"/>
      <w:bookmarkStart w:id="1809" w:name="Tc_dnrzLFPhN020L92xO9XO-Q_7_6"/>
      <w:bookmarkStart w:id="1810" w:name="Tc_teQq8bB_u0mp01DLU53FcQ_7_5"/>
      <w:bookmarkStart w:id="1811" w:name="Tc_37vlocXX50i4DHEXIQUtcw_7_2"/>
      <w:bookmarkStart w:id="1812" w:name="Tc_8UuiL7iwpUO7qeZsty461w_7_0"/>
      <w:bookmarkStart w:id="1813" w:name="Tc_lM65y26zFU-ZBY8WBcQlRQ_6_11"/>
      <w:bookmarkStart w:id="1814" w:name="Tc_pWX0nDU7kk2QgI2PSJsDSA_6_8"/>
      <w:bookmarkStart w:id="1815" w:name="Tc_2JtWrDKwwES64__Q7m1jqg_6_5"/>
      <w:bookmarkStart w:id="1816" w:name="Tc_gesGRUUdu0yYQ0kzoEDaww_6_2"/>
      <w:bookmarkStart w:id="1817" w:name="Tc_ggJ6SAvqM0mLmBP8i7zWrg_6_0"/>
      <w:bookmarkStart w:id="1818" w:name="Tc_wv3VKU13x0SIXzyy1cT3Ow_5_11"/>
      <w:bookmarkStart w:id="1819" w:name="Tc_IbqaZ4EciUiZBfaQYOcF4Q_5_8"/>
      <w:bookmarkStart w:id="1820" w:name="Tc_vw-PJ0QL1ki4tUUvGgjKDw_5_5"/>
      <w:bookmarkStart w:id="1821" w:name="Tc_-EYns_shsEWZnIAdPoy8fQ_5_2"/>
      <w:bookmarkStart w:id="1822" w:name="Tc_t4eyG8U26kytwbbOt1T2Rw_5_0"/>
      <w:bookmarkStart w:id="1823" w:name="Tc_V5AWf86BR0G7jIaUEophsQ_4_11"/>
      <w:bookmarkStart w:id="1824" w:name="Tc_6YoJEQH2IEeV30zllA7W9g_4_8"/>
      <w:bookmarkStart w:id="1825" w:name="Tc_eMebTwQCIkOOl7WjL3sfKw_4_6"/>
      <w:bookmarkStart w:id="1826" w:name="Tc_VWxAtsbdm0Ws157Fa6dwXg_4_5"/>
      <w:bookmarkStart w:id="1827" w:name="Tc_piAUglFYTUC2zDJwGW261Q_4_2"/>
      <w:bookmarkStart w:id="1828" w:name="Tc_4TSVBD2SJESO-7r9_r9IcA_4_0"/>
      <w:bookmarkStart w:id="1829" w:name="Tc_34VDV8JHqESXezusXprCNw_3_11"/>
      <w:bookmarkStart w:id="1830" w:name="Tc_A8hYrNaRmUy0lSBrHRx2kg_3_8"/>
      <w:bookmarkStart w:id="1831" w:name="Tc_-UVXJtfubku_QH8HNR0edA_3_5"/>
      <w:bookmarkStart w:id="1832" w:name="Tc_CF9cKNJGtU2kEizWRc19bg_3_2"/>
      <w:bookmarkStart w:id="1833" w:name="Tc__QcydDxMkEu_N8M5qGYcSg_2_8"/>
      <w:bookmarkStart w:id="1834" w:name="Tc_IDqonnxwBUCBeW1w8WXQgQ_1_2"/>
      <w:bookmarkStart w:id="1835" w:name="_bfa8eaaa_4d99_4268_ae7a_1d0e46d2bc1b"/>
      <w:bookmarkStart w:id="1836" w:name="Tc_Uo3OKD1SHEOfAWWzMQ_rFw_9_11"/>
      <w:bookmarkStart w:id="1837" w:name="Tc_pPApcWuBtU2Mvr8lsKuxCg_9_8"/>
      <w:bookmarkStart w:id="1838" w:name="Tc_D4BON9d3a0ypUL5FInNLGg_9_5"/>
      <w:bookmarkStart w:id="1839" w:name="Tc_aRHvic1wSUqCq6lbjBfrdQ_9_2"/>
      <w:bookmarkStart w:id="1840" w:name="Tc_9x4C8ze0hki_sgHKTO0C9Q_9_0"/>
      <w:bookmarkStart w:id="1841" w:name="Tc_pOFo3ZSE7UuD69QI0mS6ZQ_8_11"/>
      <w:bookmarkStart w:id="1842" w:name="Tc_07utlxCDUkOtwMLXF94cYQ_8_8"/>
      <w:bookmarkStart w:id="1843" w:name="Tc_a33VxydEUEC5TOwuwUrDAQ_8_5"/>
      <w:bookmarkStart w:id="1844" w:name="Tc_W7A3iw83806U9cUAZxiKUA_8_2"/>
      <w:bookmarkStart w:id="1845" w:name="Tc_DWNMRlCkF0OoD7Ub12rIUQ_8_0"/>
      <w:bookmarkStart w:id="1846" w:name="Tc_DUPJdorfgUOEwkQmFJu2dw_7_11"/>
      <w:bookmarkStart w:id="1847" w:name="Tc_MhARJ77BDkuk-ujmAefGZQ_7_9"/>
      <w:bookmarkStart w:id="1848" w:name="Tc_09j0Nt8m7E2NZfyJC37Lqw_7_8"/>
      <w:bookmarkStart w:id="1849" w:name="Tc_edJS1iLXhUOQY_qYxIKPfw_7_6"/>
      <w:bookmarkStart w:id="1850" w:name="Tc_g-_v_xwJpk2XJBARfUA_OQ_7_5"/>
      <w:bookmarkStart w:id="1851" w:name="Tc_2x4x4J-1XUiWguz6vQJrzA_7_2"/>
      <w:bookmarkStart w:id="1852" w:name="Tc_MYXzvMOQvEqkJYJYrkfl4A_7_0"/>
      <w:bookmarkStart w:id="1853" w:name="Tc_Hr_oIPJxfE6iZtrDwwNxEw_6_11"/>
      <w:bookmarkStart w:id="1854" w:name="Tc_9DNxSthfI0WTKZFVUcuvNA_6_8"/>
      <w:bookmarkStart w:id="1855" w:name="Tc_C7lR5NG6bkus0m-vR8D7Qg_6_5"/>
      <w:bookmarkStart w:id="1856" w:name="Tc_9b4tg6d4q0ymwPRLD71Y7w_6_2"/>
      <w:bookmarkStart w:id="1857" w:name="Tc_aRwVa_20nU2xcoDdKJp6gA_6_0"/>
      <w:bookmarkStart w:id="1858" w:name="Tc_ghx3pZVcHEq0MjgUpfPQWQ_5_11"/>
      <w:bookmarkStart w:id="1859" w:name="Tc_OxLbHNwHaE-ye18T0u6E6g_5_8"/>
      <w:bookmarkStart w:id="1860" w:name="Tc_q8ZmvN6zsEuQpm0yGN_plQ_5_5"/>
      <w:bookmarkStart w:id="1861" w:name="Tc_15Xk11wEdUul75nxkwA31w_5_2"/>
      <w:bookmarkStart w:id="1862" w:name="Tc_1M6C2VjdB0CR9kqXin-aeQ_5_0"/>
      <w:bookmarkStart w:id="1863" w:name="Tc_GWRcCa-H8Ua-ax37kjuvoA_4_11"/>
      <w:bookmarkStart w:id="1864" w:name="Tc_oAf3c2T2Ik6mlT58XCzayw_4_8"/>
      <w:bookmarkStart w:id="1865" w:name="Tc_f_L60IMhVEyNluOwdCufxg_4_6"/>
      <w:bookmarkStart w:id="1866" w:name="Tc_GNMcqS0q0k-8hUq4miqu0A_4_5"/>
      <w:bookmarkStart w:id="1867" w:name="Tc_Fv6dUT1Qr0qo_CohwsO87Q_4_2"/>
      <w:bookmarkStart w:id="1868" w:name="Tc_1YlEEjgXLkqGemeQS1c42Q_4_0"/>
      <w:bookmarkStart w:id="1869" w:name="Tc_CEPj2qSH1UyUqAQ-OOMeGA_3_11"/>
      <w:bookmarkStart w:id="1870" w:name="Tc_Uy7ozCOSK0eyn3CBGdantw_3_8"/>
      <w:bookmarkStart w:id="1871" w:name="Tc_Sx2FP9crhkqWLpd4sHixjA_3_5"/>
      <w:bookmarkStart w:id="1872" w:name="Tc_dhkw5ktaWk2UdiYp1xsk7A_3_2"/>
      <w:bookmarkStart w:id="1873" w:name="Tc_FDWkJV-jg06hcj2kHPZAIA_2_8"/>
      <w:bookmarkStart w:id="1874" w:name="Tc_PeU1tUmnCEaAh3Yu61zVfA_1_2"/>
      <w:bookmarkStart w:id="1875" w:name="_ed8356f9_1533_4c6b_9f92_c1ef6599ea20"/>
      <w:bookmarkStart w:id="1876" w:name="Tc_5f_AfoQGJU-p9Is5kd0asA_9_11"/>
      <w:bookmarkStart w:id="1877" w:name="Tc_DdytxGhg6EuNxMChWTXK5A_9_8"/>
      <w:bookmarkStart w:id="1878" w:name="Tc_vAlnv5RBmkaWU6qIXfP53g_9_5"/>
      <w:bookmarkStart w:id="1879" w:name="Tc_-Pi25gIWAEyoCoUolc6jEQ_9_2"/>
      <w:bookmarkStart w:id="1880" w:name="Tc_bh8CYR3orkWEDsTEOAuxMA_9_0"/>
      <w:bookmarkStart w:id="1881" w:name="Tc_l-6C1wgO-kWSCiXxA2SThw_8_11"/>
      <w:bookmarkStart w:id="1882" w:name="Tc_8hQEhVyQ8UqWvca25oeJeg_8_8"/>
      <w:bookmarkStart w:id="1883" w:name="Tc_xk0r4GeWn0GFdJ217ah6MQ_8_5"/>
      <w:bookmarkStart w:id="1884" w:name="Tc_FiEEZPKq-kaJSt6o8FIDwQ_8_2"/>
      <w:bookmarkStart w:id="1885" w:name="Tc_fN1qJcyqe0KeGvGjMS3ceg_8_0"/>
      <w:bookmarkStart w:id="1886" w:name="Tc_3WotSJuOFkKMt1PT1Lwpcw_7_11"/>
      <w:bookmarkStart w:id="1887" w:name="Tc_W7tzc5BQZUm2vTLBAXsnJg_7_9"/>
      <w:bookmarkStart w:id="1888" w:name="Tc_7id_yX6BnkunY2Xs6fOBYA_7_8"/>
      <w:bookmarkStart w:id="1889" w:name="Tc_K56LDN7X7EqAmCX3AGjupw_7_6"/>
      <w:bookmarkStart w:id="1890" w:name="Tc_W2_Bpa9xJ0imZwOmNexVxg_7_5"/>
      <w:bookmarkStart w:id="1891" w:name="Tc_1NL46qzXJEOkGtMW7bjHmw_7_2"/>
      <w:bookmarkStart w:id="1892" w:name="Tc_ULvWo_a1eEGNUXYP3Jm0Zg_7_0"/>
      <w:bookmarkStart w:id="1893" w:name="Tc_ijFCk-UG3kKGUUhVkPl2lg_6_11"/>
      <w:bookmarkStart w:id="1894" w:name="Tc_7HdIBywFBkqGvW1PC3A22g_6_8"/>
      <w:bookmarkStart w:id="1895" w:name="Tc_QPMtg6AWskGtgG6v_71LVg_6_5"/>
      <w:bookmarkStart w:id="1896" w:name="Tc_x6_gCGH9cE6JgxkwnQj9yw_6_2"/>
      <w:bookmarkStart w:id="1897" w:name="Tc_39hGcgVba06Chu6wqIG-Ng_6_0"/>
      <w:bookmarkStart w:id="1898" w:name="Tc_IrKChK8H7Ue-8adc99UGrw_5_11"/>
      <w:bookmarkStart w:id="1899" w:name="Tc_zxavIrtKxk24B7kdmMyVWg_5_8"/>
      <w:bookmarkStart w:id="1900" w:name="Tc_mBgd07ACYUyG90DWXJNfEQ_5_5"/>
      <w:bookmarkStart w:id="1901" w:name="Tc_VC4L-FClgkOvw_Ok2tlvsw_5_2"/>
      <w:bookmarkStart w:id="1902" w:name="Tc_RDYWR1tpt0OZhQr49k60qA_5_0"/>
      <w:bookmarkStart w:id="1903" w:name="Tc_Oxx7vtU3gEGv8Msj8nuvgg_4_11"/>
      <w:bookmarkStart w:id="1904" w:name="Tc_CeXbMl8WuEOhfwlCDuS6rQ_4_8"/>
      <w:bookmarkStart w:id="1905" w:name="Tc_pbtNtA7id0aotDAN4oBpHA_4_6"/>
      <w:bookmarkStart w:id="1906" w:name="Tc_XaKLbOHpME-HkL809QTXoA_4_5"/>
      <w:bookmarkStart w:id="1907" w:name="Tc_l_2itaBi-0G2ps1ZcL0oXg_4_2"/>
      <w:bookmarkStart w:id="1908" w:name="Tc_WAjAWt-uDU-sqzB4thItog_4_0"/>
      <w:bookmarkStart w:id="1909" w:name="Tc_hSYifIX90kKs9fKKIdz77Q_3_11"/>
      <w:bookmarkStart w:id="1910" w:name="Tc_kt96zWymXkmUldve-LluhQ_3_8"/>
      <w:bookmarkStart w:id="1911" w:name="Tc_iPDSd7mwQkSATZsIYH11qg_3_5"/>
      <w:bookmarkStart w:id="1912" w:name="Tc_nEG0T99hEUuY3EeUrBhkFA_3_2"/>
      <w:bookmarkStart w:id="1913" w:name="Tc_kMJMLHtw9UWTOa6eXGsadQ_2_8"/>
      <w:bookmarkStart w:id="1914" w:name="Tc_W9FZlynPN0CXWE1DZSpywg_1_2"/>
      <w:bookmarkStart w:id="1915" w:name="_59fd7b34_21d9_4968_b83e_dc6376d35b80"/>
      <w:bookmarkStart w:id="1916" w:name="Tc_jEGF6gwUyESbZgt-5kcYsQ_9_11"/>
      <w:bookmarkStart w:id="1917" w:name="Tc_24XXFztI00WlyfzGX95QAA_9_8"/>
      <w:bookmarkStart w:id="1918" w:name="Tc_MoTJqTMPukufuA0wx0CAIg_9_5"/>
      <w:bookmarkStart w:id="1919" w:name="Tc_pTbE30THo0KOvP-hyOnuoQ_9_2"/>
      <w:bookmarkStart w:id="1920" w:name="Tc_TTpAn_YiaEecuSxEou6muA_9_0"/>
      <w:bookmarkStart w:id="1921" w:name="Tc_1C-rCSz8EE6vltGt_SAlGg_8_11"/>
      <w:bookmarkStart w:id="1922" w:name="Tc_W7eb6fl3Tkmriypj8lkDwQ_8_8"/>
      <w:bookmarkStart w:id="1923" w:name="Tc_wTW0vN39qEiPDcotKtyImg_8_6"/>
      <w:bookmarkStart w:id="1924" w:name="Tc_sJJE7s-SuECPIqs_ZSd0ig_8_5"/>
      <w:bookmarkStart w:id="1925" w:name="Tc_VuuK0loFBUSJHZTw9kL_HQ_8_2"/>
      <w:bookmarkStart w:id="1926" w:name="Tc_jratIec2VUW--BzNbRzV1w_8_0"/>
      <w:bookmarkStart w:id="1927" w:name="Tc_OnylSXstYUaZqcX4PzS8uA_7_11"/>
      <w:bookmarkStart w:id="1928" w:name="Tc_IQ63hQY29ECokQiTWjtOjw_7_9"/>
      <w:bookmarkStart w:id="1929" w:name="Tc_DiFfsBM_-EiavKhX_UW5Yg_7_8"/>
      <w:bookmarkStart w:id="1930" w:name="Tc_yIzbbr5kY0OjVRmrgKzmLA_7_6"/>
      <w:bookmarkStart w:id="1931" w:name="Tc_-IEYk2tfkEWz-yc_HtZFWg_7_5"/>
      <w:bookmarkStart w:id="1932" w:name="Tc_FMqL1lk7R0G6-riXmgu_aA_7_2"/>
      <w:bookmarkStart w:id="1933" w:name="Tc_sLMM4arwKUKjSHZYzKW4tg_7_0"/>
      <w:bookmarkStart w:id="1934" w:name="Tc_kTeUG8UWUUGg2_rMLpyqOg_6_11"/>
      <w:bookmarkStart w:id="1935" w:name="Tc_TdgR_xHsUUml1XyETQ2b7A_6_8"/>
      <w:bookmarkStart w:id="1936" w:name="Tc_fSjD6Zi2R0yKDKD12yGm4Q_6_5"/>
      <w:bookmarkStart w:id="1937" w:name="Tc_9c0moV0J8U24tLU4Vq6hhw_6_2"/>
      <w:bookmarkStart w:id="1938" w:name="Tc_fmUQUfH3N0SZWtf5r1CFaA_6_0"/>
      <w:bookmarkStart w:id="1939" w:name="Tc_7tJkk2lNNkGaP-17LC4c3A_5_11"/>
      <w:bookmarkStart w:id="1940" w:name="Tc_FwVGAFIJJEGXv5i_Tp8XRQ_5_8"/>
      <w:bookmarkStart w:id="1941" w:name="Tc_iXYuZiw3G0-eEN8AzTK4WA_5_5"/>
      <w:bookmarkStart w:id="1942" w:name="Tc_rx1yV9vtfkuvzlAdSDOauw_5_2"/>
      <w:bookmarkStart w:id="1943" w:name="Tc_v7WqwjJ-JkuM6iP1gSxTDg_5_0"/>
      <w:bookmarkStart w:id="1944" w:name="Tc_fzNcI0_w9kO_LWOMCAayPQ_4_11"/>
      <w:bookmarkStart w:id="1945" w:name="Tc_PTtSIbbmA0SPjZ3SSBAKIQ_4_8"/>
      <w:bookmarkStart w:id="1946" w:name="Tc_kD_YC-BqDEOOOu_A1ueirA_4_6"/>
      <w:bookmarkStart w:id="1947" w:name="Tc_AZLDG6jI9kGMIAvGw1p7vw_4_5"/>
      <w:bookmarkStart w:id="1948" w:name="Tc_FTT7VjQrMk23uqQizjn4cQ_4_2"/>
      <w:bookmarkStart w:id="1949" w:name="Tc_r-mYaGWANkmyZ2fpStF3Ww_4_0"/>
      <w:bookmarkStart w:id="1950" w:name="Tc_tUH-2F0nMEKLpYnbFL_1Lw_3_11"/>
      <w:bookmarkStart w:id="1951" w:name="Tc_qHosZm2pX06tlnXqS6rMNA_3_8"/>
      <w:bookmarkStart w:id="1952" w:name="Tc_DBPmAre6UUmDbhMyeOAT_g_3_5"/>
      <w:bookmarkStart w:id="1953" w:name="Tc_ci5NErmSh0GRqAitHWr7mg_3_2"/>
      <w:bookmarkStart w:id="1954" w:name="Tc_ypicoNldqEi_gAD-3sqFjw_3_0"/>
      <w:bookmarkStart w:id="1955" w:name="Tc_fjM1cL4Ovkal3LhXyMcXww_2_8"/>
      <w:bookmarkStart w:id="1956" w:name="Tc_KeNrnnStBUaDj0JvYiyH5w_1_2"/>
      <w:bookmarkStart w:id="1957" w:name="_96efe9e0_2ef4_474e_b246_b29c28ac3bdf"/>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p>
    <w:tbl>
      <w:tblPr>
        <w:tblW w:w="9349" w:type="dxa"/>
        <w:jc w:val="left"/>
        <w:tblInd w:w="0" w:type="dxa"/>
        <w:tblLayout w:type="fixed"/>
        <w:tblCellMar>
          <w:top w:w="0" w:type="dxa"/>
          <w:left w:w="0" w:type="dxa"/>
          <w:bottom w:w="0" w:type="dxa"/>
          <w:right w:w="0" w:type="dxa"/>
        </w:tblCellMar>
      </w:tblPr>
      <w:tblGrid>
        <w:gridCol w:w="3916"/>
        <w:gridCol w:w="326"/>
        <w:gridCol w:w="211"/>
        <w:gridCol w:w="796"/>
        <w:gridCol w:w="326"/>
        <w:gridCol w:w="255"/>
        <w:gridCol w:w="766"/>
        <w:gridCol w:w="326"/>
        <w:gridCol w:w="235"/>
        <w:gridCol w:w="770"/>
        <w:gridCol w:w="326"/>
        <w:gridCol w:w="233"/>
        <w:gridCol w:w="863"/>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486660" cy="175260"/>
                      <wp:effectExtent l="0" t="0" r="0" b="0"/>
                      <wp:wrapNone/>
                      <wp:docPr id="368" name="Frame368"/>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05460" cy="175260"/>
                      <wp:effectExtent l="0" t="0" r="0" b="0"/>
                      <wp:wrapNone/>
                      <wp:docPr id="371" name="Frame37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61925" cy="175260"/>
                      <wp:effectExtent l="0" t="0" r="0" b="0"/>
                      <wp:wrapNone/>
                      <wp:docPr id="373" name="Frame37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86410" cy="175260"/>
                      <wp:effectExtent l="0" t="0" r="0" b="0"/>
                      <wp:wrapNone/>
                      <wp:docPr id="374" name="Frame37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49225" cy="175260"/>
                      <wp:effectExtent l="0" t="0" r="0" b="0"/>
                      <wp:wrapNone/>
                      <wp:docPr id="376" name="Frame37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88950" cy="175260"/>
                      <wp:effectExtent l="0" t="0" r="0" b="0"/>
                      <wp:wrapNone/>
                      <wp:docPr id="377" name="Frame377"/>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47955" cy="175260"/>
                      <wp:effectExtent l="0" t="0" r="0" b="0"/>
                      <wp:wrapNone/>
                      <wp:docPr id="379" name="Frame37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48005" cy="175260"/>
                      <wp:effectExtent l="0" t="0" r="0" b="0"/>
                      <wp:wrapNone/>
                      <wp:docPr id="380" name="Frame380"/>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2024</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    </w:t>
            </w:r>
          </w:p>
        </w:tc>
        <w:tc>
          <w:tcPr>
            <w:tcW w:w="233" w:type="dxa"/>
            <w:tcBorders/>
            <w:vAlign w:val="center"/>
          </w:tcPr>
          <w:p>
            <w:pPr>
              <w:pStyle w:val="TableContents"/>
              <w:bidi w:val="0"/>
              <w:spacing w:before="0" w:after="1"/>
              <w:ind w:left="0" w:right="0" w:hanging="0"/>
              <w:jc w:val="center"/>
              <w:rPr/>
            </w:pPr>
            <w:r>
              <w:rPr/>
              <w:t>​</w:t>
            </w:r>
          </w:p>
        </w:tc>
        <w:tc>
          <w:tcPr>
            <w:tcW w:w="863"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(2,387)</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(3,494)</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(18,226)</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(2,950)</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(2,832)</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3,817</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3,817</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9,068</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9,751</w:t>
            </w:r>
          </w:p>
        </w:tc>
      </w:tr>
    </w:tbl>
    <w:p>
      <w:pPr>
        <w:pStyle w:val="TextBody"/>
        <w:bidi w:val="0"/>
        <w:spacing w:before="0" w:after="240"/>
        <w:ind w:left="0" w:right="0" w:firstLine="360"/>
        <w:jc w:val="left"/>
        <w:rPr/>
      </w:pPr>
      <w:r>
        <w:rPr/>
        <w:t>​</w:t>
      </w:r>
    </w:p>
    <w:tbl>
      <w:tblPr>
        <w:tblW w:w="9980" w:type="dxa"/>
        <w:jc w:val="left"/>
        <w:tblInd w:w="0" w:type="dxa"/>
        <w:tblLayout w:type="fixed"/>
        <w:tblCellMar>
          <w:top w:w="0" w:type="dxa"/>
          <w:left w:w="0" w:type="dxa"/>
          <w:bottom w:w="0" w:type="dxa"/>
          <w:right w:w="0" w:type="dxa"/>
        </w:tblCellMar>
      </w:tblPr>
      <w:tblGrid>
        <w:gridCol w:w="4546"/>
        <w:gridCol w:w="326"/>
        <w:gridCol w:w="211"/>
        <w:gridCol w:w="796"/>
        <w:gridCol w:w="326"/>
        <w:gridCol w:w="255"/>
        <w:gridCol w:w="766"/>
        <w:gridCol w:w="326"/>
        <w:gridCol w:w="239"/>
        <w:gridCol w:w="767"/>
        <w:gridCol w:w="326"/>
        <w:gridCol w:w="230"/>
        <w:gridCol w:w="866"/>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886710" cy="175260"/>
                      <wp:effectExtent l="0" t="0" r="0" b="0"/>
                      <wp:wrapNone/>
                      <wp:docPr id="381" name="Frame381"/>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05460" cy="175260"/>
                      <wp:effectExtent l="0" t="0" r="0" b="0"/>
                      <wp:wrapNone/>
                      <wp:docPr id="384" name="Frame3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61925" cy="175260"/>
                      <wp:effectExtent l="0" t="0" r="0" b="0"/>
                      <wp:wrapNone/>
                      <wp:docPr id="386" name="Frame38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86410" cy="175260"/>
                      <wp:effectExtent l="0" t="0" r="0" b="0"/>
                      <wp:wrapNone/>
                      <wp:docPr id="387" name="Frame38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51765" cy="175260"/>
                      <wp:effectExtent l="0" t="0" r="0" b="0"/>
                      <wp:wrapNone/>
                      <wp:docPr id="389" name="Frame38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87045" cy="175260"/>
                      <wp:effectExtent l="0" t="0" r="0" b="0"/>
                      <wp:wrapNone/>
                      <wp:docPr id="390" name="Frame390"/>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46050" cy="175260"/>
                      <wp:effectExtent l="0" t="0" r="0" b="0"/>
                      <wp:wrapNone/>
                      <wp:docPr id="392" name="Frame39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49910" cy="175260"/>
                      <wp:effectExtent l="0" t="0" r="0" b="0"/>
                      <wp:wrapNone/>
                      <wp:docPr id="393" name="Frame393"/>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2023</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center"/>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4,528</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(4,994)</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(17,382)</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(20,726)</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5,236</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5,236</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patents, plant, property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18,998</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1,670</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20,884</w:t>
            </w:r>
          </w:p>
        </w:tc>
      </w:tr>
    </w:tbl>
    <w:p>
      <w:pPr>
        <w:pStyle w:val="TextBody"/>
        <w:bidi w:val="0"/>
        <w:spacing w:before="0" w:after="240"/>
        <w:ind w:left="0" w:right="0" w:hanging="0"/>
        <w:jc w:val="left"/>
        <w:rPr/>
      </w:pPr>
      <w:r>
        <w:rPr/>
        <w:t>​</w:t>
      </w:r>
    </w:p>
    <w:tbl>
      <w:tblPr>
        <w:tblW w:w="9349" w:type="dxa"/>
        <w:jc w:val="left"/>
        <w:tblInd w:w="0" w:type="dxa"/>
        <w:tblLayout w:type="fixed"/>
        <w:tblCellMar>
          <w:top w:w="0" w:type="dxa"/>
          <w:left w:w="0" w:type="dxa"/>
          <w:bottom w:w="0" w:type="dxa"/>
          <w:right w:w="0" w:type="dxa"/>
        </w:tblCellMar>
      </w:tblPr>
      <w:tblGrid>
        <w:gridCol w:w="3916"/>
        <w:gridCol w:w="326"/>
        <w:gridCol w:w="211"/>
        <w:gridCol w:w="796"/>
        <w:gridCol w:w="326"/>
        <w:gridCol w:w="255"/>
        <w:gridCol w:w="766"/>
        <w:gridCol w:w="326"/>
        <w:gridCol w:w="235"/>
        <w:gridCol w:w="770"/>
        <w:gridCol w:w="326"/>
        <w:gridCol w:w="230"/>
        <w:gridCol w:w="86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486660" cy="175260"/>
                      <wp:effectExtent l="0" t="0" r="0" b="0"/>
                      <wp:wrapNone/>
                      <wp:docPr id="394" name="Frame394"/>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05460" cy="175260"/>
                      <wp:effectExtent l="0" t="0" r="0" b="0"/>
                      <wp:wrapNone/>
                      <wp:docPr id="397" name="Frame3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61925" cy="175260"/>
                      <wp:effectExtent l="0" t="0" r="0" b="0"/>
                      <wp:wrapNone/>
                      <wp:docPr id="399" name="Frame39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86410" cy="175260"/>
                      <wp:effectExtent l="0" t="0" r="0" b="0"/>
                      <wp:wrapNone/>
                      <wp:docPr id="400" name="Frame40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49225" cy="175260"/>
                      <wp:effectExtent l="0" t="0" r="0" b="0"/>
                      <wp:wrapNone/>
                      <wp:docPr id="402" name="Frame40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88950" cy="175260"/>
                      <wp:effectExtent l="0" t="0" r="0" b="0"/>
                      <wp:wrapNone/>
                      <wp:docPr id="403" name="Frame403"/>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46050" cy="175260"/>
                      <wp:effectExtent l="0" t="0" r="0" b="0"/>
                      <wp:wrapNone/>
                      <wp:docPr id="405" name="Frame40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49910" cy="175260"/>
                      <wp:effectExtent l="0" t="0" r="0" b="0"/>
                      <wp:wrapNone/>
                      <wp:docPr id="406" name="Frame406"/>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    </w:t>
            </w:r>
          </w:p>
        </w:tc>
        <w:tc>
          <w:tcPr>
            <w:tcW w:w="230"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10,265</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(7,550)</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(3,347)</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(12,222)</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(56,410)</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(9,505)</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(71,178)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12,504</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12,504</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34,219</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36,459</w:t>
            </w:r>
          </w:p>
        </w:tc>
      </w:tr>
    </w:tbl>
    <w:p>
      <w:pPr>
        <w:pStyle w:val="TextBody"/>
        <w:bidi w:val="0"/>
        <w:spacing w:before="0" w:after="240"/>
        <w:ind w:left="0" w:right="0" w:hanging="0"/>
        <w:jc w:val="left"/>
        <w:rPr/>
      </w:pPr>
      <w:r>
        <w:rPr/>
        <w:t>​</w:t>
      </w:r>
    </w:p>
    <w:tbl>
      <w:tblPr>
        <w:tblW w:w="9350" w:type="dxa"/>
        <w:jc w:val="left"/>
        <w:tblInd w:w="0" w:type="dxa"/>
        <w:tblLayout w:type="fixed"/>
        <w:tblCellMar>
          <w:top w:w="0" w:type="dxa"/>
          <w:left w:w="0" w:type="dxa"/>
          <w:bottom w:w="0" w:type="dxa"/>
          <w:right w:w="0" w:type="dxa"/>
        </w:tblCellMar>
      </w:tblPr>
      <w:tblGrid>
        <w:gridCol w:w="3916"/>
        <w:gridCol w:w="326"/>
        <w:gridCol w:w="211"/>
        <w:gridCol w:w="796"/>
        <w:gridCol w:w="326"/>
        <w:gridCol w:w="255"/>
        <w:gridCol w:w="766"/>
        <w:gridCol w:w="326"/>
        <w:gridCol w:w="239"/>
        <w:gridCol w:w="767"/>
        <w:gridCol w:w="326"/>
        <w:gridCol w:w="230"/>
        <w:gridCol w:w="86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486660" cy="175260"/>
                      <wp:effectExtent l="0" t="0" r="0" b="0"/>
                      <wp:wrapNone/>
                      <wp:docPr id="407" name="Frame407"/>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9"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05460" cy="175260"/>
                      <wp:effectExtent l="0" t="0" r="0" b="0"/>
                      <wp:wrapNone/>
                      <wp:docPr id="410" name="Frame41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61925" cy="175260"/>
                      <wp:effectExtent l="0" t="0" r="0" b="0"/>
                      <wp:wrapNone/>
                      <wp:docPr id="412" name="Frame41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86410" cy="175260"/>
                      <wp:effectExtent l="0" t="0" r="0" b="0"/>
                      <wp:wrapNone/>
                      <wp:docPr id="413" name="Frame41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51765" cy="175260"/>
                      <wp:effectExtent l="0" t="0" r="0" b="0"/>
                      <wp:wrapNone/>
                      <wp:docPr id="415" name="Frame41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87045" cy="175260"/>
                      <wp:effectExtent l="0" t="0" r="0" b="0"/>
                      <wp:wrapNone/>
                      <wp:docPr id="416" name="Frame416"/>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46050" cy="175260"/>
                      <wp:effectExtent l="0" t="0" r="0" b="0"/>
                      <wp:wrapNone/>
                      <wp:docPr id="418" name="Frame41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49910" cy="175260"/>
                      <wp:effectExtent l="0" t="0" r="0" b="0"/>
                      <wp:wrapNone/>
                      <wp:docPr id="419" name="Frame419"/>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2023</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12,826</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(1,343)</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(7,881)</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(5,099)</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(14,323)</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(47,284)</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(60,498)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13,974</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13,974</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55,045</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6,129</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61,413</w:t>
            </w:r>
          </w:p>
        </w:tc>
      </w:tr>
    </w:tbl>
    <w:p>
      <w:pPr>
        <w:pStyle w:val="TextBody"/>
        <w:bidi w:val="0"/>
        <w:spacing w:before="0" w:after="240"/>
        <w:ind w:left="0" w:right="0" w:hanging="0"/>
        <w:jc w:val="left"/>
        <w:rPr/>
      </w:pPr>
      <w:r>
        <w:rPr/>
        <w:t>​</w:t>
      </w:r>
    </w:p>
    <w:tbl>
      <w:tblPr>
        <w:tblW w:w="6495" w:type="dxa"/>
        <w:jc w:val="left"/>
        <w:tblInd w:w="0" w:type="dxa"/>
        <w:tblLayout w:type="fixed"/>
        <w:tblCellMar>
          <w:top w:w="0" w:type="dxa"/>
          <w:left w:w="0" w:type="dxa"/>
          <w:bottom w:w="0" w:type="dxa"/>
          <w:right w:w="0" w:type="dxa"/>
        </w:tblCellMar>
      </w:tblPr>
      <w:tblGrid>
        <w:gridCol w:w="1066"/>
        <w:gridCol w:w="326"/>
        <w:gridCol w:w="211"/>
        <w:gridCol w:w="781"/>
        <w:gridCol w:w="326"/>
        <w:gridCol w:w="242"/>
        <w:gridCol w:w="779"/>
        <w:gridCol w:w="326"/>
        <w:gridCol w:w="239"/>
        <w:gridCol w:w="766"/>
        <w:gridCol w:w="326"/>
        <w:gridCol w:w="211"/>
        <w:gridCol w:w="89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76910" cy="175260"/>
                      <wp:effectExtent l="0" t="0" r="0" b="0"/>
                      <wp:wrapNone/>
                      <wp:docPr id="420" name="Frame42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2" name="Frame4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95935" cy="175260"/>
                      <wp:effectExtent l="0" t="0" r="0" b="0"/>
                      <wp:wrapNone/>
                      <wp:docPr id="423" name="Frame4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53670" cy="175260"/>
                      <wp:effectExtent l="0" t="0" r="0" b="0"/>
                      <wp:wrapNone/>
                      <wp:docPr id="425" name="Frame42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94665" cy="175260"/>
                      <wp:effectExtent l="0" t="0" r="0" b="0"/>
                      <wp:wrapNone/>
                      <wp:docPr id="426" name="Frame426"/>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51765" cy="175260"/>
                      <wp:effectExtent l="0" t="0" r="0" b="0"/>
                      <wp:wrapNone/>
                      <wp:docPr id="428" name="Frame42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86410" cy="175260"/>
                      <wp:effectExtent l="0" t="0" r="0" b="0"/>
                      <wp:wrapNone/>
                      <wp:docPr id="429" name="Frame42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1"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68960" cy="175260"/>
                      <wp:effectExtent l="0" t="0" r="0" b="0"/>
                      <wp:wrapNone/>
                      <wp:docPr id="432" name="Frame43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7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495,818</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21,932</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603,790</w:t>
            </w:r>
          </w:p>
        </w:tc>
      </w:tr>
    </w:tbl>
    <w:p>
      <w:pPr>
        <w:pStyle w:val="TextBody"/>
        <w:bidi w:val="0"/>
        <w:spacing w:before="0" w:after="240"/>
        <w:ind w:left="0" w:right="0" w:hanging="0"/>
        <w:jc w:val="left"/>
        <w:rPr/>
      </w:pPr>
      <w:r>
        <w:rPr/>
        <w:t>​</w:t>
      </w:r>
    </w:p>
    <w:tbl>
      <w:tblPr>
        <w:tblW w:w="6495" w:type="dxa"/>
        <w:jc w:val="left"/>
        <w:tblInd w:w="0" w:type="dxa"/>
        <w:tblLayout w:type="fixed"/>
        <w:tblCellMar>
          <w:top w:w="0" w:type="dxa"/>
          <w:left w:w="0" w:type="dxa"/>
          <w:bottom w:w="0" w:type="dxa"/>
          <w:right w:w="0" w:type="dxa"/>
        </w:tblCellMar>
      </w:tblPr>
      <w:tblGrid>
        <w:gridCol w:w="1066"/>
        <w:gridCol w:w="326"/>
        <w:gridCol w:w="211"/>
        <w:gridCol w:w="781"/>
        <w:gridCol w:w="326"/>
        <w:gridCol w:w="242"/>
        <w:gridCol w:w="779"/>
        <w:gridCol w:w="326"/>
        <w:gridCol w:w="213"/>
        <w:gridCol w:w="792"/>
        <w:gridCol w:w="326"/>
        <w:gridCol w:w="211"/>
        <w:gridCol w:w="89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76910" cy="175260"/>
                      <wp:effectExtent l="0" t="0" r="0" b="0"/>
                      <wp:wrapNone/>
                      <wp:docPr id="433" name="Frame43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5"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95935" cy="175260"/>
                      <wp:effectExtent l="0" t="0" r="0" b="0"/>
                      <wp:wrapNone/>
                      <wp:docPr id="436" name="Frame4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53670" cy="175260"/>
                      <wp:effectExtent l="0" t="0" r="0" b="0"/>
                      <wp:wrapNone/>
                      <wp:docPr id="438" name="Frame43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94665" cy="175260"/>
                      <wp:effectExtent l="0" t="0" r="0" b="0"/>
                      <wp:wrapNone/>
                      <wp:docPr id="439" name="Frame439"/>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5255" cy="175260"/>
                      <wp:effectExtent l="0" t="0" r="0" b="0"/>
                      <wp:wrapNone/>
                      <wp:docPr id="441" name="Frame44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02920" cy="175260"/>
                      <wp:effectExtent l="0" t="0" r="0" b="0"/>
                      <wp:wrapNone/>
                      <wp:docPr id="442" name="Frame442"/>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4" name="Frame4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68960" cy="175260"/>
                      <wp:effectExtent l="0" t="0" r="0" b="0"/>
                      <wp:wrapNone/>
                      <wp:docPr id="445" name="Frame44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7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519,994</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28,818</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650,322</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1958" w:name="Item2ManagementsDiscussionandAnalysisofF"/>
      <w:bookmarkStart w:id="1959" w:name="_f64a5421_82d4_4a78_94b9_426089afa9c2"/>
      <w:bookmarkEnd w:id="1958"/>
      <w:bookmarkEnd w:id="1959"/>
      <w:r>
        <w:rPr>
          <w:rFonts w:ascii="Times New Roman;Times;serif" w:hAnsi="Times New Roman;Times;serif"/>
          <w:b/>
          <w:sz w:val="20"/>
        </w:rPr>
        <w:t>Item 2. Management’s Discussion and Analysis of Financial Condition and Results of Operations.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results of operation and liquidity, our ability to finance, develop, and construct our Net-Zero Projects (as defined below), as well as other growth projects, our ability to produce our products, our expectations regarding the demand for our products and our ability to meet such demand, our ability to meet production, financial and operational guidance, our ability to generate revenue from our executed contracts, our strategy to pursue low-carbon or “net-zero” carbon renewable fuels for sale into California and elsewhere, our ability to replace our fossil-based energy sources with renewable energy sources at our Net-Zero Projects and elsewhere, our expectations regarding the location and start-up date for our initial Net-Zero Project, our expectations regarding our ability to produce renewable liquid hydrocarbons, our expectations regarding our ability to produce protein and other products for use in the food chain, our ability and plans to construct greenfield commercial hydrocarbon facilities to produce sustainable aviation fuel (“SAF”) and other products, our ability to raise additional funds to finance our business and the sources of those funds, our ability to perform under our existing offtake agreements and other sales agreements we may enter into in the future, our acquisition strategy and, if completed, the potential success and financial contributions of proposed acquisitions, our ability to successfully operate our renewable natural gas (“RNG”) facilities in Iowa, our ability to produce renewable hydrocarbon products at a commercial level and at a profit, the availability of, and market prices for, government economic incentives to the renewable energy market, achievement of advances in our technology platform, the availability of suitable and cost-competitive feedstocks, our ability to gain market acceptance for our products, our expectations regarding the demand for carbon credits, the expected cost-competitiveness and relative performance attributes of our products, our strategy to pursue alcohol-to-SAF development and production,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United States (“U.S.”) Securities and Exchange Commission (the “SEC”), including this Report in Item 7. “Management’s Discussion and Analysis of Financial Condition and Results of Operations,” our Annual Report on Form 10-K for the year ended December 31, 2023 (our “2023 Annual Report”), including Item 1A. “Risk Factors” of our 2023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Unless the context requires otherwise, in this Report the terms “Gevo”, “we,” “us,” “our” and the “Company” refer to Gevo, Inc. and its wholly owned, direct and indirect subsidiaries.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discussion should be read in conjunction with our unaudited condensed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2023 Annual Report.</w:t>
      </w:r>
    </w:p>
    <w:p>
      <w:pPr>
        <w:pStyle w:val="TextBody"/>
        <w:shd w:fill="FFFFFF" w:val="clear"/>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growth-oriented carbon abatement company that focuses on hard to decarbonize market sectors such as jet fuel, certain specialty fuels, on-road fuels, chemicals and materials, and certain products for the food chain such as protein and feeds made as co-products from our processes. Each of the market areas in which Gevo focuses have in common the need for carbon-based products and are not conducive to full electrification or hydrogen. We produce and sell renewable, drop-in products for these sectors, and generate carbon abatement value through our plant design and business systems. Carbon abatement value can be valorized via Renewable Identification Numbers (“RINs”), state credits, Inflation Reduction Act (“IRA”) tax credits, and the value of Scope 3 greenhouse gas emissions for end customers. Gevo is primarily a project development, investment, and technology company, which also holds certain operating assets with the intent of generating cash flow.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primary market focus, given the large demand and growing customer interest, is net-zero hydrocarbon fuels, including SAF. We believe that SAF produced from a carbohydrate-to-alcohol process is the most economically viable approach to generate value from carbon abatement. We also have commercial opportunities for other renewable hydrocarbon products, such as RNG; hydrocarbons for gasoline and racing fuel blendstocks and diesel fuel; ingredients for the chemical industry, such as ethylene and butenes for plastics and materials; and other chemicals. Global fuel consumption by commercial airlines continues to grow, with jet fuel consumption expected to rise from approximately 92 to 99 billion gallons from 2023 to 2024,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serve these markets, we are developing commercial projects for converting renewable energy into energy-dense, liquid hydrocarbons that can be used as renewable fuels, such as SAF, with the potential to achieve a “net-zero” greenhouse gas (“GHG”) footprint. We believe that this addresses the global need of reducing GHG emissions with “drop in” sustainable alternatives to petroleum fuels. We use the Argonne National Laboratory’s Greenhouse gases, Regulated Emissions, and Energy use in Transportation model (the “GREET Model”) to measure, predict and verify GHG emissions across the life cycle of our products. The “net-zero” concept means Gevo expects that by using sustainably grown feedstock (e.g., low till, no-till cultivation) and renewable and substantially decarbonized energy sources, drop-in hydrocarbon fuels can be produced that have a net-zero, full life cycle footprint measured from the capture of renewable carbon through the burning of the fuel. This is because such feedstocks come from crops, which take carbon dioxide out of the atmosphere and convert it into biomass through photosynthesis. This yields vital amino acid nutrients, or protein, that must be consumed in order to sustain humans and animals, as well as vegetable oil and carbohydrates, or sugar. The plant sugar may be fermented with microorganisms to produce a clean alcohol suitable for industrial scale chemical processing into hydrocarbons. Given the overabundance of plant-derived sugar, the growing unmet demand for drop-in, renewable hydrocarbons such as SAF, and the availability of demonstrated industrial-scale technologies that can convert plant sugars to alcohols and then to hydrocarbons, we view our project as first movers in an attractive, scalable new industry connecting this overabundance of plant sugar to unmet demand for products such as SAF.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Project Updates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Net-Zero Projects.</w:t>
      </w:r>
      <w:r>
        <w:rPr>
          <w:rFonts w:ascii="Times New Roman;Times;serif" w:hAnsi="Times New Roman;Times;serif"/>
          <w:sz w:val="20"/>
        </w:rPr>
        <w:t xml:space="preserve"> Our</w:t>
      </w:r>
      <w:r>
        <w:rPr>
          <w:rFonts w:ascii="Times New Roman;Times;serif" w:hAnsi="Times New Roman;Times;serif"/>
          <w:sz w:val="20"/>
          <w:shd w:fill="FFFFFF" w:val="clear"/>
        </w:rPr>
        <w:t xml:space="preserve"> concept of “Net-Zero Projects” is a series of planned facilities to produce energy dense liquid hydrocarbons using renewable energy and our proprietary technology. Our initial Net-Zero Project, Net-Zero 1 (“NZ1”), is expected to be located in Lake Preston, South Dakota, and is being currently designed to produce approximately 65 million gallons per year (“MGPY”) of total hydrocarbon volumes, including 60 MGPY of SAF, which would fulfill part of our approximately 350 MGPY of SAF and hydrocarbon supply agreements. The liquid hydrocarbons, when burned, are expected to have a “net-zero” GHG footprint. Along with the hydrocarbons, NZ1 is expected to produce approximately 1.3 billion pounds per year of high-value protein products for use in the food chain and approximately 30 million pounds per year of corn oil. Our products will be produced in three steps: the first step is milling the corn to produce the carbohydrates needed for the production of SAF while simultaneously enabling the production of protein and oil; the second step produces alcohols using carbohydrate-based fermentation; and the third step is the conversion of the alcohols into hydrocarbons.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We work with several technology, design and equipment partners, most notably Fluid Quip Technologies (“FQT”), Axens North America, Inc. (“Axens”), and </w:t>
      </w:r>
      <w:r>
        <w:rPr>
          <w:rFonts w:ascii="Times New Roman;Times;serif" w:hAnsi="Times New Roman;Times;serif"/>
          <w:sz w:val="20"/>
        </w:rPr>
        <w:t>PRAJ Industries Limited (“Praj”)</w:t>
      </w:r>
      <w:r>
        <w:rPr>
          <w:rFonts w:ascii="Times New Roman;Times;serif" w:hAnsi="Times New Roman;Times;serif"/>
          <w:sz w:val="20"/>
          <w:shd w:fill="FFFFFF" w:val="clear"/>
        </w:rPr>
        <w:t>. FQT and Axens provide area operation designs which have been incorporated into Gevo’s proprietary overall design of low carbon intensity (“CI”) carbohydrate-to-hydrocarbon plants, such as our NZ1 plant. Praj is working with us on the proprietary design and construction of prefabricated process modules for our plants. Our partners are working with us on proprietary process designs that have the potential to lower capital and future operating costs. The advantage of utilizing FQT and Axens for our operation and related process designs, which are proven in other applications, is that we believe we have chosen technology which is substantially de-risked.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substantially completed the engineering design on our NZ1 project and are proceeding with detailed engineering and modularization design. We are refining the project cost estimates with engineering, procurement, and construction (“EPC”) partners to identify opportunities to reduce and negotiate the cost. After which, we expect to sign a lump-sum, fixed price agreement for the EPC to build and deliver the plant. The current detailed engineering work is focused on increasing the modularization of component parts on the NZ1 plant design, with the goal to build the process equipment into modules at a factory, then assemble onsite. This will enable us to minimize specialized field work typical in plant construction of this type, lower the risk and costs, as well as provide better access to skilled labor. Increasing the modularization of the plant design is expected to reduce our spend in advance of securing third-party equity and debt financing for NZ1 and increase the certainty of the construction schedule for those counterparties.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expect to finance the construction of NZ1 at the subsidiary level using a combination of Company equity, third-party capital, and non-recourse debt. The Company previously projected a range of $90.0 – $125.0 million to be spent on NZ1 between January 2024 and the financial close of NZ1. Year to date 2024, the Company spent $32.3 million and expects the remaining spend until the financial close of NZ1 to fall below the previously estimated range. Cash distributions from future NZ1 earnings would be proportionate to Gevo’s ownership in NZ1 under this expected financing structure. The use of project debt and third-party equity allows us to conserve capital for use on other growth projects. We expect to apply similar development and financing strategies to future Net-Zero Projects to grow our SAF production to meet the demand for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order to achieve full construction financing for NZ1, we need to secure third-party equity and debt. Upon receiving an invitation from the U.S. Department of Energy (“DOE”), we submitted a Part II Application for a DOE loan guarantee for a direct lending from the Federal Financing Bank. In August 2023, Gevo was invited to enter the due diligence and underwriting phases with the DOE. Given the current interest rate environment and general macroeconomic conditions, a DOE-guaranteed loan is expected to be our most attractive debt option and offer the lowest cost of debt for the project. We expect that obtaining a DOE-guaranteed loan will have the benefit of reducing the overall amount of equity required to finance NZ1 and should result in higher project equity returns for investors which should increase the likelihood of Gevo successfully financing NZ1. On October 16th, 2024, NZ1 reached a critical milestone of receiving conditional commitment from the DOE for a loan guarantee facility with a capacity of $1.6 billion (including capitalized interest during construction). This milestone is significant as it helps to validate NZ1’s integrity, which is underpinned by the DOE’s diligence process. The focus is now on negotiating and closing this DOE loan and our project level equity financing as quickly as possible. We expect that our NZ1 plant start-up date will occur approximately thirty-six months after the NZ1 financing closes, the timing of which is uncertain. We are also working to secure access to carbon capture and sequestration at the site.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evaluating and performing early site development work at several sites in the U.S. for other greenfield sites. These sites include several locations that are particularly advantageous in terms of potential economics, opportunities to decarbonize, and time to market. In addition, we are pursuing potential Net-Zero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Red Trail Energy Asset Purchase Agreement.</w:t>
      </w:r>
      <w:r>
        <w:rPr>
          <w:rFonts w:ascii="Times New Roman;Times;serif" w:hAnsi="Times New Roman;Times;serif"/>
          <w:sz w:val="20"/>
        </w:rPr>
        <w:t xml:space="preserve"> On September 10, 2024, the Company and its wholly owned subsidiaries Richardton CCS, LLC (“R-CCS”), and Net-Zero Richardton, LLC (together with the Company and R-CCS, the “Buyers”) entered into an Asset Purchase Agreement (the “Red Trail Purchase Agreement”) with Red Trail Energy, LLC, a North Dakota limited liability company (“Seller”). Pursuant to the Red Trail Purchase Agreement, and subject to the terms and conditions thereof, Buyers will acquire substantially all of the assets, and assume certain liabilities, of Seller on the terms set forth therein (the “Transaction”). The purchase price is $210,000,000, subject to customary adjustments, including a working capital adjustment (the “Purchase Price”). It is expected that the Purchase Price will be funded by a mixture of Company cash on hand and additional debt financing to be obtained prior to closing. The Transaction is expected to close in the first quarter of 2025, subject to (i) the approval of the Transaction by holders of a majority of the Seller’s outstanding Class A Membership Units, (ii) regulatory approvals under the Hart-Scott-Rodino Antitrust Improvements Act, (iii) the procurement of debt financing by the Buyers on terms satisfactory to the Buyers and (iv) other closing conditions.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Red Trail Purchase Agreement, the Company and Seller entered into an escrow agreement pursuant to which the Company (i) has deposited $10,000,000 in earnest money, see Note 10, Deposits and Other Assets, which will be applied against the Purchase Price, (ii) will deposit $1,260,000 of the Purchase Price at closing for the purposes of securing the post-closing indemnification obligations of Seller, and (iii) will deposit $5,000,000 of the Purchase Price at closing for purposes of securing any Purchase Price adjustments. In addition, Buyers obtained a representation and warranty insurance policy to provide coverage for certain breaches of representations and warranties of the Seller, which coverage is subject to certain exclusions, deductibles and other terms and conditions as set forth in the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Renewable Natural Gas Project.</w:t>
      </w:r>
      <w:r>
        <w:rPr>
          <w:rFonts w:ascii="Times New Roman;Times;serif" w:hAnsi="Times New Roman;Times;serif"/>
          <w:sz w:val="20"/>
        </w:rPr>
        <w:t xml:space="preserve"> The RNG project in Northwest Iowa (the “RNG Project”) started up and began producing and injecting initial volumes of biogas in 2022, during the project’s testing and ramp-up period. In 2023, the project achieved stable production levels and surpassed our annual production target of 310,000 million British thermal units (“MMBtu”). In addition, we completed an expansion to the RNG Project to increase its annual expected output from 355,000 MMBtu to 400,000 MMBtu. Further increased production is intended through debottlenecking to achieve 500,000 MMBtu</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Gevo’s revenue primarily stems from the RNG Project’s sales of the environmental attributes associated with RNG. These include attributes available from California’s Low Carbon Fuel Standard (“LCFS”) program and the U.S. Environmental Protection Agency (“EPA”) Renewable Fuels Standard (“RFS”) program (“RFS Program”) to receive renewable identification numbers (“RINs”). </w:t>
      </w:r>
      <w:r>
        <w:rPr>
          <w:rFonts w:ascii="Times New Roman;Times;serif" w:hAnsi="Times New Roman;Times;serif"/>
          <w:sz w:val="20"/>
          <w:shd w:fill="FFFFFF" w:val="clear"/>
        </w:rPr>
        <w:t xml:space="preserve">Gevo was granted registration approval by the EPA in 2022, allowing us to participate in the RFS Program to receive RINs.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We currently operate under a temporary pathway from California’s LCFS program, which we received during the first quarter of 2023. We continue to realize sales for our environmental attributes under the temporary pathway for LCFS credits and RINs in 2024</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Verity.</w:t>
      </w:r>
      <w:r>
        <w:rPr>
          <w:rFonts w:ascii="Times New Roman;Times;serif" w:hAnsi="Times New Roman;Times;serif"/>
          <w:sz w:val="20"/>
        </w:rPr>
        <w:t xml:space="preserve"> </w:t>
      </w:r>
      <w:r>
        <w:rPr>
          <w:rFonts w:ascii="Times New Roman;Times;serif" w:hAnsi="Times New Roman;Times;serif"/>
          <w:sz w:val="20"/>
          <w:shd w:fill="FFFFFF" w:val="clear"/>
        </w:rPr>
        <w:t>Verity Holdings, LLC (“Verity”), a wholly owned subsidiary of Gevo, Inc., is at the forefront of creating the ability to track, verify, and empirically value carbon intensity across the full carbon lifecycle. Verity provides end-to-end carbon accounting via a proprietary digital measure, report and verify (“MRV”) platform. This platform specializes in carbon accounting and services aimed at maximizing the value of environmental benefits throughout the entire business system. Verity's comprehensive approach includes regulatory analysis, strategy development, life cycle analysis, compliance management, audit readiness, carbon marketing, utilization and retirement services, and trading/marketing for Scope 1, 2, and 3 emissions. By integrating advanced technological capabilities, Verity supports Gevo's mission of converting renewable energy and biogenic carbon into sustainable fuels and chemicals with a net zero or better carbon footprint.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Key Verity project highlights include:</w:t>
      </w:r>
    </w:p>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Development began in 2020 as a value-added service for our SAF production;</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Three ethanol producer customers contracted, and growing;</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Current customers comprise 2% of the total U.S. ethanol market or more than 300 million gallons per year;</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100% farmer retention in the grower program comprising 76,000 acres and growing;</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Initiated our first privately sponsored growers program for a biofuel client in the midwestern U.S.; and</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Capital light, fee-based, industry agnostic business.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Customers</w:t>
      </w:r>
      <w:r>
        <w:rPr>
          <w:rFonts w:ascii="Times New Roman;Times;serif" w:hAnsi="Times New Roman;Times;serif"/>
          <w:b/>
          <w:i/>
          <w:sz w:val="20"/>
        </w:rPr>
        <w:t xml:space="preserve">. </w:t>
      </w:r>
      <w:r>
        <w:rPr>
          <w:rFonts w:ascii="Times New Roman;Times;serif" w:hAnsi="Times New Roman;Times;serif"/>
          <w:sz w:val="20"/>
        </w:rPr>
        <w:t>In March 2023, we entered into a joint development framework agreement with Southwest Iowa Renewable Energy; in August 2023, we entered into a joint development framework agreement with a second ethanol producer in the midwestern U.S. that has over 100 million gallons of capacity; and in October 2023, we entered into an agreement with a third ethanol producer in the southwestern U.S. These agreements include commercial terms and profit-sharing frameworks. As we grow Verity as an externally facing business, we are working to sign up additional ethanol and biofuel customers. Each of these agreements will focus on implementing Verity technology and developing the market for carbon credits to help farmers and biofuel producers quantify the CI reductions for their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Acquisition of CultivateAI</w:t>
      </w:r>
      <w:r>
        <w:rPr>
          <w:rFonts w:ascii="Times New Roman;Times;serif" w:hAnsi="Times New Roman;Times;serif"/>
          <w:b/>
          <w:i/>
          <w:sz w:val="20"/>
        </w:rPr>
        <w:t>.</w:t>
      </w:r>
      <w:r>
        <w:rPr>
          <w:rFonts w:ascii="Times New Roman;Times;serif" w:hAnsi="Times New Roman;Times;serif"/>
          <w:sz w:val="20"/>
        </w:rPr>
        <w:t xml:space="preserve"> </w:t>
      </w:r>
      <w:r>
        <w:rPr>
          <w:rFonts w:ascii="Times New Roman;Times;serif" w:hAnsi="Times New Roman;Times;serif"/>
          <w:sz w:val="20"/>
          <w:shd w:fill="FFFFFF" w:val="clear"/>
        </w:rPr>
        <w:t>In the third quarter of 2024, Gevo acquired Cultivate Agricultural Intelligence, LLC (“CultivateAI”), a leading provider of agricultural data through a cloud-based, mobile software as a service (“SaaS”) platform. Gevo plans to fold CultivateAI into Verity to accelerate Verity’s business development and growth. CultivateAI is a proven business with expected 2024 revenue of $1.7 million and corresponding positive cash flow. The business provides agricultural data to clients through a SaaS platform, leveraging high-resolution drone and satellite technology. This process begins by capturing detailed imagery of an agricultural operation. CultivateAI uses that information to build missing GIS maps and create a digital agricultural inventory, including facilities, assets, and crops. This comprehensive digital inventory generates quantifiable insights that help customers improve management practices and overall performance.</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CultivateAI has several key partnerships that we believe will continue to help streamline high-quality data collection for customers as part of the Verity platform. These include:</w:t>
      </w:r>
    </w:p>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CultivateAI's integration with John Deere Operations Center™, which enables automatic downloads of field boundaries and operation maps into a CultivateAI data silo, so there is no need to manually transfer or enter customer data. Then, the CultivateAI software platform aggregates and cleans volumes of machine sensor data. The result is planting, application, harvest and tillage maps assigned to the correct field by GPS location that is used in automated seed, chemical and nutrient product performance summaries. Customers can view summaries for an entire operation, or all the way down to smaller management zones or test plots within fields, enabling convenient, unbiased, data-driven insights of products. </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5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CultivateAI is a certified Wingtra Dealer serving the Precision Agriculture Market in the U.S. The team utilizes Wingtra drones in its own commercial drone collection operations and has vast experience with multispectral sensors for agriculture asset management and vegetation health sensing. The Wingtra system, paired with CultivateAI software, enables quick drone imagery capture and automated insights displayed in cloud based software.</w:t>
            </w:r>
          </w:p>
        </w:tc>
      </w:tr>
    </w:tbl>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Gevo expects to combine CultivateAI’s digital drone and satellite-based agriculture data and analytics platform with Verity’s carbon accounting and tracking solutions. We believe this combination will provide the most comprehensive, highest quality, data-driven solutions for carbon abatement in food, feed, fuels, and industrial markets, while simultaneously helping farmers improve their operations, sustainability, and profitability. CultivateAI and Verity offer a cloud-based, mobile SaaS platform that helps farm operators, agronomists, ag-service providers, and researchers make informed, data-driven decisions with real-time analytics.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U.S. Department of Agriculture. </w:t>
      </w:r>
      <w:r>
        <w:rPr>
          <w:rFonts w:ascii="Times New Roman;Times;serif" w:hAnsi="Times New Roman;Times;serif"/>
          <w:sz w:val="20"/>
          <w:shd w:fill="FFFFFF" w:val="clear"/>
        </w:rPr>
        <w:t>In September 2023, we received a grant from the U.S. Department of Agriculture (“USDA”) through its Partnerships for Climate-Smart Commodities grant for Gevo’s Climate-Smart Farm-to-Flight Program (the “USDA Grant”). The USDA Grant was awarded for up to $46.3 million, of which $30.0 million is anticipated being reimbursed to Gevo from the USDA Grant, contingent on Gevo’s spend of up to $43.3 million and other third-party spend of up to $3.0 million. The project expects to create critical structural climate-smart market incentives for corn with a low carbon intensity (“CI”) score as well as to accelerate the production of SAF to reduce dependency on fossil-based fuels. In addition, this program will help provide support and incentive payments for farmers to produce, measure, report and verify low CI corn using climate smart agricultural practices, as well as accelerate development of the low-CI corn supply chain for low-carbon ethanol and SAF.</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During the three and nine months ended September 30, 2024, the Company incurred $1.1 million and $4.6 million of costs under the USDA Grant, which are included in Project development costs in the Consolidated Statement of Operations. During the three and nine months ended September 30, 2024, the Company recognized $1.5 million and $3.5 million of amounts received, included in Project development costs in the Consolidated Statement of Operations, which represent reimbursements for prior periods. The Company expects to be reimbursed for all expended eligible costs not yet reimbursed by the USDA Grant in future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Ethanol to Olefins and the LG Chem Agreement.</w:t>
      </w:r>
      <w:r>
        <w:rPr>
          <w:rFonts w:ascii="Times New Roman;Times;serif" w:hAnsi="Times New Roman;Times;serif"/>
          <w:sz w:val="20"/>
          <w:shd w:fill="FFFFFF" w:val="clear"/>
        </w:rPr>
        <w:t xml:space="preserve"> In April 2023, we entered into a joint development agreement with LG Chem, Ltd. (“LG Chem”) a leading global chemical company to develop bio-propylene for renewable chemicals using our Ethanol-to-Olefins (“ETO”) technology. Gevo’s proprietary ETO technology can target carbon neutral or carbon negative drop-in replacements for traditional petroleum-based building blocks called olefins, including bio-propylene, which can be used for renewable chemicals or fuels including sustainable aviation fuel. These plant-based, renewable olefins would be derived from atmospheric CO2 captured through photosynthesis and are expected to deliver the same performance in final products on the market today. </w:t>
      </w:r>
      <w:r>
        <w:rPr>
          <w:rFonts w:ascii="Times New Roman;Times;serif" w:hAnsi="Times New Roman;Times;serif"/>
          <w:sz w:val="20"/>
        </w:rPr>
        <w:t>The market opportunities for these building blocks include low-carbon polypropylene, polyethylene and similar chemical products whose market size for low-carbon solutions is $400.0 – $500.0 billion. We also believe ETO will reduce the capital and operating cost in future alcohol-to-jet SAF production facilities.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Under the terms of the agreement with LG Chem, we will provide the core enabling technology we have developed for renewable olefins to be produced from low-carbon ethanol and will collaborate with LG Chem to accelerate the pilot research, technical scale-up, and commercialization of bio-propylene. LG Chem is expected to bear all scale-up costs for chemicals and make certain payments to Gevo. In the second quarter of 2023, we received $1.1 million, which is net of foreign taxes withheld of $0.2 million, and in the second quarter of 2024 received $0.7 million, which is net of foreign taxes withheld of $0.1 million. We expect to receive an additional $0.4 million through 2025 to help defray costs associated with the joint development efforts. In addition, LG Chem agreed to make certain payments to us upon commencement of commercialization as follows:</w:t>
      </w:r>
    </w:p>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$5.0 million upon commencement of commercialization, to be paid ratably over a period of five years.</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royalty on net sales for the first production facility beginning six years from commercial operation.</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royalty on net sales for all subsequent production facilities upon commencement of operations.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achieved the following recent milestones on our ETO technology: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first quarter of 2024, we successfully launched an ETO pilot plant at a third-party facility in Crosby, Texas, which continued to operate successfully in Q2 and has delivered the results required to move to the next phase of scale-up in our agreement with LG Chem.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achieved the second milestone under the joint development agreement with LG Chem in April 2024. As a result, we have received, project-to-date, $2.1 million in payments under the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third quarter of 2024, we successfully completed the first phase of developing our ETO pilot plant at a third-party facility. The data is being used for process design and further scale-up planning.</w:t>
            </w:r>
          </w:p>
        </w:tc>
      </w:tr>
    </w:tbl>
    <w:p>
      <w:pPr>
        <w:pStyle w:val="TextBody"/>
        <w:bidi w:val="0"/>
        <w:spacing w:before="0" w:after="0"/>
        <w:ind w:left="1080" w:right="0" w:hanging="0"/>
        <w:jc w:val="left"/>
        <w:rPr>
          <w:shd w:fill="FFFFFF" w:val="clear"/>
        </w:rPr>
      </w:pPr>
      <w:r>
        <w:rPr>
          <w:shd w:fill="FFFFFF"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Shell Purchase Contract.</w:t>
      </w:r>
      <w:r>
        <w:rPr>
          <w:rFonts w:ascii="Times New Roman;Times;serif" w:hAnsi="Times New Roman;Times;serif"/>
          <w:sz w:val="20"/>
        </w:rPr>
        <w:t xml:space="preserve"> </w:t>
      </w:r>
      <w:r>
        <w:rPr>
          <w:rFonts w:ascii="Times New Roman;Times;serif" w:hAnsi="Times New Roman;Times;serif"/>
          <w:sz w:val="20"/>
          <w:shd w:fill="FFFFFF" w:val="clear"/>
        </w:rPr>
        <w:t>On August 16, 2024, we entered into a Purchase Contract (the “Shell Agreement”) with Shell Global Solutions Deutschland GmbH (“Shell”), pursuant to which Gevo agreed to supply to Shell (a) hydrocarbon-based performance racing blend stock (“2GFuel”); and (b) other products if and as may be mutually agreed from time to time. The 2GFuel must meet certain quality specifications set forth in the Shell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Luverne Facility. </w:t>
      </w:r>
      <w:r>
        <w:rPr>
          <w:rFonts w:ascii="Times New Roman;Times;serif" w:hAnsi="Times New Roman;Times;serif"/>
          <w:sz w:val="20"/>
          <w:shd w:fill="FFFFFF" w:val="clear"/>
        </w:rPr>
        <w:t>In 2022, the activities at our Luverne Facility were transitioned to care and maintenance, market development, and customer education, as we shifted focus to our Net Zero Projects. The workforce adjustment which resulted allowed us to retain key personnel and redeploy some resources to our NZ1 and RNG projects to provide valuable knowledge and experience for the future strategic growth of the Company. The Luverne Facility is well equipped and positioned as a development site as it provides a unique opportunity to showcase our decarbonization and business systems and raise awareness with future partnerships, investors, and local communities, even though operations at the site have been minimized. Future operations, if any, will be tailored to support a focus on advancing our technology, testing, optimizing alternative feedstocks and yeast strains, and unit operations as well as partnership development for fuels and specialty chemicals with integrated solutions for GHG reductions. We continue to evaluate incentive opportunities recently introduced by the Inflation Reduction Act, which may positively impact the future economics of our operation at Luverne</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Investment Tax Credit Sales</w:t>
      </w:r>
      <w:r>
        <w:rPr>
          <w:rFonts w:ascii="Times New Roman;Times;serif" w:hAnsi="Times New Roman;Times;serif"/>
          <w:sz w:val="20"/>
        </w:rPr>
        <w:t>. On September 18, 2024, we sold approximately $15.3 million in Investment Tax Credits (“ITCs”) to an undisclosed corporate buyer. This transaction monetized IRA Investment Tax Credits generated from the commercialization of the RNG Project by Gevo NW Iowa RNG, LLC and provided net cash proceeds of approximately $14.0 million to us after transaction fees. Due to a recalculation of the RNG Project’s available ITCs, the amounts in this paragraph have been adjusted from the previously disclosed amounts of approximately $20 million in ITC sales and approximately $17.0 million net cash proceeds to us.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Nasdaq Listing Rules Compliance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29, 2024, we received notice from the Listing Qualifications Department of The Nasdaq Stock Market LLC (“Nasdaq”) that we were not in compliance with Nasdaq Listing Rule 5550(a)(2) (the “Minimum Bid Price Requirement”), as the minimum bid price of our common stock had been below $1.00 per share for the previous 30 consecutive business days. On September 27, 2024, we received a letter from Nasdaq notifying the Company that it had regained compliance with Nasdaq Listing Rule 5550(a)(2), because for the 10 consecutive business days from September 13 to September 26, 2024, the closing bid price of our common stock had been at $1.00 per share or greater. Accordingly, the Company has regained compliance with Nasdaq Listing Rule 5550(a)(2) and Nasdaq considers this matter closed.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Metrics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RNG Segment key operating metrics, which we use to measure performance:</w:t>
      </w:r>
    </w:p>
    <w:tbl>
      <w:tblPr>
        <w:tblW w:w="10205" w:type="dxa"/>
        <w:jc w:val="left"/>
        <w:tblInd w:w="0" w:type="dxa"/>
        <w:tblLayout w:type="fixed"/>
        <w:tblCellMar>
          <w:top w:w="0" w:type="dxa"/>
          <w:left w:w="0" w:type="dxa"/>
          <w:bottom w:w="0" w:type="dxa"/>
          <w:right w:w="0" w:type="dxa"/>
        </w:tblCellMar>
      </w:tblPr>
      <w:tblGrid>
        <w:gridCol w:w="4528"/>
        <w:gridCol w:w="326"/>
        <w:gridCol w:w="273"/>
        <w:gridCol w:w="741"/>
        <w:gridCol w:w="422"/>
        <w:gridCol w:w="273"/>
        <w:gridCol w:w="887"/>
        <w:gridCol w:w="326"/>
        <w:gridCol w:w="211"/>
        <w:gridCol w:w="681"/>
        <w:gridCol w:w="326"/>
        <w:gridCol w:w="836"/>
        <w:gridCol w:w="375"/>
      </w:tblGrid>
      <w:tr>
        <w:trPr/>
        <w:tc>
          <w:tcPr>
            <w:tcW w:w="4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875280" cy="175260"/>
                      <wp:effectExtent l="0" t="0" r="0" b="0"/>
                      <wp:wrapNone/>
                      <wp:docPr id="446" name="Frame446"/>
                      <a:graphic xmlns:a="http://schemas.openxmlformats.org/drawingml/2006/main">
                        <a:graphicData uri="http://schemas.microsoft.com/office/word/2010/wordprocessingShape">
                          <wps:wsp>
                            <wps:cNvSpPr txBox="1"/>
                            <wps:spPr>
                              <a:xfrm>
                                <a:off x="0" y="0"/>
                                <a:ext cx="287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73355" cy="175260"/>
                      <wp:effectExtent l="0" t="0" r="0" b="0"/>
                      <wp:wrapNone/>
                      <wp:docPr id="448" name="Frame448"/>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70535" cy="175260"/>
                      <wp:effectExtent l="0" t="0" r="0" b="0"/>
                      <wp:wrapNone/>
                      <wp:docPr id="449" name="Frame449"/>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67970" cy="175260"/>
                      <wp:effectExtent l="0" t="0" r="0" b="0"/>
                      <wp:wrapNone/>
                      <wp:docPr id="450" name="Frame450"/>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73355" cy="175260"/>
                      <wp:effectExtent l="0" t="0" r="0" b="0"/>
                      <wp:wrapNone/>
                      <wp:docPr id="451" name="Frame45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63245" cy="175260"/>
                      <wp:effectExtent l="0" t="0" r="0" b="0"/>
                      <wp:wrapNone/>
                      <wp:docPr id="452" name="Frame45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32435" cy="175260"/>
                      <wp:effectExtent l="0" t="0" r="0" b="0"/>
                      <wp:wrapNone/>
                      <wp:docPr id="455" name="Frame455"/>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30860" cy="175260"/>
                      <wp:effectExtent l="0" t="0" r="0" b="0"/>
                      <wp:wrapNone/>
                      <wp:docPr id="457" name="Frame457"/>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38125" cy="175260"/>
                      <wp:effectExtent l="0" t="0" r="0" b="0"/>
                      <wp:wrapNone/>
                      <wp:docPr id="458" name="Frame45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r>
      <w:tr>
        <w:trPr/>
        <w:tc>
          <w:tcPr>
            <w:tcW w:w="452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1"/>
              <w:ind w:left="0" w:right="0" w:hanging="0"/>
              <w:jc w:val="left"/>
              <w:rPr/>
            </w:pPr>
            <w:r>
              <w:rPr/>
              <w:t>    </w:t>
            </w:r>
          </w:p>
        </w:tc>
        <w:tc>
          <w:tcPr>
            <w:tcW w:w="10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22" w:type="dxa"/>
            <w:tcBorders/>
            <w:vAlign w:val="center"/>
          </w:tcPr>
          <w:p>
            <w:pPr>
              <w:pStyle w:val="TableContents"/>
              <w:bidi w:val="0"/>
              <w:spacing w:before="0" w:after="1"/>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75" w:type="dxa"/>
            <w:tcBorders/>
            <w:vAlign w:val="center"/>
          </w:tcPr>
          <w:p>
            <w:pPr>
              <w:pStyle w:val="TableContents"/>
              <w:bidi w:val="0"/>
              <w:spacing w:before="0" w:after="1"/>
              <w:ind w:left="0" w:right="0" w:hanging="0"/>
              <w:jc w:val="left"/>
              <w:rPr/>
            </w:pPr>
            <w:r>
              <w:rPr/>
              <w:t>    </w:t>
            </w:r>
          </w:p>
        </w:tc>
      </w:tr>
      <w:tr>
        <w:trPr/>
        <w:tc>
          <w:tcPr>
            <w:tcW w:w="452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  </w:t>
            </w:r>
          </w:p>
        </w:tc>
        <w:tc>
          <w:tcPr>
            <w:tcW w:w="422"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right"/>
              <w:rPr/>
            </w:pPr>
            <w:r>
              <w:rPr/>
              <w:t>  </w:t>
            </w:r>
          </w:p>
        </w:tc>
        <w:tc>
          <w:tcPr>
            <w:tcW w:w="375" w:type="dxa"/>
            <w:tcBorders/>
            <w:shd w:fill="CCEEFF" w:val="clear"/>
            <w:vAlign w:val="center"/>
          </w:tcPr>
          <w:p>
            <w:pPr>
              <w:pStyle w:val="TableContents"/>
              <w:bidi w:val="0"/>
              <w:spacing w:before="0" w:after="1"/>
              <w:ind w:left="0" w:right="0" w:hanging="0"/>
              <w:jc w:val="left"/>
              <w:rPr/>
            </w:pPr>
            <w:r>
              <w:rPr/>
              <w:t> </w:t>
            </w:r>
          </w:p>
        </w:tc>
      </w:tr>
      <w:tr>
        <w:trPr/>
        <w:tc>
          <w:tcPr>
            <w:tcW w:w="4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422"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 - RINs</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w:t>
            </w:r>
          </w:p>
        </w:tc>
        <w:tc>
          <w:tcPr>
            <w:tcW w:w="422"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(2,049)</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Environmental attributes - LCFS </w:t>
            </w:r>
          </w:p>
        </w:tc>
        <w:tc>
          <w:tcPr>
            <w:tcW w:w="326"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w:t>
            </w:r>
          </w:p>
        </w:tc>
        <w:tc>
          <w:tcPr>
            <w:tcW w:w="422"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1,953</w:t>
            </w:r>
          </w:p>
        </w:tc>
        <w:tc>
          <w:tcPr>
            <w:tcW w:w="422"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(2,564)</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52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production</w:t>
            </w:r>
          </w:p>
        </w:tc>
        <w:tc>
          <w:tcPr>
            <w:tcW w:w="326"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1,936</w:t>
            </w:r>
          </w:p>
        </w:tc>
        <w:tc>
          <w:tcPr>
            <w:tcW w:w="422"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RNG metrics (MMBtu)</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pPr>
            <w:r>
              <w:rPr/>
              <w:t>  </w:t>
            </w:r>
          </w:p>
        </w:tc>
        <w:tc>
          <w:tcPr>
            <w:tcW w:w="422"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pPr>
            <w:r>
              <w:rPr/>
              <w:t>  </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volumes</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422"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RNG volumes dispensed in current period</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422"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RNG production volumes not dispensed</w:t>
            </w:r>
          </w:p>
        </w:tc>
        <w:tc>
          <w:tcPr>
            <w:tcW w:w="326"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422"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RNG volumes available for RIN and LCFS generation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422"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52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RIN metrics</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pPr>
            <w:r>
              <w:rPr/>
              <w:t>  </w:t>
            </w:r>
          </w:p>
        </w:tc>
        <w:tc>
          <w:tcPr>
            <w:tcW w:w="422"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r>
      <w:tr>
        <w:trPr/>
        <w:tc>
          <w:tcPr>
            <w:tcW w:w="452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RIN generation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422"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RINs sold</w:t>
            </w:r>
          </w:p>
        </w:tc>
        <w:tc>
          <w:tcPr>
            <w:tcW w:w="326"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422"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22"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528"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RNG volumes not dispensed for RINs (MMBtu) </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422"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RIN price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422"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0.19</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LCFS metrics</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pPr>
            <w:r>
              <w:rPr/>
              <w:t>  </w:t>
            </w:r>
          </w:p>
        </w:tc>
        <w:tc>
          <w:tcPr>
            <w:tcW w:w="422"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r>
      <w:tr>
        <w:trPr/>
        <w:tc>
          <w:tcPr>
            <w:tcW w:w="452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LCFS generation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422"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LCFS sold</w:t>
            </w:r>
          </w:p>
        </w:tc>
        <w:tc>
          <w:tcPr>
            <w:tcW w:w="326"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422"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22"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volumes not dispensed for LCFS (MMBtu)</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422"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2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LCFS price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43.14</w:t>
            </w:r>
          </w:p>
        </w:tc>
        <w:tc>
          <w:tcPr>
            <w:tcW w:w="422"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(25.97)</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7397" w:type="dxa"/>
        <w:jc w:val="left"/>
        <w:tblInd w:w="0" w:type="dxa"/>
        <w:tblLayout w:type="fixed"/>
        <w:tblCellMar>
          <w:top w:w="0" w:type="dxa"/>
          <w:left w:w="0" w:type="dxa"/>
          <w:bottom w:w="0" w:type="dxa"/>
          <w:right w:w="0" w:type="dxa"/>
        </w:tblCellMar>
      </w:tblPr>
      <w:tblGrid>
        <w:gridCol w:w="346"/>
        <w:gridCol w:w="70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gas production which has not been dispensed to generate RINs and LCFS.</w:t>
            </w:r>
          </w:p>
        </w:tc>
      </w:tr>
    </w:tbl>
    <w:tbl>
      <w:tblPr>
        <w:tblW w:w="6782" w:type="dxa"/>
        <w:jc w:val="left"/>
        <w:tblInd w:w="0" w:type="dxa"/>
        <w:tblLayout w:type="fixed"/>
        <w:tblCellMar>
          <w:top w:w="0" w:type="dxa"/>
          <w:left w:w="0" w:type="dxa"/>
          <w:bottom w:w="0" w:type="dxa"/>
          <w:right w:w="0" w:type="dxa"/>
        </w:tblCellMar>
      </w:tblPr>
      <w:tblGrid>
        <w:gridCol w:w="346"/>
        <w:gridCol w:w="6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RINs are generally generated in the month following the gas being dispensed.</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MMBtu of RNG has approximately the same energy content as 11.727 gallons of ethanol, and thus may generate 11.727 RINs under the RFS Program.</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prices for environmental attributes (under the temporary pathway) are net of third-party commissions and thus do not correspond directly to index prices.</w:t>
            </w:r>
          </w:p>
        </w:tc>
      </w:tr>
    </w:tbl>
    <w:tbl>
      <w:tblPr>
        <w:tblW w:w="8207" w:type="dxa"/>
        <w:jc w:val="left"/>
        <w:tblInd w:w="0" w:type="dxa"/>
        <w:tblLayout w:type="fixed"/>
        <w:tblCellMar>
          <w:top w:w="0" w:type="dxa"/>
          <w:left w:w="0" w:type="dxa"/>
          <w:bottom w:w="0" w:type="dxa"/>
          <w:right w:w="0" w:type="dxa"/>
        </w:tblCellMar>
      </w:tblPr>
      <w:tblGrid>
        <w:gridCol w:w="346"/>
        <w:gridCol w:w="7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7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LCFS credits are generally generated in the calendar quarter following the gas being dispensed.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569"/>
        <w:gridCol w:w="326"/>
        <w:gridCol w:w="253"/>
        <w:gridCol w:w="828"/>
        <w:gridCol w:w="391"/>
        <w:gridCol w:w="253"/>
        <w:gridCol w:w="828"/>
        <w:gridCol w:w="326"/>
        <w:gridCol w:w="211"/>
        <w:gridCol w:w="681"/>
        <w:gridCol w:w="326"/>
        <w:gridCol w:w="838"/>
        <w:gridCol w:w="375"/>
      </w:tblGrid>
      <w:tr>
        <w:trPr/>
        <w:tc>
          <w:tcPr>
            <w:tcW w:w="4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901315" cy="175260"/>
                      <wp:effectExtent l="0" t="0" r="0" b="0"/>
                      <wp:wrapNone/>
                      <wp:docPr id="459" name="Frame459"/>
                      <a:graphic xmlns:a="http://schemas.openxmlformats.org/drawingml/2006/main">
                        <a:graphicData uri="http://schemas.microsoft.com/office/word/2010/wordprocessingShape">
                          <wps:wsp>
                            <wps:cNvSpPr txBox="1"/>
                            <wps:spPr>
                              <a:xfrm>
                                <a:off x="0" y="0"/>
                                <a:ext cx="2901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60655" cy="175260"/>
                      <wp:effectExtent l="0" t="0" r="0" b="0"/>
                      <wp:wrapNone/>
                      <wp:docPr id="461" name="Frame46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25780" cy="175260"/>
                      <wp:effectExtent l="0" t="0" r="0" b="0"/>
                      <wp:wrapNone/>
                      <wp:docPr id="462" name="Frame462"/>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48285" cy="175260"/>
                      <wp:effectExtent l="0" t="0" r="0" b="0"/>
                      <wp:wrapNone/>
                      <wp:docPr id="463" name="Frame46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60655" cy="175260"/>
                      <wp:effectExtent l="0" t="0" r="0" b="0"/>
                      <wp:wrapNone/>
                      <wp:docPr id="464" name="Frame46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25780" cy="175260"/>
                      <wp:effectExtent l="0" t="0" r="0" b="0"/>
                      <wp:wrapNone/>
                      <wp:docPr id="465" name="Frame465"/>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32435" cy="175260"/>
                      <wp:effectExtent l="0" t="0" r="0" b="0"/>
                      <wp:wrapNone/>
                      <wp:docPr id="468" name="Frame468"/>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532130" cy="175260"/>
                      <wp:effectExtent l="0" t="0" r="0" b="0"/>
                      <wp:wrapNone/>
                      <wp:docPr id="470" name="Frame470"/>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38125" cy="175260"/>
                      <wp:effectExtent l="0" t="0" r="0" b="0"/>
                      <wp:wrapNone/>
                      <wp:docPr id="471" name="Frame47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r>
      <w:tr>
        <w:trPr/>
        <w:tc>
          <w:tcPr>
            <w:tcW w:w="456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75" w:type="dxa"/>
            <w:tcBorders/>
            <w:vAlign w:val="center"/>
          </w:tcPr>
          <w:p>
            <w:pPr>
              <w:pStyle w:val="TableContents"/>
              <w:bidi w:val="0"/>
              <w:spacing w:before="0" w:after="1"/>
              <w:ind w:left="0" w:right="0" w:hanging="0"/>
              <w:jc w:val="left"/>
              <w:rPr/>
            </w:pPr>
            <w:r>
              <w:rPr/>
              <w:t>    </w:t>
            </w:r>
          </w:p>
        </w:tc>
      </w:tr>
      <w:tr>
        <w:trPr/>
        <w:tc>
          <w:tcPr>
            <w:tcW w:w="456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5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5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38" w:type="dxa"/>
            <w:tcBorders/>
            <w:shd w:fill="CCEEFF" w:val="clear"/>
            <w:vAlign w:val="center"/>
          </w:tcPr>
          <w:p>
            <w:pPr>
              <w:pStyle w:val="TableContents"/>
              <w:bidi w:val="0"/>
              <w:spacing w:before="0" w:after="1"/>
              <w:ind w:left="0" w:right="0" w:hanging="0"/>
              <w:jc w:val="right"/>
              <w:rPr/>
            </w:pPr>
            <w:r>
              <w:rPr/>
              <w:t>  </w:t>
            </w:r>
          </w:p>
        </w:tc>
        <w:tc>
          <w:tcPr>
            <w:tcW w:w="375" w:type="dxa"/>
            <w:tcBorders/>
            <w:shd w:fill="CCEEFF" w:val="clear"/>
            <w:vAlign w:val="center"/>
          </w:tcPr>
          <w:p>
            <w:pPr>
              <w:pStyle w:val="TableContents"/>
              <w:bidi w:val="0"/>
              <w:spacing w:before="0" w:after="1"/>
              <w:ind w:left="0" w:right="0" w:hanging="0"/>
              <w:jc w:val="left"/>
              <w:rPr/>
            </w:pPr>
            <w:r>
              <w:rPr/>
              <w:t> </w:t>
            </w:r>
          </w:p>
        </w:tc>
      </w:tr>
      <w:tr>
        <w:trPr/>
        <w:tc>
          <w:tcPr>
            <w:tcW w:w="4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9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 - RINs</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6,669</w:t>
            </w:r>
          </w:p>
        </w:tc>
        <w:tc>
          <w:tcPr>
            <w:tcW w:w="39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Environmental attributes - LCFS </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3,064</w:t>
            </w:r>
          </w:p>
        </w:tc>
        <w:tc>
          <w:tcPr>
            <w:tcW w:w="391"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10,266</w:t>
            </w:r>
          </w:p>
        </w:tc>
        <w:tc>
          <w:tcPr>
            <w:tcW w:w="391"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56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production</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7,827</w:t>
            </w:r>
          </w:p>
        </w:tc>
        <w:tc>
          <w:tcPr>
            <w:tcW w:w="391"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RNG metrics (MMBtu)</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28"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2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pPr>
            <w:r>
              <w:rPr/>
              <w:t>  </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volumes</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9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RNG volumes dispensed in current period</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9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RNG production volumes not dispensed</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91"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RNG volumes available for RIN and LCFS generation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91"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RIN metrics</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r>
      <w:tr>
        <w:trPr/>
        <w:tc>
          <w:tcPr>
            <w:tcW w:w="456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RIN generation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2,554</w:t>
            </w:r>
          </w:p>
        </w:tc>
        <w:tc>
          <w:tcPr>
            <w:tcW w:w="39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RINs sold</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(2,554)</w:t>
            </w:r>
          </w:p>
        </w:tc>
        <w:tc>
          <w:tcPr>
            <w:tcW w:w="391"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569"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RNG volumes not dispensed for RINs (MMBtu) </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9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RIN price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39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0.56</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LCFS metrics</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r>
      <w:tr>
        <w:trPr/>
        <w:tc>
          <w:tcPr>
            <w:tcW w:w="456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LCFS generation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9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LCFS sold</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91"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volumes not dispensed for LCFS (MMBtu)</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9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LCFS price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51.06</w:t>
            </w:r>
          </w:p>
        </w:tc>
        <w:tc>
          <w:tcPr>
            <w:tcW w:w="39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7397" w:type="dxa"/>
        <w:jc w:val="left"/>
        <w:tblInd w:w="0" w:type="dxa"/>
        <w:tblLayout w:type="fixed"/>
        <w:tblCellMar>
          <w:top w:w="0" w:type="dxa"/>
          <w:left w:w="0" w:type="dxa"/>
          <w:bottom w:w="0" w:type="dxa"/>
          <w:right w:w="0" w:type="dxa"/>
        </w:tblCellMar>
      </w:tblPr>
      <w:tblGrid>
        <w:gridCol w:w="346"/>
        <w:gridCol w:w="70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gas production which has not been dispensed to generate RINs and LCFS.</w:t>
            </w:r>
          </w:p>
        </w:tc>
      </w:tr>
    </w:tbl>
    <w:tbl>
      <w:tblPr>
        <w:tblW w:w="6782" w:type="dxa"/>
        <w:jc w:val="left"/>
        <w:tblInd w:w="0" w:type="dxa"/>
        <w:tblLayout w:type="fixed"/>
        <w:tblCellMar>
          <w:top w:w="0" w:type="dxa"/>
          <w:left w:w="0" w:type="dxa"/>
          <w:bottom w:w="0" w:type="dxa"/>
          <w:right w:w="0" w:type="dxa"/>
        </w:tblCellMar>
      </w:tblPr>
      <w:tblGrid>
        <w:gridCol w:w="346"/>
        <w:gridCol w:w="6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RINs are generally generated in the month following the gas being dispensed.</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MMBtu of RNG has approximately the same energy content as 11.727 gallons of ethanol, and thus may generate 11.727 RINs under the RFS Program.</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prices for environmental attributes (under the temporary pathway) are net of third-party commissions and thus do not correspond directly to index prices.</w:t>
            </w:r>
          </w:p>
        </w:tc>
      </w:tr>
    </w:tbl>
    <w:tbl>
      <w:tblPr>
        <w:tblW w:w="8207" w:type="dxa"/>
        <w:jc w:val="left"/>
        <w:tblInd w:w="0" w:type="dxa"/>
        <w:tblLayout w:type="fixed"/>
        <w:tblCellMar>
          <w:top w:w="0" w:type="dxa"/>
          <w:left w:w="0" w:type="dxa"/>
          <w:bottom w:w="0" w:type="dxa"/>
          <w:right w:w="0" w:type="dxa"/>
        </w:tblCellMar>
      </w:tblPr>
      <w:tblGrid>
        <w:gridCol w:w="346"/>
        <w:gridCol w:w="7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7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LCFS credits are generally generated in the calendar quarter following the gas being dispensed.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Comparison of Three Months Ended September 30, 2024 and 2023 (in thousands)</w:t>
      </w:r>
    </w:p>
    <w:tbl>
      <w:tblPr>
        <w:tblW w:w="8928" w:type="dxa"/>
        <w:jc w:val="left"/>
        <w:tblInd w:w="0" w:type="dxa"/>
        <w:tblLayout w:type="fixed"/>
        <w:tblCellMar>
          <w:top w:w="0" w:type="dxa"/>
          <w:left w:w="0" w:type="dxa"/>
          <w:bottom w:w="0" w:type="dxa"/>
          <w:right w:w="0" w:type="dxa"/>
        </w:tblCellMar>
      </w:tblPr>
      <w:tblGrid>
        <w:gridCol w:w="3016"/>
        <w:gridCol w:w="326"/>
        <w:gridCol w:w="246"/>
        <w:gridCol w:w="929"/>
        <w:gridCol w:w="380"/>
        <w:gridCol w:w="246"/>
        <w:gridCol w:w="929"/>
        <w:gridCol w:w="326"/>
        <w:gridCol w:w="326"/>
        <w:gridCol w:w="691"/>
        <w:gridCol w:w="326"/>
        <w:gridCol w:w="871"/>
        <w:gridCol w:w="3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915160" cy="175260"/>
                      <wp:effectExtent l="0" t="0" r="0" b="0"/>
                      <wp:wrapNone/>
                      <wp:docPr id="472" name="Frame472"/>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56210" cy="175260"/>
                      <wp:effectExtent l="0" t="0" r="0" b="0"/>
                      <wp:wrapNone/>
                      <wp:docPr id="474" name="Frame47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89915" cy="175260"/>
                      <wp:effectExtent l="0" t="0" r="0" b="0"/>
                      <wp:wrapNone/>
                      <wp:docPr id="475" name="Frame475"/>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41300" cy="175260"/>
                      <wp:effectExtent l="0" t="0" r="0" b="0"/>
                      <wp:wrapNone/>
                      <wp:docPr id="476" name="Frame476"/>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56210" cy="175260"/>
                      <wp:effectExtent l="0" t="0" r="0" b="0"/>
                      <wp:wrapNone/>
                      <wp:docPr id="477" name="Frame477"/>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89915" cy="175260"/>
                      <wp:effectExtent l="0" t="0" r="0" b="0"/>
                      <wp:wrapNone/>
                      <wp:docPr id="478" name="Frame478"/>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80"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38785" cy="175260"/>
                      <wp:effectExtent l="0" t="0" r="0" b="0"/>
                      <wp:wrapNone/>
                      <wp:docPr id="481" name="Frame4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553085" cy="175260"/>
                      <wp:effectExtent l="0" t="0" r="0" b="0"/>
                      <wp:wrapNone/>
                      <wp:docPr id="483" name="Frame48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0660" cy="175260"/>
                      <wp:effectExtent l="0" t="0" r="0" b="0"/>
                      <wp:wrapNone/>
                      <wp:docPr id="484" name="Frame48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0" w:type="dxa"/>
            <w:tcBorders/>
            <w:vAlign w:val="center"/>
          </w:tcPr>
          <w:p>
            <w:pPr>
              <w:pStyle w:val="TableContents"/>
              <w:bidi w:val="0"/>
              <w:spacing w:before="0" w:after="0"/>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0"/>
              <w:ind w:left="0" w:right="0" w:hanging="0"/>
              <w:jc w:val="left"/>
              <w:rPr/>
            </w:pPr>
            <w:r>
              <w:rPr/>
              <w:t> </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380"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3,494</w:t>
            </w:r>
          </w:p>
        </w:tc>
        <w:tc>
          <w:tcPr>
            <w:tcW w:w="380"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11,679</w:t>
            </w:r>
          </w:p>
        </w:tc>
        <w:tc>
          <w:tcPr>
            <w:tcW w:w="380"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10,522</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6,593</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80"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25,973</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(24,008)</w:t>
            </w:r>
          </w:p>
        </w:tc>
        <w:tc>
          <w:tcPr>
            <w:tcW w:w="380"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(20,726)</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(3,282)</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pPr>
            <w:r>
              <w:rPr/>
              <w:t>  </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c>
          <w:tcPr>
            <w:tcW w:w="380"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5,261</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80"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2,852</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5,026</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(21,156)</w:t>
            </w:r>
          </w:p>
        </w:tc>
        <w:tc>
          <w:tcPr>
            <w:tcW w:w="380"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(15,700)</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(5,456)</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pBdr/>
        <w:shd w:fill="FFFFFF" w:val="clear"/>
        <w:bidi w:val="0"/>
        <w:spacing w:before="240" w:after="0"/>
        <w:ind w:left="0" w:right="0" w:firstLine="360"/>
        <w:jc w:val="left"/>
        <w:rPr>
          <w:rFonts w:ascii="Times New Roman;Times;serif" w:hAnsi="Times New Roman;Times;serif"/>
          <w:sz w:val="20"/>
        </w:rPr>
      </w:pPr>
      <w:r>
        <w:rPr>
          <w:rFonts w:ascii="Times New Roman;Times;serif" w:hAnsi="Times New Roman;Times;serif"/>
          <w:i/>
          <w:sz w:val="20"/>
        </w:rPr>
        <w:t>Operating revenue. </w:t>
      </w:r>
      <w:r>
        <w:rPr>
          <w:rFonts w:ascii="Times New Roman;Times;serif" w:hAnsi="Times New Roman;Times;serif"/>
          <w:sz w:val="20"/>
        </w:rPr>
        <w:t>During the three months ended September 30, 2024, operating revenue decreased $2.6 million compared to the three months ended September 30, 2023, primarily due to lower sales of environmental attributes from our RNG project. This is due to a buildup of environmental attribute inventory in anticipation of receiving the final pathway approval under the LCFS Program, which we expect to result in a lower CI score. Said approval is anticipated during the first quarter of 2025. During the three months ended September 30, 2024, we sold 101,101 MMBtu of RNG from our RNG project, resulting in RNG sales of $0.2 million and environmental attribute sales of $1.8 million. See Key Operating Metrics above.</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xml:space="preserve"> Cost of production </w:t>
      </w:r>
      <w:r>
        <w:rPr>
          <w:rFonts w:ascii="Times New Roman;Times;serif" w:hAnsi="Times New Roman;Times;serif"/>
          <w:color w:val="212529"/>
          <w:sz w:val="20"/>
        </w:rPr>
        <w:t xml:space="preserve">remained flat </w:t>
      </w:r>
      <w:r>
        <w:rPr>
          <w:rFonts w:ascii="Times New Roman;Times;serif" w:hAnsi="Times New Roman;Times;serif"/>
          <w:sz w:val="20"/>
        </w:rPr>
        <w:t>during the three months ended September 30, 2024, compared to the three months ended September 30, 2023.</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Depreciation and amortization. </w:t>
      </w:r>
      <w:r>
        <w:rPr>
          <w:rFonts w:ascii="Times New Roman;Times;serif" w:hAnsi="Times New Roman;Times;serif"/>
          <w:sz w:val="20"/>
        </w:rPr>
        <w:t>Depreciation and amortization decreased $1.5 million during the three months ended September 30, 2024, compared to the three months ended September 30, 2023, due to the timing of sales of environmental attribute inventory, which includes allocated depreciation and amortization.</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Research and development expenses decreased $0.4 million during the three months ended September 30, 2024, compared to the three months ended September 30, 2023, primarily due to decreased consulting expenses and professional fees.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w:t>
      </w:r>
      <w:r>
        <w:rPr>
          <w:rFonts w:ascii="Times New Roman;Times;serif" w:hAnsi="Times New Roman;Times;serif"/>
          <w:sz w:val="20"/>
        </w:rPr>
        <w:t> General and administrative expense increased $1.2 million during the three months ended September 30, 2024, compared to the three months ended September 30, 2023, primarily due to increases in personnel costs related to the hiring of highly qualified and skilled professionals, and professional consulting fees, partially offset by a decrease in stock-based compensation. On an annual basis, we assess our corporate cost allocation estimates across all segments to reflect the use of centralized administrative functions as well as the allocation of personnel costs related to our project development efforts.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Project development costs are primarily related to our Net-Zero Projects and Verity, which consist primarily of employee expenses, preliminary engineering costs, and technical consulting costs. Project development costs increased $1.8 million during the three months ended September 30, 2024, compared to the three months ended September 30, 2023, primarily due to increases in personnel costs, consulting fees, and costs related to our USDA Grant, which have not yet been reimbursed.</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Facility idling costs. </w:t>
      </w:r>
      <w:r>
        <w:rPr>
          <w:rFonts w:ascii="Times New Roman;Times;serif" w:hAnsi="Times New Roman;Times;serif"/>
          <w:sz w:val="20"/>
        </w:rPr>
        <w:t>Facility idling costs are related to the care and maintenance of our Luverne Facility. Facility idling costs decreased $0.4 million during the three months ended September 30, 2024, compared to the three months ended September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Loss from operations</w:t>
      </w:r>
      <w:r>
        <w:rPr>
          <w:rFonts w:ascii="Times New Roman;Times;serif" w:hAnsi="Times New Roman;Times;serif"/>
          <w:sz w:val="20"/>
        </w:rPr>
        <w:t>. The Company’s loss from operations increased $3.3 million during the three months ended September 30, 2024, compared to the three months ended September 30, 2023, primarily due to the increase in costs for our Net-Zero and Verity projects.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increased $0.6 million during the three months ended September 30, 2024, compared to the three months ended September 30, 2023, and was primarily comprised of interest on the Remarketed Bonds.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Interest and investment income. </w:t>
      </w:r>
      <w:r>
        <w:rPr>
          <w:rFonts w:ascii="Times New Roman;Times;serif" w:hAnsi="Times New Roman;Times;serif"/>
          <w:sz w:val="20"/>
        </w:rPr>
        <w:t>Interest and investment income decreased $1.4 million during the three months ended September 30, 2024, compared to the three months ended September 30, 2023, primarily due to the usage of cash for our capital projects and operating costs, resulting in a lower balance of cash equivalent investments during the three months ended September 30, 2024.</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income (expense), net</w:t>
      </w:r>
      <w:r>
        <w:rPr>
          <w:rFonts w:ascii="Times New Roman;Times;serif" w:hAnsi="Times New Roman;Times;serif"/>
          <w:sz w:val="20"/>
        </w:rPr>
        <w:t>. Other income (expense), net remained flat for the three months ended September 30, 2024, compared to the three months ended September 30, 2023.</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Comparison of the Nine Months Ended September 30, 2024 and 2023 (in thousands):</w:t>
      </w:r>
    </w:p>
    <w:tbl>
      <w:tblPr>
        <w:tblW w:w="9062" w:type="dxa"/>
        <w:jc w:val="left"/>
        <w:tblInd w:w="0" w:type="dxa"/>
        <w:tblLayout w:type="fixed"/>
        <w:tblCellMar>
          <w:top w:w="0" w:type="dxa"/>
          <w:left w:w="0" w:type="dxa"/>
          <w:bottom w:w="0" w:type="dxa"/>
          <w:right w:w="0" w:type="dxa"/>
        </w:tblCellMar>
      </w:tblPr>
      <w:tblGrid>
        <w:gridCol w:w="3016"/>
        <w:gridCol w:w="326"/>
        <w:gridCol w:w="238"/>
        <w:gridCol w:w="898"/>
        <w:gridCol w:w="367"/>
        <w:gridCol w:w="238"/>
        <w:gridCol w:w="898"/>
        <w:gridCol w:w="326"/>
        <w:gridCol w:w="326"/>
        <w:gridCol w:w="796"/>
        <w:gridCol w:w="326"/>
        <w:gridCol w:w="991"/>
        <w:gridCol w:w="3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915160" cy="175260"/>
                      <wp:effectExtent l="0" t="0" r="0" b="0"/>
                      <wp:wrapNone/>
                      <wp:docPr id="485" name="Frame485"/>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51130" cy="175260"/>
                      <wp:effectExtent l="0" t="0" r="0" b="0"/>
                      <wp:wrapNone/>
                      <wp:docPr id="487" name="Frame48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70230" cy="175260"/>
                      <wp:effectExtent l="0" t="0" r="0" b="0"/>
                      <wp:wrapNone/>
                      <wp:docPr id="488" name="Frame48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33045" cy="175260"/>
                      <wp:effectExtent l="0" t="0" r="0" b="0"/>
                      <wp:wrapNone/>
                      <wp:docPr id="489" name="Frame48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51130" cy="175260"/>
                      <wp:effectExtent l="0" t="0" r="0" b="0"/>
                      <wp:wrapNone/>
                      <wp:docPr id="490" name="Frame49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70230" cy="175260"/>
                      <wp:effectExtent l="0" t="0" r="0" b="0"/>
                      <wp:wrapNone/>
                      <wp:docPr id="491" name="Frame49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505460" cy="175260"/>
                      <wp:effectExtent l="0" t="0" r="0" b="0"/>
                      <wp:wrapNone/>
                      <wp:docPr id="494" name="Frame4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29285" cy="175260"/>
                      <wp:effectExtent l="0" t="0" r="0" b="0"/>
                      <wp:wrapNone/>
                      <wp:docPr id="496" name="Frame49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0660" cy="175260"/>
                      <wp:effectExtent l="0" t="0" r="0" b="0"/>
                      <wp:wrapNone/>
                      <wp:docPr id="497" name="Frame49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7" w:type="dxa"/>
            <w:tcBorders/>
            <w:vAlign w:val="center"/>
          </w:tcPr>
          <w:p>
            <w:pPr>
              <w:pStyle w:val="TableContents"/>
              <w:bidi w:val="0"/>
              <w:spacing w:before="0" w:after="1"/>
              <w:ind w:left="0" w:right="0" w:hanging="0"/>
              <w:jc w:val="left"/>
              <w:rPr/>
            </w:pPr>
            <w:r>
              <w:rPr/>
              <w:t>    </w:t>
            </w:r>
          </w:p>
        </w:tc>
        <w:tc>
          <w:tcPr>
            <w:tcW w:w="11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 </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11,215</w:t>
            </w:r>
          </w:p>
        </w:tc>
        <w:tc>
          <w:tcPr>
            <w:tcW w:w="36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12,826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  </w:t>
            </w:r>
          </w:p>
        </w:tc>
        <w:tc>
          <w:tcPr>
            <w:tcW w:w="367"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8,554</w:t>
            </w:r>
          </w:p>
        </w:tc>
        <w:tc>
          <w:tcPr>
            <w:tcW w:w="36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12,222</w:t>
            </w:r>
          </w:p>
        </w:tc>
        <w:tc>
          <w:tcPr>
            <w:tcW w:w="367"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(2,101)</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4,302</w:t>
            </w:r>
          </w:p>
        </w:tc>
        <w:tc>
          <w:tcPr>
            <w:tcW w:w="36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35,342</w:t>
            </w:r>
          </w:p>
        </w:tc>
        <w:tc>
          <w:tcPr>
            <w:tcW w:w="367"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31,891</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3,451</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19,648</w:t>
            </w:r>
          </w:p>
        </w:tc>
        <w:tc>
          <w:tcPr>
            <w:tcW w:w="36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9,013</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2,325</w:t>
            </w:r>
          </w:p>
        </w:tc>
        <w:tc>
          <w:tcPr>
            <w:tcW w:w="367"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2,923</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82,393</w:t>
            </w:r>
          </w:p>
        </w:tc>
        <w:tc>
          <w:tcPr>
            <w:tcW w:w="367"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73,324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9,069</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(71,178)</w:t>
            </w:r>
          </w:p>
        </w:tc>
        <w:tc>
          <w:tcPr>
            <w:tcW w:w="367"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(60,498)</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(10,680)</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pPr>
            <w:r>
              <w:rPr/>
              <w:t>  </w:t>
            </w:r>
          </w:p>
        </w:tc>
        <w:tc>
          <w:tcPr>
            <w:tcW w:w="36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w:t>
            </w:r>
          </w:p>
        </w:tc>
        <w:tc>
          <w:tcPr>
            <w:tcW w:w="367"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(1,147)</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12,579</w:t>
            </w:r>
          </w:p>
        </w:tc>
        <w:tc>
          <w:tcPr>
            <w:tcW w:w="367"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367"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10,145</w:t>
            </w:r>
          </w:p>
        </w:tc>
        <w:tc>
          <w:tcPr>
            <w:tcW w:w="367"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(2,615)</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c>
          <w:tcPr>
            <w:tcW w:w="367"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(47,738)</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(13,295)</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Operating revenue. </w:t>
      </w:r>
      <w:r>
        <w:rPr>
          <w:rFonts w:ascii="Times New Roman;Times;serif" w:hAnsi="Times New Roman;Times;serif"/>
          <w:sz w:val="20"/>
        </w:rPr>
        <w:t>During the nine months ended September 30, 2024, operating revenue decreased $1.6 million compared to the nine months ended September 30, 2023, primarily due to lower sales of environmental attributes from our RNG project. This is due to a buildup of environmental attribute inventory in anticipation of receiving the final pathway approval under the LCFS Program, which we expect to result in a lower CI score. Said approval is anticipated during the first quarter of 2025. During the nine months ended September 30, 2024, we sold 285,255 MMBtu of RNG from our RNG project, resulting in RNG sales of $0.5 million and environmental attribute sales of $9.8 million, see Key Operating Metrics above. Additionally, we recognized $0.8 million of licensing and development revenue from the agreement with LG Chem during the nine months ended September 30, 2024, compared to $1.3 million during the nine months ended September 30, 2023. See Key Operating Metrics above.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xml:space="preserve"> Cost of production decreased $0.3 million during the nine months ended September 30, 2024, compared to the nine months ended September 30, 2023, primarily due to lower costs incurred at our RNG Project in 2024. Additionally, sales of environmental attributes were lower in 2024 compared to 2023, see Key Operating Metrics above.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Depreciation and amortization. </w:t>
      </w:r>
      <w:r>
        <w:rPr>
          <w:rFonts w:ascii="Times New Roman;Times;serif" w:hAnsi="Times New Roman;Times;serif"/>
          <w:sz w:val="20"/>
        </w:rPr>
        <w:t>Depreciation and amortization decreased $2.1 million during the nine months ended September 30, 2024, compared to the nine months ended September 30, 2023, due to the timing of sales of environmental attribute inventory, which includes allocated depreciation and amortization.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expenses decreased $0.4 million during the nine months ended September 30, 2024, compared to the nine months ended September 30, 2023, primarily due to decreased consulting expenses and professional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w:t>
      </w:r>
      <w:r>
        <w:rPr>
          <w:rFonts w:ascii="Times New Roman;Times;serif" w:hAnsi="Times New Roman;Times;serif"/>
          <w:sz w:val="20"/>
        </w:rPr>
        <w:t xml:space="preserve"> General and administrative expense increased $3.5 million during the nine months ended September 30, 2024, compared to the nine months ended September 30, 2023, primarily due to support efforts for carbon sequestration initiatives, increases </w:t>
      </w:r>
      <w:r>
        <w:rPr>
          <w:rFonts w:ascii="Times New Roman;Times;serif" w:hAnsi="Times New Roman;Times;serif"/>
          <w:sz w:val="20"/>
          <w:shd w:fill="FFFFFF" w:val="clear"/>
        </w:rPr>
        <w:t>in personnel costs related to the hiring of highly qualified and skilled professionals, and professional consulting fees, partially offset by a decrease in stock-based compensation</w:t>
      </w:r>
      <w:r>
        <w:rPr>
          <w:rFonts w:ascii="Times New Roman;Times;serif" w:hAnsi="Times New Roman;Times;serif"/>
          <w:sz w:val="20"/>
        </w:rPr>
        <w:t>. On an annual basis, we assess our corporate cost allocation estimates across all segments to reflect the use of centralized administrative functions as well as the allocation of personnel costs related to our project development efforts.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Project development costs are primarily related to our Net-Zero Projects and Verity, which consist primarily of employee expenses, preliminary engineering costs, and technical consulting costs. Project development costs increased $9.0 million during the nine months ended September 30, 2024, compared to the nine months ended September 30, 2023, primarily due to patent related costs, increases in personnel costs, and consulting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Facility idling costs. </w:t>
      </w:r>
      <w:r>
        <w:rPr>
          <w:rFonts w:ascii="Times New Roman;Times;serif" w:hAnsi="Times New Roman;Times;serif"/>
          <w:sz w:val="20"/>
          <w:shd w:fill="FFFFFF" w:val="clear"/>
        </w:rPr>
        <w:t>Facility idling costs are related to the care and maintenance of our Luverne Facility. </w:t>
      </w:r>
      <w:r>
        <w:rPr>
          <w:rFonts w:ascii="Times New Roman;Times;serif" w:hAnsi="Times New Roman;Times;serif"/>
          <w:sz w:val="20"/>
        </w:rPr>
        <w:t>Facility idling costs decreased $0.6 million during the nine months ended September 30, 2024, compared to the nine months ended September 30, 2023</w:t>
      </w:r>
      <w:r>
        <w:rPr>
          <w:rFonts w:ascii="Times New Roman;Times;serif" w:hAnsi="Times New Roman;Times;serif"/>
          <w:sz w:val="20"/>
          <w:shd w:fill="FFFFFF"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Loss from operations</w:t>
      </w:r>
      <w:r>
        <w:rPr>
          <w:rFonts w:ascii="Times New Roman;Times;serif" w:hAnsi="Times New Roman;Times;serif"/>
          <w:sz w:val="20"/>
        </w:rPr>
        <w:t xml:space="preserve">. The Company’s loss from operations increased by $10.7 million during the nine months ended September 30, 2024, compared to the nine months ended September 30, 2023, </w:t>
      </w:r>
      <w:r>
        <w:rPr>
          <w:rFonts w:ascii="Times New Roman;Times;serif" w:hAnsi="Times New Roman;Times;serif"/>
          <w:sz w:val="20"/>
          <w:shd w:fill="FFFFFF" w:val="clear"/>
        </w:rPr>
        <w:t>primarily due to the increase in costs for our Net-Zero and Verity projects</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increased $1.1 million during the nine months ended September 30, 2024, compared to the nine months ended September 30, 2023, and was primarily comprised of interest on the Remarketed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Interest and investment income. </w:t>
      </w:r>
      <w:r>
        <w:rPr>
          <w:rFonts w:ascii="Times New Roman;Times;serif" w:hAnsi="Times New Roman;Times;serif"/>
          <w:sz w:val="20"/>
        </w:rPr>
        <w:t>Interest and investment income decreased $1.5 million during the nine months ended September 30, 2024, compared to the nine months ended September 30, 2023, primarily due to the usage of cash for our capital projects and operating costs, resulting in a lower balance of cash equivalent investments during the nine months ended September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income (expense), net</w:t>
      </w:r>
      <w:r>
        <w:rPr>
          <w:rFonts w:ascii="Times New Roman;Times;serif" w:hAnsi="Times New Roman;Times;serif"/>
          <w:sz w:val="20"/>
        </w:rPr>
        <w:t>. Other income (expense), net remained flat for the nine months ended September 30, 2024, compared to the nine months ended September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significant changes to our critical accounting estimates and policies since December 31, 2023. For a description of our other critical accounting policies and estimates that affect our significant judgments and estimates used in the preparation of our condensed consolidated financial statements, refer to “Management’s Discussion and Analysis of Financial Condition and Results of Operations—Critical Accounting Estimates” contained in our 2023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unaudited condensed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2024, we had cash and cash equivalents of $223.2 million and current and non-current restricted cash of $69.6 million. As of September 30, 2024, we had net working capital of $208.0 million, with $28.7 million of current liabilities. Our cash equivalents consist of investments in U.S. government money market funds. We expect to use our cash, cash equivalents, and restricted cash for the following purposes: (i) identification, development, engineering, licensing, acquisition and construction of production facilities and the Company’s Net-Zero Projects; (ii) in combination with project level debt, the acquisition of Red Trail Energy; (iii) potential investment in RNG projects; (iv) potential development of the Luverne Facility; (v) operating activities at the Company’s corporate headquarters in Colorado, including research and development work; (vi) exploration of strategic alternatives and additional financing, including project financing; and (vii) debt service obligations associated with any future borrowings. We believe that as a result of our cash and cash equivalents balances and the performance of our current and expected operations, we will be able to meet our obligations and other potential cash requirements during the next 12 months from the date of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Historically we have financed our operations primarily with proceeds from the issuance of equity, warrants, borrowings under debt facilities, and interest income. Our current sources of cash include sales of RNG, environmental attributes, and licensing fees. We may also fund future operations through additional private and/or public offerings of equity or debt securities. In addition, we may seek additional capital, on acceptable terms, through arrangements with strategic partners or from other sources. Notwithstanding, there can be no assurance that we will be able to raise additional funds or achieve or sustain profitability or positive cash flows from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transition to profitability is dependent upon, among other things, the successful development and commercialization of our projects,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 facilities.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major sources and uses of cash for each of the periods set forth below (in thousands):</w:t>
      </w:r>
    </w:p>
    <w:tbl>
      <w:tblPr>
        <w:tblW w:w="7211" w:type="dxa"/>
        <w:jc w:val="left"/>
        <w:tblInd w:w="0" w:type="dxa"/>
        <w:tblLayout w:type="fixed"/>
        <w:tblCellMar>
          <w:top w:w="0" w:type="dxa"/>
          <w:left w:w="0" w:type="dxa"/>
          <w:bottom w:w="0" w:type="dxa"/>
          <w:right w:w="0" w:type="dxa"/>
        </w:tblCellMar>
      </w:tblPr>
      <w:tblGrid>
        <w:gridCol w:w="4201"/>
        <w:gridCol w:w="326"/>
        <w:gridCol w:w="237"/>
        <w:gridCol w:w="896"/>
        <w:gridCol w:w="367"/>
        <w:gridCol w:w="237"/>
        <w:gridCol w:w="947"/>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667635" cy="175260"/>
                      <wp:effectExtent l="0" t="0" r="0" b="0"/>
                      <wp:wrapNone/>
                      <wp:docPr id="498" name="Frame498"/>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50495" cy="175260"/>
                      <wp:effectExtent l="0" t="0" r="0" b="0"/>
                      <wp:wrapNone/>
                      <wp:docPr id="500" name="Frame50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568960" cy="175260"/>
                      <wp:effectExtent l="0" t="0" r="0" b="0"/>
                      <wp:wrapNone/>
                      <wp:docPr id="501" name="Frame50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33045" cy="175260"/>
                      <wp:effectExtent l="0" t="0" r="0" b="0"/>
                      <wp:wrapNone/>
                      <wp:docPr id="502" name="Frame50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50495" cy="175260"/>
                      <wp:effectExtent l="0" t="0" r="0" b="0"/>
                      <wp:wrapNone/>
                      <wp:docPr id="503" name="Frame50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01345" cy="175260"/>
                      <wp:effectExtent l="0" t="0" r="0" b="0"/>
                      <wp:wrapNone/>
                      <wp:docPr id="504" name="Frame504"/>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7" w:type="dxa"/>
            <w:tcBorders/>
            <w:vAlign w:val="center"/>
          </w:tcPr>
          <w:p>
            <w:pPr>
              <w:pStyle w:val="TableContents"/>
              <w:bidi w:val="0"/>
              <w:spacing w:before="0" w:after="1"/>
              <w:ind w:left="0" w:right="0" w:hanging="0"/>
              <w:jc w:val="left"/>
              <w:rPr/>
            </w:pPr>
            <w:r>
              <w:rPr/>
              <w:t>    </w:t>
            </w:r>
          </w:p>
        </w:tc>
        <w:tc>
          <w:tcPr>
            <w:tcW w:w="11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(38,540)</w:t>
            </w:r>
          </w:p>
        </w:tc>
        <w:tc>
          <w:tcPr>
            <w:tcW w:w="367" w:type="dxa"/>
            <w:tcBorders/>
            <w:shd w:fill="CCEEFF" w:val="clear"/>
            <w:vAlign w:val="center"/>
          </w:tcPr>
          <w:p>
            <w:pPr>
              <w:pStyle w:val="TableContents"/>
              <w:bidi w:val="0"/>
              <w:spacing w:before="0" w:after="1"/>
              <w:ind w:left="0" w:right="0" w:hanging="0"/>
              <w:jc w:val="left"/>
              <w:rPr/>
            </w:pPr>
            <w:r>
              <w:rPr/>
              <w:t>    </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(21,128)</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(37,193)</w:t>
            </w:r>
          </w:p>
        </w:tc>
        <w:tc>
          <w:tcPr>
            <w:tcW w:w="367"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107,171</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(6,993)</w:t>
            </w:r>
          </w:p>
        </w:tc>
        <w:tc>
          <w:tcPr>
            <w:tcW w:w="367"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primary uses of cash from operating activities are personnel-related expenses, and research and development-related expenses, including costs incurred under development agreements, costs of licensing of technology, legal-related costs, and expenses for the development and commercialization of routes to efficiently produce fuels and chemicals from renewable feedstock carbohydrates using alcohols (isobutanol and ethanol) as an intermediate.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2024, net cash used in operating activities was $38.5 million compared to $21.1 million for the nine months ended September 30, 2023. Non-cash charges primarily consisted of stock-based compensation expense of $12.5 million, which reflects higher expense for the stock awards issued in the prior period with higher market value, see Note 13 to the Condensed Consolidated Financial Statements for additional information, depreciation and amortization of $12.2 million, and non-cash expense of $1.8 million. The net cash outflow from changes in operating assets and liabilities increased $3.0 million, primarily due to an increase in cash outflows of $9.9 million of prepaid expenses and other current assets, deposits and other assets and $2.7 million of costs associated with the sale of environmental attribute inventory. These were partially offset by $3.2 million related to decreases in accounts receivable and $6.4 million related to accounts payable.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2024, we had $37.2 million in cash used in investing activities, comprised of investments in our capital projects, including $1.8 million in the RNG project, $23.0 million for NZ1, and $11.7 million in other projects, a $10.0 million payment of earnest money in connection with the Red Trail Purchase Agreement, and $6.0 million paid for the acquisition of CultivateAI. These were partially offset by $15.3 million proceeds from the sale of investment tax credits from the RNG Project.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substantially completed the engineering design on our NZ1 project and are proceeding with detailed engineering and modularization design. We are refining the project cost estimates with EPC partners to identify opportunities to reduce and negotiate the cost. We currently expect to finance the construction of NZ1 at the subsidiary level using a combination of Company equity and third-party capital, to include non-recourse debt. The Company previously projected a range of $90.0 – $125.0 million to be spent on NZ1 between January 2024 and the financial close of NZ1. Year to date 2024, the Company spent $32.3 million and expects the remaining spend until the financial close of NZ1 to fall below the previously estimated range. Cash distributions from future NZ1 earnings would be proportionate to Gevo’s ownership in NZ1 under this expected financing structure. The use of project debt and third-party equity allows us to conserve capital for use on other growth projects. We expect to apply similar development and financing strategies to future Net-Zero Projects to grow our SAF production to meet the demand for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we allocated approximately $25.0 million to develop our next Net-Zero Project, of which we have spent $16.8 million. Gevo is in the process of identifying and performing early site development work for additional Net-Zero production locations. These potential sites include greenfield and brownfield (i.e., at an existing ethanol plant) locations that are advantageous in terms of potential economics, opportunities to decarbonize, and time to market. Early development work at the Red Trail Energy site is currently underway.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2024, we had $7.0 million of net cash used in financing activities, due to payments for repurchases of the Company’s common stock, debt issuance costs, finance lease liabilities, and equipment loans, partially offset by proceeds from the exercise of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expect to finance the construction of NZ1 at the subsidiary level using a combination of our own equity, third-party capital, and debt capital. The Company expects to retain an equity interest in the project and may invest equity in the project using the proceeds from the reimbursement of the Company’s NZ1 development expenditures. Cash distributions from future NZ1 earnings would be proportionate to Gevo’s ownership in NZ1 under this expected financing structure which would allow us to conserve and redeploy our capital on other growth projects, including our Net-Zero 2 project (“NZ2”). We expect to apply similar development and financing strategies to NZ2 and future Net-Zero Projects to enable growth of SAF production to meet demand for SAF.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30, 2023, we authorized a stock repurchase program, under which we may repurchase up to $25 million of our common stock. The primary goal of the repurchase program is to allow us to opportunistically repurchase shares, while maintaining our ability to fund our development projects. Under the stock repurchase program, we may repurchase shares from time to time in the open market or through privately negotiated transactions. The timing, volume and nature of stock repurchases, if any, will be at our sole discretion and will be dependent on market conditions, applicable securities laws, and other factors. The stock repurchase program may be suspended or discontinued at any time and does not have an expiration date. We repurchased 1.1 million and 7.2 million shares of common stock for $0.6 million and $4.7 million under the stock repurchase program during the three and nine months ended September 30, 2024. We did not repurchase shares under the stock repurchase program during the three and nine months ended September 30, 2023. As of September 30, 2024, approximately $20.3 million remained available under the stock repurchase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60" w:name="Item3QuantitativeandQualitativeDisclosur"/>
      <w:bookmarkStart w:id="1961" w:name="_73b45c32_c065_462f_ba32_0e10a84b43ef"/>
      <w:bookmarkEnd w:id="1960"/>
      <w:bookmarkEnd w:id="1961"/>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smaller reporting company, we are not required to provide the information required by this Item. However, we note that we are exposed to market risks in the ordinary course of our business. These risks primarily consist of environmental attribute pricing, commodity pricing, interest rate, credit risk with our contract counterparties, and equity price risks. There have been no material changes since our disclosure in “Quantitative and Qualitative Disclosures About Market Risk” included in Part II, Item 7A of our 2023 Annual Report.</w:t>
      </w:r>
    </w:p>
    <w:p>
      <w:pPr>
        <w:pStyle w:val="TextBody"/>
        <w:bidi w:val="0"/>
        <w:spacing w:before="0" w:after="240"/>
        <w:ind w:left="0" w:right="0" w:hanging="0"/>
        <w:jc w:val="left"/>
        <w:rPr>
          <w:rFonts w:ascii="Times New Roman;Times;serif" w:hAnsi="Times New Roman;Times;serif"/>
          <w:b/>
          <w:sz w:val="20"/>
        </w:rPr>
      </w:pPr>
      <w:bookmarkStart w:id="1962" w:name="Item4ControlsandProcedures_150025"/>
      <w:bookmarkStart w:id="1963" w:name="_8e2f0fe7_05d5_4a31_8515_4e61f390e0a4"/>
      <w:bookmarkEnd w:id="1962"/>
      <w:bookmarkEnd w:id="1963"/>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September 30, 2024,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that occurred during the three months ended September 30, 2024,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64" w:name="PARTIIOTHERINFORMATION_881509"/>
      <w:bookmarkStart w:id="1965" w:name="_2a330374_850a_4227_8eec_1a9b59176a53"/>
      <w:bookmarkEnd w:id="1964"/>
      <w:bookmarkEnd w:id="1965"/>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966" w:name="Item1LegalProceedings_687788"/>
      <w:bookmarkEnd w:id="1966"/>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discussion of legal matters is found in Note 15, Commitments and Contingencies, in the accompanying Notes to the Financial Statements included in Part I - Item 1. Financial Statements of this Report.</w:t>
      </w:r>
    </w:p>
    <w:p>
      <w:pPr>
        <w:pStyle w:val="TextBody"/>
        <w:bidi w:val="0"/>
        <w:spacing w:before="0" w:after="240"/>
        <w:ind w:left="0" w:right="0" w:hanging="0"/>
        <w:jc w:val="left"/>
        <w:rPr>
          <w:rFonts w:ascii="Times New Roman;Times;serif" w:hAnsi="Times New Roman;Times;serif"/>
          <w:b/>
          <w:sz w:val="20"/>
        </w:rPr>
      </w:pPr>
      <w:bookmarkStart w:id="1967" w:name="Item1ARiskFactors_410492"/>
      <w:bookmarkStart w:id="1968" w:name="_c9bc6b65_7f1f_4718_8abe_e651fb2d920e"/>
      <w:bookmarkEnd w:id="1967"/>
      <w:bookmarkEnd w:id="1968"/>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carefully consider the risk factors discussed in Part I, Item 1A. “Risk Factors” in our 2023 Annual Report, which could materially affect our business, financial condition, cash flows or future results. There have been no material changes in our risk factors included in our 2023 Annual Report, other than as described below. The risk factors in our 2023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Mergers, acquisitions and other strategic investments may not be successful in achieving intended benefits, cost savings and synergies and may disrupt current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we may complete acquisitions of companies and certain businesses or assets of companies, and we may not realize the expected benefits from such acquisitions because of integration difficulties or other challenges. For example, in September 2024, we entered into an asset purchase agreement with Red Trail Energy, LLC (“Red Trail”) to purchase substantially all of the assets, and assume certain liabilities, of Red Trail (the “Transaction”). The acquisition of Red Trail is expected to close in the first quarter of 2025, subject to closing conditions. There is no assurance that the acquisition of Red Trail will be completed.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integration process of any newly acquired business, such as the Transaction, may be complex, costly and time-consuming. The potential difficulties of integrating the operations of an acquired business and realizing our expectations for an acquisition, including the benefits that may be realized, include,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the business to perform as planned following the acquisition or achieve anticipated revenue, cash flow or profitability targets;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unexpected costs or difficulties in completing the acquisition or integration of acquired companies or assets, including as a result of regulatory challenges;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 expected costs, lower than expected cost savings or synergies and/or a need to allocate resources to manage unexpected operating difficulties;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assimilating the operations and personnel of acquired companies into our operations;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the attention and resources of management or other disruptions to current operations;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changes in applicable laws and regulations;</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inherent in our acquired companies’ and businesses’ industry and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issues in conforming our acquired companies’ and businesses’ standards, processes, procedures and internal controls with our operations;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failures or delays in receiving the necessary approvals by the relevant regulators and authorities;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retaining key customers, suppliers and employees;</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retaining and obtaining required regulatory approvals, licenses and permits;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risks inherent in the acquired business and our business; and</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unanticipated issues, expenses and liabilities.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failure to successfully complete the integration of any acquired business, including as a result of regulatory challenges and any adverse consequences associated with future acquisition activities, could have an adverse effect on our business, financial condition and operating results. Even if the integration of any acquired business is successfully completed, the full expected benefits and synergies of the acquisition may not be realized. Additional unanticipated costs, which could be material, may also be incurred in the integration of our business and the acquired business. Additionally, the full benefits of an acquisition may not be realized if the combined business does not perform as expected or demand for the combined company’s services does not meet our expectations. If any of the above risks occur, our business, financial condition, results of operations and cash flows may be materially and adversely impacted, we may fail to meet the expectations of investors or analysts, and our stock price may decline as a result.</w:t>
      </w:r>
    </w:p>
    <w:p>
      <w:pPr>
        <w:pStyle w:val="TextBody"/>
        <w:bidi w:val="0"/>
        <w:spacing w:before="0" w:after="0"/>
        <w:ind w:left="0" w:right="0" w:hanging="0"/>
        <w:jc w:val="left"/>
        <w:rPr>
          <w:rFonts w:ascii="Times New Roman;Times;serif" w:hAnsi="Times New Roman;Times;serif"/>
          <w:b/>
          <w:sz w:val="20"/>
        </w:rPr>
      </w:pPr>
      <w:bookmarkStart w:id="1969" w:name="Item2UnregisteredSalesofEquitySecurities"/>
      <w:bookmarkStart w:id="1970" w:name="_7b799a91_4239_46a3_9d14_ccba9aeca7d0"/>
      <w:bookmarkStart w:id="1971" w:name="_Item_2._Unregistered"/>
      <w:bookmarkEnd w:id="1969"/>
      <w:bookmarkEnd w:id="1970"/>
      <w:bookmarkEnd w:id="1971"/>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03"/>
        <w:gridCol w:w="109"/>
        <w:gridCol w:w="1604"/>
        <w:gridCol w:w="109"/>
        <w:gridCol w:w="381"/>
        <w:gridCol w:w="845"/>
        <w:gridCol w:w="109"/>
        <w:gridCol w:w="225"/>
        <w:gridCol w:w="2457"/>
        <w:gridCol w:w="109"/>
        <w:gridCol w:w="398"/>
        <w:gridCol w:w="2656"/>
      </w:tblGrid>
      <w:tr>
        <w:trPr/>
        <w:tc>
          <w:tcPr>
            <w:tcW w:w="1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63905" cy="175260"/>
                      <wp:effectExtent l="0" t="0" r="0" b="0"/>
                      <wp:wrapNone/>
                      <wp:docPr id="505" name="Frame505"/>
                      <a:graphic xmlns:a="http://schemas.openxmlformats.org/drawingml/2006/main">
                        <a:graphicData uri="http://schemas.microsoft.com/office/word/2010/wordprocessingShape">
                          <wps:wsp>
                            <wps:cNvSpPr txBox="1"/>
                            <wps:spPr>
                              <a:xfrm>
                                <a:off x="0" y="0"/>
                                <a:ext cx="763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9215" cy="175260"/>
                      <wp:effectExtent l="0" t="0" r="0" b="0"/>
                      <wp:wrapNone/>
                      <wp:docPr id="506" name="Frame5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018540" cy="175260"/>
                      <wp:effectExtent l="0" t="0" r="0" b="0"/>
                      <wp:wrapNone/>
                      <wp:docPr id="507" name="Frame507"/>
                      <a:graphic xmlns:a="http://schemas.openxmlformats.org/drawingml/2006/main">
                        <a:graphicData uri="http://schemas.microsoft.com/office/word/2010/wordprocessingShape">
                          <wps:wsp>
                            <wps:cNvSpPr txBox="1"/>
                            <wps:spPr>
                              <a:xfrm>
                                <a:off x="0" y="0"/>
                                <a:ext cx="1018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9215" cy="175260"/>
                      <wp:effectExtent l="0" t="0" r="0" b="0"/>
                      <wp:wrapNone/>
                      <wp:docPr id="508" name="Frame5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41935" cy="175260"/>
                      <wp:effectExtent l="0" t="0" r="0" b="0"/>
                      <wp:wrapNone/>
                      <wp:docPr id="509" name="Frame509"/>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536575" cy="175260"/>
                      <wp:effectExtent l="0" t="0" r="0" b="0"/>
                      <wp:wrapNone/>
                      <wp:docPr id="510" name="Frame510"/>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9215" cy="175260"/>
                      <wp:effectExtent l="0" t="0" r="0" b="0"/>
                      <wp:wrapNone/>
                      <wp:docPr id="511" name="Frame5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42875" cy="175260"/>
                      <wp:effectExtent l="0" t="0" r="0" b="0"/>
                      <wp:wrapNone/>
                      <wp:docPr id="512" name="Frame51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560195" cy="175260"/>
                      <wp:effectExtent l="0" t="0" r="0" b="0"/>
                      <wp:wrapNone/>
                      <wp:docPr id="513" name="Frame513"/>
                      <a:graphic xmlns:a="http://schemas.openxmlformats.org/drawingml/2006/main">
                        <a:graphicData uri="http://schemas.microsoft.com/office/word/2010/wordprocessingShape">
                          <wps:wsp>
                            <wps:cNvSpPr txBox="1"/>
                            <wps:spPr>
                              <a:xfrm>
                                <a:off x="0" y="0"/>
                                <a:ext cx="156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9215" cy="175260"/>
                      <wp:effectExtent l="0" t="0" r="0" b="0"/>
                      <wp:wrapNone/>
                      <wp:docPr id="514" name="Frame5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52730" cy="175260"/>
                      <wp:effectExtent l="0" t="0" r="0" b="0"/>
                      <wp:wrapNone/>
                      <wp:docPr id="515" name="Frame515"/>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686560" cy="175260"/>
                      <wp:effectExtent l="0" t="0" r="0" b="0"/>
                      <wp:wrapNone/>
                      <wp:docPr id="516" name="Frame516"/>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Issuer Purchase of Equity Securities</w:t>
            </w:r>
          </w:p>
        </w:tc>
      </w:tr>
      <w:tr>
        <w:trPr/>
        <w:tc>
          <w:tcPr>
            <w:tcW w:w="12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Period</w:t>
            </w:r>
          </w:p>
        </w:tc>
        <w:tc>
          <w:tcPr>
            <w:tcW w:w="109" w:type="dxa"/>
            <w:tcBorders/>
            <w:vAlign w:val="center"/>
          </w:tcPr>
          <w:p>
            <w:pPr>
              <w:pStyle w:val="TableContents"/>
              <w:bidi w:val="0"/>
              <w:spacing w:before="0" w:after="0"/>
              <w:ind w:left="0" w:right="0" w:hanging="0"/>
              <w:jc w:val="center"/>
              <w:rPr/>
            </w:pPr>
            <w:r>
              <w:rPr/>
              <w:t>​</w:t>
            </w:r>
          </w:p>
        </w:tc>
        <w:tc>
          <w:tcPr>
            <w:tcW w:w="16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109" w:type="dxa"/>
            <w:tcBorders/>
            <w:vAlign w:val="center"/>
          </w:tcPr>
          <w:p>
            <w:pPr>
              <w:pStyle w:val="TableContents"/>
              <w:bidi w:val="0"/>
              <w:spacing w:before="0" w:after="0"/>
              <w:ind w:left="0" w:right="0" w:hanging="0"/>
              <w:jc w:val="center"/>
              <w:rPr/>
            </w:pPr>
            <w:r>
              <w:rPr/>
              <w:t>​</w:t>
            </w:r>
          </w:p>
        </w:tc>
        <w:tc>
          <w:tcPr>
            <w:tcW w:w="12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 Paid per Share</w:t>
            </w:r>
          </w:p>
        </w:tc>
        <w:tc>
          <w:tcPr>
            <w:tcW w:w="109" w:type="dxa"/>
            <w:tcBorders/>
            <w:vAlign w:val="center"/>
          </w:tcPr>
          <w:p>
            <w:pPr>
              <w:pStyle w:val="TableContents"/>
              <w:bidi w:val="0"/>
              <w:spacing w:before="0" w:after="0"/>
              <w:ind w:left="0" w:right="0" w:hanging="0"/>
              <w:jc w:val="center"/>
              <w:rPr/>
            </w:pPr>
            <w:r>
              <w:rPr/>
              <w:t>​</w:t>
            </w:r>
          </w:p>
        </w:tc>
        <w:tc>
          <w:tcPr>
            <w:tcW w:w="268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 xml:space="preserve">Total Number of Shares Purchased as Part of Publicly Announced Plans or Programs </w:t>
            </w:r>
            <w:r>
              <w:rPr>
                <w:rFonts w:ascii="Times New Roman;Times;serif" w:hAnsi="Times New Roman;Times;serif"/>
                <w:b/>
                <w:sz w:val="15"/>
              </w:rPr>
              <w:t>(1)</w:t>
            </w:r>
          </w:p>
        </w:tc>
        <w:tc>
          <w:tcPr>
            <w:tcW w:w="109" w:type="dxa"/>
            <w:tcBorders/>
            <w:vAlign w:val="center"/>
          </w:tcPr>
          <w:p>
            <w:pPr>
              <w:pStyle w:val="TableContents"/>
              <w:bidi w:val="0"/>
              <w:spacing w:before="0" w:after="0"/>
              <w:ind w:left="0" w:right="0" w:hanging="0"/>
              <w:jc w:val="center"/>
              <w:rPr/>
            </w:pPr>
            <w:r>
              <w:rPr/>
              <w:t>​</w:t>
            </w:r>
          </w:p>
        </w:tc>
        <w:tc>
          <w:tcPr>
            <w:tcW w:w="3054"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 xml:space="preserve">Maximum Dollar Value of Shares that May Yet be Purchased Under the Plans or Programs </w:t>
            </w:r>
            <w:r>
              <w:rPr>
                <w:rFonts w:ascii="Times New Roman;Times;serif" w:hAnsi="Times New Roman;Times;serif"/>
                <w:b/>
                <w:sz w:val="15"/>
              </w:rPr>
              <w:t>(1)</w:t>
            </w:r>
          </w:p>
        </w:tc>
      </w:tr>
      <w:tr>
        <w:trPr/>
        <w:tc>
          <w:tcPr>
            <w:tcW w:w="12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1,094,493.00</w:t>
            </w:r>
          </w:p>
        </w:tc>
        <w:tc>
          <w:tcPr>
            <w:tcW w:w="109"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0.59</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24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1,094,493.00</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20,290,202.86</w:t>
            </w:r>
          </w:p>
        </w:tc>
      </w:tr>
      <w:tr>
        <w:trPr/>
        <w:tc>
          <w:tcPr>
            <w:tcW w:w="1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1 - 31, 2024</w:t>
            </w:r>
          </w:p>
        </w:tc>
        <w:tc>
          <w:tcPr>
            <w:tcW w:w="109" w:type="dxa"/>
            <w:tcBorders/>
            <w:vAlign w:val="center"/>
          </w:tcPr>
          <w:p>
            <w:pPr>
              <w:pStyle w:val="TableContents"/>
              <w:bidi w:val="0"/>
              <w:spacing w:before="0" w:after="0"/>
              <w:ind w:left="0" w:right="0" w:hanging="0"/>
              <w:jc w:val="left"/>
              <w:rPr/>
            </w:pPr>
            <w:r>
              <w:rPr/>
              <w:t>​</w:t>
            </w:r>
          </w:p>
        </w:tc>
        <w:tc>
          <w:tcPr>
            <w:tcW w:w="1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24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26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20,290,202.86</w:t>
            </w:r>
          </w:p>
        </w:tc>
      </w:tr>
      <w:tr>
        <w:trPr/>
        <w:tc>
          <w:tcPr>
            <w:tcW w:w="12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1 - 30, 2024</w:t>
            </w:r>
          </w:p>
        </w:tc>
        <w:tc>
          <w:tcPr>
            <w:tcW w:w="109" w:type="dxa"/>
            <w:tcBorders/>
            <w:shd w:fill="CCEEFF" w:val="clear"/>
            <w:vAlign w:val="center"/>
          </w:tcPr>
          <w:p>
            <w:pPr>
              <w:pStyle w:val="TableContents"/>
              <w:bidi w:val="0"/>
              <w:spacing w:before="0" w:after="0"/>
              <w:ind w:left="0" w:right="0" w:hanging="0"/>
              <w:jc w:val="left"/>
              <w:rPr/>
            </w:pPr>
            <w:r>
              <w:rPr/>
              <w:t>​</w:t>
            </w:r>
          </w:p>
        </w:tc>
        <w:tc>
          <w:tcPr>
            <w:tcW w:w="16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20,290,202.86</w:t>
            </w:r>
          </w:p>
        </w:tc>
      </w:tr>
      <w:tr>
        <w:trPr/>
        <w:tc>
          <w:tcPr>
            <w:tcW w:w="1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16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1,094,493.00</w:t>
            </w:r>
          </w:p>
        </w:tc>
        <w:tc>
          <w:tcPr>
            <w:tcW w:w="109" w:type="dxa"/>
            <w:tcBorders/>
            <w:vAlign w:val="center"/>
          </w:tcPr>
          <w:p>
            <w:pPr>
              <w:pStyle w:val="TableContents"/>
              <w:bidi w:val="0"/>
              <w:spacing w:before="0" w:after="0"/>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0.59</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4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1,094,493.00</w:t>
            </w:r>
          </w:p>
        </w:tc>
        <w:tc>
          <w:tcPr>
            <w:tcW w:w="109" w:type="dxa"/>
            <w:tcBorders/>
            <w:vAlign w:val="center"/>
          </w:tcPr>
          <w:p>
            <w:pPr>
              <w:pStyle w:val="TableContents"/>
              <w:bidi w:val="0"/>
              <w:spacing w:before="0" w:after="0"/>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20,290,202.86</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(1) On May 30, 2023, we authorized a stock repurchase program, under which we may repurchase up to $25 million of our common stock. The primary goal of the repurchase program is to allow us to opportunistically repurchase shares, while maintaining our ability to fund our development projects. Under the stock repurchase program, we may repurchase shares from time to time in the open market or through privately negotiated transactions. The timing, volume and nature of stock repurchases, if any, will be at our sole discretion and will be dependent on market conditions, applicable securities laws, and other factors. The stock repurchase program may be suspended or discontinued at any time and does not have an expiration date.</w:t>
      </w:r>
    </w:p>
    <w:p>
      <w:pPr>
        <w:pStyle w:val="TextBody"/>
        <w:bidi w:val="0"/>
        <w:spacing w:before="0" w:after="240"/>
        <w:ind w:left="0" w:right="0" w:hanging="0"/>
        <w:jc w:val="left"/>
        <w:rPr>
          <w:rFonts w:ascii="Times New Roman;Times;serif" w:hAnsi="Times New Roman;Times;serif"/>
          <w:b/>
          <w:sz w:val="20"/>
        </w:rPr>
      </w:pPr>
      <w:bookmarkStart w:id="1972" w:name="Item3DefaultsUponSeniorSecurities_300980"/>
      <w:bookmarkStart w:id="1973" w:name="_fcd4539f_74ab_4b18_b3c9_fd52c684e6ec"/>
      <w:bookmarkEnd w:id="1972"/>
      <w:bookmarkEnd w:id="1973"/>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974" w:name="Item4MineSafetyDisclosures_988747"/>
      <w:bookmarkStart w:id="1975" w:name="_ee08a718_4c72_450a_a549_951f3b2b289f"/>
      <w:bookmarkEnd w:id="1974"/>
      <w:bookmarkEnd w:id="1975"/>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976" w:name="Item5OtherInformation_31786"/>
      <w:bookmarkStart w:id="1977" w:name="_cea31f6d_22fd_44c3_bfc5_d3d88cbeeae4"/>
      <w:bookmarkEnd w:id="1976"/>
      <w:bookmarkEnd w:id="1977"/>
      <w:r>
        <w:rPr>
          <w:rFonts w:ascii="Times New Roman;Times;serif" w:hAnsi="Times New Roman;Times;serif"/>
          <w:b/>
          <w:sz w:val="20"/>
        </w:rPr>
        <w:t>Item 5. Other Information.</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No directors or officers, as defined in Rule 16a-1(f), adopted, modified and/or terminated a “Rule 10b5-1 trading arrangement,” or a “non-Rule 10b5-1 trading arrangement,” each as defined in Item 408 of Regulation S-K, during our last fiscal quarter.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78" w:name="Item6Exhibits_75368"/>
      <w:bookmarkStart w:id="1979" w:name="_be524fc0_4c55_4313_b714_fb8ef723333d"/>
      <w:bookmarkEnd w:id="1978"/>
      <w:bookmarkEnd w:id="1979"/>
      <w:r>
        <w:rPr>
          <w:rFonts w:ascii="Times New Roman;Times;serif" w:hAnsi="Times New Roman;Times;serif"/>
          <w:b/>
          <w:sz w:val="20"/>
        </w:rPr>
        <w:t>Item 6.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exhibits listed below are filed or furnished as part of this report.</w:t>
      </w:r>
    </w:p>
    <w:tbl>
      <w:tblPr>
        <w:tblW w:w="10205" w:type="dxa"/>
        <w:jc w:val="left"/>
        <w:tblInd w:w="0" w:type="dxa"/>
        <w:tblLayout w:type="fixed"/>
        <w:tblCellMar>
          <w:top w:w="0" w:type="dxa"/>
          <w:left w:w="0" w:type="dxa"/>
          <w:bottom w:w="0" w:type="dxa"/>
          <w:right w:w="0" w:type="dxa"/>
        </w:tblCellMar>
      </w:tblPr>
      <w:tblGrid>
        <w:gridCol w:w="710"/>
        <w:gridCol w:w="326"/>
        <w:gridCol w:w="3464"/>
        <w:gridCol w:w="326"/>
        <w:gridCol w:w="526"/>
        <w:gridCol w:w="326"/>
        <w:gridCol w:w="706"/>
        <w:gridCol w:w="326"/>
        <w:gridCol w:w="1200"/>
        <w:gridCol w:w="326"/>
        <w:gridCol w:w="676"/>
        <w:gridCol w:w="326"/>
        <w:gridCol w:w="120"/>
        <w:gridCol w:w="570"/>
        <w:gridCol w:w="121"/>
        <w:gridCol w:w="156"/>
      </w:tblGrid>
      <w:tr>
        <w:trPr/>
        <w:tc>
          <w:tcPr>
            <w:tcW w:w="7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3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Incorporated by Reference</w:t>
            </w:r>
          </w:p>
        </w:tc>
        <w:tc>
          <w:tcPr>
            <w:tcW w:w="570" w:type="dxa"/>
            <w:tcBorders/>
            <w:vAlign w:val="center"/>
          </w:tcPr>
          <w:p>
            <w:pPr>
              <w:pStyle w:val="TableContents"/>
              <w:bidi w:val="0"/>
              <w:spacing w:before="0" w:after="0"/>
              <w:ind w:left="0" w:right="0" w:hanging="0"/>
              <w:jc w:val="left"/>
              <w:rPr/>
            </w:pPr>
            <w:r>
              <w:rPr/>
              <w:t>​</w:t>
            </w:r>
          </w:p>
        </w:tc>
        <w:tc>
          <w:tcPr>
            <w:tcW w:w="277" w:type="dxa"/>
            <w:gridSpan w:val="2"/>
            <w:tcBorders/>
            <w:vAlign w:val="center"/>
          </w:tcPr>
          <w:p>
            <w:pPr>
              <w:pStyle w:val="TableContents"/>
              <w:bidi w:val="0"/>
              <w:spacing w:before="0" w:after="0"/>
              <w:ind w:left="0" w:right="0" w:hanging="0"/>
              <w:jc w:val="left"/>
              <w:rPr/>
            </w:pPr>
            <w:r>
              <w:rPr/>
              <w:t>​</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71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br/>
              <w:t>No.</w:t>
            </w:r>
          </w:p>
        </w:tc>
        <w:tc>
          <w:tcPr>
            <w:tcW w:w="326" w:type="dxa"/>
            <w:tcBorders/>
            <w:vAlign w:val="center"/>
          </w:tcPr>
          <w:p>
            <w:pPr>
              <w:pStyle w:val="TableHeading"/>
              <w:bidi w:val="0"/>
              <w:spacing w:before="0" w:after="0"/>
              <w:ind w:left="0" w:right="0" w:hanging="0"/>
              <w:jc w:val="left"/>
              <w:rPr/>
            </w:pPr>
            <w:r>
              <w:rPr/>
              <w:t>    </w:t>
            </w:r>
          </w:p>
        </w:tc>
        <w:tc>
          <w:tcPr>
            <w:tcW w:w="346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c>
          <w:tcPr>
            <w:tcW w:w="326" w:type="dxa"/>
            <w:tcBorders/>
            <w:vAlign w:val="center"/>
          </w:tcPr>
          <w:p>
            <w:pPr>
              <w:pStyle w:val="TableHeading"/>
              <w:bidi w:val="0"/>
              <w:spacing w:before="0" w:after="0"/>
              <w:ind w:left="0" w:right="0" w:hanging="0"/>
              <w:jc w:val="left"/>
              <w:rPr/>
            </w:pPr>
            <w:r>
              <w:rPr/>
              <w:t>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70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1200"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 Date</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67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326" w:type="dxa"/>
            <w:tcBorders/>
            <w:vAlign w:val="center"/>
          </w:tcPr>
          <w:p>
            <w:pPr>
              <w:pStyle w:val="TableHeading"/>
              <w:bidi w:val="0"/>
              <w:spacing w:before="0" w:after="0"/>
              <w:ind w:left="0" w:right="0" w:hanging="0"/>
              <w:jc w:val="left"/>
              <w:rPr/>
            </w:pPr>
            <w:r>
              <w:rPr/>
              <w:t>    </w:t>
            </w:r>
          </w:p>
        </w:tc>
        <w:tc>
          <w:tcPr>
            <w:tcW w:w="81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br/>
              <w:t>Herewith</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2.1*</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Asset Purchase Agreement, dated as of September 10, 2024, by and among Gevo, Inc., Richardton CCS, LLC, Net-Zero Richardton, LLC, and Red Trail Energy, LLC.</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20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September 21, 2024</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2.1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center"/>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Gevo, Inc.</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10-K</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20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February 24, 2022</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Second Amended and Restated Bylaws of Gevo, Inc.</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20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November 24, 2021</w:t>
            </w:r>
          </w:p>
        </w:tc>
        <w:tc>
          <w:tcPr>
            <w:tcW w:w="326" w:type="dxa"/>
            <w:tcBorders/>
            <w:vAlign w:val="center"/>
          </w:tcPr>
          <w:p>
            <w:pPr>
              <w:pStyle w:val="TableHeading"/>
              <w:bidi w:val="0"/>
              <w:spacing w:before="0" w:after="0"/>
              <w:ind w:left="0" w:right="0" w:hanging="0"/>
              <w:jc w:val="center"/>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center"/>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Form of Gevo, Inc. Common Stock Certificate.</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S-1</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333-168792</w:t>
            </w:r>
          </w:p>
        </w:tc>
        <w:tc>
          <w:tcPr>
            <w:tcW w:w="326" w:type="dxa"/>
            <w:tcBorders/>
            <w:vAlign w:val="center"/>
          </w:tcPr>
          <w:p>
            <w:pPr>
              <w:pStyle w:val="TableHeading"/>
              <w:bidi w:val="0"/>
              <w:spacing w:before="0" w:after="0"/>
              <w:ind w:left="0" w:right="0" w:hanging="0"/>
              <w:jc w:val="center"/>
              <w:rPr/>
            </w:pPr>
            <w:r>
              <w:rPr/>
              <w:t>​</w:t>
            </w:r>
          </w:p>
        </w:tc>
        <w:tc>
          <w:tcPr>
            <w:tcW w:w="120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January 19, 2011</w:t>
            </w:r>
          </w:p>
        </w:tc>
        <w:tc>
          <w:tcPr>
            <w:tcW w:w="326" w:type="dxa"/>
            <w:tcBorders/>
            <w:vAlign w:val="center"/>
          </w:tcPr>
          <w:p>
            <w:pPr>
              <w:pStyle w:val="TableHeading"/>
              <w:bidi w:val="0"/>
              <w:spacing w:before="0" w:after="0"/>
              <w:ind w:left="0" w:right="0" w:hanging="0"/>
              <w:jc w:val="center"/>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26" w:type="dxa"/>
            <w:tcBorders/>
            <w:vAlign w:val="center"/>
          </w:tcPr>
          <w:p>
            <w:pPr>
              <w:pStyle w:val="TableHeading"/>
              <w:bidi w:val="0"/>
              <w:spacing w:before="0" w:after="0"/>
              <w:ind w:left="0" w:right="0" w:hanging="0"/>
              <w:jc w:val="center"/>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18"/>
                </w:rPr>
                <w:t>Employment Agreement, amended and restated as of August 12, 2024, by and among Gevo, Inc. and Patrick Gruber</w:t>
              </w:r>
            </w:hyperlink>
            <w:r>
              <w:rPr>
                <w:rFonts w:ascii="Times New Roman;Times;serif" w:hAnsi="Times New Roman;Times;serif"/>
                <w:b w:val="false"/>
                <w:sz w:val="18"/>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August 16, 2024</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10.2#</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Employment Agreement, amended and restated as of August 12, 2024, by and among Gevo, Inc. and Christopher Ryan.</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August 16, 2024</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10.2</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10.3#</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Employment Agreement, dated August 12, 2024, by and among Gevo, Inc. and Paul Bloom.</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August 16, 2024</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10.3</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Employment Agreement, dated August 12, 2024, by and among Gevo, Inc. and Kimberly Bowron.</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August 16, 2024</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10.5†</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Purchase Contract, dated August 16, 2024, by and between Gevo, Inc. and Shell Global Solutions Deutschland GmbH.</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August 21, 2024</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31.1</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hyperlink w:anchor="gevo-20240930xex31d1.htm">
              <w:r>
                <w:rPr>
                  <w:rStyle w:val="InternetLink"/>
                  <w:rFonts w:ascii="Times New Roman;Times;serif" w:hAnsi="Times New Roman;Times;serif"/>
                  <w:b w:val="false"/>
                  <w:i w:val="false"/>
                  <w:caps w:val="false"/>
                  <w:smallCaps w:val="false"/>
                  <w:sz w:val="20"/>
                </w:rPr>
                <w:t>Section 302 Certification of the Principal Executive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31.2</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hyperlink w:anchor="gevo-20240930xex31d2.htm">
              <w:r>
                <w:rPr>
                  <w:rStyle w:val="InternetLink"/>
                  <w:rFonts w:ascii="Times New Roman;Times;serif" w:hAnsi="Times New Roman;Times;serif"/>
                  <w:b w:val="false"/>
                  <w:i w:val="false"/>
                  <w:caps w:val="false"/>
                  <w:smallCaps w:val="false"/>
                  <w:sz w:val="20"/>
                </w:rPr>
                <w:t>Section 302 Certification of the Principal Financial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32.1</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hyperlink w:anchor="gevo-20240930xex32d1.htm">
              <w:r>
                <w:rPr>
                  <w:rStyle w:val="InternetLink"/>
                  <w:rFonts w:ascii="Times New Roman;Times;serif" w:hAnsi="Times New Roman;Times;serif"/>
                  <w:b w:val="false"/>
                  <w:i w:val="false"/>
                  <w:caps w:val="false"/>
                  <w:smallCaps w:val="false"/>
                  <w:sz w:val="20"/>
                </w:rPr>
                <w:t>Section 906 Certification of the Principal Executive Officer and Principal Financial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101.INS</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Instance Document (the Instance Document does not appear in the Interactive Data File because its XBRL tags are embedded within the Inline XBRL document)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101.SCH</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Schema</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101.CAL</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Calculation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101.DEF</w:t>
            </w:r>
          </w:p>
        </w:tc>
        <w:tc>
          <w:tcPr>
            <w:tcW w:w="326" w:type="dxa"/>
            <w:tcBorders/>
            <w:vAlign w:val="center"/>
          </w:tcPr>
          <w:p>
            <w:pPr>
              <w:pStyle w:val="TableHeading"/>
              <w:bidi w:val="0"/>
              <w:spacing w:before="0" w:after="0"/>
              <w:ind w:left="0" w:right="0" w:hanging="0"/>
              <w:jc w:val="left"/>
              <w:rPr/>
            </w:pPr>
            <w:r>
              <w:rPr/>
              <w:t>​</w:t>
            </w:r>
          </w:p>
        </w:tc>
        <w:tc>
          <w:tcPr>
            <w:tcW w:w="3464"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Definition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711"/>
        <w:gridCol w:w="326"/>
        <w:gridCol w:w="3567"/>
        <w:gridCol w:w="326"/>
        <w:gridCol w:w="526"/>
        <w:gridCol w:w="326"/>
        <w:gridCol w:w="709"/>
        <w:gridCol w:w="326"/>
        <w:gridCol w:w="1203"/>
        <w:gridCol w:w="326"/>
        <w:gridCol w:w="676"/>
        <w:gridCol w:w="326"/>
        <w:gridCol w:w="857"/>
      </w:tblGrid>
      <w:tr>
        <w:trPr/>
        <w:tc>
          <w:tcPr>
            <w:tcW w:w="711"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br/>
              <w:t>No.</w:t>
            </w:r>
          </w:p>
        </w:tc>
        <w:tc>
          <w:tcPr>
            <w:tcW w:w="326" w:type="dxa"/>
            <w:tcBorders/>
            <w:tcMar>
              <w:bottom w:w="0" w:type="dxa"/>
            </w:tcMar>
            <w:vAlign w:val="center"/>
          </w:tcPr>
          <w:p>
            <w:pPr>
              <w:pStyle w:val="TableHeading"/>
              <w:bidi w:val="0"/>
              <w:spacing w:before="0" w:after="0"/>
              <w:ind w:left="0" w:right="0" w:hanging="0"/>
              <w:jc w:val="left"/>
              <w:rPr/>
            </w:pPr>
            <w:r>
              <w:rPr/>
              <w:t>    </w:t>
            </w:r>
          </w:p>
        </w:tc>
        <w:tc>
          <w:tcPr>
            <w:tcW w:w="3567"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c>
          <w:tcPr>
            <w:tcW w:w="326" w:type="dxa"/>
            <w:tcBorders/>
            <w:tcMar>
              <w:bottom w:w="0" w:type="dxa"/>
            </w:tcMar>
            <w:vAlign w:val="center"/>
          </w:tcPr>
          <w:p>
            <w:pPr>
              <w:pStyle w:val="TableHeading"/>
              <w:bidi w:val="0"/>
              <w:spacing w:before="0" w:after="0"/>
              <w:ind w:left="0" w:right="0" w:hanging="0"/>
              <w:jc w:val="left"/>
              <w:rPr/>
            </w:pPr>
            <w:r>
              <w:rPr/>
              <w:t>    </w:t>
            </w:r>
          </w:p>
        </w:tc>
        <w:tc>
          <w:tcPr>
            <w:tcW w:w="52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326"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    </w:t>
            </w:r>
          </w:p>
        </w:tc>
        <w:tc>
          <w:tcPr>
            <w:tcW w:w="7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326"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    </w:t>
            </w:r>
          </w:p>
        </w:tc>
        <w:tc>
          <w:tcPr>
            <w:tcW w:w="1203"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 Date</w:t>
            </w:r>
          </w:p>
        </w:tc>
        <w:tc>
          <w:tcPr>
            <w:tcW w:w="326"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    </w:t>
            </w:r>
          </w:p>
        </w:tc>
        <w:tc>
          <w:tcPr>
            <w:tcW w:w="67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326" w:type="dxa"/>
            <w:tcBorders/>
            <w:tcMar>
              <w:bottom w:w="0" w:type="dxa"/>
            </w:tcMar>
            <w:vAlign w:val="center"/>
          </w:tcPr>
          <w:p>
            <w:pPr>
              <w:pStyle w:val="TableHeading"/>
              <w:bidi w:val="0"/>
              <w:spacing w:before="0" w:after="0"/>
              <w:ind w:left="0" w:right="0" w:hanging="0"/>
              <w:jc w:val="left"/>
              <w:rPr/>
            </w:pPr>
            <w:r>
              <w:rPr/>
              <w:t>    </w:t>
            </w:r>
          </w:p>
        </w:tc>
        <w:tc>
          <w:tcPr>
            <w:tcW w:w="857"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br/>
              <w:t>Herewith</w:t>
            </w:r>
          </w:p>
        </w:tc>
      </w:tr>
      <w:tr>
        <w:trPr/>
        <w:tc>
          <w:tcPr>
            <w:tcW w:w="711" w:type="dxa"/>
            <w:tcBorders>
              <w:top w:val="single" w:sz="2" w:space="0" w:color="000000"/>
            </w:tcBorders>
            <w:tcMar>
              <w:top w:w="28" w:type="dxa"/>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2.1*</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Asset Purchase Agreement, dated as of September 10, 2024, by and among Gevo, Inc., Richardton CCS, LLC, Net-Zero Richardton, LLC, and Red Trail Energy, LLC.</w:t>
              </w:r>
            </w:hyperlink>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tcMar>
              <w:bottom w:w="0" w:type="dxa"/>
            </w:tcMar>
            <w:vAlign w:val="center"/>
          </w:tcPr>
          <w:p>
            <w:pPr>
              <w:pStyle w:val="TableHeading"/>
              <w:bidi w:val="0"/>
              <w:spacing w:before="0" w:after="0"/>
              <w:ind w:left="0" w:right="0" w:hanging="0"/>
              <w:jc w:val="center"/>
              <w:rPr/>
            </w:pPr>
            <w:r>
              <w:rPr/>
              <w:t>​</w:t>
            </w:r>
          </w:p>
        </w:tc>
        <w:tc>
          <w:tcPr>
            <w:tcW w:w="1203"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September 21, 2024</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2.1</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center"/>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Amended and Restated Certificate of Incorporation of Gevo, Inc.</w:t>
              </w:r>
            </w:hyperlink>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10-K</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tcMar>
              <w:bottom w:w="0" w:type="dxa"/>
            </w:tcMar>
            <w:vAlign w:val="center"/>
          </w:tcPr>
          <w:p>
            <w:pPr>
              <w:pStyle w:val="TableHeading"/>
              <w:bidi w:val="0"/>
              <w:spacing w:before="0" w:after="0"/>
              <w:ind w:left="0" w:right="0" w:hanging="0"/>
              <w:jc w:val="center"/>
              <w:rPr/>
            </w:pPr>
            <w:r>
              <w:rPr/>
              <w:t>​</w:t>
            </w:r>
          </w:p>
        </w:tc>
        <w:tc>
          <w:tcPr>
            <w:tcW w:w="1203"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February 24, 2022</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  </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Second Amended and Restated Bylaws of Gevo, Inc.</w:t>
              </w:r>
            </w:hyperlink>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tcMar>
              <w:bottom w:w="0" w:type="dxa"/>
            </w:tcMar>
            <w:vAlign w:val="center"/>
          </w:tcPr>
          <w:p>
            <w:pPr>
              <w:pStyle w:val="TableHeading"/>
              <w:bidi w:val="0"/>
              <w:spacing w:before="0" w:after="0"/>
              <w:ind w:left="0" w:right="0" w:hanging="0"/>
              <w:jc w:val="center"/>
              <w:rPr/>
            </w:pPr>
            <w:r>
              <w:rPr/>
              <w:t>​</w:t>
            </w:r>
          </w:p>
        </w:tc>
        <w:tc>
          <w:tcPr>
            <w:tcW w:w="1203"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November 24, 2021</w:t>
            </w:r>
          </w:p>
        </w:tc>
        <w:tc>
          <w:tcPr>
            <w:tcW w:w="326" w:type="dxa"/>
            <w:tcBorders/>
            <w:tcMar>
              <w:bottom w:w="0" w:type="dxa"/>
            </w:tcMar>
            <w:vAlign w:val="center"/>
          </w:tcPr>
          <w:p>
            <w:pPr>
              <w:pStyle w:val="TableHeading"/>
              <w:bidi w:val="0"/>
              <w:spacing w:before="0" w:after="0"/>
              <w:ind w:left="0" w:right="0" w:hanging="0"/>
              <w:jc w:val="center"/>
              <w:rPr/>
            </w:pPr>
            <w:r>
              <w:rPr/>
              <w:t>​</w:t>
            </w:r>
          </w:p>
        </w:tc>
        <w:tc>
          <w:tcPr>
            <w:tcW w:w="67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tcMar>
              <w:bottom w:w="0" w:type="dxa"/>
            </w:tcMar>
            <w:vAlign w:val="center"/>
          </w:tcPr>
          <w:p>
            <w:pPr>
              <w:pStyle w:val="TableHeading"/>
              <w:bidi w:val="0"/>
              <w:spacing w:before="0" w:after="0"/>
              <w:ind w:left="0" w:right="0" w:hanging="0"/>
              <w:jc w:val="center"/>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  </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Gevo, Inc. Common Stock Certificate.</w:t>
              </w:r>
            </w:hyperlink>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S-1</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333-168792</w:t>
            </w:r>
          </w:p>
        </w:tc>
        <w:tc>
          <w:tcPr>
            <w:tcW w:w="326" w:type="dxa"/>
            <w:tcBorders/>
            <w:tcMar>
              <w:bottom w:w="0" w:type="dxa"/>
            </w:tcMar>
            <w:vAlign w:val="center"/>
          </w:tcPr>
          <w:p>
            <w:pPr>
              <w:pStyle w:val="TableHeading"/>
              <w:bidi w:val="0"/>
              <w:spacing w:before="0" w:after="0"/>
              <w:ind w:left="0" w:right="0" w:hanging="0"/>
              <w:jc w:val="center"/>
              <w:rPr/>
            </w:pPr>
            <w:r>
              <w:rPr/>
              <w:t>​</w:t>
            </w:r>
          </w:p>
        </w:tc>
        <w:tc>
          <w:tcPr>
            <w:tcW w:w="1203"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January 19, 2011</w:t>
            </w:r>
          </w:p>
        </w:tc>
        <w:tc>
          <w:tcPr>
            <w:tcW w:w="326" w:type="dxa"/>
            <w:tcBorders/>
            <w:tcMar>
              <w:bottom w:w="0" w:type="dxa"/>
            </w:tcMar>
            <w:vAlign w:val="center"/>
          </w:tcPr>
          <w:p>
            <w:pPr>
              <w:pStyle w:val="TableHeading"/>
              <w:bidi w:val="0"/>
              <w:spacing w:before="0" w:after="0"/>
              <w:ind w:left="0" w:right="0" w:hanging="0"/>
              <w:jc w:val="center"/>
              <w:rPr/>
            </w:pPr>
            <w:r>
              <w:rPr/>
              <w:t>​</w:t>
            </w:r>
          </w:p>
        </w:tc>
        <w:tc>
          <w:tcPr>
            <w:tcW w:w="67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26" w:type="dxa"/>
            <w:tcBorders/>
            <w:tcMar>
              <w:bottom w:w="0" w:type="dxa"/>
            </w:tcMar>
            <w:vAlign w:val="center"/>
          </w:tcPr>
          <w:p>
            <w:pPr>
              <w:pStyle w:val="TableHeading"/>
              <w:bidi w:val="0"/>
              <w:spacing w:before="0" w:after="0"/>
              <w:ind w:left="0" w:right="0" w:hanging="0"/>
              <w:jc w:val="center"/>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18"/>
                </w:rPr>
                <w:t>Employment Agreement, amended and restated as of August 12, 2024, by and among Gevo, Inc. and Patrick Gruber</w:t>
              </w:r>
            </w:hyperlink>
            <w:r>
              <w:rPr>
                <w:rFonts w:ascii="Times New Roman;Times;serif" w:hAnsi="Times New Roman;Times;serif"/>
                <w:b w:val="false"/>
                <w:sz w:val="18"/>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August 16, 2024</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10.2#</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Employment Agreement, amended and restated as of August 12, 2024, by and among Gevo, Inc. and Christopher Ryan.</w:t>
              </w:r>
            </w:hyperlink>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August 16, 2024</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10.2</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10.3#</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Employment Agreement, dated August 12, 2024, by and among Gevo, Inc. and Paul Bloom.</w:t>
              </w:r>
            </w:hyperlink>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August 16, 2024</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10.3</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Employment Agreement, dated August 12, 2024, by and among Gevo, Inc. and Kimberly Bowron.</w:t>
              </w:r>
            </w:hyperlink>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August 16, 2024</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10.5†</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Purchase Contract, dated August 16, 2024, by and between Gevo, Inc. and Shell Global Solutions Deutschland GmbH.</w:t>
              </w:r>
            </w:hyperlink>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August 21, 2024</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  </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31.1</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hyperlink w:anchor="gevo-20240930xex31d1.htm">
              <w:r>
                <w:rPr>
                  <w:rStyle w:val="InternetLink"/>
                  <w:rFonts w:ascii="Times New Roman;Times;serif" w:hAnsi="Times New Roman;Times;serif"/>
                  <w:b w:val="false"/>
                  <w:i w:val="false"/>
                  <w:caps w:val="false"/>
                  <w:smallCaps w:val="false"/>
                  <w:sz w:val="20"/>
                </w:rPr>
                <w:t>Section 302 Certification of the Principal Executive Officer.</w:t>
              </w:r>
            </w:hyperlink>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31.2</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hyperlink w:anchor="gevo-20240930xex31d2.htm">
              <w:r>
                <w:rPr>
                  <w:rStyle w:val="InternetLink"/>
                  <w:rFonts w:ascii="Times New Roman;Times;serif" w:hAnsi="Times New Roman;Times;serif"/>
                  <w:b w:val="false"/>
                  <w:i w:val="false"/>
                  <w:caps w:val="false"/>
                  <w:smallCaps w:val="false"/>
                  <w:sz w:val="20"/>
                </w:rPr>
                <w:t>Section 302 Certification of the Principal Financial Officer.</w:t>
              </w:r>
            </w:hyperlink>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  </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32.1</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hyperlink w:anchor="gevo-20240930xex32d1.htm">
              <w:r>
                <w:rPr>
                  <w:rStyle w:val="InternetLink"/>
                  <w:rFonts w:ascii="Times New Roman;Times;serif" w:hAnsi="Times New Roman;Times;serif"/>
                  <w:b w:val="false"/>
                  <w:i w:val="false"/>
                  <w:caps w:val="false"/>
                  <w:smallCaps w:val="false"/>
                  <w:sz w:val="20"/>
                </w:rPr>
                <w:t>Section 906 Certification of the Principal Executive Officer and Principal Financial Officer.</w:t>
              </w:r>
            </w:hyperlink>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  </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101.INS</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Instance Document (the Instance Document does not appear in the Interactive Data File because its XBRL tags are embedded within the Inline XBRL document)</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  </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101.SCH</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Schema</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  </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101.CAL</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Calculation Linkbase</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  </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101.DEF</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Definition Linkbase</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  </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101.LAB</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Label Linkbase</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  </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101.PRE</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Presentation Linkbase</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r>
        <w:trPr/>
        <w:tc>
          <w:tcPr>
            <w:tcW w:w="711"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pPr>
            <w:r>
              <w:rPr/>
              <w:t>  </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pPr>
            <w:r>
              <w:rPr/>
              <w:t>​</w:t>
            </w:r>
          </w:p>
        </w:tc>
      </w:tr>
      <w:tr>
        <w:trPr/>
        <w:tc>
          <w:tcPr>
            <w:tcW w:w="711"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26" w:type="dxa"/>
            <w:tcBorders/>
            <w:tcMar>
              <w:bottom w:w="0" w:type="dxa"/>
            </w:tcMar>
            <w:vAlign w:val="center"/>
          </w:tcPr>
          <w:p>
            <w:pPr>
              <w:pStyle w:val="TableHeading"/>
              <w:bidi w:val="0"/>
              <w:spacing w:before="0" w:after="0"/>
              <w:ind w:left="0" w:right="0" w:hanging="0"/>
              <w:jc w:val="left"/>
              <w:rPr/>
            </w:pPr>
            <w:r>
              <w:rPr/>
              <w:t>​</w:t>
            </w:r>
          </w:p>
        </w:tc>
        <w:tc>
          <w:tcPr>
            <w:tcW w:w="3567"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Cover Page Interactive Data File (embedded within the Inline XBRL document and contained in Exhibit 101)</w:t>
            </w:r>
          </w:p>
        </w:tc>
        <w:tc>
          <w:tcPr>
            <w:tcW w:w="32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709"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1203"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326" w:type="dxa"/>
            <w:tcBorders/>
            <w:tcMar>
              <w:bottom w:w="0" w:type="dxa"/>
            </w:tcMar>
            <w:vAlign w:val="center"/>
          </w:tcPr>
          <w:p>
            <w:pPr>
              <w:pStyle w:val="TableHeading"/>
              <w:bidi w:val="0"/>
              <w:spacing w:before="0" w:after="0"/>
              <w:ind w:left="0" w:right="0" w:hanging="0"/>
              <w:jc w:val="left"/>
              <w:rPr/>
            </w:pPr>
            <w:r>
              <w:rPr/>
              <w:t>​</w:t>
            </w:r>
          </w:p>
        </w:tc>
        <w:tc>
          <w:tcPr>
            <w:tcW w:w="857" w:type="dxa"/>
            <w:tcBorders/>
            <w:tcMar>
              <w:bottom w:w="0" w:type="dxa"/>
            </w:tcMar>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r>
    </w:tbl>
    <w:p>
      <w:pPr>
        <w:pStyle w:val="TextBody"/>
        <w:pBdr/>
        <w:bidi w:val="0"/>
        <w:spacing w:before="0" w:after="0"/>
        <w:ind w:left="0" w:right="0" w:hanging="720"/>
        <w:jc w:val="left"/>
        <w:rPr/>
      </w:pPr>
      <w:r>
        <w:rPr/>
        <w:t xml:space="preserve">† </w:t>
      </w:r>
      <w:r>
        <w:rPr>
          <w:rFonts w:ascii="Times New Roman;Times;serif" w:hAnsi="Times New Roman;Times;serif"/>
          <w:sz w:val="20"/>
        </w:rPr>
        <w:t>Portions of this exhibit have been redacted in compliance with Regulation S-K Item 601(b)(10).</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 Certain schedules and exhibits have been omitted pursuant to Item 601(a)(5) of Regulation S-K. The Company agrees to furnish supplementally a copy of any omitted schedule or exhibit to the SEC upon its request.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Indicates a management contract or compensatory plan or arrangement.</w:t>
      </w:r>
    </w:p>
    <w:p>
      <w:pPr>
        <w:pStyle w:val="TextBody"/>
        <w:pBdr/>
        <w:bidi w:val="0"/>
        <w:spacing w:before="0" w:after="0"/>
        <w:ind w:left="0" w:right="0" w:hanging="720"/>
        <w:jc w:val="left"/>
        <w:rPr/>
      </w:pPr>
      <w:r>
        <w:rPr/>
        <w:t>​</w:t>
      </w:r>
    </w:p>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80" w:name="SIGNATURES_446651"/>
      <w:bookmarkStart w:id="1981" w:name="_18f94896_08da_4a5f_805a_419a3eeeb760"/>
      <w:bookmarkEnd w:id="1980"/>
      <w:bookmarkEnd w:id="1981"/>
      <w:r>
        <w:rPr>
          <w:rFonts w:ascii="Times New Roman;Times;serif" w:hAnsi="Times New Roman;Times;serif"/>
          <w:b/>
          <w:sz w:val="20"/>
        </w:rPr>
        <w:t>SIGNATURES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5691" w:type="dxa"/>
        <w:jc w:val="left"/>
        <w:tblInd w:w="0" w:type="dxa"/>
        <w:tblLayout w:type="fixed"/>
        <w:tblCellMar>
          <w:top w:w="0" w:type="dxa"/>
          <w:left w:w="0" w:type="dxa"/>
          <w:bottom w:w="0" w:type="dxa"/>
          <w:right w:w="0" w:type="dxa"/>
        </w:tblCellMar>
      </w:tblPr>
      <w:tblGrid>
        <w:gridCol w:w="421"/>
        <w:gridCol w:w="5116"/>
        <w:gridCol w:w="154"/>
      </w:tblGrid>
      <w:tr>
        <w:trPr/>
        <w:tc>
          <w:tcPr>
            <w:tcW w:w="5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Gevo, Inc.</w:t>
            </w:r>
          </w:p>
        </w:tc>
        <w:tc>
          <w:tcPr>
            <w:tcW w:w="154" w:type="dxa"/>
            <w:tcBorders/>
            <w:vAlign w:val="center"/>
          </w:tcPr>
          <w:p>
            <w:pPr>
              <w:pStyle w:val="TableContents"/>
              <w:bidi w:val="0"/>
              <w:spacing w:before="0" w:after="0"/>
              <w:ind w:left="0" w:right="0" w:hanging="0"/>
              <w:jc w:val="center"/>
              <w:rPr/>
            </w:pPr>
            <w:r>
              <w:rPr/>
              <w:t>​</w:t>
            </w:r>
          </w:p>
        </w:tc>
      </w:tr>
      <w:tr>
        <w:trPr/>
        <w:tc>
          <w:tcPr>
            <w:tcW w:w="5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(REGISTRANT)</w:t>
            </w:r>
          </w:p>
        </w:tc>
        <w:tc>
          <w:tcPr>
            <w:tcW w:w="154" w:type="dxa"/>
            <w:tcBorders/>
            <w:vAlign w:val="center"/>
          </w:tcPr>
          <w:p>
            <w:pPr>
              <w:pStyle w:val="TableContents"/>
              <w:bidi w:val="0"/>
              <w:spacing w:before="0" w:after="0"/>
              <w:ind w:left="0" w:right="0" w:hanging="0"/>
              <w:jc w:val="center"/>
              <w:rPr/>
            </w:pPr>
            <w:r>
              <w:rPr/>
              <w:t>​</w:t>
            </w:r>
          </w:p>
        </w:tc>
      </w:tr>
      <w:tr>
        <w:trPr/>
        <w:tc>
          <w:tcPr>
            <w:tcW w:w="553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Alisher Nurmat</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center"/>
              <w:rPr/>
            </w:pPr>
            <w:r>
              <w:rPr/>
              <w:t>​</w:t>
            </w:r>
          </w:p>
        </w:tc>
        <w:tc>
          <w:tcPr>
            <w:tcW w:w="51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Alisher Nurmat, CPA</w:t>
              <w:br/>
              <w:t>Vice President of Accounting and Treasurer</w:t>
              <w:br/>
              <w:t>(Duly Authorized Officer and Principal Accounting Officer)</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Date: November 7, 2024</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120"/>
        <w:ind w:left="0" w:right="0" w:hanging="0"/>
        <w:jc w:val="right"/>
        <w:rPr>
          <w:rFonts w:ascii="Times New Roman;Times;serif" w:hAnsi="Times New Roman;Times;serif"/>
          <w:b/>
          <w:sz w:val="20"/>
        </w:rPr>
      </w:pPr>
      <w:bookmarkStart w:id="1982" w:name="gevo-20240930xex31d1.htm"/>
      <w:bookmarkStart w:id="1983" w:name="ksgevo20240930xex31d1"/>
      <w:bookmarkEnd w:id="1982"/>
      <w:bookmarkEnd w:id="1983"/>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Patrick R. Gruber,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266" w:type="dxa"/>
        <w:jc w:val="left"/>
        <w:tblInd w:w="0" w:type="dxa"/>
        <w:tblLayout w:type="fixed"/>
        <w:tblCellMar>
          <w:top w:w="0" w:type="dxa"/>
          <w:left w:w="0" w:type="dxa"/>
          <w:bottom w:w="0" w:type="dxa"/>
          <w:right w:w="0" w:type="dxa"/>
        </w:tblCellMar>
      </w:tblPr>
      <w:tblGrid>
        <w:gridCol w:w="2266"/>
      </w:tblGrid>
      <w:tr>
        <w:trPr/>
        <w:tc>
          <w:tcPr>
            <w:tcW w:w="2266" w:type="dxa"/>
            <w:tcBorders/>
            <w:vAlign w:val="center"/>
          </w:tcPr>
          <w:p>
            <w:pPr>
              <w:pStyle w:val="TableContents"/>
              <w:bidi w:val="0"/>
              <w:spacing w:before="0" w:after="0"/>
              <w:ind w:left="0" w:right="0" w:hanging="0"/>
              <w:jc w:val="left"/>
              <w:rPr/>
            </w:pPr>
            <w:r>
              <w:rPr/>
              <w:t>​</w:t>
            </w:r>
          </w:p>
        </w:tc>
      </w:tr>
      <w:tr>
        <w:trPr/>
        <w:tc>
          <w:tcPr>
            <w:tcW w:w="226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Patrick R. Gruber</w:t>
            </w:r>
          </w:p>
        </w:tc>
      </w:tr>
      <w:tr>
        <w:trPr/>
        <w:tc>
          <w:tcPr>
            <w:tcW w:w="22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Patrick R. Gruber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984" w:name="gevo-20240930xex31d2.htm"/>
      <w:bookmarkStart w:id="1985" w:name="ksgevo20240930xex31d2"/>
      <w:bookmarkEnd w:id="1984"/>
      <w:bookmarkEnd w:id="1985"/>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L. Lynn Smull,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28" w:type="dxa"/>
          <w:right w:w="0" w:type="dxa"/>
        </w:tblCellMar>
      </w:tblPr>
      <w:tblGrid>
        <w:gridCol w:w="2386"/>
      </w:tblGrid>
      <w:tr>
        <w:trPr/>
        <w:tc>
          <w:tcPr>
            <w:tcW w:w="2386" w:type="dxa"/>
            <w:tcBorders>
              <w:bottom w:val="single" w:sz="2" w:space="0" w:color="000000"/>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L. Lynn Smull</w:t>
            </w:r>
          </w:p>
        </w:tc>
      </w:tr>
      <w:tr>
        <w:trPr/>
        <w:tc>
          <w:tcPr>
            <w:tcW w:w="2386" w:type="dxa"/>
            <w:tcBorders>
              <w:top w:val="single" w:sz="2" w:space="0" w:color="000000"/>
            </w:tcBorders>
            <w:tcMar>
              <w:top w:w="28" w:type="dxa"/>
              <w:bottom w:w="0"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L. Lynn Smull</w:t>
            </w:r>
          </w:p>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986" w:name="gevo-20240930xex32d1.htm"/>
      <w:bookmarkStart w:id="1987" w:name="ksgevo20240930xex32d1"/>
      <w:bookmarkEnd w:id="1986"/>
      <w:bookmarkEnd w:id="1987"/>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 SECTION 906 OF THE SARBANES-OXLEY ACT OF 2002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Patrick R. Gruber, Chief Executive Officer of Gevo, Inc. (the "Company"), and I, L. Lynn Smull, Chief Financial Officer of the Company, certify, pursuant to 18 U.S.C. Section 1350, as adopted pursuant to Section 906 of the Sarbanes-Oxley Act of 2002, that: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 The Quarterly Report on Form 10-Q of the Company for the quarter ended September 30, 2024 (the "Report"), fully complies with the requirements of Section 13(a) or 15(d) of the Securities Exchange Act of 1934, as amended;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for the period covered by the Report.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0" w:type="dxa"/>
          <w:right w:w="0" w:type="dxa"/>
        </w:tblCellMar>
      </w:tblPr>
      <w:tblGrid>
        <w:gridCol w:w="2386"/>
      </w:tblGrid>
      <w:tr>
        <w:trPr/>
        <w:tc>
          <w:tcPr>
            <w:tcW w:w="2386" w:type="dxa"/>
            <w:tcBorders/>
            <w:vAlign w:val="center"/>
          </w:tcPr>
          <w:p>
            <w:pPr>
              <w:pStyle w:val="TableContents"/>
              <w:bidi w:val="0"/>
              <w:spacing w:before="0" w:after="2"/>
              <w:ind w:left="0" w:right="0" w:hanging="0"/>
              <w:jc w:val="left"/>
              <w:rPr/>
            </w:pPr>
            <w:r>
              <w:rPr/>
              <w:t>​</w:t>
            </w:r>
          </w:p>
          <w:p>
            <w:pPr>
              <w:pStyle w:val="TableContents"/>
              <w:bidi w:val="0"/>
              <w:spacing w:before="0" w:after="30"/>
              <w:ind w:left="0" w:right="0" w:hanging="0"/>
              <w:jc w:val="left"/>
              <w:rPr/>
            </w:pPr>
            <w:r>
              <w:rPr/>
              <w:t>​</w:t>
            </w:r>
          </w:p>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2"/>
              <w:ind w:left="0" w:right="0" w:hanging="0"/>
              <w:jc w:val="left"/>
              <w:rPr>
                <w:rFonts w:ascii="Times New Roman;Times;serif" w:hAnsi="Times New Roman;Times;serif"/>
                <w:sz w:val="20"/>
              </w:rPr>
            </w:pPr>
            <w:r>
              <w:rPr>
                <w:rFonts w:ascii="Times New Roman;Times;serif" w:hAnsi="Times New Roman;Times;serif"/>
                <w:sz w:val="20"/>
              </w:rPr>
              <w:t>Date: November 7, 2024</w:t>
            </w:r>
          </w:p>
          <w:p>
            <w:pPr>
              <w:pStyle w:val="TableContents"/>
              <w:bidi w:val="0"/>
              <w:spacing w:before="0" w:after="3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Patrick R. Gruber</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Patrick R. Gruber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515110" cy="175260"/>
                      <wp:effectExtent l="0" t="0" r="0" b="0"/>
                      <wp:wrapNone/>
                      <wp:docPr id="517" name="Frame517"/>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515110" cy="175260"/>
                      <wp:effectExtent l="0" t="0" r="0" b="0"/>
                      <wp:wrapNone/>
                      <wp:docPr id="518" name="Frame51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515110" cy="175260"/>
                      <wp:effectExtent l="0" t="0" r="0" b="0"/>
                      <wp:wrapNone/>
                      <wp:docPr id="519" name="Frame519"/>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L. Lynn Smull</w:t>
            </w:r>
          </w:p>
        </w:tc>
      </w:tr>
      <w:tr>
        <w:trPr/>
        <w:tc>
          <w:tcPr>
            <w:tcW w:w="2386" w:type="dxa"/>
            <w:tcBorders>
              <w:top w:val="single" w:sz="2" w:space="0" w:color="000000"/>
            </w:tcBorders>
            <w:tcMar>
              <w:top w:w="28"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L. Lynn Smull</w:t>
            </w:r>
          </w:p>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2380/000110465924099104/tm2423492d1_ex2-1.htm" TargetMode="External"/><Relationship Id="rId3" Type="http://schemas.openxmlformats.org/officeDocument/2006/relationships/hyperlink" Target="https://www.sec.gov/Archives/edgar/data/1392380/000143774922004346/ex_337695.htm" TargetMode="External"/><Relationship Id="rId4" Type="http://schemas.openxmlformats.org/officeDocument/2006/relationships/hyperlink" Target="https://www.sec.gov/Archives/edgar/data/1392380/000143774921027382/ex_310252.htm" TargetMode="External"/><Relationship Id="rId5" Type="http://schemas.openxmlformats.org/officeDocument/2006/relationships/hyperlink" Target="https://www.sec.gov/Archives/edgar/data/1392380/000119312511009935/dex41.htm" TargetMode="External"/><Relationship Id="rId6" Type="http://schemas.openxmlformats.org/officeDocument/2006/relationships/hyperlink" Target="https://www.sec.gov/Archives/edgar/data/1392380/000110465924090361/tm2421638d1_ex10-1.htm" TargetMode="External"/><Relationship Id="rId7" Type="http://schemas.openxmlformats.org/officeDocument/2006/relationships/hyperlink" Target="https://www.sec.gov/Archives/edgar/data/1392380/000110465924090361/tm2421638d1_ex10-2.htm" TargetMode="External"/><Relationship Id="rId8" Type="http://schemas.openxmlformats.org/officeDocument/2006/relationships/hyperlink" Target="https://www.sec.gov/Archives/edgar/data/1392380/000110465924090361/tm2421638d1_ex10-3.htm" TargetMode="External"/><Relationship Id="rId9" Type="http://schemas.openxmlformats.org/officeDocument/2006/relationships/hyperlink" Target="https://www.sec.gov/Archives/edgar/data/1392380/000110465924090361/tm2421638d1_ex10-4.htm" TargetMode="External"/><Relationship Id="rId10" Type="http://schemas.openxmlformats.org/officeDocument/2006/relationships/hyperlink" Target="https://www.sec.gov/Archives/edgar/data/1392380/000110465924091606/tm2421638d2_ex10-1.htm" TargetMode="External"/><Relationship Id="rId11" Type="http://schemas.openxmlformats.org/officeDocument/2006/relationships/hyperlink" Target="https://www.sec.gov/Archives/edgar/data/1392380/000110465924099104/tm2423492d1_ex2-1.htm" TargetMode="External"/><Relationship Id="rId12" Type="http://schemas.openxmlformats.org/officeDocument/2006/relationships/hyperlink" Target="https://www.sec.gov/Archives/edgar/data/1392380/000143774922004346/ex_337695.htm" TargetMode="External"/><Relationship Id="rId13" Type="http://schemas.openxmlformats.org/officeDocument/2006/relationships/hyperlink" Target="https://www.sec.gov/Archives/edgar/data/1392380/000143774921027382/ex_310252.htm" TargetMode="External"/><Relationship Id="rId14" Type="http://schemas.openxmlformats.org/officeDocument/2006/relationships/hyperlink" Target="https://www.sec.gov/Archives/edgar/data/1392380/000119312511009935/dex41.htm" TargetMode="External"/><Relationship Id="rId15" Type="http://schemas.openxmlformats.org/officeDocument/2006/relationships/hyperlink" Target="https://www.sec.gov/Archives/edgar/data/1392380/000110465924090361/tm2421638d1_ex10-1.htm" TargetMode="External"/><Relationship Id="rId16" Type="http://schemas.openxmlformats.org/officeDocument/2006/relationships/hyperlink" Target="https://www.sec.gov/Archives/edgar/data/1392380/000110465924090361/tm2421638d1_ex10-2.htm" TargetMode="External"/><Relationship Id="rId17" Type="http://schemas.openxmlformats.org/officeDocument/2006/relationships/hyperlink" Target="https://www.sec.gov/Archives/edgar/data/1392380/000110465924090361/tm2421638d1_ex10-3.htm" TargetMode="External"/><Relationship Id="rId18" Type="http://schemas.openxmlformats.org/officeDocument/2006/relationships/hyperlink" Target="https://www.sec.gov/Archives/edgar/data/1392380/000110465924090361/tm2421638d1_ex10-4.htm" TargetMode="External"/><Relationship Id="rId19" Type="http://schemas.openxmlformats.org/officeDocument/2006/relationships/hyperlink" Target="https://www.sec.gov/Archives/edgar/data/1392380/000110465924091606/tm2421638d2_ex10-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24755</Words>
  <Characters>137549</Characters>
  <CharactersWithSpaces>164510</CharactersWithSpaces>
  <Paragraphs>7651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