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680" w:right="1720" w:hanging="3673"/>
        <w:spacing w:after="0" w:line="495"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 w:lineRule="exact"/>
        <w:rPr>
          <w:sz w:val="24"/>
          <w:szCs w:val="24"/>
          <w:color w:val="auto"/>
        </w:rPr>
      </w:pPr>
    </w:p>
    <w:p>
      <w:pPr>
        <w:ind w:left="2920" w:right="1280" w:hanging="2913"/>
        <w:spacing w:after="0" w:line="484" w:lineRule="auto"/>
        <w:tabs>
          <w:tab w:leader="none" w:pos="49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AND EXCHANGE ACT OF 1934 For the transition period from ________________ to ________________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GEVO,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1851"/>
              <w:spacing w:after="0"/>
              <w:rPr>
                <w:sz w:val="20"/>
                <w:szCs w:val="20"/>
                <w:color w:val="auto"/>
              </w:rPr>
            </w:pPr>
            <w:r>
              <w:rPr>
                <w:rFonts w:ascii="Times New Roman" w:cs="Times New Roman" w:eastAsia="Times New Roman" w:hAnsi="Times New Roman"/>
                <w:sz w:val="18"/>
                <w:szCs w:val="18"/>
                <w:b w:val="1"/>
                <w:bCs w:val="1"/>
                <w:color w:val="auto"/>
              </w:rPr>
              <w:t>87-0747704</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4440" w:type="dxa"/>
            <w:vAlign w:val="bottom"/>
            <w:gridSpan w:val="3"/>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(State or other jurisdiction of</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60" w:type="dxa"/>
            <w:vAlign w:val="bottom"/>
            <w:gridSpan w:val="3"/>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(I.R.S. Employer</w:t>
            </w: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4440" w:type="dxa"/>
            <w:vAlign w:val="bottom"/>
            <w:gridSpan w:val="3"/>
          </w:tcPr>
          <w:p>
            <w:pPr>
              <w:jc w:val="center"/>
              <w:ind w:left="391"/>
              <w:spacing w:after="0"/>
              <w:rPr>
                <w:sz w:val="20"/>
                <w:szCs w:val="20"/>
                <w:color w:val="auto"/>
              </w:rPr>
            </w:pPr>
            <w:r>
              <w:rPr>
                <w:rFonts w:ascii="Times New Roman" w:cs="Times New Roman" w:eastAsia="Times New Roman" w:hAnsi="Times New Roman"/>
                <w:sz w:val="18"/>
                <w:szCs w:val="18"/>
                <w:b w:val="1"/>
                <w:bCs w:val="1"/>
                <w:color w:val="auto"/>
                <w:w w:val="98"/>
              </w:rPr>
              <w:t>incorporation or organization)</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7"/>
              </w:rPr>
              <w:t>Identification No.)</w:t>
            </w:r>
          </w:p>
        </w:tc>
        <w:tc>
          <w:tcPr>
            <w:tcW w:w="0" w:type="dxa"/>
            <w:vAlign w:val="bottom"/>
          </w:tcPr>
          <w:p>
            <w:pPr>
              <w:spacing w:after="0"/>
              <w:rPr>
                <w:sz w:val="1"/>
                <w:szCs w:val="1"/>
                <w:color w:val="auto"/>
              </w:rPr>
            </w:pPr>
          </w:p>
        </w:tc>
      </w:tr>
      <w:tr>
        <w:trPr>
          <w:trHeight w:val="831"/>
        </w:trPr>
        <w:tc>
          <w:tcPr>
            <w:tcW w:w="300" w:type="dxa"/>
            <w:vAlign w:val="bottom"/>
          </w:tcPr>
          <w:p>
            <w:pPr>
              <w:spacing w:after="0"/>
              <w:rPr>
                <w:sz w:val="24"/>
                <w:szCs w:val="24"/>
                <w:color w:val="auto"/>
              </w:rPr>
            </w:pPr>
          </w:p>
        </w:tc>
        <w:tc>
          <w:tcPr>
            <w:tcW w:w="4440" w:type="dxa"/>
            <w:vAlign w:val="bottom"/>
            <w:gridSpan w:val="3"/>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345 Inverness Drive South, Building C, Suite 310</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40" w:type="dxa"/>
            <w:vAlign w:val="bottom"/>
            <w:gridSpan w:val="2"/>
          </w:tcPr>
          <w:p>
            <w:pPr>
              <w:jc w:val="center"/>
              <w:ind w:right="831"/>
              <w:spacing w:after="0"/>
              <w:rPr>
                <w:sz w:val="20"/>
                <w:szCs w:val="20"/>
                <w:color w:val="auto"/>
              </w:rPr>
            </w:pPr>
            <w:r>
              <w:rPr>
                <w:rFonts w:ascii="Times New Roman" w:cs="Times New Roman" w:eastAsia="Times New Roman" w:hAnsi="Times New Roman"/>
                <w:sz w:val="18"/>
                <w:szCs w:val="18"/>
                <w:b w:val="1"/>
                <w:bCs w:val="1"/>
                <w:color w:val="auto"/>
                <w:w w:val="99"/>
              </w:rPr>
              <w:t>Englewood, CO</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60" w:type="dxa"/>
            <w:vAlign w:val="bottom"/>
            <w:gridSpan w:val="2"/>
          </w:tcPr>
          <w:p>
            <w:pPr>
              <w:jc w:val="right"/>
              <w:ind w:right="2051"/>
              <w:spacing w:after="0"/>
              <w:rPr>
                <w:sz w:val="20"/>
                <w:szCs w:val="20"/>
                <w:color w:val="auto"/>
              </w:rPr>
            </w:pPr>
            <w:r>
              <w:rPr>
                <w:rFonts w:ascii="Times New Roman" w:cs="Times New Roman" w:eastAsia="Times New Roman" w:hAnsi="Times New Roman"/>
                <w:sz w:val="18"/>
                <w:szCs w:val="18"/>
                <w:b w:val="1"/>
                <w:bCs w:val="1"/>
                <w:color w:val="auto"/>
              </w:rPr>
              <w:t>80112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4440" w:type="dxa"/>
            <w:vAlign w:val="bottom"/>
            <w:gridSpan w:val="3"/>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8"/>
              </w:rPr>
              <w:t>(Address of principal executive offices)</w:t>
            </w: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60" w:type="dxa"/>
            <w:vAlign w:val="bottom"/>
            <w:gridSpan w:val="3"/>
          </w:tcPr>
          <w:p>
            <w:pPr>
              <w:jc w:val="center"/>
              <w:ind w:right="164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9"/>
              </w:rPr>
              <w:t>(303) 858-8358</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980" w:type="dxa"/>
            <w:vAlign w:val="bottom"/>
            <w:gridSpan w:val="4"/>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w:t>
            </w:r>
          </w:p>
        </w:tc>
        <w:tc>
          <w:tcPr>
            <w:tcW w:w="2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including area code)</w:t>
            </w:r>
          </w:p>
        </w:tc>
        <w:tc>
          <w:tcPr>
            <w:tcW w:w="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3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74"/>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300" w:type="dxa"/>
            <w:vAlign w:val="bottom"/>
          </w:tcPr>
          <w:p>
            <w:pPr>
              <w:spacing w:after="0"/>
              <w:rPr>
                <w:sz w:val="24"/>
                <w:szCs w:val="24"/>
                <w:color w:val="auto"/>
              </w:rPr>
            </w:pPr>
          </w:p>
        </w:tc>
        <w:tc>
          <w:tcPr>
            <w:tcW w:w="4440" w:type="dxa"/>
            <w:vAlign w:val="bottom"/>
            <w:gridSpan w:val="3"/>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20" w:type="dxa"/>
            <w:vAlign w:val="bottom"/>
          </w:tcPr>
          <w:p>
            <w:pPr>
              <w:spacing w:after="0"/>
              <w:rPr>
                <w:sz w:val="24"/>
                <w:szCs w:val="24"/>
                <w:color w:val="auto"/>
              </w:rPr>
            </w:pPr>
          </w:p>
        </w:tc>
        <w:tc>
          <w:tcPr>
            <w:tcW w:w="1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1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00" w:type="dxa"/>
            <w:vAlign w:val="bottom"/>
          </w:tcPr>
          <w:p>
            <w:pPr>
              <w:spacing w:after="0"/>
              <w:rPr>
                <w:sz w:val="17"/>
                <w:szCs w:val="17"/>
                <w:color w:val="auto"/>
              </w:rPr>
            </w:pPr>
          </w:p>
        </w:tc>
        <w:tc>
          <w:tcPr>
            <w:tcW w:w="4440" w:type="dxa"/>
            <w:vAlign w:val="bottom"/>
            <w:tcBorders>
              <w:bottom w:val="single" w:sz="8" w:color="auto"/>
            </w:tcBorders>
            <w:gridSpan w:val="3"/>
          </w:tcPr>
          <w:p>
            <w:pPr>
              <w:jc w:val="center"/>
              <w:ind w:right="111"/>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4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GEVO</w:t>
            </w:r>
          </w:p>
        </w:tc>
        <w:tc>
          <w:tcPr>
            <w:tcW w:w="28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Nasdaq Capital Market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5" w:lineRule="exact"/>
        <w:rPr>
          <w:sz w:val="24"/>
          <w:szCs w:val="24"/>
          <w:color w:val="auto"/>
        </w:rPr>
      </w:pPr>
    </w:p>
    <w:p>
      <w:pPr>
        <w:ind w:right="200" w:firstLine="4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140" w:right="220" w:firstLine="32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7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5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27"/>
        </w:trPr>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6" w:lineRule="exact"/>
        <w:rPr>
          <w:sz w:val="24"/>
          <w:szCs w:val="24"/>
          <w:color w:val="auto"/>
        </w:rPr>
      </w:pPr>
    </w:p>
    <w:p>
      <w:pPr>
        <w:ind w:right="160" w:firstLine="48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8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9"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October 30, 2020, 119,628,203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185420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82"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422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504190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0" w:type="dxa"/>
            <w:vAlign w:val="bottom"/>
          </w:tcPr>
          <w:p>
            <w:pPr>
              <w:spacing w:after="0"/>
              <w:rPr>
                <w:sz w:val="20"/>
                <w:szCs w:val="20"/>
                <w:color w:val="auto"/>
              </w:rPr>
            </w:pPr>
          </w:p>
        </w:tc>
        <w:tc>
          <w:tcPr>
            <w:tcW w:w="96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80" w:type="dxa"/>
            <w:vAlign w:val="bottom"/>
          </w:tcPr>
          <w:p>
            <w:pPr>
              <w:spacing w:after="0"/>
              <w:rPr>
                <w:sz w:val="24"/>
                <w:szCs w:val="24"/>
                <w:color w:val="auto"/>
              </w:rPr>
            </w:pPr>
          </w:p>
        </w:tc>
        <w:tc>
          <w:tcPr>
            <w:tcW w:w="96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FORM 10-Q</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FOR THE QUARTERLY PERIOD ENDED SEPTEMBER 30, 2020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0" w:type="dxa"/>
            <w:vAlign w:val="bottom"/>
          </w:tcPr>
          <w:p>
            <w:pPr>
              <w:spacing w:after="0"/>
              <w:rPr>
                <w:sz w:val="20"/>
                <w:szCs w:val="20"/>
                <w:color w:val="auto"/>
              </w:rPr>
            </w:pPr>
          </w:p>
        </w:tc>
        <w:tc>
          <w:tcPr>
            <w:tcW w:w="96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620" w:type="dxa"/>
            <w:vAlign w:val="bottom"/>
            <w:vMerge w:val="restart"/>
          </w:tcPr>
          <w:p>
            <w:pPr>
              <w:jc w:val="center"/>
              <w:ind w:right="51"/>
              <w:spacing w:after="0"/>
              <w:rPr>
                <w:rFonts w:ascii="Times New Roman" w:cs="Times New Roman" w:eastAsia="Times New Roman" w:hAnsi="Times New Roman"/>
                <w:sz w:val="18"/>
                <w:szCs w:val="18"/>
                <w:b w:val="1"/>
                <w:bCs w:val="1"/>
                <w:u w:val="single" w:color="auto"/>
                <w:color w:val="0000EE"/>
                <w:w w:val="99"/>
              </w:rPr>
            </w:pPr>
            <w:hyperlink w:anchor="page4">
              <w:r>
                <w:rPr>
                  <w:rFonts w:ascii="Times New Roman" w:cs="Times New Roman" w:eastAsia="Times New Roman" w:hAnsi="Times New Roman"/>
                  <w:sz w:val="18"/>
                  <w:szCs w:val="18"/>
                  <w:b w:val="1"/>
                  <w:bCs w:val="1"/>
                  <w:u w:val="single" w:color="auto"/>
                  <w:color w:val="0000EE"/>
                  <w:w w:val="99"/>
                </w:rPr>
                <w:t>PART I. FINANCIAL INFORMATION</w:t>
              </w:r>
            </w:hyperlink>
          </w:p>
        </w:tc>
        <w:tc>
          <w:tcPr>
            <w:tcW w:w="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Financial Statements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Consolidated Balance Sheets as of September 30, 2020 (unaudited) and December 31, 2019</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Consolidated Statements of Operations for the three and nine months ended September 30, 2020 and 2019 (unaudited)</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Consolidated Statements of Stockholders' Equity for the three and nine months ended september 30, 2020 and 2019 (unaudited)</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18"/>
                <w:szCs w:val="18"/>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Consolidated Statements of Cash Flows for the nine months ended September 30, 2020 and 2019 (unaudited)</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Notes to Consolidated Financial Statements (unaudited)</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Quantitative and Qualitative Disclosures About Market Risk</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40</w:t>
            </w: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Controls and Procedures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40</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620" w:type="dxa"/>
            <w:vAlign w:val="bottom"/>
          </w:tcPr>
          <w:p>
            <w:pPr>
              <w:jc w:val="center"/>
              <w:ind w:right="31"/>
              <w:spacing w:after="0"/>
              <w:rPr>
                <w:rFonts w:ascii="Times New Roman" w:cs="Times New Roman" w:eastAsia="Times New Roman" w:hAnsi="Times New Roman"/>
                <w:sz w:val="18"/>
                <w:szCs w:val="18"/>
                <w:b w:val="1"/>
                <w:bCs w:val="1"/>
                <w:u w:val="single" w:color="auto"/>
                <w:color w:val="0000EE"/>
                <w:w w:val="99"/>
              </w:rPr>
            </w:pPr>
            <w:hyperlink w:anchor="page50">
              <w:r>
                <w:rPr>
                  <w:rFonts w:ascii="Times New Roman" w:cs="Times New Roman" w:eastAsia="Times New Roman" w:hAnsi="Times New Roman"/>
                  <w:sz w:val="18"/>
                  <w:szCs w:val="18"/>
                  <w:b w:val="1"/>
                  <w:bCs w:val="1"/>
                  <w:u w:val="single" w:color="auto"/>
                  <w:color w:val="0000EE"/>
                  <w:w w:val="99"/>
                </w:rPr>
                <w:t>PART II. OTHER INFORMATION</w:t>
              </w:r>
            </w:hyperlink>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Legal Proceedings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Risk Factors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41</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Defaults Upon Senior Securities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Mine Safety Disclosures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Other Information</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42</w:t>
            </w: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Exhibits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43</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620" w:type="dxa"/>
            <w:vAlign w:val="bottom"/>
          </w:tcPr>
          <w:p>
            <w:pPr>
              <w:ind w:left="26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Signatures</w:t>
              </w:r>
            </w:hyperlink>
          </w:p>
        </w:tc>
        <w:tc>
          <w:tcPr>
            <w:tcW w:w="74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88"/>
              </w:rPr>
              <w:t>46</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962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88"/>
              </w:rPr>
              <w:t>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80" w:type="dxa"/>
            <w:vAlign w:val="bottom"/>
            <w:tcBorders>
              <w:bottom w:val="single" w:sz="8" w:color="auto"/>
            </w:tcBorders>
          </w:tcPr>
          <w:p>
            <w:pPr>
              <w:spacing w:after="0"/>
              <w:rPr>
                <w:sz w:val="9"/>
                <w:szCs w:val="9"/>
                <w:color w:val="auto"/>
              </w:rPr>
            </w:pPr>
          </w:p>
        </w:tc>
        <w:tc>
          <w:tcPr>
            <w:tcW w:w="96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7"/>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40" w:type="dxa"/>
            <w:vAlign w:val="bottom"/>
          </w:tcPr>
          <w:p>
            <w:pPr>
              <w:spacing w:after="0"/>
              <w:rPr>
                <w:sz w:val="20"/>
                <w:szCs w:val="20"/>
                <w:color w:val="auto"/>
              </w:rPr>
            </w:pPr>
          </w:p>
        </w:tc>
        <w:tc>
          <w:tcPr>
            <w:tcW w:w="132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16,302</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3,201</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4,614</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w:t>
            </w: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88,156</w:t>
            </w: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24,228</w:t>
            </w:r>
          </w:p>
        </w:tc>
      </w:tr>
      <w:tr>
        <w:trPr>
          <w:trHeight w:val="213"/>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63,324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66,696</w:t>
            </w:r>
          </w:p>
        </w:tc>
      </w:tr>
      <w:tr>
        <w:trPr>
          <w:trHeight w:val="227"/>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Juhl</w:t>
            </w:r>
          </w:p>
        </w:tc>
        <w:tc>
          <w:tcPr>
            <w:tcW w:w="14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r>
      <w:tr>
        <w:trPr>
          <w:trHeight w:val="247"/>
        </w:trPr>
        <w:tc>
          <w:tcPr>
            <w:tcW w:w="80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93,359</w:t>
            </w:r>
          </w:p>
        </w:tc>
      </w:tr>
      <w:tr>
        <w:trPr>
          <w:trHeight w:val="194"/>
        </w:trPr>
        <w:tc>
          <w:tcPr>
            <w:tcW w:w="80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2020/21 Notes (current), net</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12,506</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 Notes (current),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2020/21 Notes embedded derivative liability</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payable - other (current)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18,143</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20,094</w:t>
            </w:r>
          </w:p>
        </w:tc>
      </w:tr>
      <w:tr>
        <w:trPr>
          <w:trHeight w:val="213"/>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Loans payable - other (long-term)</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18,898</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20,855</w:t>
            </w:r>
          </w:p>
        </w:tc>
      </w:tr>
      <w:tr>
        <w:trPr>
          <w:trHeight w:val="207"/>
        </w:trPr>
        <w:tc>
          <w:tcPr>
            <w:tcW w:w="80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12)</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800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Common stock, $0.01 par value per share; 250,000,000 authorized; 119,578,203 and 14,083,232 shares</w:t>
            </w: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2"/>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issued and outstanding at September 30, 2020 and December 31, 2019, respectively.</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613,511</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530,349</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(480,118)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(457,986)</w:t>
            </w:r>
          </w:p>
        </w:tc>
      </w:tr>
      <w:tr>
        <w:trPr>
          <w:trHeight w:val="20"/>
        </w:trPr>
        <w:tc>
          <w:tcPr>
            <w:tcW w:w="8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134,589</w:t>
            </w:r>
          </w:p>
        </w:tc>
        <w:tc>
          <w:tcPr>
            <w:tcW w:w="14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72,504</w:t>
            </w:r>
          </w:p>
        </w:tc>
      </w:tr>
      <w:tr>
        <w:trPr>
          <w:trHeight w:val="247"/>
        </w:trPr>
        <w:tc>
          <w:tcPr>
            <w:tcW w:w="80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153,487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93,359</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9680" w:type="dxa"/>
            <w:vAlign w:val="bottom"/>
            <w:gridSpan w:val="4"/>
          </w:tcPr>
          <w:p>
            <w:pPr>
              <w:jc w:val="center"/>
              <w:ind w:left="1471"/>
              <w:spacing w:after="0"/>
              <w:rPr>
                <w:sz w:val="20"/>
                <w:szCs w:val="20"/>
                <w:color w:val="auto"/>
              </w:rPr>
            </w:pPr>
            <w:r>
              <w:rPr>
                <w:rFonts w:ascii="Times New Roman" w:cs="Times New Roman" w:eastAsia="Times New Roman" w:hAnsi="Times New Roman"/>
                <w:sz w:val="18"/>
                <w:szCs w:val="18"/>
                <w:color w:val="auto"/>
                <w:w w:val="98"/>
              </w:rPr>
              <w:t>See the accompanying Notes to the unaudited Consolidated 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8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4"/>
        </w:trPr>
        <w:tc>
          <w:tcPr>
            <w:tcW w:w="3460" w:type="dxa"/>
            <w:vAlign w:val="bottom"/>
          </w:tcPr>
          <w:p>
            <w:pPr>
              <w:spacing w:after="0"/>
              <w:rPr>
                <w:sz w:val="24"/>
                <w:szCs w:val="24"/>
                <w:color w:val="auto"/>
              </w:rPr>
            </w:pPr>
          </w:p>
        </w:tc>
        <w:tc>
          <w:tcPr>
            <w:tcW w:w="2740" w:type="dxa"/>
            <w:vAlign w:val="bottom"/>
            <w:gridSpan w:val="2"/>
          </w:tcPr>
          <w:p>
            <w:pPr>
              <w:jc w:val="center"/>
              <w:ind w:left="151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3460" w:type="dxa"/>
            <w:vAlign w:val="bottom"/>
          </w:tcPr>
          <w:p>
            <w:pPr>
              <w:spacing w:after="0"/>
              <w:rPr>
                <w:sz w:val="18"/>
                <w:szCs w:val="18"/>
                <w:color w:val="auto"/>
              </w:rPr>
            </w:pPr>
          </w:p>
        </w:tc>
        <w:tc>
          <w:tcPr>
            <w:tcW w:w="3880" w:type="dxa"/>
            <w:vAlign w:val="bottom"/>
            <w:gridSpan w:val="4"/>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Operations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460" w:type="dxa"/>
            <w:vAlign w:val="bottom"/>
          </w:tcPr>
          <w:p>
            <w:pPr>
              <w:spacing w:after="0"/>
              <w:rPr>
                <w:sz w:val="18"/>
                <w:szCs w:val="18"/>
                <w:color w:val="auto"/>
              </w:rPr>
            </w:pPr>
          </w:p>
        </w:tc>
        <w:tc>
          <w:tcPr>
            <w:tcW w:w="4160" w:type="dxa"/>
            <w:vAlign w:val="bottom"/>
            <w:gridSpan w:val="5"/>
          </w:tcPr>
          <w:p>
            <w:pPr>
              <w:jc w:val="center"/>
              <w:ind w:left="9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and per share amounts)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460" w:type="dxa"/>
            <w:vAlign w:val="bottom"/>
          </w:tcPr>
          <w:p>
            <w:pPr>
              <w:spacing w:after="0"/>
              <w:rPr>
                <w:sz w:val="20"/>
                <w:szCs w:val="20"/>
                <w:color w:val="auto"/>
              </w:rPr>
            </w:pPr>
          </w:p>
        </w:tc>
        <w:tc>
          <w:tcPr>
            <w:tcW w:w="2740" w:type="dxa"/>
            <w:vAlign w:val="bottom"/>
            <w:gridSpan w:val="2"/>
          </w:tcPr>
          <w:p>
            <w:pPr>
              <w:jc w:val="center"/>
              <w:ind w:left="149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34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6"/>
        </w:trPr>
        <w:tc>
          <w:tcPr>
            <w:tcW w:w="34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3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and cost of goods sold</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27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3,804</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16,184</w:t>
            </w:r>
          </w:p>
        </w:tc>
      </w:tr>
      <w:tr>
        <w:trPr>
          <w:trHeight w:val="21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Hydrocarbon revenue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07"/>
        </w:trPr>
        <w:tc>
          <w:tcPr>
            <w:tcW w:w="34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2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5,005</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r>
      <w:tr>
        <w:trPr>
          <w:trHeight w:val="213"/>
        </w:trPr>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9,893</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27,306</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(3,783)</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(9,707)</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3,712</w:t>
            </w:r>
          </w:p>
        </w:tc>
      </w:tr>
      <w:tr>
        <w:trPr>
          <w:trHeight w:val="21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8,917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6,705</w:t>
            </w: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expenses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3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4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7"/>
        </w:trPr>
        <w:tc>
          <w:tcPr>
            <w:tcW w:w="34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(6,103)</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(8,003)</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(19,336)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(20,124)</w:t>
            </w:r>
          </w:p>
        </w:tc>
      </w:tr>
      <w:tr>
        <w:trPr>
          <w:trHeight w:val="207"/>
        </w:trPr>
        <w:tc>
          <w:tcPr>
            <w:tcW w:w="3460" w:type="dxa"/>
            <w:vAlign w:val="bottom"/>
            <w:tcBorders>
              <w:top w:val="single" w:sz="8" w:color="CCEEFF"/>
            </w:tcBorders>
          </w:tcPr>
          <w:p>
            <w:pPr>
              <w:spacing w:after="0"/>
              <w:rPr>
                <w:sz w:val="17"/>
                <w:szCs w:val="17"/>
                <w:color w:val="auto"/>
              </w:rPr>
            </w:pPr>
          </w:p>
        </w:tc>
        <w:tc>
          <w:tcPr>
            <w:tcW w:w="25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(1,559)</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(2,127)</w:t>
            </w:r>
          </w:p>
        </w:tc>
      </w:tr>
      <w:tr>
        <w:trPr>
          <w:trHeight w:val="21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modification of 2020 Notes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gain from change in fair value of derivative warrant liability</w:t>
            </w: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195"/>
        </w:trPr>
        <w:tc>
          <w:tcPr>
            <w:tcW w:w="620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Gain (loss) from change in fair value of 2020/21 Notes and 2020 Notes</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w:t>
            </w:r>
          </w:p>
        </w:tc>
      </w:tr>
      <w:tr>
        <w:trPr>
          <w:trHeight w:val="213"/>
        </w:trPr>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460" w:type="dxa"/>
            <w:vAlign w:val="bottom"/>
            <w:shd w:val="clear" w:color="auto" w:fill="CCEEFF"/>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3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w:t>
            </w:r>
          </w:p>
        </w:tc>
        <w:tc>
          <w:tcPr>
            <w:tcW w:w="2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(2,796)</w:t>
            </w: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(1,721)</w:t>
            </w:r>
          </w:p>
        </w:tc>
      </w:tr>
      <w:tr>
        <w:trPr>
          <w:trHeight w:val="207"/>
        </w:trPr>
        <w:tc>
          <w:tcPr>
            <w:tcW w:w="346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7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(6,836)</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(8,619)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(22,132)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(21,845)</w:t>
            </w: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34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7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(0.09)</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598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6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77,049,896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12,968,265</w:t>
            </w:r>
          </w:p>
        </w:tc>
        <w:tc>
          <w:tcPr>
            <w:tcW w:w="2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35,682,794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11,679,530</w:t>
            </w:r>
          </w:p>
        </w:tc>
      </w:tr>
      <w:tr>
        <w:trPr>
          <w:trHeight w:val="20"/>
        </w:trPr>
        <w:tc>
          <w:tcPr>
            <w:tcW w:w="3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unaudited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2"/>
        </w:trPr>
        <w:tc>
          <w:tcPr>
            <w:tcW w:w="462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4"/>
        </w:trPr>
        <w:tc>
          <w:tcPr>
            <w:tcW w:w="4620" w:type="dxa"/>
            <w:vAlign w:val="bottom"/>
          </w:tcPr>
          <w:p>
            <w:pPr>
              <w:spacing w:after="0"/>
              <w:rPr>
                <w:sz w:val="24"/>
                <w:szCs w:val="24"/>
                <w:color w:val="auto"/>
              </w:rPr>
            </w:pPr>
          </w:p>
        </w:tc>
        <w:tc>
          <w:tcPr>
            <w:tcW w:w="1560" w:type="dxa"/>
            <w:vAlign w:val="bottom"/>
            <w:gridSpan w:val="3"/>
          </w:tcPr>
          <w:p>
            <w:pPr>
              <w:jc w:val="center"/>
              <w:ind w:left="37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7560" w:type="dxa"/>
            <w:vAlign w:val="bottom"/>
            <w:gridSpan w:val="8"/>
          </w:tcPr>
          <w:p>
            <w:pPr>
              <w:jc w:val="center"/>
              <w:ind w:left="359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Stockholders’ Equity</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7260" w:type="dxa"/>
            <w:vAlign w:val="bottom"/>
            <w:gridSpan w:val="6"/>
          </w:tcPr>
          <w:p>
            <w:pPr>
              <w:jc w:val="center"/>
              <w:ind w:left="3911"/>
              <w:spacing w:after="0"/>
              <w:rPr>
                <w:sz w:val="20"/>
                <w:szCs w:val="20"/>
                <w:color w:val="auto"/>
              </w:rPr>
            </w:pPr>
            <w:r>
              <w:rPr>
                <w:rFonts w:ascii="Times New Roman" w:cs="Times New Roman" w:eastAsia="Times New Roman" w:hAnsi="Times New Roman"/>
                <w:sz w:val="18"/>
                <w:szCs w:val="18"/>
                <w:b w:val="1"/>
                <w:bCs w:val="1"/>
                <w:color w:val="auto"/>
                <w:w w:val="98"/>
              </w:rPr>
              <w:t>(In thousands, except share amounts)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tcPr>
          <w:p>
            <w:pPr>
              <w:spacing w:after="0"/>
              <w:rPr>
                <w:sz w:val="20"/>
                <w:szCs w:val="20"/>
                <w:color w:val="auto"/>
              </w:rPr>
            </w:pPr>
          </w:p>
        </w:tc>
        <w:tc>
          <w:tcPr>
            <w:tcW w:w="1560" w:type="dxa"/>
            <w:vAlign w:val="bottom"/>
            <w:gridSpan w:val="3"/>
          </w:tcPr>
          <w:p>
            <w:pPr>
              <w:jc w:val="center"/>
              <w:ind w:left="3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4620" w:type="dxa"/>
            <w:vAlign w:val="bottom"/>
          </w:tcPr>
          <w:p>
            <w:pPr>
              <w:spacing w:after="0"/>
              <w:rPr>
                <w:sz w:val="24"/>
                <w:szCs w:val="24"/>
                <w:color w:val="auto"/>
              </w:rPr>
            </w:pPr>
          </w:p>
        </w:tc>
        <w:tc>
          <w:tcPr>
            <w:tcW w:w="264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4"/>
                <w:szCs w:val="24"/>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07"/>
        </w:trPr>
        <w:tc>
          <w:tcPr>
            <w:tcW w:w="462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7"/>
        </w:trPr>
        <w:tc>
          <w:tcPr>
            <w:tcW w:w="46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14,083,232</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530,349</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(457,986)</w:t>
            </w:r>
          </w:p>
        </w:tc>
        <w:tc>
          <w:tcPr>
            <w:tcW w:w="28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72,504</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issue costs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under stock plans, net of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(9,253)</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14,614,890</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531,587</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(467,239)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64,493</w:t>
            </w:r>
          </w:p>
        </w:tc>
      </w:tr>
      <w:tr>
        <w:trPr>
          <w:trHeight w:val="213"/>
        </w:trPr>
        <w:tc>
          <w:tcPr>
            <w:tcW w:w="4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issue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1,238</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1,247</w:t>
            </w: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common stock under stock plans, net of taxes</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(18,137)</w:t>
            </w: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(6,043)</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15,514,098</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533,015</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line="253" w:lineRule="exact"/>
              <w:rPr>
                <w:sz w:val="20"/>
                <w:szCs w:val="20"/>
                <w:color w:val="auto"/>
              </w:rPr>
            </w:pPr>
            <w:r>
              <w:rPr>
                <w:rFonts w:ascii="Times New Roman" w:cs="Times New Roman" w:eastAsia="Times New Roman" w:hAnsi="Times New Roman"/>
                <w:sz w:val="16"/>
                <w:szCs w:val="16"/>
                <w:color w:val="auto"/>
              </w:rPr>
              <w:t>(473,282</w:t>
            </w:r>
            <w:r>
              <w:rPr>
                <w:rFonts w:ascii="Times New Roman" w:cs="Times New Roman" w:eastAsia="Times New Roman" w:hAnsi="Times New Roman"/>
                <w:sz w:val="29"/>
                <w:szCs w:val="29"/>
                <w:color w:val="auto"/>
                <w:vertAlign w:val="superscript"/>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59,887</w:t>
            </w:r>
          </w:p>
        </w:tc>
      </w:tr>
    </w:tbl>
    <w:p>
      <w:pPr>
        <w:spacing w:after="0" w:line="195"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60" w:right="100"/>
        <w:spacing w:after="0" w:line="258" w:lineRule="auto"/>
        <w:rPr>
          <w:sz w:val="20"/>
          <w:szCs w:val="20"/>
          <w:color w:val="auto"/>
        </w:rPr>
      </w:pPr>
      <w:r>
        <w:rPr>
          <w:rFonts w:ascii="Times New Roman" w:cs="Times New Roman" w:eastAsia="Times New Roman" w:hAnsi="Times New Roman"/>
          <w:sz w:val="18"/>
          <w:szCs w:val="18"/>
          <w:color w:val="auto"/>
        </w:rPr>
        <w:t>Issuance of common stock and common stock warrants, net of issue costs</w:t>
      </w:r>
    </w:p>
    <w:p>
      <w:pPr>
        <w:spacing w:after="0" w:line="1" w:lineRule="exact"/>
        <w:rPr>
          <w:sz w:val="20"/>
          <w:szCs w:val="20"/>
          <w:color w:val="auto"/>
        </w:rPr>
      </w:pPr>
    </w:p>
    <w:p>
      <w:pPr>
        <w:ind w:left="160" w:right="400"/>
        <w:spacing w:after="0" w:line="247" w:lineRule="auto"/>
        <w:rPr>
          <w:sz w:val="20"/>
          <w:szCs w:val="20"/>
          <w:color w:val="auto"/>
        </w:rPr>
      </w:pPr>
      <w:r>
        <w:rPr>
          <w:rFonts w:ascii="Times New Roman" w:cs="Times New Roman" w:eastAsia="Times New Roman" w:hAnsi="Times New Roman"/>
          <w:sz w:val="18"/>
          <w:szCs w:val="18"/>
          <w:color w:val="auto"/>
        </w:rPr>
        <w:t>Issuance of common stock upon exercise of warrants Issuance of common stock upon conversion of 2020/21 Notes</w:t>
      </w:r>
    </w:p>
    <w:p>
      <w:pPr>
        <w:spacing w:after="0" w:line="1" w:lineRule="exact"/>
        <w:rPr>
          <w:sz w:val="20"/>
          <w:szCs w:val="20"/>
          <w:color w:val="auto"/>
        </w:rPr>
      </w:pPr>
    </w:p>
    <w:p>
      <w:pPr>
        <w:ind w:left="160"/>
        <w:spacing w:after="0" w:line="247" w:lineRule="auto"/>
        <w:rPr>
          <w:sz w:val="20"/>
          <w:szCs w:val="20"/>
          <w:color w:val="auto"/>
        </w:rPr>
      </w:pPr>
      <w:r>
        <w:rPr>
          <w:rFonts w:ascii="Times New Roman" w:cs="Times New Roman" w:eastAsia="Times New Roman" w:hAnsi="Times New Roman"/>
          <w:sz w:val="18"/>
          <w:szCs w:val="18"/>
          <w:color w:val="auto"/>
        </w:rPr>
        <w:t>Issuance of common stock in exchange for services rendered Non-cash stock-based compensation</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Issuance of common stock under stock plans, net of taxes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96"/>
              </w:rPr>
              <w:t>42,772,687</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428</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61,265</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61,693</w:t>
            </w:r>
          </w:p>
        </w:tc>
      </w:tr>
      <w:tr>
        <w:trPr>
          <w:trHeight w:val="232"/>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96"/>
              </w:rPr>
              <w:t>52,953,400</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530</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16,117</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w:t>
            </w:r>
          </w:p>
        </w:tc>
      </w:tr>
      <w:tr>
        <w:trPr>
          <w:trHeight w:val="320"/>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4,169,426</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42</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2,441</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301"/>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101,730</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3"/>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642</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13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4,066,862</w:t>
            </w:r>
          </w:p>
        </w:tc>
        <w:tc>
          <w:tcPr>
            <w:tcW w:w="124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41</w:t>
            </w:r>
          </w:p>
        </w:tc>
        <w:tc>
          <w:tcPr>
            <w:tcW w:w="1540" w:type="dxa"/>
            <w:vAlign w:val="bottom"/>
          </w:tcPr>
          <w:p>
            <w:pPr>
              <w:jc w:val="right"/>
              <w:ind w:right="451"/>
              <w:spacing w:after="0"/>
              <w:rPr>
                <w:sz w:val="20"/>
                <w:szCs w:val="20"/>
                <w:color w:val="auto"/>
              </w:rPr>
            </w:pPr>
            <w:r>
              <w:rPr>
                <w:rFonts w:ascii="Times New Roman" w:cs="Times New Roman" w:eastAsia="Times New Roman" w:hAnsi="Times New Roman"/>
                <w:sz w:val="18"/>
                <w:szCs w:val="18"/>
                <w:color w:val="auto"/>
              </w:rPr>
              <w:t>(62)</w:t>
            </w:r>
          </w:p>
        </w:tc>
        <w:tc>
          <w:tcPr>
            <w:tcW w:w="11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-3144520</wp:posOffset>
            </wp:positionH>
            <wp:positionV relativeFrom="paragraph">
              <wp:posOffset>-1082675</wp:posOffset>
            </wp:positionV>
            <wp:extent cx="7134225" cy="271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-675640</wp:posOffset>
            </wp:positionV>
            <wp:extent cx="7134225" cy="271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271145"/>
                    </a:xfrm>
                    <a:prstGeom prst="rect">
                      <a:avLst/>
                    </a:prstGeom>
                    <a:noFill/>
                  </pic:spPr>
                </pic:pic>
              </a:graphicData>
            </a:graphic>
          </wp:anchor>
        </w:drawing>
        <w:drawing>
          <wp:anchor simplePos="0" relativeHeight="251657728" behindDoc="1" locked="0" layoutInCell="0" allowOverlap="1">
            <wp:simplePos x="0" y="0"/>
            <wp:positionH relativeFrom="column">
              <wp:posOffset>-3144520</wp:posOffset>
            </wp:positionH>
            <wp:positionV relativeFrom="paragraph">
              <wp:posOffset>-269240</wp:posOffset>
            </wp:positionV>
            <wp:extent cx="713422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4500" w:space="460"/>
            <w:col w:w="6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(6,836)</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119,578,203</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613,511</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(480,118)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134,589</w:t>
            </w:r>
          </w:p>
        </w:tc>
      </w:tr>
      <w:tr>
        <w:trPr>
          <w:trHeight w:val="194"/>
        </w:trPr>
        <w:tc>
          <w:tcPr>
            <w:tcW w:w="462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8,640,583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518,027</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(429,326)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88,787</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issue costs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3,244,941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9,611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9,644</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(6,136)</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2019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11,885,524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527,872</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(435,462)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92,529</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issue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(7,090)</w:t>
            </w:r>
          </w:p>
        </w:tc>
      </w:tr>
      <w:tr>
        <w:trPr>
          <w:trHeight w:val="207"/>
        </w:trPr>
        <w:tc>
          <w:tcPr>
            <w:tcW w:w="46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2019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11,885,524</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528,030</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(442,552)</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85,597</w:t>
            </w:r>
          </w:p>
        </w:tc>
      </w:tr>
      <w:tr>
        <w:trPr>
          <w:trHeight w:val="213"/>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net of issue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r>
      <w:tr>
        <w:trPr>
          <w:trHeight w:val="227"/>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of common stock under stock plans, net of taxes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1,483,477</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3"/>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(8,619)</w:t>
            </w:r>
          </w:p>
        </w:tc>
      </w:tr>
      <w:tr>
        <w:trPr>
          <w:trHeight w:val="207"/>
        </w:trPr>
        <w:tc>
          <w:tcPr>
            <w:tcW w:w="46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30, 2019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13,369,001</w:t>
            </w:r>
          </w:p>
        </w:tc>
        <w:tc>
          <w:tcPr>
            <w:tcW w:w="240" w:type="dxa"/>
            <w:vAlign w:val="bottom"/>
          </w:tcPr>
          <w:p>
            <w:pPr>
              <w:spacing w:after="0"/>
              <w:rPr>
                <w:sz w:val="18"/>
                <w:szCs w:val="18"/>
                <w:color w:val="auto"/>
              </w:rPr>
            </w:pPr>
          </w:p>
        </w:tc>
        <w:tc>
          <w:tcPr>
            <w:tcW w:w="40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527,958</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(451,171)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76,920</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unaudited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44"/>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8000" w:type="dxa"/>
            <w:vAlign w:val="bottom"/>
          </w:tcPr>
          <w:p>
            <w:pPr>
              <w:spacing w:after="0"/>
              <w:rPr>
                <w:sz w:val="24"/>
                <w:szCs w:val="24"/>
                <w:color w:val="auto"/>
              </w:rPr>
            </w:pPr>
          </w:p>
        </w:tc>
        <w:tc>
          <w:tcPr>
            <w:tcW w:w="32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7"/>
        </w:trPr>
        <w:tc>
          <w:tcPr>
            <w:tcW w:w="80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(22,132)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(21,845)</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(Gain) from change in fair value of derivative warrant liability</w:t>
            </w: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from change in fair value of 2020/21 Notes and 2020 Notes embedded derivative liability</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9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(gain) on retirement of property, plant and equipment</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Non-cash lease expense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w:t>
            </w:r>
          </w:p>
        </w:tc>
      </w:tr>
      <w:tr>
        <w:trPr>
          <w:trHeight w:val="213"/>
        </w:trPr>
        <w:tc>
          <w:tcPr>
            <w:tcW w:w="8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non-cash expense</w:t>
            </w:r>
          </w:p>
        </w:tc>
        <w:tc>
          <w:tcPr>
            <w:tcW w:w="9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3"/>
        </w:trPr>
        <w:tc>
          <w:tcPr>
            <w:tcW w:w="8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 deposits and other assets</w:t>
            </w: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3"/>
        </w:trPr>
        <w:tc>
          <w:tcPr>
            <w:tcW w:w="8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accrued expenses and long-term liabilities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jc w:val="center"/>
              <w:ind w:right="4051"/>
              <w:spacing w:after="0"/>
              <w:rPr>
                <w:sz w:val="20"/>
                <w:szCs w:val="20"/>
                <w:color w:val="auto"/>
              </w:rPr>
            </w:pPr>
            <w:r>
              <w:rPr>
                <w:rFonts w:ascii="Times New Roman" w:cs="Times New Roman" w:eastAsia="Times New Roman" w:hAnsi="Times New Roman"/>
                <w:sz w:val="18"/>
                <w:szCs w:val="18"/>
                <w:color w:val="auto"/>
                <w:w w:val="99"/>
              </w:rPr>
              <w:t>Net cash used in operating activities</w:t>
            </w:r>
          </w:p>
        </w:tc>
        <w:tc>
          <w:tcPr>
            <w:tcW w:w="9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4"/>
              </w:rPr>
              <w:t>(14,581)</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(14,798)</w:t>
            </w:r>
          </w:p>
        </w:tc>
      </w:tr>
      <w:tr>
        <w:trPr>
          <w:trHeight w:val="207"/>
        </w:trPr>
        <w:tc>
          <w:tcPr>
            <w:tcW w:w="80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7"/>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Acquisitions of property, plant and equipment</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(1,756)</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(5,779)</w:t>
            </w:r>
          </w:p>
        </w:tc>
      </w:tr>
      <w:tr>
        <w:trPr>
          <w:trHeight w:val="227"/>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9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3"/>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Juhl</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80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7"/>
        </w:trPr>
        <w:tc>
          <w:tcPr>
            <w:tcW w:w="8000" w:type="dxa"/>
            <w:vAlign w:val="bottom"/>
          </w:tcPr>
          <w:p>
            <w:pPr>
              <w:jc w:val="center"/>
              <w:ind w:right="4071"/>
              <w:spacing w:after="0"/>
              <w:rPr>
                <w:sz w:val="20"/>
                <w:szCs w:val="20"/>
                <w:color w:val="auto"/>
              </w:rPr>
            </w:pPr>
            <w:r>
              <w:rPr>
                <w:rFonts w:ascii="Times New Roman" w:cs="Times New Roman" w:eastAsia="Times New Roman" w:hAnsi="Times New Roman"/>
                <w:sz w:val="18"/>
                <w:szCs w:val="18"/>
                <w:color w:val="auto"/>
                <w:w w:val="99"/>
              </w:rPr>
              <w:t>Net cash used in investing activities</w:t>
            </w:r>
          </w:p>
        </w:tc>
        <w:tc>
          <w:tcPr>
            <w:tcW w:w="92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(1,756)</w:t>
            </w:r>
          </w:p>
        </w:tc>
        <w:tc>
          <w:tcPr>
            <w:tcW w:w="320" w:type="dxa"/>
            <w:vAlign w:val="bottom"/>
          </w:tcPr>
          <w:p>
            <w:pPr>
              <w:spacing w:after="0"/>
              <w:rPr>
                <w:sz w:val="17"/>
                <w:szCs w:val="17"/>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(7,260)</w:t>
            </w:r>
          </w:p>
        </w:tc>
      </w:tr>
      <w:tr>
        <w:trPr>
          <w:trHeight w:val="207"/>
        </w:trPr>
        <w:tc>
          <w:tcPr>
            <w:tcW w:w="80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SBA loans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 and equity offering costs</w:t>
            </w: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(6,170)</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common stock warrants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69,985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9,647</w:t>
            </w:r>
          </w:p>
        </w:tc>
      </w:tr>
      <w:tr>
        <w:trPr>
          <w:trHeight w:val="227"/>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9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16,647</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settlement of common stock under stock plans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(331)</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loans payable - other</w:t>
            </w:r>
          </w:p>
        </w:tc>
        <w:tc>
          <w:tcPr>
            <w:tcW w:w="9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7"/>
        </w:trPr>
        <w:tc>
          <w:tcPr>
            <w:tcW w:w="8000" w:type="dxa"/>
            <w:vAlign w:val="bottom"/>
            <w:shd w:val="clear" w:color="auto" w:fill="CCEEFF"/>
          </w:tcPr>
          <w:p>
            <w:pPr>
              <w:jc w:val="center"/>
              <w:ind w:right="4031"/>
              <w:spacing w:after="0"/>
              <w:rPr>
                <w:sz w:val="20"/>
                <w:szCs w:val="20"/>
                <w:color w:val="auto"/>
              </w:rPr>
            </w:pPr>
            <w:r>
              <w:rPr>
                <w:rFonts w:ascii="Times New Roman" w:cs="Times New Roman" w:eastAsia="Times New Roman" w:hAnsi="Times New Roman"/>
                <w:sz w:val="18"/>
                <w:szCs w:val="18"/>
                <w:color w:val="auto"/>
                <w:w w:val="98"/>
              </w:rPr>
              <w:t>Net cash provided by financing activities</w:t>
            </w:r>
          </w:p>
        </w:tc>
        <w:tc>
          <w:tcPr>
            <w:tcW w:w="9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80,656</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9,268</w:t>
            </w:r>
          </w:p>
        </w:tc>
      </w:tr>
      <w:tr>
        <w:trPr>
          <w:trHeight w:val="207"/>
        </w:trPr>
        <w:tc>
          <w:tcPr>
            <w:tcW w:w="80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64,319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(12,790)</w:t>
            </w:r>
          </w:p>
        </w:tc>
      </w:tr>
      <w:tr>
        <w:trPr>
          <w:trHeight w:val="213"/>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period</w:t>
            </w:r>
          </w:p>
        </w:tc>
        <w:tc>
          <w:tcPr>
            <w:tcW w:w="9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16,302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33,734</w:t>
            </w:r>
          </w:p>
        </w:tc>
      </w:tr>
      <w:tr>
        <w:trPr>
          <w:trHeight w:val="247"/>
        </w:trPr>
        <w:tc>
          <w:tcPr>
            <w:tcW w:w="8000" w:type="dxa"/>
            <w:vAlign w:val="bottom"/>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End of period</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80,621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20,944</w:t>
            </w:r>
          </w:p>
        </w:tc>
      </w:tr>
      <w:tr>
        <w:trPr>
          <w:trHeight w:val="20"/>
        </w:trPr>
        <w:tc>
          <w:tcPr>
            <w:tcW w:w="80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8920" w:type="dxa"/>
            <w:vAlign w:val="bottom"/>
            <w:gridSpan w:val="2"/>
          </w:tcPr>
          <w:p>
            <w:pPr>
              <w:jc w:val="center"/>
              <w:ind w:left="2231"/>
              <w:spacing w:after="0"/>
              <w:rPr>
                <w:sz w:val="20"/>
                <w:szCs w:val="20"/>
                <w:color w:val="auto"/>
              </w:rPr>
            </w:pPr>
            <w:r>
              <w:rPr>
                <w:rFonts w:ascii="Times New Roman" w:cs="Times New Roman" w:eastAsia="Times New Roman" w:hAnsi="Times New Roman"/>
                <w:sz w:val="18"/>
                <w:szCs w:val="18"/>
                <w:color w:val="auto"/>
                <w:w w:val="98"/>
              </w:rPr>
              <w:t>See the accompanying Notes to the unaudited Consolidated Financial Statements.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color w:val="auto"/>
                <w:w w:val="88"/>
              </w:rPr>
              <w:t>6</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80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8000" w:type="dxa"/>
            <w:vAlign w:val="bottom"/>
          </w:tcPr>
          <w:p>
            <w:pPr>
              <w:jc w:val="center"/>
              <w:ind w:left="313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8000" w:type="dxa"/>
            <w:vAlign w:val="bottom"/>
          </w:tcPr>
          <w:p>
            <w:pPr>
              <w:jc w:val="center"/>
              <w:ind w:left="3171"/>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Cash Flows - Continued</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and non-cash investing and financing transactions</w:t>
            </w:r>
          </w:p>
        </w:tc>
        <w:tc>
          <w:tcPr>
            <w:tcW w:w="324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7"/>
        </w:trPr>
        <w:tc>
          <w:tcPr>
            <w:tcW w:w="80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953</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purchase of property, plant and equipment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upon exchange of debt and make-whole</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2,517</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in exchange for services rendered</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paid with 2020/21 Notes</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purchased with financing lease</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the unaudited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 Financial Condition and Basis of Presentation</w:t>
      </w:r>
    </w:p>
    <w:p>
      <w:pPr>
        <w:spacing w:after="0" w:line="222" w:lineRule="exact"/>
        <w:rPr>
          <w:sz w:val="20"/>
          <w:szCs w:val="20"/>
          <w:color w:val="auto"/>
        </w:rPr>
      </w:pPr>
    </w:p>
    <w:p>
      <w:pPr>
        <w:ind w:right="80"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Gevo, Inc. (“Gevo” or the “Company,” which, unless otherwise indicated, refers to Gevo, Inc. and its subsidiaries) is a growth-oriented renewable fuels company that is commercializing the next generation of renewable low-carbon liquid transportation fuels with the potential to achieve a “net zero” greenhouse gas (“GHG”) footprint and address global needs of reducing GHG emissions with sustainable alternatives to petroleum fuels. 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fuel life-cycle, Gevo’s renewable fuels eliminate other pollutants associated with the burning of traditional fossil fuels such as particulates and sulfur, while delivering superior performance.</w:t>
      </w:r>
    </w:p>
    <w:p>
      <w:pPr>
        <w:spacing w:after="0" w:line="189"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Gevo uses low-carbon, renewable resource-based raw materials as feedstock. In the near-term, Gevo’s feedstocks will primarily consist of non-food corn. As Gevo’s technology is applied globally, feedstocks can consist of sugar cane, molasses or other cellulosic sugars derived from wood, agricultural residues and waste. Gevo’s patented fermentation yeast biocatalyst produces isobutanol, a four-carbon alcohol, via the fermentation of renewable plant biomass carbohydrates. The resulting renewable isobutanol has a variety of direct applications but, more importantly to Gevo’s fundamental strategy, serves as a building block to make renewable isooctane (which we refer to as a renewable premium gasoline) and renewable jet fuel using simple and common chemical conversion processes. Gevo also reduces or eliminates fossil-based process energy inputs by replacing them with renewable energy such as wind-powered electricity and renewable natural gas (“RNG”).</w:t>
      </w:r>
    </w:p>
    <w:p>
      <w:pPr>
        <w:spacing w:after="0" w:line="187" w:lineRule="exact"/>
        <w:rPr>
          <w:sz w:val="20"/>
          <w:szCs w:val="20"/>
          <w:color w:val="auto"/>
        </w:rPr>
      </w:pPr>
    </w:p>
    <w:p>
      <w:pPr>
        <w:ind w:firstLine="480"/>
        <w:spacing w:after="0" w:line="271" w:lineRule="auto"/>
        <w:rPr>
          <w:sz w:val="20"/>
          <w:szCs w:val="20"/>
          <w:color w:val="auto"/>
        </w:rPr>
      </w:pPr>
      <w:r>
        <w:rPr>
          <w:rFonts w:ascii="Times New Roman" w:cs="Times New Roman" w:eastAsia="Times New Roman" w:hAnsi="Times New Roman"/>
          <w:sz w:val="17"/>
          <w:szCs w:val="17"/>
          <w:color w:val="auto"/>
        </w:rPr>
        <w:t>Ultimately, the Company believes that the attainment of profitable operations is dependent upon future events, including (i) completing certain capital improvements at the Company’s production facility located in Luverne, Minnesota (the "Luverne Facility") to increase the production capacity of renewable gasoline and jet fuel and other related products that can be made from isobutanol; (ii) completing the Company's development activities resulting in commercial production and sales of renewable hydrocarbon products; (iii) obtaining adequate financing to complete the Company's development activities, including the build out of isobutanol and renewable hydrocarbon capacity; (iv) gaining market acceptance and demand for the Company's products and services; (v) attracting and retaining qualified personnel; and (vi) achieving a level of revenues adequate to support the Company's cost structure.</w:t>
      </w:r>
    </w:p>
    <w:p>
      <w:pPr>
        <w:spacing w:after="0" w:line="168"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The novel coronavirus ("COVID-19") pandemic has had an adverse impact on global commercial activity, including the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industry and its supply chain and has contributed to significant volatility in the financial markets. In light of the current and potential future disruption to the Company's business operations and those of its customers, suppliers and other third parties with whom the Company does business, the Company considered the impact of the COVID-19 pandemic on its business. This analysis considered the Company's resilience and continuity plans, financial modeling and stress testing of liquidity and financial resources.</w:t>
      </w:r>
    </w:p>
    <w:p>
      <w:pPr>
        <w:spacing w:after="0" w:line="18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Company expects that the impact of the COVID-19 pandemic on general economic activity could negatively impact its revenue and operating results for at least the remainder of 2020 and beyond. The suspension of ethanol production at the Company's Luverne Facility and reduction in the Company's workforce during the first quarter of 2020 due to the impact of COVID-19 had an adverse impact on the Company’s financial results for the third quarter of 2020 reducing revenue by 97% compared to the same period in 2019. The Company expects that the suspension of ethanol production at the Luverne Facility and reduction in workforce will allow it to continue to reduce its cash burn during 2020.</w:t>
      </w:r>
    </w:p>
    <w:p>
      <w:pPr>
        <w:spacing w:after="0" w:line="186"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With many of the Company’s employees working remotely, the Company faces the risk that unusual working arrangements could impact the effectiveness of its operations or controls. A potential COVID-19 infection of any of its key employees could materially and adversely impact its operations. In addition, it is possible that COVID-19 restrictions could create difficulty for satisfying the Company’s legal or regulatory filing or other obligations, including with the SEC and other regulators.</w:t>
      </w:r>
    </w:p>
    <w:p>
      <w:pPr>
        <w:spacing w:after="0" w:line="1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auto"/>
        </w:rPr>
        <w:t>There is also a risk that the COVID-19 pandemic could continue to have a material adverse impact on customer demand and cash flow for the remainder of 2020 and beyond. The Company will continue to monitor the situation and assess possible implications to the Company's business and its stakeholders and will take appropriate actions to help mitigate adverse consequences. The extent to which COVID-19 continues to impact the Company's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5"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quarter ended September 30, 2020 and beyond as the COVID-19 pandemic has impacted the industries in which the Company operates. These estimates and assumptions include the collectability of billed and unbilled receivables and the estimation of revenue and tangible and intangible assets. With regard to collectability, the Company believes it may face atypical delays in client payments going forward but the Company has not experienced delays in collection as of September 30, 2020.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reduces demand for or the extent of renewable alcohol-to-jet fuel (“ATJ”), isooctane and isooctene. The Company believes that these trends and uncertainties are comparable to those faced by other registrants as a result of the COVID-19 pandemic.</w:t>
      </w:r>
    </w:p>
    <w:p>
      <w:pPr>
        <w:spacing w:after="0" w:line="18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auto"/>
        </w:rPr>
        <w:t>In response to the impact of the COVID-19 pandemic, each of Patrick R. Gruber, the Company's Chief Executive Officer, Christopher M. Ryan, the Company's President, Chief Operating Officer and Chief Technology Officer, L. Lynn Smull, the Company's Chief Financial Officer, Timothy J. Cesarek, the Company's Chief Commercial Officer, Geoffrey T. Williams, Jr., the Company's General Counsel and Secretary, and Carolyn M. Romero, the Company's Vice President - Controller and Principal Accounting Officer (collectively, the “Officers”) accepted 20% reductions to their base salaries. These reductions became effective as of April 1, 2020 and continued until July 31, 2020. In connection with the 20% salary reduction, the Officers were granted Company common stock in the form of restricted stock awards in an amount equal to the 20% reduction. Certain remaining employees that earn above a certain dollar threshold also agreed to take a 20% salary reduction through July 31, 2020, with the 20% portion to be paid in the form of restricted stock awards.</w:t>
      </w:r>
    </w:p>
    <w:p>
      <w:pPr>
        <w:spacing w:after="0" w:line="172" w:lineRule="exact"/>
        <w:rPr>
          <w:sz w:val="20"/>
          <w:szCs w:val="20"/>
          <w:color w:val="auto"/>
        </w:rPr>
      </w:pPr>
    </w:p>
    <w:p>
      <w:pPr>
        <w:ind w:right="50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New Contracts. </w:t>
      </w:r>
      <w:r>
        <w:rPr>
          <w:rFonts w:ascii="Times New Roman" w:cs="Times New Roman" w:eastAsia="Times New Roman" w:hAnsi="Times New Roman"/>
          <w:sz w:val="18"/>
          <w:szCs w:val="18"/>
          <w:color w:val="auto"/>
        </w:rPr>
        <w:t>As previously disclosed, Gevo and Praj Industries Ltd. (“Praj”) entered into a Construction License Agreement (“CLA”)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April 4, 2019, a Joint Development Agreement, effective as of April 1, 2018 (as amended, the “Feedstock JDA”) and a Development License Agreement, effective as of April 1, 2018. On August 13, 2020, the Company and Praj entered into a Master Framework Agreement (the “MFA”) to collaborate on providing renewable jet fuel and premium gasoline in India and neighboring countries which replaced the CLA.</w:t>
      </w:r>
    </w:p>
    <w:p>
      <w:pPr>
        <w:spacing w:after="0" w:line="179" w:lineRule="exact"/>
        <w:rPr>
          <w:sz w:val="20"/>
          <w:szCs w:val="20"/>
          <w:color w:val="auto"/>
        </w:rPr>
      </w:pPr>
    </w:p>
    <w:p>
      <w:pPr>
        <w:ind w:firstLine="480"/>
        <w:spacing w:after="0" w:line="267" w:lineRule="auto"/>
        <w:rPr>
          <w:sz w:val="20"/>
          <w:szCs w:val="20"/>
          <w:color w:val="auto"/>
        </w:rPr>
      </w:pPr>
      <w:r>
        <w:rPr>
          <w:rFonts w:ascii="Times New Roman" w:cs="Times New Roman" w:eastAsia="Times New Roman" w:hAnsi="Times New Roman"/>
          <w:sz w:val="17"/>
          <w:szCs w:val="17"/>
          <w:color w:val="auto"/>
        </w:rPr>
        <w:t>Pursuant to the licenses granted by the Company to Praj under the MFA, Praj has exclusive rights to cause the Company to enter into negotiations with third-parties (each, a “Plant Operator”) that own or operate refineries for the production of Biobutanol (defined in the MFA), including conversion of ethyl alcohol to Biobutanol or for the production of isooctane, jet fuel and/or similar hydrocarbons (the “Hydrocarbon Transportation Fuel”) either in the Territory (as defined in the MFA) or who are named on the Plant List (as defined in the MFA). The MFA allows Praj to provide services (such as basic engineering and design package, supply of critical equipment, supervision services, engineering, procurement and construction services and additional related services) (the “Services”) to the applicable Plant Operator for (a) production of Biobutanol from juice, syrup, and/or molasses from sugarcane, beets, bagasse, rice straw, wheat straw or corn stover, and other additional feedstocks using the process design package developed under the Feedstock JDA and (b) for the production of Hydrocarbon Transportation Fuel using the Hydrocarbon PDPs (as defined in the MFA) for the conversion of Biobutanol to Hydrocarbon Transportation Fuel. Praj has no rights to commercially produce Biobutanol or otherwise convert Biobutanol to Hydrocarbon Transportation Fuel under the MFA.</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Company will receive certain finder’s fees as set forth in the MFA to the extent one of the Company’s third party licensees (a) is not previously identified in the various agreements or not located in certain specified areas, (b) uses Praj’s enfinity Technology (as defined in the MFA) in concert with the Feedstock PDP and (c) the constructed facilities are of a certain commercial scale. The MFA contains customary representations, warranties and covenants, indemnification provisions and other terms. The MFA will continue in effect for 10 years, unless earlier terminated by either party as set forth in the MFA, and automatically renews for additional one year terms until terminated or either party provides at least 30 days’ notice prior to the end of the current term. If Praj fails to fully commission Authorized Plants (as defined in the MFA) with the cumulative capacity to generate five million gallons per year of Biobutanol or Hydrocarbon Transportation Fuel by the fifth contract year, the exclusive license grants will terminate (unless otherwise mutually agreed in writing by the parties).</w:t>
      </w:r>
    </w:p>
    <w:p>
      <w:pPr>
        <w:spacing w:after="0" w:line="190"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On August 14, 2020, Gevo entered into a Renewable Hydrocarbons Purchase and Sale Agreement (the “Agreement”) with Trafigura Trading LLC (“Trafigura”), whereby the Company agreed to supply renewable hydrocarbons to Trafigura. The initial term of the Agreement is 10 years, and Trafigura has the option to extend the initial term. Performance under the Agreement is subject to certain conditions as set forth below, including acquiring a production facility to produce the renewable hydrocarbon products contemplated by the Agreement and closing a financing transaction for sufficient funds to acquire and retrofit the production facility contemplated by the Agreement.</w:t>
      </w:r>
    </w:p>
    <w:p>
      <w:pPr>
        <w:spacing w:after="0" w:line="186" w:lineRule="exact"/>
        <w:rPr>
          <w:sz w:val="20"/>
          <w:szCs w:val="20"/>
          <w:color w:val="auto"/>
        </w:rPr>
      </w:pPr>
    </w:p>
    <w:p>
      <w:pPr>
        <w:ind w:right="260" w:firstLine="480"/>
        <w:spacing w:after="0" w:line="252" w:lineRule="auto"/>
        <w:rPr>
          <w:sz w:val="20"/>
          <w:szCs w:val="20"/>
          <w:color w:val="auto"/>
        </w:rPr>
      </w:pPr>
      <w:r>
        <w:rPr>
          <w:rFonts w:ascii="Times New Roman" w:cs="Times New Roman" w:eastAsia="Times New Roman" w:hAnsi="Times New Roman"/>
          <w:sz w:val="18"/>
          <w:szCs w:val="18"/>
          <w:color w:val="auto"/>
        </w:rPr>
        <w:t>If the Company does not provide to Trafigura the design, capabilities (including the expected annual production capacity), specifications, required governmental authorizations, delivery logistics and location of an additional new project that the Company plans to develop or acquire (the “Production Facility”) (collectively, the “Facility Design”) to meet the requirements set forth in the Agreement on or before December 31, 2020, either party may terminate the Agreement. The parties respective obligations under the Agreement are also subject to certain Conditions Precedent (as defined in the Agreement), including, but not limited to, the Company securing initial financing for the construction of the Production Facility, and the Company having entered into engineering, procurement, and construction agreements for the construction of the Production Facility, in form and substance reasonably satisfactory to the Company.</w:t>
      </w:r>
    </w:p>
    <w:p>
      <w:pPr>
        <w:spacing w:after="0" w:line="187"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Subject to the satisfaction or waiver of all of the Conditions Precedent, the Company is required to use commercially reasonable efforts to cause the “Commercial Operations Date” to occur on or before December 31, 2023. The Commercial Operations Date will be the date on which the Company determines that the production facility is capable of consistently producing renewable hydrocarbons conforming to specification and in quantities set forth under the Agreement, provided that the expected annual production capability is at least equal to 85% of the annual production capability contemplated by the Facility Design. If the Commercial Operations Date has not taken place on or before December 31, 2023 (as may be adjusted in accordance with the Agreement), then the Company will be required to pay Trafigura certain liquidated damages.</w:t>
      </w:r>
    </w:p>
    <w:p>
      <w:pPr>
        <w:spacing w:after="0" w:line="183" w:lineRule="exact"/>
        <w:rPr>
          <w:sz w:val="20"/>
          <w:szCs w:val="20"/>
          <w:color w:val="auto"/>
        </w:rPr>
      </w:pPr>
    </w:p>
    <w:p>
      <w:pPr>
        <w:ind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Restructuring Expenses. </w:t>
      </w:r>
      <w:r>
        <w:rPr>
          <w:rFonts w:ascii="Times New Roman" w:cs="Times New Roman" w:eastAsia="Times New Roman" w:hAnsi="Times New Roman"/>
          <w:sz w:val="18"/>
          <w:szCs w:val="18"/>
          <w:color w:val="auto"/>
        </w:rPr>
        <w:t>During the first quarter of 2020, the Company suspended its ethanol production at the Luverne Facility. In addition,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the COVID-19 pandemic on the global economy and the Company’s industry, in March 2020, the Company reduced its workforce, impacting 26 people at the Luverne Facility and four people at the Company's corporate headquarters. Affected employees were offered a severance package which included a one-time payment, one month of health insurance and acceleration of vesting for any unvested restricted stock awards.</w:t>
      </w:r>
    </w:p>
    <w:p>
      <w:pPr>
        <w:spacing w:after="0" w:line="179"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 xml:space="preserve">The Company incurred $0.1 million related to severance costs and $0.2 million related to lease agreements for which it will no longer receive value during the nine months ended September 30, 2020, which are recorded as </w:t>
      </w: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 xml:space="preserve"> on the Consolidated Statements of Operations. Restructuring expense totaled $0.02 million and $0.3 million for Gevo and Gevo Development/Agri-Energy segments, respectively, during the nine months ended September 30, 2020.</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The Company intends to continue developing its hydrocarbon business, including the planned expansion of the Luverne Facility, and the Company expects to move forward in securing the project funding needed to expand the Luverne Facility. The expansion is designed to allow the Company to produce large quantities of low carbon isobutanol, sustainable aviation fuel and renewable isooctane. The Company also expects to continue engineering efforts for the expansion of isobutanol production and the construction of a commercial renewable hydrocarbon production facility, as well as additional decarbonization projects, at the Luverne Facility.</w:t>
      </w:r>
    </w:p>
    <w:p>
      <w:pPr>
        <w:spacing w:after="0" w:line="184" w:lineRule="exact"/>
        <w:rPr>
          <w:sz w:val="20"/>
          <w:szCs w:val="20"/>
          <w:color w:val="auto"/>
        </w:rPr>
      </w:pPr>
    </w:p>
    <w:p>
      <w:pPr>
        <w:ind w:right="140" w:firstLine="480"/>
        <w:spacing w:after="0" w:line="279" w:lineRule="auto"/>
        <w:rPr>
          <w:sz w:val="20"/>
          <w:szCs w:val="20"/>
          <w:color w:val="auto"/>
        </w:rPr>
      </w:pPr>
      <w:r>
        <w:rPr>
          <w:rFonts w:ascii="Times New Roman" w:cs="Times New Roman" w:eastAsia="Times New Roman" w:hAnsi="Times New Roman"/>
          <w:sz w:val="18"/>
          <w:szCs w:val="18"/>
          <w:color w:val="auto"/>
        </w:rPr>
        <w:t xml:space="preserve">As of September 30, 2020, the Company had the following liabilities outstanding related to the restructuring expenses included in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accrued liabilities</w:t>
      </w:r>
      <w:r>
        <w:rPr>
          <w:rFonts w:ascii="Times New Roman" w:cs="Times New Roman" w:eastAsia="Times New Roman" w:hAnsi="Times New Roman"/>
          <w:sz w:val="18"/>
          <w:szCs w:val="18"/>
          <w:color w:val="auto"/>
        </w:rPr>
        <w:t>" in the Consolidated Balance Sheets: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December 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32"/>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Payments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07"/>
        </w:trPr>
        <w:tc>
          <w:tcPr>
            <w:tcW w:w="59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Severance (including payroll taxes)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agreements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140" w:firstLine="640"/>
        <w:spacing w:after="0" w:line="274" w:lineRule="auto"/>
        <w:rPr>
          <w:sz w:val="20"/>
          <w:szCs w:val="20"/>
          <w:color w:val="auto"/>
        </w:rPr>
      </w:pPr>
      <w:r>
        <w:rPr>
          <w:rFonts w:ascii="Times New Roman" w:cs="Times New Roman" w:eastAsia="Times New Roman" w:hAnsi="Times New Roman"/>
          <w:sz w:val="17"/>
          <w:szCs w:val="17"/>
          <w:i w:val="1"/>
          <w:iCs w:val="1"/>
          <w:color w:val="auto"/>
        </w:rPr>
        <w:t>Financial Condition</w:t>
      </w:r>
      <w:r>
        <w:rPr>
          <w:rFonts w:ascii="Times New Roman" w:cs="Times New Roman" w:eastAsia="Times New Roman" w:hAnsi="Times New Roman"/>
          <w:sz w:val="17"/>
          <w:szCs w:val="17"/>
          <w:color w:val="auto"/>
        </w:rPr>
        <w:t>. The Company has incurred consolidated net losses since inception and had a significant accumulated deficit as of September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30, 2020. The Company’s cash and cash equivalents as of September 30, 2020 totaled $80.6 million and are expected to be used for the following purposes:</w:t>
      </w:r>
    </w:p>
    <w:p>
      <w:pPr>
        <w:spacing w:after="0" w:line="2" w:lineRule="exact"/>
        <w:rPr>
          <w:sz w:val="20"/>
          <w:szCs w:val="20"/>
          <w:color w:val="auto"/>
        </w:rPr>
      </w:pPr>
    </w:p>
    <w:p>
      <w:pPr>
        <w:ind w:right="140" w:firstLine="7"/>
        <w:spacing w:after="0" w:line="250" w:lineRule="auto"/>
        <w:tabs>
          <w:tab w:leader="none" w:pos="2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the Luverne Facility expansion plan; (ii) identification of new production facilities and to plan for expanded production to fulfill existing off-take agreements; (iii) operating activities at the Company’s corporate headquarters in Colorado, including research and development work; (iv) development projects associated with the Company's RNG projects; (v) exploration of strategic alternatives and additional financings, including project financing; and (vi) debt service obligations.</w:t>
      </w:r>
    </w:p>
    <w:p>
      <w:pPr>
        <w:spacing w:after="0" w:line="186"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and the achievement of a level of revenues adequate to support the Company’s cost structure. The Company may never achieve profitability or positive cash flows, and unless and until it does, the Company will continue to need to raise additional capital.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 the Company will be able to raise additional funds or achieve or sustain profitability or positive cash flows from operations.</w:t>
      </w:r>
    </w:p>
    <w:p>
      <w:pPr>
        <w:spacing w:after="0" w:line="188" w:lineRule="exact"/>
        <w:rPr>
          <w:sz w:val="20"/>
          <w:szCs w:val="20"/>
          <w:color w:val="auto"/>
        </w:rPr>
      </w:pPr>
    </w:p>
    <w:p>
      <w:pPr>
        <w:ind w:right="40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July 2020 Offering. </w:t>
      </w:r>
      <w:r>
        <w:rPr>
          <w:rFonts w:ascii="Times New Roman" w:cs="Times New Roman" w:eastAsia="Times New Roman" w:hAnsi="Times New Roman"/>
          <w:sz w:val="18"/>
          <w:szCs w:val="18"/>
          <w:color w:val="auto"/>
        </w:rPr>
        <w:t>On July 6, 2020, Gevo completed a public offering (the “July 2020 Offering”) of (i) 20,896,666 Series 1 units (the “Series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at a price of $0.60 per Series 1 Unit, and (ii) 9,103,334 Series 2 units (the “Series 2 Units”) at a price of $0.59 per Series 2 Unit. The July 2020 Offering was made under a registration statement on Form S-1 filed with the Securities and Exchange Commission, declared effective on September 30, 2020.</w:t>
      </w:r>
    </w:p>
    <w:p>
      <w:pPr>
        <w:spacing w:after="0" w:line="179"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Each Series 1 Unit consisted of one share of the Company’s common stock and one Series 2020-A warrant to purchase one share of the Company’s common stock (each, a “Series 2020-A Warrant”). Each Series 2 Unit consists of a pre-funded Series 2020-B warrant to purchase one share of the Company’s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July 2020 Offering, the Company issued Series 2020-A Warrants to purchase an aggregate of 30,000,000 shares of common stock. As of September 30, 2020, all of the Series 2020-B Warrants were exercised.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320" w:firstLine="480"/>
        <w:spacing w:after="0" w:line="262" w:lineRule="auto"/>
        <w:rPr>
          <w:sz w:val="20"/>
          <w:szCs w:val="20"/>
          <w:color w:val="auto"/>
        </w:rPr>
      </w:pPr>
      <w:r>
        <w:rPr>
          <w:rFonts w:ascii="Times New Roman" w:cs="Times New Roman" w:eastAsia="Times New Roman" w:hAnsi="Times New Roman"/>
          <w:sz w:val="18"/>
          <w:szCs w:val="18"/>
          <w:color w:val="auto"/>
        </w:rPr>
        <w:t>The net proceeds to the Company from the July 2020 Offering were approximately $16.1 million, after deducting placement agent fees and other offering expenses payable by the Company, and not including any future proceeds from the exercise of the Warrants. The Company intends to use the net proceeds from the July 2020 Offering to fund working capital and for other general corporate purposes.</w:t>
      </w:r>
    </w:p>
    <w:p>
      <w:pPr>
        <w:spacing w:after="0" w:line="176" w:lineRule="exact"/>
        <w:rPr>
          <w:sz w:val="20"/>
          <w:szCs w:val="20"/>
          <w:color w:val="auto"/>
        </w:rPr>
      </w:pPr>
    </w:p>
    <w:p>
      <w:pPr>
        <w:jc w:val="both"/>
        <w:ind w:right="40" w:firstLine="480"/>
        <w:spacing w:after="0" w:line="262" w:lineRule="auto"/>
        <w:rPr>
          <w:sz w:val="20"/>
          <w:szCs w:val="20"/>
          <w:color w:val="auto"/>
        </w:rPr>
      </w:pPr>
      <w:r>
        <w:rPr>
          <w:rFonts w:ascii="Times New Roman" w:cs="Times New Roman" w:eastAsia="Times New Roman" w:hAnsi="Times New Roman"/>
          <w:sz w:val="18"/>
          <w:szCs w:val="18"/>
          <w:color w:val="auto"/>
        </w:rPr>
        <w:t>During the three months ended September 30, 2020, the Company received notices of exercise from holders of our Series 2020-A Warrants to issue an aggregate of 27,317,834 shares of common stock for total gross proceeds of approximately $16.4 million. Following these exercises, Series 2020-A Warrants to purchase 2,682,166 shares of the Company's common stock remain outstanding at an exercise price of $0.60 per share.</w:t>
      </w:r>
    </w:p>
    <w:p>
      <w:pPr>
        <w:spacing w:after="0" w:line="174" w:lineRule="exact"/>
        <w:rPr>
          <w:sz w:val="20"/>
          <w:szCs w:val="20"/>
          <w:color w:val="auto"/>
        </w:rPr>
      </w:pPr>
    </w:p>
    <w:p>
      <w:pPr>
        <w:jc w:val="both"/>
        <w:ind w:firstLine="48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August 2020 Offering. </w:t>
      </w:r>
      <w:r>
        <w:rPr>
          <w:rFonts w:ascii="Times New Roman" w:cs="Times New Roman" w:eastAsia="Times New Roman" w:hAnsi="Times New Roman"/>
          <w:sz w:val="17"/>
          <w:szCs w:val="17"/>
          <w:color w:val="auto"/>
        </w:rPr>
        <w:t>On August 25, 2020, the Company completed a registered direct offering pursuant to a securities purchase agreement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institutional and accredited investors providing for the issuance and sale by the Company of an aggregate of (i) 21,929,313 shares of the Company’s common stock (the “Shares”) at a price of $1.30 per share, and (ii) 16,532,232 pre-funded Series 2020-C warrants to purchase one share of the Company’s common stock (each, a “Series 2020-C Warrant”) at a price of $1.29 per Series 2020-C Warrant, in a registered direct offering (the “August 2020 Offering”). The pre-funded Series 2020-C Warrants are exercisable beginning on the date of issuance at a nominal exercise price of $0.01 per share of common stock any time until the Series 2020-C Warrants are exercised in full. As of September 30, 2020, all of the Series 2020-C Warrants were exercised.</w:t>
      </w:r>
    </w:p>
    <w:p>
      <w:pPr>
        <w:spacing w:after="0" w:line="172"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The net proceeds to the Company from the August 2020 Offering were approximately $45.8 million, after deducting placement agent fees and other estimated offering expenses payable by the Company, and not including any future proceeds from the exercise of the Warrants. The Company intends to use the net proceeds from the August 2020 Offering to fund working capital and for other general corporate purposes.</w:t>
      </w:r>
    </w:p>
    <w:p>
      <w:pPr>
        <w:spacing w:after="0" w:line="176"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 xml:space="preserve">The Company evaluated the Series 2020-A, Series 2020-B and Series 2020-C Warrants for liability or equity classification in accordance with the provisions of Accounting Standards Codification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determined that equity treatment was appropriate because neither the Series 2020-A, Series 2020-B or Series 2020-C Warrants met the definition of liability instruments.</w:t>
      </w:r>
    </w:p>
    <w:p>
      <w:pPr>
        <w:spacing w:after="0" w:line="176" w:lineRule="exact"/>
        <w:rPr>
          <w:sz w:val="20"/>
          <w:szCs w:val="20"/>
          <w:color w:val="auto"/>
        </w:rPr>
      </w:pPr>
    </w:p>
    <w:p>
      <w:pPr>
        <w:ind w:right="200" w:firstLine="480"/>
        <w:spacing w:after="0" w:line="252" w:lineRule="auto"/>
        <w:rPr>
          <w:sz w:val="20"/>
          <w:szCs w:val="20"/>
          <w:color w:val="auto"/>
        </w:rPr>
      </w:pPr>
      <w:r>
        <w:rPr>
          <w:rFonts w:ascii="Times New Roman" w:cs="Times New Roman" w:eastAsia="Times New Roman" w:hAnsi="Times New Roman"/>
          <w:sz w:val="18"/>
          <w:szCs w:val="18"/>
          <w:color w:val="auto"/>
        </w:rPr>
        <w:t>The Warrants are classified as component of permanent equity because they are freestanding financial instruments that are legally detachable and separately exercisable from the shares of common stock with which they were issued, are immediately exercisable, do not embody an obligation for the Company to repurchase its shares, and permit the holders to receive a fixed number of shares of common stock upon exercise. In addition, the Warrants do not provide any guarantee of value or return. The Company valued the Series 2020-A, Series 2020-B and Series 2020-C Warrants at issuance using the Black-Scholes option pricing model and determined the fair value of the Series 2020-A, Series 2020-B and Series 2020-C Warrants to purchase the Company’s common stock at $8.3 million, $2.9 million and $21.4 million, respectively. The key inputs to the valuation model included a weighted average volatility of 130% to 141%, risk-free rate of 0.30% to 0.31% and an expected term of five years.</w:t>
      </w:r>
    </w:p>
    <w:p>
      <w:pPr>
        <w:spacing w:after="0" w:line="185" w:lineRule="exact"/>
        <w:rPr>
          <w:sz w:val="20"/>
          <w:szCs w:val="20"/>
          <w:color w:val="auto"/>
        </w:rPr>
      </w:pPr>
    </w:p>
    <w:p>
      <w:pPr>
        <w:ind w:right="2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of 2020/21 Notes. </w:t>
      </w:r>
      <w:r>
        <w:rPr>
          <w:rFonts w:ascii="Times New Roman" w:cs="Times New Roman" w:eastAsia="Times New Roman" w:hAnsi="Times New Roman"/>
          <w:sz w:val="18"/>
          <w:szCs w:val="18"/>
          <w:color w:val="auto"/>
        </w:rPr>
        <w:t>On July 10, 2020, certain holders of the 2020/21 Notes converted $2.0 million in aggregate principal amount of 2020/21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Notes (including the conversion of an additional $0.3 million for make-whole payment) into an aggregate of 4,169,426 shares of common stock pursuant to the terms of the 2020/21 Indenture. The Company recorded a </w:t>
      </w:r>
      <w:r>
        <w:rPr>
          <w:rFonts w:ascii="Times New Roman" w:cs="Times New Roman" w:eastAsia="Times New Roman" w:hAnsi="Times New Roman"/>
          <w:sz w:val="18"/>
          <w:szCs w:val="18"/>
          <w:i w:val="1"/>
          <w:iCs w:val="1"/>
          <w:color w:val="auto"/>
        </w:rPr>
        <w:t>Loss on conversion of 2020/21 Notes</w:t>
      </w:r>
      <w:r>
        <w:rPr>
          <w:rFonts w:ascii="Times New Roman" w:cs="Times New Roman" w:eastAsia="Times New Roman" w:hAnsi="Times New Roman"/>
          <w:sz w:val="18"/>
          <w:szCs w:val="18"/>
          <w:color w:val="auto"/>
        </w:rPr>
        <w:t xml:space="preserve"> of $0.5 million on its Consolidated Statements of Operations.</w:t>
      </w:r>
    </w:p>
    <w:p>
      <w:pPr>
        <w:spacing w:after="0" w:line="177" w:lineRule="exact"/>
        <w:rPr>
          <w:sz w:val="20"/>
          <w:szCs w:val="20"/>
          <w:color w:val="auto"/>
        </w:rPr>
      </w:pPr>
    </w:p>
    <w:p>
      <w:pPr>
        <w:jc w:val="both"/>
        <w:ind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In February 2018, the Company commenced an at-the-market offering program, which allows it to sell and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its common stock from time-to-time. In August 2019, the at-the-market offering program was amended to provide available capacity under the at-the-market offering program of $10.7 million.</w:t>
      </w:r>
    </w:p>
    <w:p>
      <w:pPr>
        <w:spacing w:after="0" w:line="175" w:lineRule="exact"/>
        <w:rPr>
          <w:sz w:val="20"/>
          <w:szCs w:val="20"/>
          <w:color w:val="auto"/>
        </w:rPr>
      </w:pPr>
    </w:p>
    <w:p>
      <w:pPr>
        <w:jc w:val="both"/>
        <w:ind w:firstLine="480"/>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2020, the Company issued 1,343,121 shares of common stock under the at-the-market offering program for total proceeds of $2.2 million, net of commissions and other offering related expenses. No shares were issued under the at-the-market offering program during the three months ended September 30, 2020.</w:t>
      </w:r>
    </w:p>
    <w:p>
      <w:pPr>
        <w:spacing w:after="0" w:line="176" w:lineRule="exact"/>
        <w:rPr>
          <w:sz w:val="20"/>
          <w:szCs w:val="20"/>
          <w:color w:val="auto"/>
        </w:rPr>
      </w:pPr>
    </w:p>
    <w:p>
      <w:pPr>
        <w:jc w:val="both"/>
        <w:ind w:firstLine="480"/>
        <w:spacing w:after="0" w:line="277" w:lineRule="auto"/>
        <w:rPr>
          <w:sz w:val="20"/>
          <w:szCs w:val="20"/>
          <w:color w:val="auto"/>
        </w:rPr>
      </w:pPr>
      <w:r>
        <w:rPr>
          <w:rFonts w:ascii="Times New Roman" w:cs="Times New Roman" w:eastAsia="Times New Roman" w:hAnsi="Times New Roman"/>
          <w:sz w:val="18"/>
          <w:szCs w:val="18"/>
          <w:color w:val="auto"/>
        </w:rPr>
        <w:t>As of September 30, 2020, the Company has remaining capacity to issue up to approximately $6.5 million of common stock under the at-the-market offering program.</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unaudited consolidated financial statements of the Company (which include the accounts of its wholly-owned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Gevo Development, LLC (“Gevo Development”)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at September 30, 2020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2019.</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There is no provision for income taxes because the Company has incurred operating losses since inception.</w:t>
      </w:r>
    </w:p>
    <w:p>
      <w:pPr>
        <w:spacing w:after="0" w:line="220" w:lineRule="exact"/>
        <w:rPr>
          <w:sz w:val="20"/>
          <w:szCs w:val="20"/>
          <w:color w:val="auto"/>
        </w:rPr>
      </w:pPr>
    </w:p>
    <w:p>
      <w:pPr>
        <w:jc w:val="both"/>
        <w:ind w:right="500" w:firstLine="48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Concentration of Business Risk. </w:t>
      </w:r>
      <w:r>
        <w:rPr>
          <w:rFonts w:ascii="Times New Roman" w:cs="Times New Roman" w:eastAsia="Times New Roman" w:hAnsi="Times New Roman"/>
          <w:sz w:val="17"/>
          <w:szCs w:val="17"/>
          <w:color w:val="auto"/>
        </w:rPr>
        <w:t>As of September 30, 2020, four customers, Coryton Advanced Fuels Ltd ("Coryton"), Total Petrochemicals &amp;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Refining USA, Inc. ("Total"), Eco-Energy, LLC ("Eco-Energy") and World Kinect Energy Services (" Kinect"), comprised approximately 27%, 20%,</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14% and 12% of the Company's outstanding trade accounts receivable, respectively. As of December 31, 2019, three customers, Eco-Energy, Purina Animal Nutrition, LLC ("Purina"), and HCS Group GmbH ("HCS") comprised 57%, 13% and 15% of the Company's outstanding trade accounts receivable, respectively.</w:t>
      </w:r>
    </w:p>
    <w:p>
      <w:pPr>
        <w:spacing w:after="0" w:line="186" w:lineRule="exact"/>
        <w:rPr>
          <w:sz w:val="20"/>
          <w:szCs w:val="20"/>
          <w:color w:val="auto"/>
        </w:rPr>
      </w:pPr>
    </w:p>
    <w:p>
      <w:pPr>
        <w:ind w:right="120" w:firstLine="480"/>
        <w:spacing w:after="0" w:line="269" w:lineRule="auto"/>
        <w:rPr>
          <w:sz w:val="20"/>
          <w:szCs w:val="20"/>
          <w:color w:val="auto"/>
        </w:rPr>
      </w:pPr>
      <w:r>
        <w:rPr>
          <w:rFonts w:ascii="Times New Roman" w:cs="Times New Roman" w:eastAsia="Times New Roman" w:hAnsi="Times New Roman"/>
          <w:sz w:val="17"/>
          <w:szCs w:val="17"/>
          <w:color w:val="auto"/>
        </w:rPr>
        <w:t>For the three months ended September 30, 2020, Coryton and Total accounted for approximately 52% and 39% of the Company's consolidated revenue, respectively. For the three months ended September 30, 2019, Eco-Energy and Purina represented approximately 73% and 16% of the Company's consolidated revenue, respectively. For the nine months ended September 30, 2020, Eco-Energy, Purina and HCS accounted for approximately 57%,</w:t>
      </w:r>
    </w:p>
    <w:p>
      <w:pPr>
        <w:spacing w:after="0" w:line="2"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17% and 15% of the Company's consolidated revenue, respectively. For the nine months ended September 30, 2019, Eco-Energy and Purina accounted for approximately 73% and 16% of the Company's consolidated revenue, respectively. HCS, Coryton and Total Cray Valley are customers of the Company's Gevo segment. Eco-Energy and Purina are customers of the Company's Gevo Development/Agri-Energy segment (see Note 14).</w:t>
      </w:r>
    </w:p>
    <w:p>
      <w:pPr>
        <w:spacing w:after="0" w:line="184" w:lineRule="exact"/>
        <w:rPr>
          <w:sz w:val="20"/>
          <w:szCs w:val="20"/>
          <w:color w:val="auto"/>
        </w:rPr>
      </w:pPr>
    </w:p>
    <w:p>
      <w:pPr>
        <w:ind w:right="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Related Party Transaction. </w:t>
      </w:r>
      <w:r>
        <w:rPr>
          <w:rFonts w:ascii="Times New Roman" w:cs="Times New Roman" w:eastAsia="Times New Roman" w:hAnsi="Times New Roman"/>
          <w:sz w:val="18"/>
          <w:szCs w:val="18"/>
          <w:color w:val="auto"/>
        </w:rPr>
        <w:t>During the nine months ended September 30, 2020, Gevo paid Blocksize Capital GmbH ("Blocksize"), a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 director of Gevo has an indirect ownership interest, $0.1 million for block chain software development services. There were no amounts payable to Blocksize as of September 30, 2020.</w:t>
      </w: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24" w:lineRule="exact"/>
        <w:rPr>
          <w:sz w:val="20"/>
          <w:szCs w:val="20"/>
          <w:color w:val="auto"/>
        </w:rPr>
      </w:pPr>
    </w:p>
    <w:p>
      <w:pPr>
        <w:ind w:right="60" w:firstLine="469"/>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and nine months ended September 30, 2020 and 2019 excluded common stock equivalents because the effect of their inclusion would be anti-dilutive or would decrease the reported loss per share.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securities outstanding that could potentially dilute the calculation of diluted earnings per share: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and Nine Months ended</w:t>
            </w:r>
          </w:p>
        </w:tc>
      </w:tr>
      <w:tr>
        <w:trPr>
          <w:trHeight w:val="236"/>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89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8000" w:type="dxa"/>
            <w:vAlign w:val="bottom"/>
          </w:tcPr>
          <w:p>
            <w:pPr>
              <w:spacing w:after="0"/>
              <w:rPr>
                <w:sz w:val="17"/>
                <w:szCs w:val="17"/>
                <w:color w:val="auto"/>
              </w:rPr>
            </w:pPr>
          </w:p>
        </w:tc>
        <w:tc>
          <w:tcPr>
            <w:tcW w:w="14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 - liability classified</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52,032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54,989</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Warrant to purchase common stock - equity classified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2,682,166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2020/21 Notes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5,789,209</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2020 Notes</w:t>
            </w:r>
          </w:p>
        </w:tc>
        <w:tc>
          <w:tcPr>
            <w:tcW w:w="216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997,914</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1,552</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132,566</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132,566</w:t>
            </w:r>
          </w:p>
        </w:tc>
      </w:tr>
      <w:tr>
        <w:trPr>
          <w:trHeight w:val="207"/>
        </w:trPr>
        <w:tc>
          <w:tcPr>
            <w:tcW w:w="80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8,657,525</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1,187,033</w:t>
            </w:r>
          </w:p>
        </w:tc>
      </w:tr>
      <w:tr>
        <w:trPr>
          <w:trHeight w:val="20"/>
        </w:trPr>
        <w:tc>
          <w:tcPr>
            <w:tcW w:w="80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 and Other Revenues</w:t>
      </w:r>
    </w:p>
    <w:p>
      <w:pPr>
        <w:spacing w:after="0" w:line="224" w:lineRule="exact"/>
        <w:rPr>
          <w:sz w:val="20"/>
          <w:szCs w:val="20"/>
          <w:color w:val="auto"/>
        </w:rPr>
      </w:pPr>
    </w:p>
    <w:p>
      <w:pPr>
        <w:ind w:right="140" w:firstLine="560"/>
        <w:spacing w:after="0" w:line="307" w:lineRule="auto"/>
        <w:rPr>
          <w:sz w:val="20"/>
          <w:szCs w:val="20"/>
          <w:color w:val="auto"/>
        </w:rPr>
      </w:pPr>
      <w:r>
        <w:rPr>
          <w:rFonts w:ascii="Times New Roman" w:cs="Times New Roman" w:eastAsia="Times New Roman" w:hAnsi="Times New Roman"/>
          <w:sz w:val="17"/>
          <w:szCs w:val="17"/>
          <w:color w:val="auto"/>
        </w:rPr>
        <w:t>The Company’s current and historical revenues have consisted of the following: (a) ethanol sales and related products revenue, net; (b) hydrocarbon revenue; and (c) grant and other revenue, which primarily has historically consisted of revenues from governmental and cooperative research grants.</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Ethanol sales and related products revenues. </w:t>
      </w:r>
      <w:r>
        <w:rPr>
          <w:rFonts w:ascii="Times New Roman" w:cs="Times New Roman" w:eastAsia="Times New Roman" w:hAnsi="Times New Roman"/>
          <w:sz w:val="18"/>
          <w:szCs w:val="18"/>
          <w:color w:val="auto"/>
        </w:rPr>
        <w:t>Ethanol sales and related products revenues are sold to customers on a free-on-board, shipping</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Hydrocarbon revenue. </w:t>
      </w:r>
      <w:r>
        <w:rPr>
          <w:rFonts w:ascii="Times New Roman" w:cs="Times New Roman" w:eastAsia="Times New Roman" w:hAnsi="Times New Roman"/>
          <w:sz w:val="18"/>
          <w:szCs w:val="18"/>
          <w:color w:val="auto"/>
        </w:rPr>
        <w:t>Hydrocarbon revenues include sales of ATJ, isooctene and isooctane and is sold mostly on a free-on-board, shipping</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point basis. Revenue is recognized when the customer has control of the product. Each transaction occurs independent of any other sale, and once sold, there are no future obligations on the part of the Company to provide post-sale support or promises to deliver future goods or services.</w:t>
      </w:r>
    </w:p>
    <w:p>
      <w:pPr>
        <w:spacing w:after="0" w:line="182" w:lineRule="exact"/>
        <w:rPr>
          <w:sz w:val="20"/>
          <w:szCs w:val="20"/>
          <w:color w:val="auto"/>
        </w:rPr>
      </w:pPr>
    </w:p>
    <w:p>
      <w:pPr>
        <w:ind w:right="700" w:firstLine="56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 2020</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8"/>
              </w:rPr>
              <w:t>Major Goods/Service Line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10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Other Revenues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49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 30, 2019</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8"/>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Other Revenues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9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2020</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8"/>
              </w:rPr>
              <w:t>Major Goods/Service Line</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10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Other Revenues</w:t>
            </w: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49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0"/>
        </w:trPr>
        <w:tc>
          <w:tcPr>
            <w:tcW w:w="49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92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2019</w:t>
            </w:r>
          </w:p>
        </w:tc>
        <w:tc>
          <w:tcPr>
            <w:tcW w:w="0" w:type="dxa"/>
            <w:vAlign w:val="bottom"/>
          </w:tcPr>
          <w:p>
            <w:pPr>
              <w:spacing w:after="0"/>
              <w:rPr>
                <w:sz w:val="1"/>
                <w:szCs w:val="1"/>
                <w:color w:val="auto"/>
              </w:rPr>
            </w:pPr>
          </w:p>
        </w:tc>
      </w:tr>
      <w:tr>
        <w:trPr>
          <w:trHeight w:val="184"/>
        </w:trPr>
        <w:tc>
          <w:tcPr>
            <w:tcW w:w="49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Revenues from</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Contracts with</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8"/>
              </w:rPr>
              <w:t>Major Goods/Service Line</w:t>
            </w:r>
          </w:p>
        </w:tc>
        <w:tc>
          <w:tcPr>
            <w:tcW w:w="1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Customers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Other Revenues</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spacing w:after="0"/>
              <w:rPr>
                <w:sz w:val="17"/>
                <w:szCs w:val="17"/>
                <w:color w:val="auto"/>
              </w:rPr>
            </w:pPr>
          </w:p>
        </w:tc>
        <w:tc>
          <w:tcPr>
            <w:tcW w:w="1520" w:type="dxa"/>
            <w:vAlign w:val="bottom"/>
            <w:gridSpan w:val="3"/>
            <w:shd w:val="clear" w:color="auto" w:fill="CCEEFF"/>
          </w:tcPr>
          <w:p>
            <w:pPr>
              <w:spacing w:after="0"/>
              <w:rPr>
                <w:sz w:val="17"/>
                <w:szCs w:val="17"/>
                <w:color w:val="auto"/>
              </w:rPr>
            </w:pPr>
          </w:p>
        </w:tc>
        <w:tc>
          <w:tcPr>
            <w:tcW w:w="15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16,184</w:t>
            </w:r>
          </w:p>
        </w:tc>
        <w:tc>
          <w:tcPr>
            <w:tcW w:w="100" w:type="dxa"/>
            <w:vAlign w:val="bottom"/>
          </w:tcPr>
          <w:p>
            <w:pPr>
              <w:spacing w:after="0"/>
              <w:rPr>
                <w:sz w:val="18"/>
                <w:szCs w:val="18"/>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16,184</w:t>
            </w: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Hydrocarbon revenue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920" w:type="dxa"/>
            <w:vAlign w:val="bottom"/>
            <w:tcBorders>
              <w:bottom w:val="single" w:sz="8" w:color="auto"/>
            </w:tcBorders>
            <w:shd w:val="clear" w:color="auto" w:fill="CCEEFF"/>
          </w:tcPr>
          <w:p>
            <w:pPr>
              <w:jc w:val="center"/>
              <w:ind w:left="1191"/>
              <w:spacing w:after="0" w:line="194" w:lineRule="exact"/>
              <w:rPr>
                <w:sz w:val="20"/>
                <w:szCs w:val="20"/>
                <w:color w:val="auto"/>
              </w:rPr>
            </w:pPr>
            <w:r>
              <w:rPr>
                <w:rFonts w:ascii="Times New Roman" w:cs="Times New Roman" w:eastAsia="Times New Roman" w:hAnsi="Times New Roman"/>
                <w:sz w:val="18"/>
                <w:szCs w:val="18"/>
                <w:b w:val="1"/>
                <w:bCs w:val="1"/>
                <w:color w:val="auto"/>
                <w:w w:val="98"/>
              </w:rPr>
              <w:t>Timing of Revenue Recognition</w:t>
            </w:r>
          </w:p>
        </w:tc>
        <w:tc>
          <w:tcPr>
            <w:tcW w:w="12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17"/>
                <w:szCs w:val="17"/>
                <w:color w:val="auto"/>
              </w:rPr>
            </w:pPr>
          </w:p>
        </w:tc>
        <w:tc>
          <w:tcPr>
            <w:tcW w:w="1520" w:type="dxa"/>
            <w:vAlign w:val="bottom"/>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17,565</w:t>
            </w:r>
          </w:p>
        </w:tc>
        <w:tc>
          <w:tcPr>
            <w:tcW w:w="0" w:type="dxa"/>
            <w:vAlign w:val="bottom"/>
          </w:tcPr>
          <w:p>
            <w:pPr>
              <w:spacing w:after="0"/>
              <w:rPr>
                <w:sz w:val="1"/>
                <w:szCs w:val="1"/>
                <w:color w:val="auto"/>
              </w:rPr>
            </w:pPr>
          </w:p>
        </w:tc>
      </w:tr>
      <w:tr>
        <w:trPr>
          <w:trHeight w:val="21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spacing w:after="0"/>
              <w:rPr>
                <w:sz w:val="19"/>
                <w:szCs w:val="19"/>
                <w:color w:val="auto"/>
              </w:rPr>
            </w:pPr>
          </w:p>
        </w:tc>
        <w:tc>
          <w:tcPr>
            <w:tcW w:w="158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8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9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9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p>
      <w:pPr>
        <w:ind w:right="2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Goods transferred at a point-in-time. </w:t>
      </w:r>
      <w:r>
        <w:rPr>
          <w:rFonts w:ascii="Times New Roman" w:cs="Times New Roman" w:eastAsia="Times New Roman" w:hAnsi="Times New Roman"/>
          <w:sz w:val="18"/>
          <w:szCs w:val="18"/>
          <w:color w:val="auto"/>
        </w:rPr>
        <w:t>For the three and nine months ended September 30, 2020 and 2019, there were no contracts with customers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consideration was variable or for which there were multiple performance obligations for any given contract. Accordingly, the entire transaction price is allocated to the goods transferred. As of September 30, 2020 and December 31, 2019, there were no remaining unfulfilled or partially fulfilled performance obligations.</w:t>
      </w:r>
    </w:p>
    <w:p>
      <w:pPr>
        <w:spacing w:after="0" w:line="179"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All goods transferred are tested to ensure product sold satisfies contractual product specifications prior to transfer. The customer obtains control of the goods when title and risk of loss for the goods has transferred, which in most cases is “</w:t>
      </w:r>
      <w:r>
        <w:rPr>
          <w:rFonts w:ascii="Times New Roman" w:cs="Times New Roman" w:eastAsia="Times New Roman" w:hAnsi="Times New Roman"/>
          <w:sz w:val="18"/>
          <w:szCs w:val="18"/>
          <w:i w:val="1"/>
          <w:iCs w:val="1"/>
          <w:color w:val="auto"/>
        </w:rPr>
        <w:t>free-on-board, shipping point</w:t>
      </w:r>
      <w:r>
        <w:rPr>
          <w:rFonts w:ascii="Times New Roman" w:cs="Times New Roman" w:eastAsia="Times New Roman" w:hAnsi="Times New Roman"/>
          <w:sz w:val="18"/>
          <w:szCs w:val="18"/>
          <w:color w:val="auto"/>
        </w:rPr>
        <w:t>”. All material contracts have payment terms of between one to three months and there are no return or refund rights.</w:t>
      </w:r>
    </w:p>
    <w:p>
      <w:pPr>
        <w:spacing w:after="0" w:line="174" w:lineRule="exact"/>
        <w:rPr>
          <w:sz w:val="20"/>
          <w:szCs w:val="20"/>
          <w:color w:val="auto"/>
        </w:rPr>
      </w:pPr>
    </w:p>
    <w:p>
      <w:pPr>
        <w:ind w:right="280" w:firstLine="4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Services transferred over time. </w:t>
      </w:r>
      <w:r>
        <w:rPr>
          <w:rFonts w:ascii="Times New Roman" w:cs="Times New Roman" w:eastAsia="Times New Roman" w:hAnsi="Times New Roman"/>
          <w:sz w:val="18"/>
          <w:szCs w:val="18"/>
          <w:color w:val="auto"/>
        </w:rPr>
        <w:t>For the three and nine months ended September 30, 2020 and 2019, there were no contracts for which consideration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variable or for which there were multiple performance obligation for any given contract. Accordingly, the entire transaction price is allocated to the individual service performance obligation. As of September 30, 2020 and December 31, 2019, respectively, there were no material unfulfilled or partially fulfilled performance obligations.</w:t>
      </w:r>
    </w:p>
    <w:p>
      <w:pPr>
        <w:spacing w:after="0" w:line="177"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Contract Assets and Trade Receivables. </w:t>
      </w:r>
      <w:r>
        <w:rPr>
          <w:rFonts w:ascii="Times New Roman" w:cs="Times New Roman" w:eastAsia="Times New Roman" w:hAnsi="Times New Roman"/>
          <w:sz w:val="18"/>
          <w:szCs w:val="18"/>
          <w:color w:val="auto"/>
        </w:rPr>
        <w:t>As of September 30, 2020 and December 31, 2019, there were no contract assets or liabilities as all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owed to the Company are unconditional and the Company does not receive payment in advance for its products. Accordingly, amounts owed by customers are classified as account receivables on the Company’s Consolidated Balance Sheets. In addition, due to the nature of the Company’s contracts, there are no costs incurred or to be paid in the future that qualify for asset recognition as a cost to fulfill or obtain a contract as of September 30, 2020 and December 31, 2019. The Company did not incur any impairment losses on any receivables as all amounts owed were paid or current as of September 30, 2020 or December 31, 2019.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 Right-to-Use Assets and Related Liabilities</w:t>
      </w:r>
    </w:p>
    <w:p>
      <w:pPr>
        <w:spacing w:after="0" w:line="222"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various arrangements which constitute a lease as defined by Accounting Standards Codification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 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right-to-use assets, which represent the Company’s right to use an underlying asset for the term of the contract; and (b) a corresponding lease liability which represents the Company’s obligation to make the lease payments arising from the contract, measured on a discounted basis.</w:t>
      </w:r>
    </w:p>
    <w:p>
      <w:pPr>
        <w:spacing w:after="0" w:line="183"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The contracts for the Company are comprised of facility, equipment and transportation leases necessary to conduct the Company’s day-to-day operations for which the Company maintains control of right-to-use assets and incurs the related liabilities. The facility lease includes variable payments for common area maintenance. In addition, the Company has one financing lease for certain office equipment which is included in "</w:t>
      </w:r>
      <w:r>
        <w:rPr>
          <w:rFonts w:ascii="Times New Roman" w:cs="Times New Roman" w:eastAsia="Times New Roman" w:hAnsi="Times New Roman"/>
          <w:sz w:val="18"/>
          <w:szCs w:val="18"/>
          <w:i w:val="1"/>
          <w:iCs w:val="1"/>
          <w:color w:val="auto"/>
        </w:rPr>
        <w:t>Loans payable - other</w:t>
      </w:r>
      <w:r>
        <w:rPr>
          <w:rFonts w:ascii="Times New Roman" w:cs="Times New Roman" w:eastAsia="Times New Roman" w:hAnsi="Times New Roman"/>
          <w:sz w:val="18"/>
          <w:szCs w:val="18"/>
          <w:color w:val="auto"/>
        </w:rPr>
        <w:t>" on the Consolidated Balance Sheets.</w:t>
      </w:r>
    </w:p>
    <w:p>
      <w:pPr>
        <w:spacing w:after="0" w:line="18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There is one contractual agreement related to equipment improvements at the Luverne Facility that was not recognized as of September 30, 2020 as a result of operating contingencies which must be satisfied before the Company is obligated under the terms of the contract. The total estimated fair value of unrecognized right-to-use asset and related lease liability relating to this contract was approximately $2.0 million as of September 30, 2020. There are two contractual agreements related to equipment improvements at the Luverne Facility that were not recognized as of December 31, 2019 as a result of operating contingencies which must be satisfied before the Company is obligated under the terms of the contract. The total estimated fair value of unrecognized right-to-use assets and related lease liabilities relating to these contracts was approximately $3.0 million as of December 31, 2019.</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5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presents the (a) costs by lease category and (b) other quantitative information relating to the Company’s leases (dollars in thousands):</w:t>
      </w:r>
    </w:p>
    <w:p>
      <w:pPr>
        <w:spacing w:after="0" w:line="159"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18415</wp:posOffset>
            </wp:positionV>
            <wp:extent cx="20332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9" w:lineRule="exact"/>
        <w:rPr>
          <w:sz w:val="20"/>
          <w:szCs w:val="20"/>
          <w:color w:val="auto"/>
        </w:rPr>
      </w:pPr>
    </w:p>
    <w:p>
      <w:pPr>
        <w:ind w:left="7940"/>
        <w:spacing w:after="0"/>
        <w:tabs>
          <w:tab w:leader="none" w:pos="962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12065</wp:posOffset>
            </wp:positionV>
            <wp:extent cx="20332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Cost</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Financing lease cost</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66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660" w:type="dxa"/>
            <w:vAlign w:val="bottom"/>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3"/>
        </w:trPr>
        <w:tc>
          <w:tcPr>
            <w:tcW w:w="6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2"/>
        </w:trPr>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20"/>
        </w:trPr>
        <w:tc>
          <w:tcPr>
            <w:tcW w:w="6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24"/>
                <w:szCs w:val="24"/>
                <w:color w:val="auto"/>
              </w:rPr>
            </w:pPr>
          </w:p>
        </w:tc>
        <w:tc>
          <w:tcPr>
            <w:tcW w:w="6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-982345</wp:posOffset>
            </wp:positionV>
            <wp:extent cx="676973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-711200</wp:posOffset>
            </wp:positionV>
            <wp:extent cx="676973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9735" cy="13525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-440055</wp:posOffset>
            </wp:positionV>
            <wp:extent cx="6769735" cy="144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9735" cy="144145"/>
                    </a:xfrm>
                    <a:prstGeom prst="rect">
                      <a:avLst/>
                    </a:prstGeom>
                    <a:noFill/>
                  </pic:spPr>
                </pic:pic>
              </a:graphicData>
            </a:graphic>
          </wp:anchor>
        </w:drawing>
        <w:drawing>
          <wp:anchor simplePos="0" relativeHeight="251657728" behindDoc="1" locked="0" layoutInCell="0" allowOverlap="1">
            <wp:simplePos x="0" y="0"/>
            <wp:positionH relativeFrom="column">
              <wp:posOffset>-4681220</wp:posOffset>
            </wp:positionH>
            <wp:positionV relativeFrom="paragraph">
              <wp:posOffset>-160655</wp:posOffset>
            </wp:positionV>
            <wp:extent cx="6769735" cy="161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9735" cy="161290"/>
                    </a:xfrm>
                    <a:prstGeom prst="rect">
                      <a:avLst/>
                    </a:prstGeom>
                    <a:noFill/>
                  </pic:spPr>
                </pic:pic>
              </a:graphicData>
            </a:graphic>
          </wp:anchor>
        </w:drawing>
      </w:r>
    </w:p>
    <w:p>
      <w:pPr>
        <w:spacing w:after="0" w:line="171"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0332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33270" cy="8255"/>
                    </a:xfrm>
                    <a:prstGeom prst="rect">
                      <a:avLst/>
                    </a:prstGeom>
                    <a:noFill/>
                  </pic:spPr>
                </pic:pic>
              </a:graphicData>
            </a:graphic>
          </wp:anchor>
        </w:drawing>
      </w:r>
    </w:p>
    <w:p>
      <w:pPr>
        <w:spacing w:after="0" w:line="9" w:lineRule="exact"/>
        <w:rPr>
          <w:sz w:val="20"/>
          <w:szCs w:val="20"/>
          <w:color w:val="auto"/>
        </w:rPr>
      </w:pPr>
    </w:p>
    <w:p>
      <w:pPr>
        <w:ind w:left="560"/>
        <w:spacing w:after="0"/>
        <w:tabs>
          <w:tab w:leader="none" w:pos="2240" w:val="left"/>
        </w:tabs>
        <w:rPr>
          <w:sz w:val="20"/>
          <w:szCs w:val="20"/>
          <w:color w:val="auto"/>
        </w:rPr>
      </w:pPr>
      <w:r>
        <w:rPr>
          <w:rFonts w:ascii="Times New Roman" w:cs="Times New Roman" w:eastAsia="Times New Roman" w:hAnsi="Times New Roman"/>
          <w:sz w:val="18"/>
          <w:szCs w:val="18"/>
          <w:b w:val="1"/>
          <w:bCs w:val="1"/>
          <w:color w:val="auto"/>
        </w:rPr>
        <w:t>2020</w:t>
      </w:r>
      <w:r>
        <w:rPr>
          <w:sz w:val="20"/>
          <w:szCs w:val="20"/>
          <w:color w:val="auto"/>
        </w:rPr>
        <w:tab/>
      </w:r>
      <w:r>
        <w:rPr>
          <w:rFonts w:ascii="Times New Roman" w:cs="Times New Roman" w:eastAsia="Times New Roman" w:hAnsi="Times New Roman"/>
          <w:sz w:val="18"/>
          <w:szCs w:val="18"/>
          <w:b w:val="1"/>
          <w:bCs w:val="1"/>
          <w:color w:val="auto"/>
        </w:rPr>
        <w:t>2019</w:t>
      </w:r>
    </w:p>
    <w:p>
      <w:pPr>
        <w:spacing w:after="0" w:line="19" w:lineRule="exact"/>
        <w:rPr>
          <w:sz w:val="20"/>
          <w:szCs w:val="20"/>
          <w:color w:val="auto"/>
        </w:rPr>
      </w:pPr>
    </w:p>
    <w:p>
      <w:pPr>
        <w:sectPr>
          <w:pgSz w:w="11900" w:h="16838" w:orient="portrait"/>
          <w:cols w:equalWidth="0" w:num="2">
            <w:col w:w="6660" w:space="720"/>
            <w:col w:w="38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9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3"/>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lease cost</w:t>
            </w: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1,166</w:t>
            </w:r>
          </w:p>
        </w:tc>
      </w:tr>
      <w:tr>
        <w:trPr>
          <w:trHeight w:val="213"/>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6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r>
      <w:tr>
        <w:trPr>
          <w:trHeight w:val="213"/>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r>
      <w:tr>
        <w:trPr>
          <w:trHeight w:val="207"/>
        </w:trPr>
        <w:tc>
          <w:tcPr>
            <w:tcW w:w="64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w:t>
            </w:r>
          </w:p>
        </w:tc>
        <w:tc>
          <w:tcPr>
            <w:tcW w:w="6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1,567</w:t>
            </w:r>
          </w:p>
        </w:tc>
      </w:tr>
      <w:tr>
        <w:trPr>
          <w:trHeight w:val="194"/>
        </w:trPr>
        <w:tc>
          <w:tcPr>
            <w:tcW w:w="642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13"/>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3"/>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paid for the measurement of lease liabilities: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3"/>
        </w:trPr>
        <w:tc>
          <w:tcPr>
            <w:tcW w:w="6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15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jc w:val="right"/>
              <w:ind w:right="43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6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1,166</w:t>
            </w:r>
          </w:p>
        </w:tc>
      </w:tr>
      <w:tr>
        <w:trPr>
          <w:trHeight w:val="213"/>
        </w:trPr>
        <w:tc>
          <w:tcPr>
            <w:tcW w:w="6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Finance cash flows from finance lease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Right-to-use asset obtained in exchange for new financing lease liability</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Weighted-average remaining lease term, financing lease (months)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Weighted-average remaining lease term, operating leases (months)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Weighted-average discount rate - financing lease</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6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table below shows the future minimum payments under non-cancelable financing and operating leases at September 30, 2020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Financing Leases</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80" w:type="dxa"/>
            <w:vAlign w:val="bottom"/>
          </w:tcPr>
          <w:p>
            <w:pPr>
              <w:spacing w:after="0"/>
              <w:rPr>
                <w:sz w:val="20"/>
                <w:szCs w:val="20"/>
                <w:color w:val="auto"/>
              </w:rPr>
            </w:pPr>
          </w:p>
        </w:tc>
      </w:tr>
      <w:tr>
        <w:trPr>
          <w:trHeight w:val="207"/>
        </w:trPr>
        <w:tc>
          <w:tcPr>
            <w:tcW w:w="4620" w:type="dxa"/>
            <w:vAlign w:val="bottom"/>
            <w:tcBorders>
              <w:top w:val="single" w:sz="8" w:color="auto"/>
            </w:tcBorders>
          </w:tcPr>
          <w:p>
            <w:pPr>
              <w:spacing w:after="0"/>
              <w:rPr>
                <w:sz w:val="17"/>
                <w:szCs w:val="17"/>
                <w:color w:val="auto"/>
              </w:rPr>
            </w:pPr>
          </w:p>
        </w:tc>
        <w:tc>
          <w:tcPr>
            <w:tcW w:w="2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(remaining)</w:t>
            </w:r>
          </w:p>
        </w:tc>
        <w:tc>
          <w:tcPr>
            <w:tcW w:w="2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1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representing present value discounts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18"/>
                <w:szCs w:val="18"/>
                <w:color w:val="auto"/>
              </w:rPr>
            </w:pPr>
          </w:p>
        </w:tc>
      </w:tr>
      <w:tr>
        <w:trPr>
          <w:trHeight w:val="207"/>
        </w:trPr>
        <w:tc>
          <w:tcPr>
            <w:tcW w:w="4620" w:type="dxa"/>
            <w:vAlign w:val="bottom"/>
            <w:tcBorders>
              <w:top w:val="single" w:sz="8" w:color="CCEEFF"/>
            </w:tcBorders>
          </w:tcPr>
          <w:p>
            <w:pPr>
              <w:spacing w:after="0"/>
              <w:rPr>
                <w:sz w:val="17"/>
                <w:szCs w:val="17"/>
                <w:color w:val="auto"/>
              </w:rPr>
            </w:pPr>
          </w:p>
        </w:tc>
        <w:tc>
          <w:tcPr>
            <w:tcW w:w="2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80" w:type="dxa"/>
            <w:vAlign w:val="bottom"/>
          </w:tcPr>
          <w:p>
            <w:pPr>
              <w:spacing w:after="0"/>
              <w:rPr>
                <w:sz w:val="17"/>
                <w:szCs w:val="17"/>
                <w:color w:val="auto"/>
              </w:rPr>
            </w:pPr>
          </w:p>
        </w:tc>
      </w:tr>
      <w:tr>
        <w:trPr>
          <w:trHeight w:val="25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580" w:type="dxa"/>
            <w:vAlign w:val="bottom"/>
          </w:tcPr>
          <w:p>
            <w:pPr>
              <w:spacing w:after="0"/>
              <w:rPr>
                <w:sz w:val="22"/>
                <w:szCs w:val="22"/>
                <w:color w:val="auto"/>
              </w:rPr>
            </w:pPr>
          </w:p>
        </w:tc>
      </w:tr>
      <w:tr>
        <w:trPr>
          <w:trHeight w:val="408"/>
        </w:trPr>
        <w:tc>
          <w:tcPr>
            <w:tcW w:w="4620" w:type="dxa"/>
            <w:vAlign w:val="bottom"/>
            <w:tcBorders>
              <w:top w:val="single" w:sz="8" w:color="CCEEFF"/>
            </w:tcBorders>
          </w:tcPr>
          <w:p>
            <w:pPr>
              <w:spacing w:after="0"/>
              <w:rPr>
                <w:sz w:val="24"/>
                <w:szCs w:val="24"/>
                <w:color w:val="auto"/>
              </w:rPr>
            </w:pPr>
          </w:p>
        </w:tc>
        <w:tc>
          <w:tcPr>
            <w:tcW w:w="2640" w:type="dxa"/>
            <w:vAlign w:val="bottom"/>
            <w:tcBorders>
              <w:top w:val="single" w:sz="8" w:color="CCEEFF"/>
            </w:tcBorders>
          </w:tcPr>
          <w:p>
            <w:pPr>
              <w:jc w:val="right"/>
              <w:ind w:right="145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Pr>
          <w:p>
            <w:pPr>
              <w:spacing w:after="0"/>
              <w:rPr>
                <w:sz w:val="24"/>
                <w:szCs w:val="24"/>
                <w:color w:val="auto"/>
              </w:rPr>
            </w:pPr>
          </w:p>
        </w:tc>
      </w:tr>
      <w:tr>
        <w:trPr>
          <w:trHeight w:val="113"/>
        </w:trPr>
        <w:tc>
          <w:tcPr>
            <w:tcW w:w="46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Inventories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inventory balances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Enzymes and other inputs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Jet Fuels, Isooctane and Isooctene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Isobutanol</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Ethanol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Distiller's grains</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Agri-Energy</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Spare parts</w:t>
            </w: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47"/>
        </w:trPr>
        <w:tc>
          <w:tcPr>
            <w:tcW w:w="800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Work in process inventory includes unfinished jet fuel, isooctane and isooctene inventory.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0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80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Company’s property, plant and equipment by classification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6400" w:type="dxa"/>
            <w:vAlign w:val="bottom"/>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7"/>
        </w:trPr>
        <w:tc>
          <w:tcPr>
            <w:tcW w:w="6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Luverne retrofit asset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5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70,820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70,820</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machinery and equipment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17,413</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Site improvements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7,054</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 furniture and fixtures and vehicles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6,393</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Demonstration plant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3,597</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3,597</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2,543</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 pilot plant, land and support equipment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2,523</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office equipment and 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2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2,034</w:t>
            </w: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8,909</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7,710</w:t>
            </w:r>
          </w:p>
        </w:tc>
      </w:tr>
      <w:tr>
        <w:trPr>
          <w:trHeight w:val="207"/>
        </w:trPr>
        <w:tc>
          <w:tcPr>
            <w:tcW w:w="6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121,340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120,087</w:t>
            </w: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(58,016)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(53,391)</w:t>
            </w:r>
          </w:p>
        </w:tc>
      </w:tr>
      <w:tr>
        <w:trPr>
          <w:trHeight w:val="247"/>
        </w:trPr>
        <w:tc>
          <w:tcPr>
            <w:tcW w:w="64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66,696</w:t>
            </w: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Company recorded depreciation and amortization expense related to property, plant and equipment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24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07"/>
        </w:trPr>
        <w:tc>
          <w:tcPr>
            <w:tcW w:w="4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40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940" w:type="dxa"/>
            <w:vAlign w:val="bottom"/>
            <w:gridSpan w:val="2"/>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1,418</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r>
      <w:tr>
        <w:trPr>
          <w:trHeight w:val="213"/>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7"/>
        </w:trPr>
        <w:tc>
          <w:tcPr>
            <w:tcW w:w="4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94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1,470</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1,608</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7"/>
        </w:trPr>
        <w:tc>
          <w:tcPr>
            <w:tcW w:w="40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24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7"/>
        </w:trPr>
        <w:tc>
          <w:tcPr>
            <w:tcW w:w="40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4040" w:type="dxa"/>
            <w:vAlign w:val="bottom"/>
            <w:shd w:val="clear" w:color="auto" w:fill="CCEEFF"/>
          </w:tcPr>
          <w:p>
            <w:pPr>
              <w:spacing w:after="0"/>
              <w:rPr>
                <w:sz w:val="17"/>
                <w:szCs w:val="17"/>
                <w:color w:val="auto"/>
              </w:rPr>
            </w:pPr>
          </w:p>
        </w:tc>
        <w:tc>
          <w:tcPr>
            <w:tcW w:w="4940" w:type="dxa"/>
            <w:vAlign w:val="bottom"/>
            <w:gridSpan w:val="2"/>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r>
      <w:tr>
        <w:trPr>
          <w:trHeight w:val="21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940" w:type="dxa"/>
            <w:vAlign w:val="bottom"/>
            <w:gridSpan w:val="2"/>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4,580</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w:t>
            </w:r>
          </w:p>
        </w:tc>
      </w:tr>
      <w:tr>
        <w:trPr>
          <w:trHeight w:val="21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r>
      <w:tr>
        <w:trPr>
          <w:trHeight w:val="207"/>
        </w:trPr>
        <w:tc>
          <w:tcPr>
            <w:tcW w:w="404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4940" w:type="dxa"/>
            <w:vAlign w:val="bottom"/>
            <w:gridSpan w:val="2"/>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4,738</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w:t>
            </w:r>
          </w:p>
        </w:tc>
      </w:tr>
      <w:tr>
        <w:trPr>
          <w:trHeight w:val="621"/>
        </w:trPr>
        <w:tc>
          <w:tcPr>
            <w:tcW w:w="40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191"/>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04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Embedded Derivatives Liabilities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Notes Embedded Derivative</w:t>
      </w:r>
    </w:p>
    <w:p>
      <w:pPr>
        <w:spacing w:after="0" w:line="224"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In June 2017, the Company issued its 12% convertible senior secured notes due 2020 (the “2020 Notes”) in exchange for its 12.0% convertible senior secured notes due 2017 (the “2017 Notes”). The 2020 Notes contained the following embedded derivatives: (i) a Make-Whole Payment (as defined in the indenture governing the 2020 Notes (the “2020 Notes Indenture”)) upon either conversion or redemption; (ii) right to redeem the outstanding principal upon a Fundamental Change (as defined in the 2020 Notes Indenture); (iii) issuer rights to convert into a limited number of shares in any given three-month period commencing nine months from the issuance date and dependent on the stock price exceeding 150% of the then in-effect conversion price over a ten-business day period; and (iv) holder rights to convert into either shares of the Company’s common stock or pre-funded warrants upon the election of the holders of the 2020 Notes.</w:t>
      </w:r>
    </w:p>
    <w:p>
      <w:pPr>
        <w:spacing w:after="0" w:line="18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the 2020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 Notes meet these criteria and, as such, must be valued separate and apart from the 2020 Notes as one embedded derivative and recorded at fair value each reporting period.</w:t>
      </w:r>
    </w:p>
    <w:p>
      <w:pPr>
        <w:spacing w:after="0" w:line="186"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2020 Notes. A binomial lattice model generates two probable outcomes, whether up or down, arising at each point in time, starting from the date of valuation until the maturity date. A lattice was initially used to determine if the 2020 Notes would be converted by the holder, called by the issuer, or held at each decision point. Within the lattice model, the following assumptions were made: (i) the 2020 Notes will be converted by the holder if the conversion value plus the holder’s Make-Whole Payment is greater than the holding value; or (ii) the 2020 Notes will be called by the issuer if (a) the stock price exceeds 150% of the then in-effect conversion price over a ten-business day period and (b) if the holding value is greater than the conversion value plus the Make-Whole Payment at the time.</w:t>
      </w:r>
    </w:p>
    <w:p>
      <w:pPr>
        <w:spacing w:after="0" w:line="185"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Using this lattice model, the Company valued the embedded derivative using a “with-and-without method”, where the value of the 2020 Notes including the embedded derivative were defined as the “with”, and the value of the 2020 Notes excluding the embedded derivative is defined as the “without”. This method estimates the value of the embedded derivative by comparing the difference in the values between the 2020 Notes with the embedded derivative and the value of the 2020 Notes without the embedded derivative. The lattice model requires the following inputs: (i) price of Gevo common stock; (ii) Conversion Rate (as defined in the 2020 Notes Indenture); (iii) Conversion Price (as defined in the 2020 Notes Indenture); (iv) maturity date; (v) risk-free interest rate; (vi) estimated stock volatility; and (vii) estimated credit spread for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2020/21 Notes Embedded Derivative</w:t>
      </w:r>
    </w:p>
    <w:p>
      <w:pPr>
        <w:spacing w:after="0" w:line="224"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In January 2020, the Company issued 12% convertible senior secured notes due 2020/2021 (the “2020/21 Notes”) in exchange for its 12.0% convertible senior secured notes due March 2020 (the “2020 Notes”). The 2020/21 Notes contain the following embedded derivatives: (i) a Make-Whole Payment (as defined in the 2020/21 Notes Indenture (as defined below) upon either conversion or redemption in certain circumstances; (ii) holder right to require the Company to repurchase the outstanding principal upon a Fundamental Change (as defined in the 2020/21 Notes Indenture); and (iii) holder rights to convert into either shares of the Company’s common stock or pre-funded warrants upon the election of the holders of the 2020/21 Notes.</w:t>
      </w:r>
    </w:p>
    <w:p>
      <w:pPr>
        <w:spacing w:after="0" w:line="186" w:lineRule="exact"/>
        <w:rPr>
          <w:sz w:val="20"/>
          <w:szCs w:val="20"/>
          <w:color w:val="auto"/>
        </w:rPr>
      </w:pPr>
    </w:p>
    <w:p>
      <w:pPr>
        <w:ind w:right="80" w:firstLine="469"/>
        <w:spacing w:after="0" w:line="254" w:lineRule="auto"/>
        <w:rPr>
          <w:sz w:val="20"/>
          <w:szCs w:val="20"/>
          <w:color w:val="auto"/>
        </w:rPr>
      </w:pPr>
      <w:r>
        <w:rPr>
          <w:rFonts w:ascii="Times New Roman" w:cs="Times New Roman" w:eastAsia="Times New Roman" w:hAnsi="Times New Roman"/>
          <w:sz w:val="18"/>
          <w:szCs w:val="18"/>
          <w:color w:val="auto"/>
        </w:rPr>
        <w:t>Embedded derivatives are separated from the host contract and the 2020/21 Notes, and carried at fair value when: (a) the embedded derivative possesses economic characteristics that are not clearly and closely related to the economic characteristics of the host contract; and (b) a separate, stand-alone instrument with the same terms would qualify as a derivative instrument. The Company has concluded that certain embedded derivatives within the 2020/21 Notes meet these criteria and, as such, must be valued separate and apart from the 2020/21 Notes as one embedded derivative and recorded at fair value each reporting period.</w:t>
      </w:r>
    </w:p>
    <w:p>
      <w:pPr>
        <w:spacing w:after="0" w:line="186" w:lineRule="exact"/>
        <w:rPr>
          <w:sz w:val="20"/>
          <w:szCs w:val="20"/>
          <w:color w:val="auto"/>
        </w:rPr>
      </w:pPr>
    </w:p>
    <w:p>
      <w:pPr>
        <w:ind w:right="380" w:firstLine="480"/>
        <w:spacing w:after="0" w:line="277" w:lineRule="auto"/>
        <w:rPr>
          <w:sz w:val="20"/>
          <w:szCs w:val="20"/>
          <w:color w:val="auto"/>
        </w:rPr>
      </w:pPr>
      <w:r>
        <w:rPr>
          <w:rFonts w:ascii="Times New Roman" w:cs="Times New Roman" w:eastAsia="Times New Roman" w:hAnsi="Times New Roman"/>
          <w:sz w:val="18"/>
          <w:szCs w:val="18"/>
          <w:color w:val="auto"/>
        </w:rPr>
        <w:t>The Company used a binomial lattice model in order to estimate the fair value of the embedded derivative in the 2020/21 Notes. Using this lattice model, the Company valued the embedded derivative using a “with-and-without method”.</w:t>
      </w:r>
    </w:p>
    <w:p>
      <w:pPr>
        <w:spacing w:after="0" w:line="16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9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180" w:firstLine="480"/>
        <w:spacing w:after="0" w:line="254" w:lineRule="auto"/>
        <w:rPr>
          <w:sz w:val="20"/>
          <w:szCs w:val="20"/>
          <w:color w:val="auto"/>
        </w:rPr>
      </w:pPr>
      <w:r>
        <w:rPr>
          <w:rFonts w:ascii="Times New Roman" w:cs="Times New Roman" w:eastAsia="Times New Roman" w:hAnsi="Times New Roman"/>
          <w:sz w:val="18"/>
          <w:szCs w:val="18"/>
          <w:color w:val="auto"/>
        </w:rPr>
        <w:t>As of September 30, 2020 and December 31, 2019, the estimated fair value of the embedded derivatives was $0.03 million and $0, respectively. The Company recorded the estimated fair value of the embedded derivative with the 2020/21 Notes and 2020 Notes, net in the Consolidated Balance Sheets. The Company recorded a $0.2 million gain and a $0.03 million loss from the change in fair value of 2020/21 Notes embedded derivatives for the three and nine months ended September 30, 2020, respectively. The Company recorded a $0 and $0.4 million gain from the change in fair value of 2020 Notes embedded derivatives or the three and nine months ended September 30, 2019, respectively.</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inputs to the lattice models that were used to value the embedded derivatives:</w:t>
      </w:r>
    </w:p>
    <w:p>
      <w:pPr>
        <w:spacing w:after="0" w:line="216" w:lineRule="exact"/>
        <w:rPr>
          <w:sz w:val="20"/>
          <w:szCs w:val="20"/>
          <w:color w:val="auto"/>
        </w:rPr>
      </w:pPr>
    </w:p>
    <w:tbl>
      <w:tblPr>
        <w:tblLayout w:type="fixed"/>
        <w:tblInd w:w="800" w:type="dxa"/>
        <w:tblCellMar>
          <w:top w:w="0" w:type="dxa"/>
          <w:left w:w="0" w:type="dxa"/>
          <w:bottom w:w="0" w:type="dxa"/>
          <w:right w:w="0" w:type="dxa"/>
        </w:tblCellMar>
      </w:tblPr>
      <w:tr>
        <w:trPr>
          <w:trHeight w:val="213"/>
        </w:trPr>
        <w:tc>
          <w:tcPr>
            <w:tcW w:w="6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6"/>
        </w:trPr>
        <w:tc>
          <w:tcPr>
            <w:tcW w:w="6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r>
      <w:tr>
        <w:trPr>
          <w:trHeight w:val="207"/>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Conversion Rate per $1,000</w:t>
            </w:r>
          </w:p>
        </w:tc>
        <w:tc>
          <w:tcPr>
            <w:tcW w:w="20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409.50</w:t>
            </w:r>
          </w:p>
        </w:tc>
        <w:tc>
          <w:tcPr>
            <w:tcW w:w="2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67.95</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Price</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14.72</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0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December 31, 2020</w:t>
            </w:r>
          </w:p>
        </w:tc>
        <w:tc>
          <w:tcPr>
            <w:tcW w:w="240" w:type="dxa"/>
            <w:vAlign w:val="bottom"/>
          </w:tcPr>
          <w:p>
            <w:pPr>
              <w:spacing w:after="0"/>
              <w:rPr>
                <w:sz w:val="18"/>
                <w:szCs w:val="18"/>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15, 2020</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Estimated stock volatility</w:t>
            </w:r>
          </w:p>
        </w:tc>
        <w:tc>
          <w:tcPr>
            <w:tcW w:w="200" w:type="dxa"/>
            <w:vAlign w:val="bottom"/>
          </w:tcPr>
          <w:p>
            <w:pPr>
              <w:spacing w:after="0"/>
              <w:rPr>
                <w:sz w:val="18"/>
                <w:szCs w:val="18"/>
                <w:color w:val="auto"/>
              </w:rPr>
            </w:pPr>
          </w:p>
        </w:tc>
        <w:tc>
          <w:tcPr>
            <w:tcW w:w="1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2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credit spread</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bl>
    <w:p>
      <w:pPr>
        <w:spacing w:after="0" w:line="195" w:lineRule="exact"/>
        <w:rPr>
          <w:sz w:val="20"/>
          <w:szCs w:val="20"/>
          <w:color w:val="auto"/>
        </w:rPr>
      </w:pPr>
    </w:p>
    <w:p>
      <w:pPr>
        <w:jc w:val="both"/>
        <w:ind w:right="300" w:firstLine="480"/>
        <w:spacing w:after="0" w:line="262" w:lineRule="auto"/>
        <w:rPr>
          <w:sz w:val="20"/>
          <w:szCs w:val="20"/>
          <w:color w:val="auto"/>
        </w:rPr>
      </w:pPr>
      <w:r>
        <w:rPr>
          <w:rFonts w:ascii="Times New Roman" w:cs="Times New Roman" w:eastAsia="Times New Roman" w:hAnsi="Times New Roman"/>
          <w:sz w:val="18"/>
          <w:szCs w:val="18"/>
          <w:color w:val="auto"/>
        </w:rPr>
        <w:t>Changes in certain inputs into the lattice model can have a significant impact on changes in the estimated fair value of the embedded featured within the 2020/21 Notes and 2020 Notes. For example, the estimated fair value will generally decrease with: (1) a decline in the stock price; (2) decreases in the estimated stock volatility; and (3) a decrease in the estimated credit spread.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Warrant Liability</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warrants were sold by the Company during the nine months ended September 30, 2020:</w:t>
      </w:r>
    </w:p>
    <w:p>
      <w:pPr>
        <w:spacing w:after="0" w:line="220" w:lineRule="exact"/>
        <w:rPr>
          <w:sz w:val="20"/>
          <w:szCs w:val="20"/>
          <w:color w:val="auto"/>
        </w:rPr>
      </w:pPr>
    </w:p>
    <w:p>
      <w:pPr>
        <w:ind w:left="440" w:right="940" w:hanging="153"/>
        <w:spacing w:after="0" w:line="277" w:lineRule="auto"/>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Company sold Series 2020-A Warrants to purchase 30,000,000 shares of the Company's common stock and Series 2020-B Warrants to purchase 9,103,334 shares of the Company's common stock, pursuant to an underwritten public offering.</w:t>
      </w:r>
    </w:p>
    <w:p>
      <w:pPr>
        <w:spacing w:after="0" w:line="162" w:lineRule="exact"/>
        <w:rPr>
          <w:rFonts w:ascii="Times New Roman" w:cs="Times New Roman" w:eastAsia="Times New Roman" w:hAnsi="Times New Roman"/>
          <w:sz w:val="18"/>
          <w:szCs w:val="18"/>
          <w:color w:val="auto"/>
        </w:rPr>
      </w:pPr>
    </w:p>
    <w:p>
      <w:pPr>
        <w:ind w:left="460" w:right="320" w:hanging="173"/>
        <w:spacing w:after="0" w:line="277"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2020, the Company sold Series 2020-C Warrants to purchase 16,532,232 shares of the Company's common stock, pursuant to a registered direct offering.</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information pertaining to shares issued upon the exercise of such warrants as of 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Issued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Warrants</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upon Warrant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13"/>
        </w:trPr>
        <w:tc>
          <w:tcPr>
            <w:tcW w:w="3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 as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Exercises as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3"/>
        </w:trPr>
        <w:tc>
          <w:tcPr>
            <w:tcW w:w="38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Issuance</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Warrants on</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6"/>
        </w:trPr>
        <w:tc>
          <w:tcPr>
            <w:tcW w:w="38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Issuance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0"/>
                <w:szCs w:val="20"/>
                <w:color w:val="auto"/>
              </w:rPr>
            </w:pPr>
          </w:p>
        </w:tc>
      </w:tr>
      <w:tr>
        <w:trPr>
          <w:trHeight w:val="207"/>
        </w:trPr>
        <w:tc>
          <w:tcPr>
            <w:tcW w:w="384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D Warrants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12/11/2015</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12/11/2020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Warrants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04/01/2016</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04/01/2021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25,733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11,692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14,041</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I Warrants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09/13/2016</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7"/>
              </w:rPr>
              <w:t>09/13/2021</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35,368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35,368</w:t>
            </w:r>
          </w:p>
        </w:tc>
      </w:tr>
      <w:tr>
        <w:trPr>
          <w:trHeight w:val="22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02/17/2017</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2/17/2022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311,236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308,660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2020-A Warrants (1)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7/6/2020</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9"/>
              </w:rPr>
              <w:t>7/6/2025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0.60</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30,000,000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27,317,834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2,682,166</w:t>
            </w:r>
          </w:p>
        </w:tc>
      </w:tr>
      <w:tr>
        <w:trPr>
          <w:trHeight w:val="227"/>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2020-B Warrants (1)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7/6/2020</w:t>
            </w:r>
          </w:p>
        </w:tc>
        <w:tc>
          <w:tcPr>
            <w:tcW w:w="1340" w:type="dxa"/>
            <w:vAlign w:val="bottom"/>
            <w:gridSpan w:val="2"/>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7/6/2025</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9,103,334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9,103,334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Series 2020-C Warrants (1)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8/25/2020</w:t>
            </w:r>
          </w:p>
        </w:tc>
        <w:tc>
          <w:tcPr>
            <w:tcW w:w="1340" w:type="dxa"/>
            <w:vAlign w:val="bottom"/>
            <w:gridSpan w:val="2"/>
          </w:tcPr>
          <w:p>
            <w:pPr>
              <w:jc w:val="center"/>
              <w:ind w:left="11"/>
              <w:spacing w:after="0"/>
              <w:rPr>
                <w:sz w:val="20"/>
                <w:szCs w:val="20"/>
                <w:color w:val="auto"/>
              </w:rPr>
            </w:pPr>
            <w:r>
              <w:rPr>
                <w:rFonts w:ascii="Times New Roman" w:cs="Times New Roman" w:eastAsia="Times New Roman" w:hAnsi="Times New Roman"/>
                <w:sz w:val="18"/>
                <w:szCs w:val="18"/>
                <w:color w:val="auto"/>
                <w:w w:val="98"/>
              </w:rPr>
              <w:t>8/25/2025</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16,532,232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16,532,232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8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2"/>
        </w:trPr>
        <w:tc>
          <w:tcPr>
            <w:tcW w:w="3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56,033,028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53,298,830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2,734,198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-11430</wp:posOffset>
            </wp:positionV>
            <wp:extent cx="22453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5360" cy="8255"/>
                    </a:xfrm>
                    <a:prstGeom prst="rect">
                      <a:avLst/>
                    </a:prstGeom>
                    <a:noFill/>
                  </pic:spPr>
                </pic:pic>
              </a:graphicData>
            </a:graphic>
          </wp:anchor>
        </w:drawing>
      </w:r>
    </w:p>
    <w:p>
      <w:pPr>
        <w:ind w:left="5780" w:right="4320" w:hanging="5773"/>
        <w:spacing w:after="0" w:line="524" w:lineRule="auto"/>
        <w:tabs>
          <w:tab w:leader="none" w:pos="3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2020-A, Series 2020-B and Series 2020-C Warrants are equity-classified warrants.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-570230</wp:posOffset>
            </wp:positionV>
            <wp:extent cx="2245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453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-95885</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3" w:name="page24"/>
    <w:bookmarkEnd w:id="23"/>
    <w:p>
      <w:pPr>
        <w:ind w:left="9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agreements governing the above warrants include the following terms:</w:t>
      </w:r>
    </w:p>
    <w:p>
      <w:pPr>
        <w:spacing w:after="0" w:line="220" w:lineRule="exact"/>
        <w:rPr>
          <w:sz w:val="20"/>
          <w:szCs w:val="20"/>
          <w:color w:val="auto"/>
        </w:rPr>
      </w:pPr>
    </w:p>
    <w:p>
      <w:pPr>
        <w:ind w:left="380" w:right="100" w:hanging="133"/>
        <w:spacing w:after="0" w:line="262"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warrants have exercise prices which are subject to adjustment for certain events, including the issuance of stock dividends on the Company’s common stock and, in certain instances, the issuance of the Company’s common stock or instruments convertible into the Company’s common stock at a price per share less than the exercise price of the respective warrants;</w:t>
      </w:r>
    </w:p>
    <w:p>
      <w:pPr>
        <w:spacing w:after="0" w:line="176" w:lineRule="exact"/>
        <w:rPr>
          <w:rFonts w:ascii="Times New Roman" w:cs="Times New Roman" w:eastAsia="Times New Roman" w:hAnsi="Times New Roman"/>
          <w:sz w:val="18"/>
          <w:szCs w:val="18"/>
          <w:color w:val="auto"/>
        </w:rPr>
      </w:pPr>
    </w:p>
    <w:p>
      <w:pPr>
        <w:ind w:left="380" w:right="100" w:hanging="120"/>
        <w:spacing w:after="0" w:line="262" w:lineRule="auto"/>
        <w:tabs>
          <w:tab w:leader="none" w:pos="3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holders may exercise the warrants through a cashless exercise if, and only if, the Company does not have an effective registration statement then available for the issuance of the shares of its common stock. If an effective registration statement is available for the issuance of its common stock a holder may only exercise the warrants through a cash exercise;</w:t>
      </w:r>
    </w:p>
    <w:p>
      <w:pPr>
        <w:spacing w:after="0" w:line="176" w:lineRule="exact"/>
        <w:rPr>
          <w:rFonts w:ascii="Times New Roman" w:cs="Times New Roman" w:eastAsia="Times New Roman" w:hAnsi="Times New Roman"/>
          <w:sz w:val="18"/>
          <w:szCs w:val="18"/>
          <w:color w:val="auto"/>
        </w:rPr>
      </w:pPr>
    </w:p>
    <w:p>
      <w:pPr>
        <w:ind w:left="360" w:right="260" w:hanging="113"/>
        <w:spacing w:after="0" w:line="26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and the number and type of securities purchasable upon exercise of the warrants are subject to adjustment upon certain corporate events, including certain combinations, consolidations, liquidations, mergers, recapitalizations, reclassifications, reorganizations, stock dividends and stock splits, a sale of all or substantially all of the Company’s assets and certain other events; and</w:t>
      </w:r>
    </w:p>
    <w:p>
      <w:pPr>
        <w:spacing w:after="0" w:line="176" w:lineRule="exact"/>
        <w:rPr>
          <w:rFonts w:ascii="Times New Roman" w:cs="Times New Roman" w:eastAsia="Times New Roman" w:hAnsi="Times New Roman"/>
          <w:sz w:val="18"/>
          <w:szCs w:val="18"/>
          <w:color w:val="auto"/>
        </w:rPr>
      </w:pPr>
    </w:p>
    <w:p>
      <w:pPr>
        <w:ind w:left="400" w:right="40" w:hanging="153"/>
        <w:spacing w:after="0" w:line="251" w:lineRule="auto"/>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“extraordinary transaction” or a “fundamental transaction” (as such terms are defined in the respective warrant agreements), generally including any merger with or into another entity, sale of all or substantially all of the Company’s assets, tender offer or exchange offer, or reclassification of its common stock, in which the successor entity (as defined in the respective warrant agreements) that assumes the successor entity is not a publicly traded company, the Company or any successor entity will pay the warrant holder, at such holder’s option, exercisable at any time concurrently with or within 30 days after the consummation of the extraordinary transaction or fundamental transaction, an amount of cash equal to the value of such holder’s warrants as determined in accordance with the Black-Scholes option pricing model and the terms of the respective warrant agreement. In some circumstances, the Company or successor entity may be obligated to make such payments regardless of whether the successor entity that assumes the warrants is a publicly traded company.</w:t>
      </w:r>
    </w:p>
    <w:p>
      <w:pPr>
        <w:spacing w:after="0" w:line="190" w:lineRule="exact"/>
        <w:rPr>
          <w:sz w:val="20"/>
          <w:szCs w:val="20"/>
          <w:color w:val="auto"/>
        </w:rPr>
      </w:pPr>
    </w:p>
    <w:p>
      <w:pPr>
        <w:ind w:right="540" w:firstLine="480"/>
        <w:spacing w:after="0" w:line="277" w:lineRule="auto"/>
        <w:rPr>
          <w:sz w:val="20"/>
          <w:szCs w:val="20"/>
          <w:color w:val="auto"/>
        </w:rPr>
      </w:pPr>
      <w:r>
        <w:rPr>
          <w:rFonts w:ascii="Times New Roman" w:cs="Times New Roman" w:eastAsia="Times New Roman" w:hAnsi="Times New Roman"/>
          <w:sz w:val="18"/>
          <w:szCs w:val="18"/>
          <w:color w:val="auto"/>
        </w:rPr>
        <w:t>During the three months ended September 30, 2020, common stock was issued as a result of exercise of warrants as described below (dollars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20" w:type="dxa"/>
            <w:vAlign w:val="bottom"/>
          </w:tcPr>
          <w:p>
            <w:pPr>
              <w:spacing w:after="0"/>
              <w:rPr>
                <w:sz w:val="18"/>
                <w:szCs w:val="18"/>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8120" w:type="dxa"/>
            <w:vAlign w:val="bottom"/>
          </w:tcPr>
          <w:p>
            <w:pPr>
              <w:spacing w:after="0"/>
              <w:rPr>
                <w:sz w:val="20"/>
                <w:szCs w:val="20"/>
                <w:color w:val="auto"/>
              </w:rPr>
            </w:pPr>
          </w:p>
        </w:tc>
        <w:tc>
          <w:tcPr>
            <w:tcW w:w="1500" w:type="dxa"/>
            <w:vAlign w:val="bottom"/>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4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Proceeds</w:t>
            </w:r>
          </w:p>
        </w:tc>
      </w:tr>
      <w:tr>
        <w:trPr>
          <w:trHeight w:val="207"/>
        </w:trPr>
        <w:tc>
          <w:tcPr>
            <w:tcW w:w="812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2020-A Warrants</w:t>
            </w:r>
          </w:p>
        </w:tc>
        <w:tc>
          <w:tcPr>
            <w:tcW w:w="15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27,317,834</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16,391</w:t>
            </w:r>
          </w:p>
        </w:tc>
      </w:tr>
      <w:tr>
        <w:trPr>
          <w:trHeight w:val="213"/>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Series 2020-B Warrants</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9,103,334</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r>
      <w:tr>
        <w:trPr>
          <w:trHeight w:val="213"/>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2020-C Warrants</w:t>
            </w:r>
          </w:p>
        </w:tc>
        <w:tc>
          <w:tcPr>
            <w:tcW w:w="15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16,532,232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r>
      <w:tr>
        <w:trPr>
          <w:trHeight w:val="207"/>
        </w:trPr>
        <w:tc>
          <w:tcPr>
            <w:tcW w:w="8120" w:type="dxa"/>
            <w:vAlign w:val="bottom"/>
            <w:tcBorders>
              <w:top w:val="single" w:sz="8" w:color="CCEEFF"/>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33"/>
        </w:trPr>
        <w:tc>
          <w:tcPr>
            <w:tcW w:w="812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52,953,400</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16,647</w:t>
            </w: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Accounts Payable and Accrued Liabilities</w:t>
      </w:r>
    </w:p>
    <w:p>
      <w:pPr>
        <w:spacing w:after="0" w:line="224" w:lineRule="exact"/>
        <w:rPr>
          <w:sz w:val="20"/>
          <w:szCs w:val="20"/>
          <w:color w:val="auto"/>
        </w:rPr>
      </w:pPr>
    </w:p>
    <w:p>
      <w:pPr>
        <w:ind w:right="620" w:firstLine="469"/>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components of the Company’s accounts payable and accrued liabilities in the consolidated balance sheets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4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7"/>
        </w:trPr>
        <w:tc>
          <w:tcPr>
            <w:tcW w:w="438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utilities and supplies</w:t>
            </w:r>
          </w:p>
        </w:tc>
        <w:tc>
          <w:tcPr>
            <w:tcW w:w="3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w:t>
            </w:r>
          </w:p>
        </w:tc>
      </w:tr>
      <w:tr>
        <w:trPr>
          <w:trHeight w:val="21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 trade</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w:t>
            </w:r>
          </w:p>
        </w:tc>
      </w:tr>
      <w:tr>
        <w:trPr>
          <w:trHeight w:val="21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1,946</w:t>
            </w:r>
          </w:p>
        </w:tc>
      </w:tr>
      <w:tr>
        <w:trPr>
          <w:trHeight w:val="21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r>
      <w:tr>
        <w:trPr>
          <w:trHeight w:val="247"/>
        </w:trPr>
        <w:tc>
          <w:tcPr>
            <w:tcW w:w="4380" w:type="dxa"/>
            <w:vAlign w:val="bottom"/>
            <w:tcBorders>
              <w:top w:val="single" w:sz="8" w:color="CCEEFF"/>
            </w:tcBorders>
          </w:tcPr>
          <w:p>
            <w:pPr>
              <w:spacing w:after="0"/>
              <w:rPr>
                <w:sz w:val="21"/>
                <w:szCs w:val="21"/>
                <w:color w:val="auto"/>
              </w:rPr>
            </w:pPr>
          </w:p>
        </w:tc>
        <w:tc>
          <w:tcPr>
            <w:tcW w:w="36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3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5,678</w:t>
            </w:r>
          </w:p>
        </w:tc>
      </w:tr>
      <w:tr>
        <w:trPr>
          <w:trHeight w:val="408"/>
        </w:trPr>
        <w:tc>
          <w:tcPr>
            <w:tcW w:w="438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21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38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Notes and 2020/21 Notes</w:t>
      </w:r>
    </w:p>
    <w:p>
      <w:pPr>
        <w:spacing w:after="0" w:line="224" w:lineRule="exact"/>
        <w:rPr>
          <w:sz w:val="20"/>
          <w:szCs w:val="20"/>
          <w:color w:val="auto"/>
        </w:rPr>
      </w:pPr>
    </w:p>
    <w:p>
      <w:pPr>
        <w:ind w:right="100" w:firstLine="469"/>
        <w:spacing w:after="0" w:line="277" w:lineRule="auto"/>
        <w:rPr>
          <w:sz w:val="20"/>
          <w:szCs w:val="20"/>
          <w:color w:val="auto"/>
        </w:rPr>
      </w:pPr>
      <w:r>
        <w:rPr>
          <w:rFonts w:ascii="Times New Roman" w:cs="Times New Roman" w:eastAsia="Times New Roman" w:hAnsi="Times New Roman"/>
          <w:sz w:val="18"/>
          <w:szCs w:val="18"/>
          <w:color w:val="auto"/>
        </w:rPr>
        <w:t>The following table sets forth information pertaining to the 2020 Notes and 2020/21 Notes which are included in the Company’s consolidated balance sheets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Debt Issue</w:t>
            </w:r>
          </w:p>
        </w:tc>
        <w:tc>
          <w:tcPr>
            <w:tcW w:w="16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Embedded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2020 Notes</w:t>
            </w:r>
          </w:p>
        </w:tc>
        <w:tc>
          <w:tcPr>
            <w:tcW w:w="100" w:type="dxa"/>
            <w:vAlign w:val="bottom"/>
          </w:tcPr>
          <w:p>
            <w:pPr>
              <w:spacing w:after="0"/>
              <w:rPr>
                <w:sz w:val="20"/>
                <w:szCs w:val="20"/>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6"/>
              </w:rPr>
              <w:t>Discount</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6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16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7"/>
        </w:trPr>
        <w:tc>
          <w:tcPr>
            <w:tcW w:w="3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13,900</w:t>
            </w:r>
          </w:p>
        </w:tc>
        <w:tc>
          <w:tcPr>
            <w:tcW w:w="34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13,900</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Exchange of 2020 Notes for 2020/21 Notes</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Original issue discount paid with 2020/21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5"/>
        </w:trPr>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Conversion of 2020/21 Notes into common</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126"/>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3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2020/21 embedded derivative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195"/>
        </w:trPr>
        <w:tc>
          <w:tcPr>
            <w:tcW w:w="3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 in fair value of 2020/21 Notes</w:t>
            </w:r>
          </w:p>
        </w:tc>
        <w:tc>
          <w:tcPr>
            <w:tcW w:w="10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(2,819)</w:t>
            </w:r>
          </w:p>
        </w:tc>
        <w:tc>
          <w:tcPr>
            <w:tcW w:w="160" w:type="dxa"/>
            <w:vAlign w:val="bottom"/>
          </w:tcPr>
          <w:p>
            <w:pPr>
              <w:spacing w:after="0"/>
              <w:rPr>
                <w:sz w:val="16"/>
                <w:szCs w:val="16"/>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1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embedded derivative</w:t>
            </w: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12,506</w:t>
            </w:r>
          </w:p>
        </w:tc>
        <w:tc>
          <w:tcPr>
            <w:tcW w:w="34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80" w:firstLine="480"/>
        <w:spacing w:after="0" w:line="253" w:lineRule="auto"/>
        <w:rPr>
          <w:sz w:val="20"/>
          <w:szCs w:val="20"/>
          <w:color w:val="auto"/>
        </w:rPr>
      </w:pPr>
      <w:r>
        <w:rPr>
          <w:rFonts w:ascii="Times New Roman" w:cs="Times New Roman" w:eastAsia="Times New Roman" w:hAnsi="Times New Roman"/>
          <w:sz w:val="18"/>
          <w:szCs w:val="18"/>
          <w:color w:val="auto"/>
        </w:rPr>
        <w:t>On June 20, 2017, the Company issued the 2020 Notes in exchange for its 12.0% convertible senior secured notes due 2017 (the "2017 Notes"), plus an amount in cash equal to the accrued and unpaid interest. The 2020 Notes had a maturity date of March 15, 2020 and were secured by a first lien on substantially all of our assets. The 2020 Notes had an interest rate equal to 12% per annum (with 2% potentially payable as PIK Interest (as defined and described below) at our option), payable on March 31, June 30, September 30 and December 31 of each year. To the extent that the Company paid any portion of the interest due on the 2020 Notes as PIK Interest, the maximum aggregate principal amount of the 2020 Notes that would have been convertible into shares of the Company's common stock increased.</w:t>
      </w:r>
    </w:p>
    <w:p>
      <w:pPr>
        <w:spacing w:after="0" w:line="185" w:lineRule="exact"/>
        <w:rPr>
          <w:sz w:val="20"/>
          <w:szCs w:val="20"/>
          <w:color w:val="auto"/>
        </w:rPr>
      </w:pPr>
    </w:p>
    <w:p>
      <w:pPr>
        <w:ind w:firstLine="480"/>
        <w:spacing w:after="0" w:line="262" w:lineRule="auto"/>
        <w:rPr>
          <w:sz w:val="20"/>
          <w:szCs w:val="20"/>
          <w:color w:val="auto"/>
        </w:rPr>
      </w:pPr>
      <w:r>
        <w:rPr>
          <w:rFonts w:ascii="Times New Roman" w:cs="Times New Roman" w:eastAsia="Times New Roman" w:hAnsi="Times New Roman"/>
          <w:sz w:val="18"/>
          <w:szCs w:val="18"/>
          <w:color w:val="auto"/>
        </w:rPr>
        <w:t>Under certain circumstances, the Company had the option to pay a portion of the interest due on the 2020 Notes by either (a) increasing the principal amount of the 2020 Notes by the amount of interest then due or (b) issuing additional 2020 Notes with a principal amount equal to the amount of interest then due (interest paid in the manner set forth in (a) or (b) being referred to as “PIK Interest”).</w:t>
      </w:r>
    </w:p>
    <w:p>
      <w:pPr>
        <w:spacing w:after="0" w:line="176" w:lineRule="exact"/>
        <w:rPr>
          <w:sz w:val="20"/>
          <w:szCs w:val="20"/>
          <w:color w:val="auto"/>
        </w:rPr>
      </w:pPr>
    </w:p>
    <w:p>
      <w:pPr>
        <w:ind w:right="600" w:firstLine="480"/>
        <w:spacing w:after="0" w:line="277" w:lineRule="auto"/>
        <w:rPr>
          <w:sz w:val="20"/>
          <w:szCs w:val="20"/>
          <w:color w:val="auto"/>
        </w:rPr>
      </w:pPr>
      <w:r>
        <w:rPr>
          <w:rFonts w:ascii="Times New Roman" w:cs="Times New Roman" w:eastAsia="Times New Roman" w:hAnsi="Times New Roman"/>
          <w:sz w:val="18"/>
          <w:szCs w:val="18"/>
          <w:color w:val="auto"/>
        </w:rPr>
        <w:t>Additional shares of the Company's common stock could also have become issuable pursuant to the 2020 Notes in the event the Company was required to make certain make-whole payments as provided in the 2020 Notes Indenture.</w:t>
      </w:r>
    </w:p>
    <w:p>
      <w:pPr>
        <w:spacing w:after="0" w:line="163" w:lineRule="exact"/>
        <w:rPr>
          <w:sz w:val="20"/>
          <w:szCs w:val="20"/>
          <w:color w:val="auto"/>
        </w:rPr>
      </w:pPr>
    </w:p>
    <w:p>
      <w:pPr>
        <w:ind w:right="120" w:firstLine="480"/>
        <w:spacing w:after="0" w:line="277" w:lineRule="auto"/>
        <w:rPr>
          <w:sz w:val="20"/>
          <w:szCs w:val="20"/>
          <w:color w:val="auto"/>
        </w:rPr>
      </w:pPr>
      <w:r>
        <w:rPr>
          <w:rFonts w:ascii="Times New Roman" w:cs="Times New Roman" w:eastAsia="Times New Roman" w:hAnsi="Times New Roman"/>
          <w:sz w:val="18"/>
          <w:szCs w:val="18"/>
          <w:color w:val="auto"/>
        </w:rPr>
        <w:t>The 2020 Notes were convertible into shares of the Company's common stock, subject to certain terms and conditions. The initial conversion price of the 2020 Notes was equal to $14.72 per share of common stock, or 0.0679 shares of common stock per $1 principal amount of 2020 Notes.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2020/21 Notes</w:t>
      </w:r>
    </w:p>
    <w:p>
      <w:pPr>
        <w:spacing w:after="0" w:line="224"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On January 10, 2020, the Company entered into an Exchange and Purchase Agreement (as amended, the “2020/21 Purchase 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June 3, 2020. The right to purchase 2020/21 Option Notes expired on July 3, 2020.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that certain Second Supplemental Indenture, dated as of July 2, 2020 (the “Second Supplemental Indenture”), and that certain Third Supplemental Indenture, dated as of August 24, 2020 (the “Third Supplemental Indenture” and, together with the Original Indenture, the First Supplemental Indenture and the Second Supplemental Indenture, the “2020/21 Notes Indenture”), pursuant to which the Company issued the 2020/21 Notes. The Company recognized an approximately $0.7 million loss. See "</w:t>
      </w:r>
      <w:r>
        <w:rPr>
          <w:rFonts w:ascii="Times New Roman" w:cs="Times New Roman" w:eastAsia="Times New Roman" w:hAnsi="Times New Roman"/>
          <w:sz w:val="18"/>
          <w:szCs w:val="18"/>
          <w:i w:val="1"/>
          <w:iCs w:val="1"/>
          <w:color w:val="auto"/>
        </w:rPr>
        <w:t>(Loss)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modification of 2020 Notes</w:t>
      </w:r>
      <w:r>
        <w:rPr>
          <w:rFonts w:ascii="Times New Roman" w:cs="Times New Roman" w:eastAsia="Times New Roman" w:hAnsi="Times New Roman"/>
          <w:sz w:val="18"/>
          <w:szCs w:val="18"/>
          <w:color w:val="auto"/>
        </w:rPr>
        <w:t>"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1616075</wp:posOffset>
            </wp:positionH>
            <wp:positionV relativeFrom="paragraph">
              <wp:posOffset>-1788795</wp:posOffset>
            </wp:positionV>
            <wp:extent cx="279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pacing w:after="0" w:line="172"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2020/21 Notes will mature on December 31, 2020, provided that the maturity date will automatically be extended to April 1, 2021 if the aggregate outstanding principal balance of the 2020/21 Notes (including any 2020/21 Option Notes) as of December 15, 2020 is less than $7 million. The 2020/21 Notes bear interest at a rate equal to 12% per annum (with 4% payable as PIK Interest (as defined and described below)), payable on March 31, June 30, September 30 and December 31 of each year. Under certain circumstances, the Company will have the option to pay a portion of the interest due on the 2020/21 Notes by either (a) increasing the principal amount of the 2020/21 Notes by the amount of interest then due or (b) issuing additional 2020/21 Notes with a principal amount equal to the amount of interest then due (interest paid in the manner set forth in (a) or (b) being referred to as “PIK Interest”). In the event the Company pays any portion of the interest due on the 2020/21 Notes as PIK Interest, the maximum aggregate principal amount of 2020/21 Notes that could be convertible into shares of the Company’s common stock will be increased.</w:t>
      </w:r>
    </w:p>
    <w:p>
      <w:pPr>
        <w:spacing w:after="0" w:line="190" w:lineRule="exact"/>
        <w:rPr>
          <w:sz w:val="20"/>
          <w:szCs w:val="20"/>
          <w:color w:val="auto"/>
        </w:rPr>
      </w:pPr>
    </w:p>
    <w:p>
      <w:pPr>
        <w:ind w:right="200" w:firstLine="480"/>
        <w:spacing w:after="0" w:line="273" w:lineRule="auto"/>
        <w:rPr>
          <w:sz w:val="20"/>
          <w:szCs w:val="20"/>
          <w:color w:val="auto"/>
        </w:rPr>
      </w:pPr>
      <w:r>
        <w:rPr>
          <w:rFonts w:ascii="Times New Roman" w:cs="Times New Roman" w:eastAsia="Times New Roman" w:hAnsi="Times New Roman"/>
          <w:sz w:val="17"/>
          <w:szCs w:val="17"/>
          <w:color w:val="auto"/>
        </w:rPr>
        <w:t>The 2020/21 Notes are convertible into shares of the Company’s common stock at the conversion price, subject to certain terms and conditions. The initial conversion price of the 2020/21 Notes is equal to $2.442 per share of the Company’s common stock (the “2020/21 Notes Conversion Price”), or</w:t>
      </w:r>
    </w:p>
    <w:p>
      <w:pPr>
        <w:spacing w:after="0" w:line="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0.4095 shares of the Company’s common stock per $1 principal amount of 2020/21 Notes. The Company and the holders may also mutually agree on other conversions of the 2020/21 Notes into shares of the Company’s common stock on a monthly basis (a “Contractual Conversion”) pursuant to the terms of the 2020/21 Notes Indenture. The 2020/21 Notes Conversion Price in a Contractual Conversion will be reduced to the lesser of the then-applicable 2020/21 Notes Conversion Price or a 10% discount to the average of the daily volume weighted average price of the Company’s common stock for the three forward trading days prior to the date of the Contractual Conversion.</w:t>
      </w:r>
    </w:p>
    <w:p>
      <w:pPr>
        <w:spacing w:after="0" w:line="188" w:lineRule="exact"/>
        <w:rPr>
          <w:sz w:val="20"/>
          <w:szCs w:val="20"/>
          <w:color w:val="auto"/>
        </w:rPr>
      </w:pPr>
    </w:p>
    <w:p>
      <w:pPr>
        <w:ind w:right="200" w:firstLine="480"/>
        <w:spacing w:after="0" w:line="252" w:lineRule="auto"/>
        <w:rPr>
          <w:sz w:val="20"/>
          <w:szCs w:val="20"/>
          <w:color w:val="auto"/>
        </w:rPr>
      </w:pPr>
      <w:r>
        <w:rPr>
          <w:rFonts w:ascii="Times New Roman" w:cs="Times New Roman" w:eastAsia="Times New Roman" w:hAnsi="Times New Roman"/>
          <w:sz w:val="18"/>
          <w:szCs w:val="18"/>
          <w:color w:val="auto"/>
        </w:rPr>
        <w:t>Each holder has agreed not to convert its 2020/21 Notes into shares of the Company’s common stock to the extent that, after giving effect to such conversion, the number of shares of the Company’s common stock beneficially owned by such holder and its affiliates would exceed 4.99% of the Company’s common stock outstanding at the time of such conversion (the “4.99% Ownership Limitation”); provided that a holder may, at its option and upon 61 days’ prior notice to the Company, increase such threshold to 9.99% (the “9.99% Ownership Limitation”). If a conversion of 2020/21 Notes by a holder would exceed the 4.99% Ownership Limitation or the 9.99% Ownership Limitation, as applicable, the 2020/21 Purchase Agreement contains a provision granting the holder a fully funded prepaid warrant for such common stock with a term of nine months, subject to a six-month extension, which it can draw down from time to time.</w:t>
      </w:r>
    </w:p>
    <w:p>
      <w:pPr>
        <w:spacing w:after="0" w:line="187"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 2020/21 Notes may be redeemed in whole or in part, at the Company’s option, for cash at any time June 3, 2020 and upon 120 days’ notice to the holders of the 2020/21 Notes. A Redemption Make-Whole Payment (as defined in the 2020/21 Notes Indenture) applies only to a redemption of 2020/21 Notes that occurs on or after December 31, 2020. Following a notice of redemption of the 2020/21 Notes by the Company, the holders may elect to convert the 2020/21 Notes into shares of the Company’s common stock at the same conversion price as applicable to a Contractual Conversion.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The 2020/21 Notes do not contain any anti-dilution adjustments for future equity issuances that are below the 2020/21 Notes Conversion Price, and adjustments to the 2020/21 Notes Conversion Price will only generally be made in the event that there is a dividend or distribution paid on shares of the Company’s common stock, a subdivision, combination or reclassification of the Company’s common stock, or at the discretion of the Board of Directors of the Company in limited circumstances and subject to certain conditions.</w:t>
      </w:r>
    </w:p>
    <w:p>
      <w:pPr>
        <w:spacing w:after="0" w:line="181" w:lineRule="exact"/>
        <w:rPr>
          <w:sz w:val="20"/>
          <w:szCs w:val="20"/>
          <w:color w:val="auto"/>
        </w:rPr>
      </w:pPr>
    </w:p>
    <w:p>
      <w:pPr>
        <w:ind w:right="320" w:firstLine="480"/>
        <w:spacing w:after="0" w:line="277" w:lineRule="auto"/>
        <w:rPr>
          <w:sz w:val="20"/>
          <w:szCs w:val="20"/>
          <w:color w:val="auto"/>
        </w:rPr>
      </w:pPr>
      <w:r>
        <w:rPr>
          <w:rFonts w:ascii="Times New Roman" w:cs="Times New Roman" w:eastAsia="Times New Roman" w:hAnsi="Times New Roman"/>
          <w:sz w:val="18"/>
          <w:szCs w:val="18"/>
          <w:color w:val="auto"/>
        </w:rPr>
        <w:t>The 2020/21 Notes are secured by a lien on substantially all of the assets of the Company and the 2020/21 Notes Guarantors, including intellectual property and real property, and are guaranteed by the Company’s existing subsidiaries.</w:t>
      </w:r>
    </w:p>
    <w:p>
      <w:pPr>
        <w:spacing w:after="0" w:line="163" w:lineRule="exact"/>
        <w:rPr>
          <w:sz w:val="20"/>
          <w:szCs w:val="20"/>
          <w:color w:val="auto"/>
        </w:rPr>
      </w:pPr>
    </w:p>
    <w:p>
      <w:pPr>
        <w:ind w:right="100" w:firstLine="480"/>
        <w:spacing w:after="0" w:line="277" w:lineRule="auto"/>
        <w:rPr>
          <w:sz w:val="20"/>
          <w:szCs w:val="20"/>
          <w:color w:val="auto"/>
        </w:rPr>
      </w:pPr>
      <w:r>
        <w:rPr>
          <w:rFonts w:ascii="Times New Roman" w:cs="Times New Roman" w:eastAsia="Times New Roman" w:hAnsi="Times New Roman"/>
          <w:sz w:val="18"/>
          <w:szCs w:val="18"/>
          <w:color w:val="auto"/>
        </w:rPr>
        <w:t>Additional shares of the Company's common stock could also become issuable pursuant to the 2020/21 Notes in the event the Company is required to make certain make-whole payments as provided in the 2020/21 Notes Indenture.</w:t>
      </w:r>
    </w:p>
    <w:p>
      <w:pPr>
        <w:spacing w:after="0" w:line="163" w:lineRule="exact"/>
        <w:rPr>
          <w:sz w:val="20"/>
          <w:szCs w:val="20"/>
          <w:color w:val="auto"/>
        </w:rPr>
      </w:pPr>
    </w:p>
    <w:p>
      <w:pPr>
        <w:ind w:right="300" w:firstLine="480"/>
        <w:spacing w:after="0" w:line="277" w:lineRule="auto"/>
        <w:rPr>
          <w:sz w:val="20"/>
          <w:szCs w:val="20"/>
          <w:color w:val="auto"/>
        </w:rPr>
      </w:pPr>
      <w:r>
        <w:rPr>
          <w:rFonts w:ascii="Times New Roman" w:cs="Times New Roman" w:eastAsia="Times New Roman" w:hAnsi="Times New Roman"/>
          <w:sz w:val="18"/>
          <w:szCs w:val="18"/>
          <w:color w:val="auto"/>
        </w:rPr>
        <w:t>Under certain circumstances, the Company may file one or more registration statements on Form S-3 or amend filings in order to register shares of common stock for sale or resale, as necessary in connection with the 2020/21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2020/21 Notes</w:t>
      </w:r>
    </w:p>
    <w:p>
      <w:pPr>
        <w:spacing w:after="0" w:line="224" w:lineRule="exact"/>
        <w:rPr>
          <w:sz w:val="20"/>
          <w:szCs w:val="20"/>
          <w:color w:val="auto"/>
        </w:rPr>
      </w:pPr>
    </w:p>
    <w:p>
      <w:pPr>
        <w:ind w:right="500" w:firstLine="480"/>
        <w:spacing w:after="0" w:line="262" w:lineRule="auto"/>
        <w:rPr>
          <w:sz w:val="20"/>
          <w:szCs w:val="20"/>
          <w:color w:val="auto"/>
        </w:rPr>
      </w:pPr>
      <w:r>
        <w:rPr>
          <w:rFonts w:ascii="Times New Roman" w:cs="Times New Roman" w:eastAsia="Times New Roman" w:hAnsi="Times New Roman"/>
          <w:sz w:val="18"/>
          <w:szCs w:val="18"/>
          <w:color w:val="auto"/>
        </w:rPr>
        <w:t xml:space="preserve">On July 10, 2020, certain holders of the 2020/21 Notes converted $2.0 million in aggregate principal amount of 2020/21 Notes (including the conversion of an additional $0.3 million for make-whole payment) into an aggregate of 4,169,426 shares of common stock pursuant to the terms of the 2020/21 Indenture. The Company recorded a </w:t>
      </w:r>
      <w:r>
        <w:rPr>
          <w:rFonts w:ascii="Times New Roman" w:cs="Times New Roman" w:eastAsia="Times New Roman" w:hAnsi="Times New Roman"/>
          <w:sz w:val="18"/>
          <w:szCs w:val="18"/>
          <w:i w:val="1"/>
          <w:iCs w:val="1"/>
          <w:color w:val="auto"/>
        </w:rPr>
        <w:t>Loss on conversion of 2020/21 Notes</w:t>
      </w:r>
      <w:r>
        <w:rPr>
          <w:rFonts w:ascii="Times New Roman" w:cs="Times New Roman" w:eastAsia="Times New Roman" w:hAnsi="Times New Roman"/>
          <w:sz w:val="18"/>
          <w:szCs w:val="18"/>
          <w:color w:val="auto"/>
        </w:rPr>
        <w:t xml:space="preserve"> of $0.5 million on its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Payable - Other</w:t>
      </w:r>
    </w:p>
    <w:p>
      <w:pPr>
        <w:spacing w:after="0" w:line="224" w:lineRule="exact"/>
        <w:rPr>
          <w:sz w:val="20"/>
          <w:szCs w:val="20"/>
          <w:color w:val="auto"/>
        </w:rPr>
      </w:pPr>
    </w:p>
    <w:p>
      <w:pPr>
        <w:ind w:right="140" w:firstLine="480"/>
        <w:spacing w:after="0" w:line="284" w:lineRule="auto"/>
        <w:rPr>
          <w:sz w:val="20"/>
          <w:szCs w:val="20"/>
          <w:color w:val="auto"/>
        </w:rPr>
      </w:pPr>
      <w:r>
        <w:rPr>
          <w:rFonts w:ascii="Times New Roman" w:cs="Times New Roman" w:eastAsia="Times New Roman" w:hAnsi="Times New Roman"/>
          <w:sz w:val="17"/>
          <w:szCs w:val="17"/>
          <w:color w:val="auto"/>
        </w:rPr>
        <w:t>During the first quarter of 2020, the Company purchased equipment under a financing lease. During the fourth quarter 2019, the Company purchased equipment and financed part of its insurance obligation. The equipment notes and financing lease pay interest between 4% and 21%, have total monthly payments of $0.1 million and mature at various dates from August 2020 to February 2025. The equipment loans are secured by the related equipment.</w:t>
      </w:r>
    </w:p>
    <w:p>
      <w:pPr>
        <w:spacing w:after="0" w:line="160"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24-week period following the loan disbursement if all proceeds are used for eligible purposes and within certain thresholds, the Company maintains certain employment levels and the Company maintains certain compensation levels.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balance of these loans at September 30, 2020 and December 31, 2019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07"/>
        </w:trPr>
        <w:tc>
          <w:tcPr>
            <w:tcW w:w="37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SBA Loans</w:t>
            </w:r>
          </w:p>
        </w:tc>
        <w:tc>
          <w:tcPr>
            <w:tcW w:w="4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w:t>
            </w: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07"/>
        </w:trPr>
        <w:tc>
          <w:tcPr>
            <w:tcW w:w="3720" w:type="dxa"/>
            <w:vAlign w:val="bottom"/>
            <w:tcBorders>
              <w:top w:val="single" w:sz="8" w:color="CCEEFF"/>
            </w:tcBorders>
          </w:tcPr>
          <w:p>
            <w:pPr>
              <w:spacing w:after="0"/>
              <w:rPr>
                <w:sz w:val="17"/>
                <w:szCs w:val="17"/>
                <w:color w:val="auto"/>
              </w:rPr>
            </w:pPr>
          </w:p>
        </w:tc>
        <w:tc>
          <w:tcPr>
            <w:tcW w:w="4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notes payable - other</w:t>
            </w:r>
          </w:p>
        </w:tc>
        <w:tc>
          <w:tcPr>
            <w:tcW w:w="4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w:t>
            </w: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(704)</w:t>
            </w: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07"/>
        </w:trPr>
        <w:tc>
          <w:tcPr>
            <w:tcW w:w="3720" w:type="dxa"/>
            <w:vAlign w:val="bottom"/>
            <w:shd w:val="clear" w:color="auto" w:fill="CCEEFF"/>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4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280" w:type="dxa"/>
            <w:vAlign w:val="bottom"/>
            <w:vMerge w:val="restart"/>
          </w:tcPr>
          <w:p>
            <w:pPr>
              <w:jc w:val="right"/>
              <w:ind w:right="2191"/>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72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720" w:type="dxa"/>
            <w:vAlign w:val="bottom"/>
            <w:tcBorders>
              <w:bottom w:val="single" w:sz="8" w:color="auto"/>
            </w:tcBorders>
          </w:tcPr>
          <w:p>
            <w:pPr>
              <w:spacing w:after="0"/>
              <w:rPr>
                <w:sz w:val="9"/>
                <w:szCs w:val="9"/>
                <w:color w:val="auto"/>
              </w:rPr>
            </w:pPr>
          </w:p>
        </w:tc>
        <w:tc>
          <w:tcPr>
            <w:tcW w:w="4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gridSpan w:val="2"/>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2000" w:type="dxa"/>
            <w:vAlign w:val="bottom"/>
          </w:tcPr>
          <w:p>
            <w:pPr>
              <w:spacing w:after="0"/>
              <w:rPr>
                <w:sz w:val="24"/>
                <w:szCs w:val="24"/>
                <w:color w:val="auto"/>
              </w:rPr>
            </w:pPr>
          </w:p>
        </w:tc>
        <w:tc>
          <w:tcPr>
            <w:tcW w:w="7680" w:type="dxa"/>
            <w:vAlign w:val="bottom"/>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2000" w:type="dxa"/>
            <w:vAlign w:val="bottom"/>
          </w:tcPr>
          <w:p>
            <w:pPr>
              <w:spacing w:after="0"/>
              <w:rPr>
                <w:sz w:val="18"/>
                <w:szCs w:val="18"/>
                <w:color w:val="auto"/>
              </w:rPr>
            </w:pPr>
          </w:p>
        </w:tc>
        <w:tc>
          <w:tcPr>
            <w:tcW w:w="7680" w:type="dxa"/>
            <w:vAlign w:val="bottom"/>
          </w:tcPr>
          <w:p>
            <w:pPr>
              <w:jc w:val="center"/>
              <w:ind w:right="331"/>
              <w:spacing w:after="0"/>
              <w:rPr>
                <w:sz w:val="20"/>
                <w:szCs w:val="20"/>
                <w:color w:val="auto"/>
              </w:rPr>
            </w:pPr>
            <w:r>
              <w:rPr>
                <w:rFonts w:ascii="Times New Roman" w:cs="Times New Roman" w:eastAsia="Times New Roman" w:hAnsi="Times New Roman"/>
                <w:sz w:val="18"/>
                <w:szCs w:val="18"/>
                <w:b w:val="1"/>
                <w:bCs w:val="1"/>
                <w:color w:val="auto"/>
                <w:w w:val="98"/>
              </w:rPr>
              <w:t>Notes to Consolidated Financial Statements</w:t>
            </w: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2000" w:type="dxa"/>
            <w:vAlign w:val="bottom"/>
          </w:tcPr>
          <w:p>
            <w:pPr>
              <w:spacing w:after="0"/>
              <w:rPr>
                <w:sz w:val="20"/>
                <w:szCs w:val="20"/>
                <w:color w:val="auto"/>
              </w:rPr>
            </w:pPr>
          </w:p>
        </w:tc>
        <w:tc>
          <w:tcPr>
            <w:tcW w:w="768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Future payments for Loans Payable - Other are as follows (in thousands):</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0"/>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00" w:type="dxa"/>
            <w:vAlign w:val="bottom"/>
            <w:tcBorders>
              <w:top w:val="single" w:sz="8" w:color="auto"/>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200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2020 (remaining)</w:t>
            </w:r>
          </w:p>
        </w:tc>
        <w:tc>
          <w:tcPr>
            <w:tcW w:w="58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r>
      <w:tr>
        <w:trPr>
          <w:trHeight w:val="21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7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7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r>
      <w:tr>
        <w:trPr>
          <w:trHeight w:val="213"/>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7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r>
      <w:tr>
        <w:trPr>
          <w:trHeight w:val="213"/>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r>
      <w:tr>
        <w:trPr>
          <w:trHeight w:val="207"/>
        </w:trPr>
        <w:tc>
          <w:tcPr>
            <w:tcW w:w="2000" w:type="dxa"/>
            <w:vAlign w:val="bottom"/>
            <w:shd w:val="clear" w:color="auto" w:fill="CCEEFF"/>
          </w:tcPr>
          <w:p>
            <w:pPr>
              <w:spacing w:after="0"/>
              <w:rPr>
                <w:sz w:val="17"/>
                <w:szCs w:val="17"/>
                <w:color w:val="auto"/>
              </w:rPr>
            </w:pPr>
          </w:p>
        </w:tc>
        <w:tc>
          <w:tcPr>
            <w:tcW w:w="76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200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5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Incentive Plans</w:t>
      </w:r>
    </w:p>
    <w:p>
      <w:pPr>
        <w:spacing w:after="0" w:line="222"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2010 Stock Incentive Plan</w:t>
      </w:r>
      <w:r>
        <w:rPr>
          <w:rFonts w:ascii="Times New Roman" w:cs="Times New Roman" w:eastAsia="Times New Roman" w:hAnsi="Times New Roman"/>
          <w:sz w:val="18"/>
          <w:szCs w:val="18"/>
          <w:color w:val="auto"/>
        </w:rPr>
        <w:t>. In February 2011, the Company’s stockholders approved the Gevo, Inc. 2010 Stock Incentive Plan (as amended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10, 2019, the 2010 Plan was amended and restated, which increased the number of shares of common stock reserved for issuance to 3,266,661 shares. On June 3, 2020, the 2010 Plan was amended and restated, which increased the number of shares of common stock reserved for issuance by 3,713,413 shares to a total of 6,980,074 shares.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Restricted common stock activity during the nine months ended September 30, 2020 consisted of the following:</w:t>
      </w:r>
    </w:p>
    <w:p>
      <w:pPr>
        <w:spacing w:after="0" w:line="220" w:lineRule="exact"/>
        <w:rPr>
          <w:sz w:val="20"/>
          <w:szCs w:val="20"/>
          <w:color w:val="auto"/>
        </w:rPr>
      </w:pPr>
    </w:p>
    <w:p>
      <w:pPr>
        <w:ind w:left="320" w:right="420" w:hanging="1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2020, the Company issued 109,337 shares of restricted common stock, vesting over three years, and 1,258 shares of restricted common stock, vesting over two years, to certain of its employees in relation to restricted stock awards granted on February 27, 2020.</w:t>
      </w:r>
    </w:p>
    <w:p>
      <w:pPr>
        <w:spacing w:after="0" w:line="162" w:lineRule="exact"/>
        <w:rPr>
          <w:rFonts w:ascii="Times New Roman" w:cs="Times New Roman" w:eastAsia="Times New Roman" w:hAnsi="Times New Roman"/>
          <w:sz w:val="18"/>
          <w:szCs w:val="18"/>
          <w:color w:val="auto"/>
        </w:rPr>
      </w:pPr>
    </w:p>
    <w:p>
      <w:pPr>
        <w:ind w:left="320" w:right="420" w:hanging="1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the Company withheld 4,055 shares of common stock to settle income taxes related to the vested restricted stock awards for certain employees.</w:t>
      </w:r>
    </w:p>
    <w:p>
      <w:pPr>
        <w:spacing w:after="0" w:line="162" w:lineRule="exact"/>
        <w:rPr>
          <w:rFonts w:ascii="Times New Roman" w:cs="Times New Roman" w:eastAsia="Times New Roman" w:hAnsi="Times New Roman"/>
          <w:sz w:val="18"/>
          <w:szCs w:val="18"/>
          <w:color w:val="auto"/>
        </w:rPr>
      </w:pPr>
    </w:p>
    <w:p>
      <w:pPr>
        <w:ind w:left="320" w:right="100" w:hanging="113"/>
        <w:spacing w:after="0" w:line="262"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the Company issued 239,155 shares of restricted common stock in relation to restricted stock awards granted to its employees on April 1, 2020 in connection with the 20% salary reduction discussed in Footnote 1, which vested on May 15, 2020. Also in April 2020, the Company issued 29,032 of restricted stock units in exchange for services rendered, which vested immediately.</w:t>
      </w:r>
    </w:p>
    <w:p>
      <w:pPr>
        <w:spacing w:after="0" w:line="176" w:lineRule="exact"/>
        <w:rPr>
          <w:rFonts w:ascii="Times New Roman" w:cs="Times New Roman" w:eastAsia="Times New Roman" w:hAnsi="Times New Roman"/>
          <w:sz w:val="18"/>
          <w:szCs w:val="18"/>
          <w:color w:val="auto"/>
        </w:rPr>
      </w:pPr>
    </w:p>
    <w:p>
      <w:pPr>
        <w:ind w:left="320" w:right="620" w:hanging="1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2020, the Company withheld 77,768 shares of common stock to settle income taxes related to the vested restricted stock awards for certain employees.</w:t>
      </w:r>
    </w:p>
    <w:p>
      <w:pPr>
        <w:spacing w:after="0" w:line="162" w:lineRule="exact"/>
        <w:rPr>
          <w:rFonts w:ascii="Times New Roman" w:cs="Times New Roman" w:eastAsia="Times New Roman" w:hAnsi="Times New Roman"/>
          <w:sz w:val="18"/>
          <w:szCs w:val="18"/>
          <w:color w:val="auto"/>
        </w:rPr>
      </w:pPr>
    </w:p>
    <w:p>
      <w:pPr>
        <w:ind w:left="320" w:right="80" w:hanging="113"/>
        <w:spacing w:after="0" w:line="262"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July 2020, the Company issued 115,156 shares of restricted common stock in relation to restricted stock awards granted to its employees on July 1, 2020 in connection with the 20% salary reduction vesting on July 31, 2020. In addition, the Company issued 3,989,140 shares of restricted common stock to employees and directors and 101,730 restricted stock units in exchange for services rendered, vesting over two years.</w:t>
      </w:r>
    </w:p>
    <w:p>
      <w:pPr>
        <w:spacing w:after="0" w:line="176" w:lineRule="exact"/>
        <w:rPr>
          <w:rFonts w:ascii="Times New Roman" w:cs="Times New Roman" w:eastAsia="Times New Roman" w:hAnsi="Times New Roman"/>
          <w:sz w:val="18"/>
          <w:szCs w:val="18"/>
          <w:color w:val="auto"/>
        </w:rPr>
      </w:pPr>
    </w:p>
    <w:p>
      <w:pPr>
        <w:ind w:left="320" w:right="80" w:hanging="113"/>
        <w:spacing w:after="0" w:line="277" w:lineRule="auto"/>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2020, the Company withheld 245,990 shares of common stock to settle income taxes related to the vested restricted stock awards for certain employees.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September 30, 2020, 1,242,905 shares remain available for awards under the 2010 Plan.</w:t>
      </w:r>
    </w:p>
    <w:p>
      <w:pPr>
        <w:spacing w:after="0" w:line="218" w:lineRule="exact"/>
        <w:rPr>
          <w:sz w:val="20"/>
          <w:szCs w:val="20"/>
          <w:color w:val="auto"/>
        </w:rPr>
      </w:pPr>
    </w:p>
    <w:p>
      <w:pPr>
        <w:ind w:right="6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 In February 2011, the Company’s stockholders approved the Employee Stock Purchase Plan (the "ESPP").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for the ESPP are from January 1 to June 30 and from July 1 to December 31 of each calendar year. The Company has reserved 190 shares of common stock for issuance under the ESPP, of which 190 shares as of June 30, 2020 are available for future issuance. The purchase price of the common stock under the ESPP is 85% of the lower of the fair market value of a share of common stock on the first or last day of the purchase period. There were no purchases of common stock under the ESPP during the nine months ended September 30, 2020 or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4" w:lineRule="exact"/>
        <w:rPr>
          <w:sz w:val="20"/>
          <w:szCs w:val="20"/>
          <w:color w:val="auto"/>
        </w:rPr>
      </w:pPr>
    </w:p>
    <w:p>
      <w:pPr>
        <w:ind w:right="280" w:firstLine="469"/>
        <w:spacing w:after="0" w:line="277" w:lineRule="auto"/>
        <w:rPr>
          <w:sz w:val="20"/>
          <w:szCs w:val="20"/>
          <w:color w:val="auto"/>
        </w:rPr>
      </w:pPr>
      <w:r>
        <w:rPr>
          <w:rFonts w:ascii="Times New Roman" w:cs="Times New Roman" w:eastAsia="Times New Roman" w:hAnsi="Times New Roman"/>
          <w:sz w:val="18"/>
          <w:szCs w:val="18"/>
          <w:color w:val="auto"/>
        </w:rPr>
        <w:t>The Company records stock-based compensation expense during the requisite service period for share-based payment awards granted to employees and non-employees.</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Company’s stock-based compensation expense (in thousands)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6"/>
        </w:trPr>
        <w:tc>
          <w:tcPr>
            <w:tcW w:w="59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59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3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w:t>
            </w:r>
          </w:p>
        </w:tc>
      </w:tr>
      <w:tr>
        <w:trPr>
          <w:trHeight w:val="213"/>
        </w:trPr>
        <w:tc>
          <w:tcPr>
            <w:tcW w:w="5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3"/>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07"/>
        </w:trPr>
        <w:tc>
          <w:tcPr>
            <w:tcW w:w="598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3" w:lineRule="exact"/>
        <w:rPr>
          <w:sz w:val="20"/>
          <w:szCs w:val="20"/>
          <w:color w:val="auto"/>
        </w:rPr>
      </w:pPr>
    </w:p>
    <w:p>
      <w:pPr>
        <w:ind w:right="34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Stock Option Award Activity</w:t>
      </w:r>
      <w:r>
        <w:rPr>
          <w:rFonts w:ascii="Times New Roman" w:cs="Times New Roman" w:eastAsia="Times New Roman" w:hAnsi="Times New Roman"/>
          <w:sz w:val="18"/>
          <w:szCs w:val="18"/>
          <w:color w:val="auto"/>
        </w:rPr>
        <w:t>. Stock option activity under the Company’s stock incentive plans at September 30, 2020 and changes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3"/>
        </w:trPr>
        <w:tc>
          <w:tcPr>
            <w:tcW w:w="598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Term</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6"/>
        </w:trPr>
        <w:tc>
          <w:tcPr>
            <w:tcW w:w="5980" w:type="dxa"/>
            <w:vAlign w:val="bottom"/>
          </w:tcPr>
          <w:p>
            <w:pPr>
              <w:spacing w:after="0"/>
              <w:rPr>
                <w:sz w:val="20"/>
                <w:szCs w:val="20"/>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Price (1)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07"/>
        </w:trPr>
        <w:tc>
          <w:tcPr>
            <w:tcW w:w="59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at December 31, 2019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928.79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72,891.04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59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September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September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at September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556.13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5" w:lineRule="exact"/>
        <w:rPr>
          <w:sz w:val="20"/>
          <w:szCs w:val="20"/>
          <w:color w:val="auto"/>
        </w:rPr>
      </w:pPr>
    </w:p>
    <w:p>
      <w:pPr>
        <w:ind w:left="5540" w:right="3860" w:hanging="5405"/>
        <w:spacing w:after="0" w:line="524" w:lineRule="auto"/>
        <w:tabs>
          <w:tab w:leader="none" w:pos="4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of options outstanding range from $20.00 to $99,300.00 as of September 30, 2020.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right="20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Non-vested restricted stock awards at September 30, 2020 and changes during the three months ended September 30, 2020 were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3"/>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8000" w:type="dxa"/>
            <w:vAlign w:val="bottom"/>
          </w:tcPr>
          <w:p>
            <w:pPr>
              <w:spacing w:after="0"/>
              <w:rPr>
                <w:sz w:val="18"/>
                <w:szCs w:val="18"/>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36"/>
        </w:trPr>
        <w:tc>
          <w:tcPr>
            <w:tcW w:w="800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07"/>
        </w:trPr>
        <w:tc>
          <w:tcPr>
            <w:tcW w:w="80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1,308,613</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4,454,046</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0.63</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(1,015,336)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r>
      <w:tr>
        <w:trPr>
          <w:trHeight w:val="207"/>
        </w:trPr>
        <w:tc>
          <w:tcPr>
            <w:tcW w:w="800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September 30, 2020</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4,740,349</w:t>
            </w:r>
          </w:p>
        </w:tc>
        <w:tc>
          <w:tcPr>
            <w:tcW w:w="12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00" w:firstLine="480"/>
        <w:spacing w:after="0" w:line="262" w:lineRule="auto"/>
        <w:rPr>
          <w:sz w:val="20"/>
          <w:szCs w:val="20"/>
          <w:color w:val="auto"/>
        </w:rPr>
      </w:pPr>
      <w:r>
        <w:rPr>
          <w:rFonts w:ascii="Times New Roman" w:cs="Times New Roman" w:eastAsia="Times New Roman" w:hAnsi="Times New Roman"/>
          <w:sz w:val="18"/>
          <w:szCs w:val="18"/>
          <w:color w:val="auto"/>
        </w:rPr>
        <w:t>The total fair value of restricted stock that vested during the nine months ended September 30, 2020 totaled $1.5 million. As of September 30, 2020, the total unrecognized compensation expense, net of estimated forfeitures, relating to restricted stock awards was $3.1 million, which is expected to be recognized over the remaining weighted-average period of approximately 1.6 years.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22" w:lineRule="exact"/>
        <w:rPr>
          <w:sz w:val="20"/>
          <w:szCs w:val="20"/>
          <w:color w:val="auto"/>
        </w:rPr>
      </w:pPr>
    </w:p>
    <w:p>
      <w:pPr>
        <w:jc w:val="both"/>
        <w:ind w:right="440" w:firstLine="469"/>
        <w:spacing w:after="0" w:line="263" w:lineRule="auto"/>
        <w:rPr>
          <w:sz w:val="20"/>
          <w:szCs w:val="20"/>
          <w:color w:val="auto"/>
        </w:rPr>
      </w:pP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From time to time, the Company has been, and may again become, involved in legal proceedings arising in the ordinary course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73" w:lineRule="exact"/>
        <w:rPr>
          <w:sz w:val="20"/>
          <w:szCs w:val="20"/>
          <w:color w:val="auto"/>
        </w:rPr>
      </w:pPr>
    </w:p>
    <w:p>
      <w:pPr>
        <w:ind w:right="120" w:firstLine="480"/>
        <w:spacing w:after="0" w:line="309" w:lineRule="auto"/>
        <w:rPr>
          <w:sz w:val="20"/>
          <w:szCs w:val="20"/>
          <w:color w:val="auto"/>
        </w:rPr>
      </w:pPr>
      <w:r>
        <w:rPr>
          <w:rFonts w:ascii="Times New Roman" w:cs="Times New Roman" w:eastAsia="Times New Roman" w:hAnsi="Times New Roman"/>
          <w:sz w:val="17"/>
          <w:szCs w:val="17"/>
          <w:i w:val="1"/>
          <w:iCs w:val="1"/>
          <w:color w:val="auto"/>
        </w:rPr>
        <w:t>Indemnifications</w:t>
      </w:r>
      <w:r>
        <w:rPr>
          <w:rFonts w:ascii="Times New Roman" w:cs="Times New Roman" w:eastAsia="Times New Roman" w:hAnsi="Times New Roman"/>
          <w:sz w:val="17"/>
          <w:szCs w:val="17"/>
          <w:color w:val="auto"/>
        </w:rPr>
        <w:t>. In the ordinary course of its business, the Company makes certain indemnities under which it may be required to make payments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relation to certain transactions. As of September 30, 2020 and December 31, 2019, the Company did not have any liabilities associated with indemnities.</w:t>
      </w:r>
    </w:p>
    <w:p>
      <w:pPr>
        <w:spacing w:after="0" w:line="139" w:lineRule="exact"/>
        <w:rPr>
          <w:sz w:val="20"/>
          <w:szCs w:val="20"/>
          <w:color w:val="auto"/>
        </w:rPr>
      </w:pPr>
    </w:p>
    <w:p>
      <w:pPr>
        <w:ind w:right="80" w:firstLine="480"/>
        <w:spacing w:after="0" w:line="271" w:lineRule="auto"/>
        <w:rPr>
          <w:sz w:val="20"/>
          <w:szCs w:val="20"/>
          <w:color w:val="auto"/>
        </w:rPr>
      </w:pPr>
      <w:r>
        <w:rPr>
          <w:rFonts w:ascii="Times New Roman" w:cs="Times New Roman" w:eastAsia="Times New Roman" w:hAnsi="Times New Roman"/>
          <w:sz w:val="17"/>
          <w:szCs w:val="17"/>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68"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Environmental Liabilities</w:t>
      </w:r>
      <w:r>
        <w:rPr>
          <w:rFonts w:ascii="Times New Roman" w:cs="Times New Roman" w:eastAsia="Times New Roman" w:hAnsi="Times New Roman"/>
          <w:sz w:val="18"/>
          <w:szCs w:val="18"/>
          <w:color w:val="auto"/>
        </w:rPr>
        <w:t>. The Company’s operations are subject to environmental laws and regulations adopted by various governmental authorities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4" w:lineRule="exact"/>
        <w:rPr>
          <w:sz w:val="20"/>
          <w:szCs w:val="20"/>
          <w:color w:val="auto"/>
        </w:rPr>
      </w:pPr>
    </w:p>
    <w:p>
      <w:pPr>
        <w:ind w:firstLine="469"/>
        <w:spacing w:after="0" w:line="254" w:lineRule="auto"/>
        <w:rPr>
          <w:sz w:val="20"/>
          <w:szCs w:val="20"/>
          <w:color w:val="auto"/>
        </w:rPr>
      </w:pPr>
      <w:r>
        <w:rPr>
          <w:rFonts w:ascii="Times New Roman" w:cs="Times New Roman" w:eastAsia="Times New Roman" w:hAnsi="Times New Roman"/>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1 – inputs include quoted market prices in an active market for identical assets or liabilities.</w:t>
      </w:r>
    </w:p>
    <w:p>
      <w:pPr>
        <w:spacing w:after="0" w:line="220" w:lineRule="exact"/>
        <w:rPr>
          <w:sz w:val="20"/>
          <w:szCs w:val="20"/>
          <w:color w:val="auto"/>
        </w:rPr>
      </w:pPr>
    </w:p>
    <w:p>
      <w:pPr>
        <w:ind w:right="240" w:firstLine="469"/>
        <w:spacing w:after="0" w:line="277" w:lineRule="auto"/>
        <w:rPr>
          <w:sz w:val="20"/>
          <w:szCs w:val="20"/>
          <w:color w:val="auto"/>
        </w:rPr>
      </w:pPr>
      <w:r>
        <w:rPr>
          <w:rFonts w:ascii="Times New Roman" w:cs="Times New Roman" w:eastAsia="Times New Roman" w:hAnsi="Times New Roman"/>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6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Level 3 – inputs are unobservable and corroborated by little or no market data.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jc w:val="both"/>
        <w:ind w:right="380" w:firstLine="441"/>
        <w:spacing w:after="0" w:line="262" w:lineRule="auto"/>
        <w:rPr>
          <w:sz w:val="20"/>
          <w:szCs w:val="20"/>
          <w:color w:val="auto"/>
        </w:rPr>
      </w:pPr>
      <w:r>
        <w:rPr>
          <w:rFonts w:ascii="Times New Roman" w:cs="Times New Roman" w:eastAsia="Times New Roman" w:hAnsi="Times New Roman"/>
          <w:sz w:val="18"/>
          <w:szCs w:val="18"/>
          <w:color w:val="auto"/>
        </w:rPr>
        <w:t>These tables present the carrying value and fair value, by fair value hierarchy, of our financial instruments, excluding cash and cash equivalents, accounts receivable and accounts payable, which approximate fair value due to their short-term nature, at September 30, 2020 and December 31, 2019, respectively (in thousands):</w:t>
      </w:r>
    </w:p>
    <w:p>
      <w:pPr>
        <w:sectPr>
          <w:pgSz w:w="11900" w:h="16838" w:orient="portrait"/>
          <w:cols w:equalWidth="0" w:num="1">
            <w:col w:w="11140"/>
          </w:cols>
          <w:pgMar w:left="32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2020/21 Notes Embedded Derivative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Corn and finished goods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Derivative Warrant Liability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w:t>
      </w:r>
    </w:p>
    <w:p>
      <w:pPr>
        <w:spacing w:after="0" w:line="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Corn and finished goods inventory</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 September 30, 2020</w:t>
            </w:r>
          </w:p>
        </w:tc>
      </w:tr>
      <w:tr>
        <w:trPr>
          <w:trHeight w:val="236"/>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3"/>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3"/>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Inputs</w:t>
            </w:r>
          </w:p>
        </w:tc>
      </w:tr>
      <w:tr>
        <w:trPr>
          <w:trHeight w:val="236"/>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20"/>
        </w:trPr>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20"/>
        </w:trPr>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385"/>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at December 31, 2019</w:t>
            </w:r>
          </w:p>
        </w:tc>
      </w:tr>
      <w:tr>
        <w:trPr>
          <w:trHeight w:val="236"/>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84"/>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7"/>
              </w:rPr>
              <w:t>Quoted Prices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Markets for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3"/>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Identical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r>
      <w:tr>
        <w:trPr>
          <w:trHeight w:val="213"/>
        </w:trPr>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Inputs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5"/>
              </w:rPr>
              <w:t>Inputs</w:t>
            </w:r>
          </w:p>
        </w:tc>
      </w:tr>
      <w:tr>
        <w:trPr>
          <w:trHeight w:val="236"/>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20"/>
        </w:trPr>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34"/>
        </w:trPr>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-2964815</wp:posOffset>
            </wp:positionV>
            <wp:extent cx="7134225" cy="135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-2668270</wp:posOffset>
            </wp:positionV>
            <wp:extent cx="7134225" cy="135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-2397125</wp:posOffset>
            </wp:positionV>
            <wp:extent cx="7134225" cy="161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61290"/>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-863600</wp:posOffset>
            </wp:positionV>
            <wp:extent cx="7134225" cy="13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-567055</wp:posOffset>
            </wp:positionV>
            <wp:extent cx="7134225" cy="135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35255"/>
                    </a:xfrm>
                    <a:prstGeom prst="rect">
                      <a:avLst/>
                    </a:prstGeom>
                    <a:noFill/>
                  </pic:spPr>
                </pic:pic>
              </a:graphicData>
            </a:graphic>
          </wp:anchor>
        </w:drawing>
        <w:drawing>
          <wp:anchor simplePos="0" relativeHeight="251657728" behindDoc="1" locked="0" layoutInCell="0" allowOverlap="1">
            <wp:simplePos x="0" y="0"/>
            <wp:positionH relativeFrom="column">
              <wp:posOffset>-3792220</wp:posOffset>
            </wp:positionH>
            <wp:positionV relativeFrom="paragraph">
              <wp:posOffset>-295910</wp:posOffset>
            </wp:positionV>
            <wp:extent cx="7134225" cy="135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160"/>
          </w:cols>
          <w:pgMar w:left="320" w:top="121" w:right="439" w:bottom="1440" w:gutter="0" w:footer="0" w:header="0"/>
          <w:type w:val="continuous"/>
        </w:sectPr>
      </w:pP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p>
      <w:pPr>
        <w:ind w:right="540" w:firstLine="469"/>
        <w:spacing w:after="0" w:line="277" w:lineRule="auto"/>
        <w:rPr>
          <w:sz w:val="20"/>
          <w:szCs w:val="20"/>
          <w:color w:val="auto"/>
        </w:rPr>
      </w:pPr>
      <w:r>
        <w:rPr>
          <w:rFonts w:ascii="Times New Roman" w:cs="Times New Roman" w:eastAsia="Times New Roman" w:hAnsi="Times New Roman"/>
          <w:sz w:val="18"/>
          <w:szCs w:val="18"/>
          <w:color w:val="auto"/>
        </w:rPr>
        <w:t>The following table provides changes to those fair value measurements using Level 3 inputs for the three months ended September 30, 2020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r>
      <w:tr>
        <w:trPr>
          <w:trHeight w:val="213"/>
        </w:trPr>
        <w:tc>
          <w:tcPr>
            <w:tcW w:w="8000" w:type="dxa"/>
            <w:vAlign w:val="bottom"/>
          </w:tcPr>
          <w:p>
            <w:pPr>
              <w:spacing w:after="0"/>
              <w:rPr>
                <w:sz w:val="18"/>
                <w:szCs w:val="18"/>
                <w:color w:val="auto"/>
              </w:rPr>
            </w:pPr>
          </w:p>
        </w:tc>
        <w:tc>
          <w:tcPr>
            <w:tcW w:w="3240" w:type="dxa"/>
            <w:vAlign w:val="bottom"/>
            <w:gridSpan w:val="6"/>
          </w:tcPr>
          <w:p>
            <w:pPr>
              <w:ind w:left="340"/>
              <w:spacing w:after="0"/>
              <w:rPr>
                <w:sz w:val="20"/>
                <w:szCs w:val="20"/>
                <w:color w:val="auto"/>
              </w:rPr>
            </w:pPr>
            <w:r>
              <w:rPr>
                <w:rFonts w:ascii="Times New Roman" w:cs="Times New Roman" w:eastAsia="Times New Roman" w:hAnsi="Times New Roman"/>
                <w:sz w:val="18"/>
                <w:szCs w:val="18"/>
                <w:b w:val="1"/>
                <w:bCs w:val="1"/>
                <w:color w:val="auto"/>
              </w:rPr>
              <w:t>Significant Unobservable Inputs</w:t>
            </w:r>
          </w:p>
        </w:tc>
      </w:tr>
      <w:tr>
        <w:trPr>
          <w:trHeight w:val="236"/>
        </w:trPr>
        <w:tc>
          <w:tcPr>
            <w:tcW w:w="80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15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398"/>
        </w:trPr>
        <w:tc>
          <w:tcPr>
            <w:tcW w:w="800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2020/21 Notes</w:t>
            </w:r>
          </w:p>
        </w:tc>
      </w:tr>
      <w:tr>
        <w:trPr>
          <w:trHeight w:val="213"/>
        </w:trPr>
        <w:tc>
          <w:tcPr>
            <w:tcW w:w="800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Embedded</w:t>
            </w:r>
          </w:p>
        </w:tc>
      </w:tr>
      <w:tr>
        <w:trPr>
          <w:trHeight w:val="236"/>
        </w:trPr>
        <w:tc>
          <w:tcPr>
            <w:tcW w:w="800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Derivative</w:t>
            </w:r>
          </w:p>
        </w:tc>
      </w:tr>
      <w:tr>
        <w:trPr>
          <w:trHeight w:val="207"/>
        </w:trPr>
        <w:tc>
          <w:tcPr>
            <w:tcW w:w="800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2019</w:t>
            </w:r>
          </w:p>
        </w:tc>
        <w:tc>
          <w:tcPr>
            <w:tcW w:w="118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80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8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 of 2020/21 Notes embedded derivative liability</w:t>
            </w:r>
          </w:p>
        </w:tc>
        <w:tc>
          <w:tcPr>
            <w:tcW w:w="11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2,848</w:t>
            </w:r>
          </w:p>
        </w:tc>
      </w:tr>
      <w:tr>
        <w:trPr>
          <w:trHeight w:val="213"/>
        </w:trPr>
        <w:tc>
          <w:tcPr>
            <w:tcW w:w="8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(gains) included in earnings</w:t>
            </w: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(2,819)</w:t>
            </w:r>
          </w:p>
        </w:tc>
      </w:tr>
      <w:tr>
        <w:trPr>
          <w:trHeight w:val="247"/>
        </w:trPr>
        <w:tc>
          <w:tcPr>
            <w:tcW w:w="8000" w:type="dxa"/>
            <w:vAlign w:val="bottom"/>
            <w:tcBorders>
              <w:top w:val="single" w:sz="8" w:color="CCEEFF"/>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2020</w:t>
            </w:r>
          </w:p>
        </w:tc>
        <w:tc>
          <w:tcPr>
            <w:tcW w:w="118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408"/>
        </w:trPr>
        <w:tc>
          <w:tcPr>
            <w:tcW w:w="8000" w:type="dxa"/>
            <w:vAlign w:val="bottom"/>
            <w:tcBorders>
              <w:top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There were no transfers to or from Level 3 in the three months ended September 30, 2020.</w:t>
            </w:r>
          </w:p>
        </w:tc>
        <w:tc>
          <w:tcPr>
            <w:tcW w:w="1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2" w:lineRule="exact"/>
        <w:rPr>
          <w:sz w:val="20"/>
          <w:szCs w:val="20"/>
          <w:color w:val="auto"/>
        </w:rPr>
      </w:pPr>
    </w:p>
    <w:p>
      <w:pPr>
        <w:ind w:right="60" w:firstLine="469"/>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The Company records its corn inventory at fair value only when the Company’s cost of corn purchased exceeds the market value for corn.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determines the market value of corn and dry distiller’s grain based upon Level 1 inputs using quoted market prices. The Company records its ethanol, isobutanol and hydrocarbon inventory at market using Level 2 inputs.</w:t>
      </w:r>
    </w:p>
    <w:p>
      <w:pPr>
        <w:spacing w:after="0" w:line="173" w:lineRule="exact"/>
        <w:rPr>
          <w:sz w:val="20"/>
          <w:szCs w:val="20"/>
          <w:color w:val="auto"/>
        </w:rPr>
      </w:pPr>
    </w:p>
    <w:p>
      <w:pPr>
        <w:ind w:right="40" w:firstLine="469"/>
        <w:spacing w:after="0" w:line="258" w:lineRule="auto"/>
        <w:rPr>
          <w:sz w:val="20"/>
          <w:szCs w:val="20"/>
          <w:color w:val="auto"/>
        </w:rPr>
      </w:pPr>
      <w:r>
        <w:rPr>
          <w:rFonts w:ascii="Times New Roman" w:cs="Times New Roman" w:eastAsia="Times New Roman" w:hAnsi="Times New Roman"/>
          <w:sz w:val="18"/>
          <w:szCs w:val="18"/>
          <w:color w:val="auto"/>
        </w:rPr>
        <w:t xml:space="preserve">2020/21 </w:t>
      </w:r>
      <w:r>
        <w:rPr>
          <w:rFonts w:ascii="Times New Roman" w:cs="Times New Roman" w:eastAsia="Times New Roman" w:hAnsi="Times New Roman"/>
          <w:sz w:val="18"/>
          <w:szCs w:val="18"/>
          <w:i w:val="1"/>
          <w:iCs w:val="1"/>
          <w:color w:val="auto"/>
        </w:rPr>
        <w:t>Notes Embedded Derivative</w:t>
      </w:r>
      <w:r>
        <w:rPr>
          <w:rFonts w:ascii="Times New Roman" w:cs="Times New Roman" w:eastAsia="Times New Roman" w:hAnsi="Times New Roman"/>
          <w:sz w:val="18"/>
          <w:szCs w:val="18"/>
          <w:color w:val="auto"/>
        </w:rPr>
        <w:t>. The Company had estimated the fair value of the embedded derivative on a stand-alone basis to be $0.03 million at September 30, 2020 based upon Level 3 inputs. Changes in the fair value of the embedded derivative is recognized each reporting period as a “</w:t>
      </w:r>
      <w:r>
        <w:rPr>
          <w:rFonts w:ascii="Times New Roman" w:cs="Times New Roman" w:eastAsia="Times New Roman" w:hAnsi="Times New Roman"/>
          <w:sz w:val="18"/>
          <w:szCs w:val="18"/>
          <w:i w:val="1"/>
          <w:iCs w:val="1"/>
          <w:color w:val="auto"/>
        </w:rPr>
        <w:t>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2020/21 Notes embedded derivative</w:t>
      </w:r>
      <w:r>
        <w:rPr>
          <w:rFonts w:ascii="Times New Roman" w:cs="Times New Roman" w:eastAsia="Times New Roman" w:hAnsi="Times New Roman"/>
          <w:sz w:val="18"/>
          <w:szCs w:val="18"/>
          <w:color w:val="auto"/>
        </w:rPr>
        <w:t>” in the consolidated Statements of Operations and Statements of Cash Flows. See Note 7,</w:t>
      </w:r>
      <w:r>
        <w:rPr>
          <w:rFonts w:ascii="Times New Roman" w:cs="Times New Roman" w:eastAsia="Times New Roman" w:hAnsi="Times New Roman"/>
          <w:sz w:val="18"/>
          <w:szCs w:val="18"/>
          <w:i w:val="1"/>
          <w:iCs w:val="1"/>
          <w:color w:val="auto"/>
        </w:rPr>
        <w:t xml:space="preserve"> Embedded Derivatives</w:t>
      </w:r>
      <w:r>
        <w:rPr>
          <w:rFonts w:ascii="Times New Roman" w:cs="Times New Roman" w:eastAsia="Times New Roman" w:hAnsi="Times New Roman"/>
          <w:sz w:val="18"/>
          <w:szCs w:val="18"/>
          <w:color w:val="auto"/>
        </w:rPr>
        <w:t>, for the fair value inputs used to estimate the fair value of the embedded derivative.</w:t>
      </w:r>
    </w:p>
    <w:p>
      <w:pPr>
        <w:spacing w:after="0" w:line="177" w:lineRule="exact"/>
        <w:rPr>
          <w:sz w:val="20"/>
          <w:szCs w:val="20"/>
          <w:color w:val="auto"/>
        </w:rPr>
      </w:pPr>
    </w:p>
    <w:p>
      <w:pPr>
        <w:ind w:right="3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Derivative Warrant Liability</w:t>
      </w:r>
      <w:r>
        <w:rPr>
          <w:rFonts w:ascii="Times New Roman" w:cs="Times New Roman" w:eastAsia="Times New Roman" w:hAnsi="Times New Roman"/>
          <w:sz w:val="18"/>
          <w:szCs w:val="18"/>
          <w:color w:val="auto"/>
        </w:rPr>
        <w:t>. The Company valued the Series F Warrants and Series K Warrants using a Monte-Carlo model (Level 3)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using Black-Scholes models comprised of some inputs requiring the use of Monte-Carlo models (Level 3). The Company has estimated the fair value of the derivative warrant liability to be $0 and $.01 million as of September 30, 2020 and December 31, 2019, respectively.</w:t>
      </w:r>
    </w:p>
    <w:p>
      <w:pPr>
        <w:spacing w:after="0" w:line="175" w:lineRule="exact"/>
        <w:rPr>
          <w:sz w:val="20"/>
          <w:szCs w:val="20"/>
          <w:color w:val="auto"/>
        </w:rPr>
      </w:pPr>
    </w:p>
    <w:p>
      <w:pPr>
        <w:jc w:val="both"/>
        <w:ind w:right="420" w:firstLine="469"/>
        <w:spacing w:after="0" w:line="262" w:lineRule="auto"/>
        <w:rPr>
          <w:sz w:val="20"/>
          <w:szCs w:val="20"/>
          <w:color w:val="auto"/>
        </w:rPr>
      </w:pPr>
      <w:r>
        <w:rPr>
          <w:rFonts w:ascii="Times New Roman" w:cs="Times New Roman" w:eastAsia="Times New Roman" w:hAnsi="Times New Roman"/>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Segments</w:t>
      </w:r>
    </w:p>
    <w:p>
      <w:pPr>
        <w:spacing w:after="0" w:line="224" w:lineRule="exact"/>
        <w:rPr>
          <w:sz w:val="20"/>
          <w:szCs w:val="20"/>
          <w:color w:val="auto"/>
        </w:rPr>
      </w:pPr>
    </w:p>
    <w:p>
      <w:pPr>
        <w:jc w:val="both"/>
        <w:ind w:right="100" w:firstLine="469"/>
        <w:spacing w:after="0" w:line="262" w:lineRule="auto"/>
        <w:rPr>
          <w:sz w:val="20"/>
          <w:szCs w:val="20"/>
          <w:color w:val="auto"/>
        </w:rPr>
      </w:pPr>
      <w:r>
        <w:rPr>
          <w:rFonts w:ascii="Times New Roman" w:cs="Times New Roman" w:eastAsia="Times New Roman" w:hAnsi="Times New Roman"/>
          <w:sz w:val="18"/>
          <w:szCs w:val="18"/>
          <w:color w:val="auto"/>
        </w:rPr>
        <w:t>The Company has determined that it has two operating segments: (i) Gevo segment; and (ii) Gevo Development/Agri-Energy segment. The Company organizes its business segments based on the nature of the products and services offered through each of its consolidated legal entities. Transactions between segments are eliminated in consolidation.</w:t>
      </w:r>
    </w:p>
    <w:p>
      <w:pPr>
        <w:spacing w:after="0" w:line="172" w:lineRule="exact"/>
        <w:rPr>
          <w:sz w:val="20"/>
          <w:szCs w:val="20"/>
          <w:color w:val="auto"/>
        </w:rPr>
      </w:pPr>
    </w:p>
    <w:p>
      <w:pPr>
        <w:ind w:right="180" w:firstLine="469"/>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Gevo Segment</w:t>
      </w:r>
      <w:r>
        <w:rPr>
          <w:rFonts w:ascii="Times New Roman" w:cs="Times New Roman" w:eastAsia="Times New Roman" w:hAnsi="Times New Roman"/>
          <w:sz w:val="18"/>
          <w:szCs w:val="18"/>
          <w:color w:val="auto"/>
        </w:rPr>
        <w:t>. The Gevo segment is responsible for all research and development activities related to the future production of isobutanol,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ind w:right="980" w:firstLine="469"/>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Gevo Development/Agri-Energy Segment</w:t>
      </w:r>
      <w:r>
        <w:rPr>
          <w:rFonts w:ascii="Times New Roman" w:cs="Times New Roman" w:eastAsia="Times New Roman" w:hAnsi="Times New Roman"/>
          <w:sz w:val="18"/>
          <w:szCs w:val="18"/>
          <w:color w:val="auto"/>
        </w:rPr>
        <w:t>. The Gevo Development/Agri-Energy segment is currently responsible for the operation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Luverne Facility and the production of ethanol, isobutanol and related products.</w:t>
      </w:r>
    </w:p>
    <w:p>
      <w:pPr>
        <w:spacing w:after="0" w:line="160" w:lineRule="exact"/>
        <w:rPr>
          <w:sz w:val="20"/>
          <w:szCs w:val="20"/>
          <w:color w:val="auto"/>
        </w:rPr>
      </w:pPr>
    </w:p>
    <w:p>
      <w:pPr>
        <w:jc w:val="both"/>
        <w:ind w:right="40" w:firstLine="480"/>
        <w:spacing w:after="0" w:line="262" w:lineRule="auto"/>
        <w:rPr>
          <w:sz w:val="20"/>
          <w:szCs w:val="20"/>
          <w:color w:val="auto"/>
        </w:rPr>
      </w:pPr>
      <w:r>
        <w:rPr>
          <w:rFonts w:ascii="Times New Roman" w:cs="Times New Roman" w:eastAsia="Times New Roman" w:hAnsi="Times New Roman"/>
          <w:sz w:val="18"/>
          <w:szCs w:val="18"/>
          <w:color w:val="auto"/>
        </w:rPr>
        <w:t>The Company’s chief operating decision maker is provided with and reviews the financial results of each of the Company’s consolidated legal entities, Gevo, Inc., Gevo Development, LLC and Agri-Energy, LLC. The Company organizes its business segments based on the nature of the products and services offered through each of its consolidated legal entities. All revenue is earned and all assets are held in the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6"/>
        </w:trPr>
        <w:tc>
          <w:tcPr>
            <w:tcW w:w="4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7"/>
        </w:trPr>
        <w:tc>
          <w:tcPr>
            <w:tcW w:w="4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1,198</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16,218</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(3,831)</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(9,896)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(9,463)</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(4,173)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(10,661)</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(6,103)</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(19,336)</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(20,124)</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4,697</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Acquisitions of plant, property and equipment: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4,862</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1,404</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4,924</w:t>
            </w:r>
          </w:p>
        </w:tc>
      </w:tr>
      <w:tr>
        <w:trPr>
          <w:trHeight w:val="194"/>
        </w:trPr>
        <w:tc>
          <w:tcPr>
            <w:tcW w:w="444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by geographic area</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178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16,218</w:t>
            </w:r>
          </w:p>
        </w:tc>
      </w:tr>
      <w:tr>
        <w:trPr>
          <w:trHeight w:val="213"/>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w:t>
            </w:r>
          </w:p>
        </w:tc>
      </w:tr>
      <w:tr>
        <w:trPr>
          <w:trHeight w:val="207"/>
        </w:trPr>
        <w:tc>
          <w:tcPr>
            <w:tcW w:w="444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7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5,005</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17,599</w:t>
            </w:r>
          </w:p>
        </w:tc>
      </w:tr>
      <w:tr>
        <w:trPr>
          <w:trHeight w:val="408"/>
        </w:trPr>
        <w:tc>
          <w:tcPr>
            <w:tcW w:w="4440" w:type="dxa"/>
            <w:vAlign w:val="bottom"/>
            <w:tcBorders>
              <w:top w:val="single" w:sz="8" w:color="CCEEFF"/>
            </w:tcBorders>
          </w:tcPr>
          <w:p>
            <w:pPr>
              <w:spacing w:after="0"/>
              <w:rPr>
                <w:sz w:val="24"/>
                <w:szCs w:val="24"/>
                <w:color w:val="auto"/>
              </w:rPr>
            </w:pPr>
          </w:p>
        </w:tc>
        <w:tc>
          <w:tcPr>
            <w:tcW w:w="1540" w:type="dxa"/>
            <w:vAlign w:val="bottom"/>
            <w:tcBorders>
              <w:top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44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8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4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4"/>
        </w:trPr>
        <w:tc>
          <w:tcPr>
            <w:tcW w:w="3280" w:type="dxa"/>
            <w:vAlign w:val="bottom"/>
          </w:tcPr>
          <w:p>
            <w:pPr>
              <w:spacing w:after="0"/>
              <w:rPr>
                <w:sz w:val="24"/>
                <w:szCs w:val="24"/>
                <w:color w:val="auto"/>
              </w:rPr>
            </w:pPr>
          </w:p>
        </w:tc>
        <w:tc>
          <w:tcPr>
            <w:tcW w:w="4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GEVO, INC.</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3280" w:type="dxa"/>
            <w:vAlign w:val="bottom"/>
          </w:tcPr>
          <w:p>
            <w:pPr>
              <w:spacing w:after="0"/>
              <w:rPr>
                <w:sz w:val="18"/>
                <w:szCs w:val="18"/>
                <w:color w:val="auto"/>
              </w:rPr>
            </w:pPr>
          </w:p>
        </w:tc>
        <w:tc>
          <w:tcPr>
            <w:tcW w:w="48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Notes to Consolidated Financial Statements</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280" w:type="dxa"/>
            <w:vAlign w:val="bottom"/>
          </w:tcPr>
          <w:p>
            <w:pPr>
              <w:spacing w:after="0"/>
              <w:rPr>
                <w:sz w:val="20"/>
                <w:szCs w:val="20"/>
                <w:color w:val="auto"/>
              </w:rPr>
            </w:pPr>
          </w:p>
        </w:tc>
        <w:tc>
          <w:tcPr>
            <w:tcW w:w="48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7"/>
        </w:trPr>
        <w:tc>
          <w:tcPr>
            <w:tcW w:w="3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4"/>
                <w:szCs w:val="2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6"/>
        </w:trPr>
        <w:tc>
          <w:tcPr>
            <w:tcW w:w="32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07"/>
        </w:trPr>
        <w:tc>
          <w:tcPr>
            <w:tcW w:w="3280" w:type="dxa"/>
            <w:vAlign w:val="bottom"/>
            <w:shd w:val="clear" w:color="auto" w:fill="CCEEFF"/>
          </w:tcPr>
          <w:p>
            <w:pPr>
              <w:spacing w:after="0"/>
              <w:rPr>
                <w:sz w:val="17"/>
                <w:szCs w:val="17"/>
                <w:color w:val="auto"/>
              </w:rPr>
            </w:pPr>
          </w:p>
        </w:tc>
        <w:tc>
          <w:tcPr>
            <w:tcW w:w="4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Gevo</w:t>
            </w:r>
          </w:p>
        </w:tc>
        <w:tc>
          <w:tcPr>
            <w:tcW w:w="4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152,762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91,861</w:t>
            </w:r>
          </w:p>
        </w:tc>
      </w:tr>
      <w:tr>
        <w:trPr>
          <w:trHeight w:val="213"/>
        </w:trPr>
        <w:tc>
          <w:tcPr>
            <w:tcW w:w="3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Gevo Development / Agri-Energy</w:t>
            </w:r>
          </w:p>
        </w:tc>
        <w:tc>
          <w:tcPr>
            <w:tcW w:w="4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133,790</w:t>
            </w: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143,349</w:t>
            </w:r>
          </w:p>
        </w:tc>
      </w:tr>
      <w:tr>
        <w:trPr>
          <w:trHeight w:val="213"/>
        </w:trPr>
        <w:tc>
          <w:tcPr>
            <w:tcW w:w="3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Intercompany eliminations (1)</w:t>
            </w:r>
          </w:p>
        </w:tc>
        <w:tc>
          <w:tcPr>
            <w:tcW w:w="4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(133,065)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(141,851)</w:t>
            </w:r>
          </w:p>
        </w:tc>
      </w:tr>
      <w:tr>
        <w:trPr>
          <w:trHeight w:val="247"/>
        </w:trPr>
        <w:tc>
          <w:tcPr>
            <w:tcW w:w="3280" w:type="dxa"/>
            <w:vAlign w:val="bottom"/>
            <w:tcBorders>
              <w:top w:val="single" w:sz="8" w:color="CCEEFF"/>
            </w:tcBorders>
          </w:tcPr>
          <w:p>
            <w:pPr>
              <w:spacing w:after="0"/>
              <w:rPr>
                <w:sz w:val="21"/>
                <w:szCs w:val="21"/>
                <w:color w:val="auto"/>
              </w:rPr>
            </w:pPr>
          </w:p>
        </w:tc>
        <w:tc>
          <w:tcPr>
            <w:tcW w:w="47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33"/>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(2)</w:t>
            </w:r>
          </w:p>
        </w:tc>
        <w:tc>
          <w:tcPr>
            <w:tcW w:w="4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93,359</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5" w:lineRule="exact"/>
        <w:rPr>
          <w:sz w:val="20"/>
          <w:szCs w:val="20"/>
          <w:color w:val="auto"/>
        </w:rPr>
      </w:pPr>
    </w:p>
    <w:p>
      <w:pPr>
        <w:ind w:left="400" w:right="500" w:hanging="260"/>
        <w:spacing w:after="0" w:line="258"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sales of $0.1 million during the nine months ended September 30, 2020 and $0.4 million for the year ended December 31, 2019 for hydrocarbon sales.</w:t>
      </w:r>
    </w:p>
    <w:p>
      <w:pPr>
        <w:ind w:left="400" w:hanging="260"/>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significant non-cash items relate to the activities of Gevo.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4" w:lineRule="exact"/>
        <w:rPr>
          <w:sz w:val="20"/>
          <w:szCs w:val="20"/>
          <w:color w:val="auto"/>
        </w:rPr>
      </w:pPr>
    </w:p>
    <w:p>
      <w:pPr>
        <w:ind w:left="20" w:firstLine="480"/>
        <w:spacing w:after="0" w:line="248"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risks and uncertainties related to our ability to sell our products, our ability to expand or continue production of isobutanol, renewable hydrocarbon products and ethanol at our production facility in Luverne Minnesota (the “Luverne Facility”), our strategy to pursue low-carbon renewable fuels, our ability to replace our fossil-based energy sources with renewable energy sources at our production facilities, our ability and plans to construct a commercial hydrocarbon facility to produce renewable premium gasoline and jet fuel, our ability to raise additional funds to continue operations and/or expand our production capabilities, our ability to perform under our existing renewable hydrocarbon offtake agreements and other supply agreements we may enter into in the future, our ability to enter into additional hydrocarbon supply agreements, our ability to obtain project finance debt and third-party equity for our renewable natural gas project, our ability to produce isobutanol, renewable hydrocarbon products and ethanol on a commercial level and at a profit, achievement of advances in our technology platform, the success of our upgraded production facility, the availability of suitable and cost-competitive feedstocks, our ability to gain market acceptance for our products, the expected cost-competitiveness and relative performance attributes of our isobutanol, renewable hydrocarbon products and ethanol,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2019 (our “Annual Report”), and subsequent reports on Form 10-Q, including Item 1A. "Risk Factors" of this Report. All forward-looking statements in this Report are qualified entirely by the cautionary statements included in this Report and such other filings. These risks and uncertainties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the context requires otherwise, in this Report the terms “we,” “us,” “our” and the “Company” refer to Gevo, Inc. and its subsidiaries.</w:t>
      </w:r>
    </w:p>
    <w:p>
      <w:pPr>
        <w:spacing w:after="0" w:line="220" w:lineRule="exact"/>
        <w:rPr>
          <w:sz w:val="20"/>
          <w:szCs w:val="20"/>
          <w:color w:val="auto"/>
        </w:rPr>
      </w:pPr>
    </w:p>
    <w:p>
      <w:pPr>
        <w:ind w:left="20" w:right="80" w:firstLine="309"/>
        <w:spacing w:after="0" w:line="26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4" w:lineRule="exact"/>
        <w:rPr>
          <w:sz w:val="20"/>
          <w:szCs w:val="20"/>
          <w:color w:val="auto"/>
        </w:rPr>
      </w:pPr>
    </w:p>
    <w:p>
      <w:pPr>
        <w:ind w:left="20" w:right="40" w:firstLine="480"/>
        <w:spacing w:after="0" w:line="251" w:lineRule="auto"/>
        <w:rPr>
          <w:sz w:val="20"/>
          <w:szCs w:val="20"/>
          <w:color w:val="auto"/>
        </w:rPr>
      </w:pPr>
      <w:r>
        <w:rPr>
          <w:rFonts w:ascii="Times New Roman" w:cs="Times New Roman" w:eastAsia="Times New Roman" w:hAnsi="Times New Roman"/>
          <w:sz w:val="18"/>
          <w:szCs w:val="18"/>
          <w:color w:val="auto"/>
        </w:rPr>
        <w:t>We are a growth-oriented renewable fuels company that is commercializing the next generation of renewable low-carbon liquid transportation fuels with the potential to achieve a “net zero” greenhouse gas (“GHG”) footprint and address global needs of reducing GHG emissions with sustainable alternatives to petroleum fuels. 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to the potential of net zero carbon emissions across the whole fuel life-cycle, our renewable fuels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We use low-carbon, renewable resource-based raw materials as feedstocks. In the near-term, our feedstocks will primarily consist of non-food corn. As our technology is applied globally, feedstocks can consist of sugar cane, molasses or other cellulosic sugars derived from wood, agricultural residues and waste. Our patented fermentation yeast biocatalyst produces isobutanol, a four-carbon alcohol, via the fermentation of renewable plant biomass carbohydrates. The resulting renewable isobutanol has a variety of direct applications but, more importantly to our fundamental strategy, serves as a building block to make renewable isooctane (which we refer to as renewable premium gasoline) and renewable jet fuel using simple and common chemical conversion processes. We also reduce or eliminate fossil-based process energy inputs by replacing them with renewable energy such as wind-powered electricity and renewable natural gas (“RNG”).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24" w:lineRule="exact"/>
        <w:rPr>
          <w:sz w:val="20"/>
          <w:szCs w:val="20"/>
          <w:color w:val="auto"/>
        </w:rPr>
      </w:pPr>
    </w:p>
    <w:p>
      <w:pPr>
        <w:jc w:val="both"/>
        <w:ind w:right="80" w:firstLine="480"/>
        <w:spacing w:after="0" w:line="277" w:lineRule="auto"/>
        <w:rPr>
          <w:sz w:val="20"/>
          <w:szCs w:val="20"/>
          <w:color w:val="auto"/>
        </w:rPr>
      </w:pPr>
      <w:r>
        <w:rPr>
          <w:rFonts w:ascii="Times New Roman" w:cs="Times New Roman" w:eastAsia="Times New Roman" w:hAnsi="Times New Roman"/>
          <w:sz w:val="17"/>
          <w:szCs w:val="17"/>
          <w:color w:val="auto"/>
        </w:rPr>
        <w:t>The COVID-19 pandemic has had an adverse impact on global commercial activity, including the global transportation industry and our supply chain, and has contributed to significant volatility in the financial markets. In light of the current and potential future disruption to our own business operations and those of our customers, suppliers and other third parties with whom we do business, we considered the impact of the COVID-19 pandemic on our business. This analysis considered our business' resilience and continuity plans, financial modeling and stress testing of liquidity and financial resources.</w:t>
      </w:r>
    </w:p>
    <w:p>
      <w:pPr>
        <w:spacing w:after="0" w:line="165"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We expect that the impact of the COVID-19 pandemic on general economic activity will negatively impact our revenue and operating results for at least the remainder of 2020 and beyond. The suspension of ethanol production at our Luverne Facility and reduction in our workforce during the first quarter of 2020 due to the impact of COVID-19 had an adverse impact on our financial results for the third quarter of 2020 reducing revenue by 97% compared to the same period in 2019. We expect that the suspension of ethanol production at the Luverne Facility and reduction in workforce will allow us to continue to reduce our cash burn during 2020.</w:t>
      </w:r>
    </w:p>
    <w:p>
      <w:pPr>
        <w:spacing w:after="0" w:line="186" w:lineRule="exact"/>
        <w:rPr>
          <w:sz w:val="20"/>
          <w:szCs w:val="20"/>
          <w:color w:val="auto"/>
        </w:rPr>
      </w:pPr>
    </w:p>
    <w:p>
      <w:pPr>
        <w:jc w:val="both"/>
        <w:ind w:right="200" w:firstLine="480"/>
        <w:spacing w:after="0" w:line="284" w:lineRule="auto"/>
        <w:rPr>
          <w:sz w:val="20"/>
          <w:szCs w:val="20"/>
          <w:color w:val="auto"/>
        </w:rPr>
      </w:pPr>
      <w:r>
        <w:rPr>
          <w:rFonts w:ascii="Times New Roman" w:cs="Times New Roman" w:eastAsia="Times New Roman" w:hAnsi="Times New Roman"/>
          <w:sz w:val="17"/>
          <w:szCs w:val="17"/>
          <w:color w:val="auto"/>
        </w:rPr>
        <w:t>With many of our employees work remotely, we face the risk that unusual working arrangements could impact the effectiveness of our operations or controls. A potential COVID-19 infection of any of our key employees could materially and adversely impact our operations. In addition, it is possible that COVID-19 restrictions could create difficulty for satisfying our legal or regulatory filing or other obligations, including with the SEC and other regulators.</w:t>
      </w:r>
    </w:p>
    <w:p>
      <w:pPr>
        <w:spacing w:after="0" w:line="160"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There is also a risk that COVID-19 could continue to have a material adverse impact on customer demand and cash flow for the remainder of 2020 and beyond. We will continue to monitor the situation and assess possible implications to our business and our stakeholders and will take appropriate actions to help mitigate adverse consequences. The extent to which COVID-19 continues to impact our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6"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have considered multiple scenarios, with both positive and negative inputs, as part of the significant estimates and assumptions that are inherent in our financial statements and are based on trends in customer behavior and the economic environment throughout the quarter ended September 30, 2020 and beyond as the COVID-19 pandemic has impacted the industries in which we operate. These estimates and assumptions include the collectability of billed and unbilled receivables, the estimation of revenue and tangible and intangible assets. With regard to collectability, we believe we may face atypical delays in client payments going forward but we have not experienced delays in collection as of September 30, 2020. In addition, we believe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alcohol-to-jet ("ATJ"), isooctane and isooctene. We believe that these trends and uncertainties are comparable to those faced by other registrants as a result of the COVID-19 pandemic.</w:t>
      </w:r>
    </w:p>
    <w:p>
      <w:pPr>
        <w:spacing w:after="0" w:line="18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In response to the impact of the COVID-19 pandemic, each of Patrick R. Gruber, our Chief Executive Officer, Christopher M. Ryan, our President, Chief Operating Officer and Chief Technology Officer, L. Lynn Smull, our Chief Financial Officer, Timothy J. Cesarek, our Chief Commercial Officer, Geoffrey T. Williams, Jr., our General Counsel and Secretary, and Carolyn M. Romero, our Vice President - Controller and Principal Accounting Officer (collectively, the “Officers”) accepted 20% reductions to their base salaries as of April 1, 2020 and continued until July 31, 2020. In connection with the 20% salary reduction, the Officers were granted Company stock in the form of restricted stock awards in an amount equal to the 20% reduction. Certain remaining employees that earn above a certain dollar threshold also agreed to take a 20% salary reduction effective April 1, 2020 and continued through July 31, 2020, with the 20% portion to be paid in the form of restricted stock awards.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In addition, the effectiveness of external parties, including governmental and non-governmental organizations, in combating the spread and severity of COVID 19 could have a material impact on demand for our business. Further, steps taken by market counter parties such as commercial airlines could have an impact on their ability to perform agreements to which we are a party, which could impact our business. The rapid development and fluidity of this situation precludes any prediction as to the ultimate adverse impact of COVID 19 on our business.</w:t>
      </w:r>
    </w:p>
    <w:p>
      <w:pPr>
        <w:spacing w:after="0" w:line="181"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COVID-19 has materially disrupted, and could continue to materially disrupt, our own business operations and the services we provide, as well as the business operations of our customers, suppliers and other third parties with whom we interact. As an increasing percentage of our colleagues work remotely, we face the risk that unusual working arrangements could impact the effectiveness of our operations or controls. A potential COVID-19 infection of any of our key colleagues could materially and adversely impact our operations. In addition, it is possible that COVID-19 restrictions could create difficulty for satisfying our legal or regulatory filing or other obligations, including with the SEC and other regulators.</w:t>
      </w:r>
    </w:p>
    <w:p>
      <w:pPr>
        <w:spacing w:after="0" w:line="184" w:lineRule="exact"/>
        <w:rPr>
          <w:sz w:val="20"/>
          <w:szCs w:val="20"/>
          <w:color w:val="auto"/>
        </w:rPr>
      </w:pPr>
    </w:p>
    <w:p>
      <w:pPr>
        <w:ind w:right="26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New Contracts. </w:t>
      </w:r>
      <w:r>
        <w:rPr>
          <w:rFonts w:ascii="Times New Roman" w:cs="Times New Roman" w:eastAsia="Times New Roman" w:hAnsi="Times New Roman"/>
          <w:sz w:val="18"/>
          <w:szCs w:val="18"/>
          <w:color w:val="auto"/>
        </w:rPr>
        <w:t>As previously disclosed, on April 4, 2019, Gevo, Inc. and Praj Industries Ltd. (“Praj”) entered into a Construction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(“CLA”), that certain Joint Development Agreement, effective as of April 1, 2018 (as amended, the “Feedstock JDA”) and that certain Development License Agreement, effective as of April 1, 2018. On August 13, 2020, we entered into a Master Framework Agreement (the “MFA”) with Praj to collaborate on providing renewable jet fuel and premium gasoline in India and neighboring countries. The MFA replaces the CLA effective August 13, 2020.</w:t>
      </w:r>
    </w:p>
    <w:p>
      <w:pPr>
        <w:spacing w:after="0" w:line="18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Under the MFA, Praj has exclusive rights to cause us to enter into negotiations with third-parties (each, a “Plant Operator”) that own or operate refineries for the production of Biobutanol (defined in the MFA), including conversion of ethyl alcohol to Biobutanol or for the production of isooctane, jet fuel and/or similar hydrocarbons (the “Hydrocarbon Transportation Fuel”) either in the Territory (as defined in the MFA) or who are named on the Plant List (as defined in the MFA). Provided the Plant Operator and the Company enter into such license, the MFA allows Praj to provide services (such as basic engineering and design package, supply of critical equipment, supervision services, engineering, procurement and construction services and additional related services) (the “Services”) to the applicable Plant Operator for (a) production of Biobutanol from juice, syrup, and/or molasses from sugarcane, beets, bagasse, rice straw, wheat straw or corn stover, and other additional feedstocks using the process design package developed under the Feedstock JDA and (b) for the production of Hydrocarbon Transportation Fuel using the Hydrocarbon PDPs (as defined in the MFA) for the conversion of Biobutanol to Hydrocarbon Transportation Fuel. Praj has no rights to commercially produce Biobutanol or otherwise convert Biobutanol to Hydrocarbon Transportation Fuel under the MFA.</w:t>
      </w:r>
    </w:p>
    <w:p>
      <w:pPr>
        <w:spacing w:after="0" w:line="192"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We will receive certain finder’s fees to the extent one of our third party licensees (a) is not previously identified in the various agreements or not located in certain specified areas, (b) uses Praj’s enfinity Technology (as defined in the MFA) in concert with the Feedstock PDP and (c) the constructed facilities are of a certain commercial scale. The MFA will continue in effect for ten years, unless earlier terminated by either party, and automatically renews for additional one year terms until terminated. If Praj fails to fully commission Authorized Plants (as defined in the MFA) with the cumulative capacity to generate five million gallons per year of Biobutanol or Hydrocarbon Transportation Fuel by the fifth contract year, the exclusive license grants will terminate (unless otherwise mutually agreed in writing by the parties).</w:t>
      </w:r>
    </w:p>
    <w:p>
      <w:pPr>
        <w:spacing w:after="0" w:line="185"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On August 14, 2020, we entered into a Renewable Hydrocarbons Purchase and Sale Agreement (the “Agreement”) with Trafigura Trading LLC (“Trafigura”), pursuant to which we agreed to supply renewable hydrocarbons to Trafigura. The initial term of the Agreement is 10 years, and Trafigura has the option to extend the initial term. Performance under the Agreement is subject to certain conditions as set forth below, including acquiring a production facility to produce the renewable hydrocarbon products contemplated by the Agreement and closing a financing transaction for sufficient funds to acquire and retrofit the production facility contemplated by the Agreement. We are required to use commercially reasonable efforts to cause the “Commercial Operations Date” to occur on or before December 31, 2023. We will sell the renewable hydrocarbons to Trafigura at certain indexed prices as set forth in the Agreement.</w:t>
      </w:r>
    </w:p>
    <w:p>
      <w:pPr>
        <w:spacing w:after="0" w:line="18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If we do not provide to Trafigura the design, capabilities (including the expected annual production capacity), specifications, required governmental authorizations, delivery logistics and location of an additional new project that we plan to develop or acquire (the “Production Facility”) (collectively, the “Facility Design”) to meet the requirements set forth in the Agreement on or before December 31, 2020, either party may terminate the Agreement. The parties respective obligations under the Agreement are also subject to certain Conditions Precedent (as defined in the Agreement), including, but not limited to, Gevo securing initial financing for the construction of the Production Facility, and Gevo having entered into engineering, procurement, and construction agreements for the construction of the Production Facility, in form and substance reasonably satisfactory to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right="240" w:firstLine="480"/>
        <w:spacing w:after="0" w:line="253" w:lineRule="auto"/>
        <w:rPr>
          <w:sz w:val="20"/>
          <w:szCs w:val="20"/>
          <w:color w:val="auto"/>
        </w:rPr>
      </w:pPr>
      <w:r>
        <w:rPr>
          <w:rFonts w:ascii="Times New Roman" w:cs="Times New Roman" w:eastAsia="Times New Roman" w:hAnsi="Times New Roman"/>
          <w:sz w:val="18"/>
          <w:szCs w:val="18"/>
          <w:color w:val="auto"/>
        </w:rPr>
        <w:t>Subject to the satisfaction or waiver of all of the Conditions Precedent, we are required to use commercially reasonable efforts to cause the “Commercial Operations Date” to occur on or before December 31, 2023. The Commercial Operations Date will be the date on which the Company determines that the production facility is capable of consistently producing renewable hydrocarbons conforming to specification and in quantities set forth under the Agreement, provided that the expected annual production capability is at least equal to 85% of the annual production capability contemplated by the Facility Design. If the Commercial Operations Date has not taken place on or before December 31, 2023 (as may be adjusted in accordance with the Agreement), then we will be required to pay Trafigura certain liquidated damages.</w:t>
      </w:r>
    </w:p>
    <w:p>
      <w:pPr>
        <w:spacing w:after="0" w:line="183" w:lineRule="exact"/>
        <w:rPr>
          <w:sz w:val="20"/>
          <w:szCs w:val="20"/>
          <w:color w:val="auto"/>
        </w:rPr>
      </w:pPr>
    </w:p>
    <w:p>
      <w:pPr>
        <w:jc w:val="both"/>
        <w:ind w:right="100" w:firstLine="48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July 2020 Offering. </w:t>
      </w:r>
      <w:r>
        <w:rPr>
          <w:rFonts w:ascii="Times New Roman" w:cs="Times New Roman" w:eastAsia="Times New Roman" w:hAnsi="Times New Roman"/>
          <w:sz w:val="17"/>
          <w:szCs w:val="17"/>
          <w:color w:val="auto"/>
        </w:rPr>
        <w:t>On July 6, 2020, we completed a public offering (the “July 2020 Offering”) of (i) 20,896,666 Series 1 units (the “Series 1 Units”)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a price of $0.60 per Series 1 Unit, and (ii) 9,103,334 Series 2 units (the “Series 2 Units”) at a price of $0.59 per Series 2 Unit. The July 2020 Offering was made under a registration statement on Form S-1 filed with the Securities and Exchange Commission, declared effective on September 30, 2020.</w:t>
      </w:r>
    </w:p>
    <w:p>
      <w:pPr>
        <w:spacing w:after="0" w:line="15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Each Series 1 Unit consisted of one share of our common stock and one Series 2020-A warrant to purchase one share of our common stock (each, a “Series 2020-A Warrant”). Each Series 2 Unit consists of a pre-funded Series 2020-B warrant to purchase one share of our common stock (each, a “Series 2020-B Warrant” and, together with the Series 2020-A Warrants, the “Warrants”) and one Series 2020-A Warrant. The Series 2020-A Warrants are exercisable beginning on the date of original issuance and will expire five years from the date of issuance, at an exercise price of $0.60 per share. The pre-funded Series 2020-B Warrants are exercisable beginning on the date of issuance at a nominal exercise price of $0.01 per share of common stock any time until the Series 2020-B Warrants are exercised in full. In connection with the July 2020 Offering, the Company issued Series 2020-A Warrants to purchase an aggregate of 30,000,000 shares of common stock. As of September 30, 2020, all of the Series 2020-B Warrants were exercised.</w:t>
      </w:r>
    </w:p>
    <w:p>
      <w:pPr>
        <w:spacing w:after="0" w:line="187" w:lineRule="exact"/>
        <w:rPr>
          <w:sz w:val="20"/>
          <w:szCs w:val="20"/>
          <w:color w:val="auto"/>
        </w:rPr>
      </w:pPr>
    </w:p>
    <w:p>
      <w:pPr>
        <w:ind w:right="500" w:firstLine="480"/>
        <w:spacing w:after="0" w:line="262" w:lineRule="auto"/>
        <w:rPr>
          <w:sz w:val="20"/>
          <w:szCs w:val="20"/>
          <w:color w:val="auto"/>
        </w:rPr>
      </w:pPr>
      <w:r>
        <w:rPr>
          <w:rFonts w:ascii="Times New Roman" w:cs="Times New Roman" w:eastAsia="Times New Roman" w:hAnsi="Times New Roman"/>
          <w:sz w:val="18"/>
          <w:szCs w:val="18"/>
          <w:color w:val="auto"/>
        </w:rPr>
        <w:t>The net proceeds to us from the July 2020 Offering were approximately $16.1 million, after deducting placement agent fees and other offering expenses payable by us, and not including any future proceeds from the exercise of the Warrants. We intend to use the net proceeds from the July 2020 Offering to fund working capital and for other general corporate purposes.</w:t>
      </w:r>
    </w:p>
    <w:p>
      <w:pPr>
        <w:spacing w:after="0" w:line="176"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During the three months ended September 30, 2020, we received notices of exercise from holders of our Series 2020-A Warrants to issue an aggregate of 27,317,834 shares of common stock for total gross proceeds of approximately $16.4 million. Following these exercises, Series 2020-A Warrants to purchase 2,682,166 shares of our common stock remain outstanding at an exercise price of $0.60 per share.</w:t>
      </w:r>
    </w:p>
    <w:p>
      <w:pPr>
        <w:spacing w:after="0" w:line="174"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August 2020 Offering. </w:t>
      </w:r>
      <w:r>
        <w:rPr>
          <w:rFonts w:ascii="Times New Roman" w:cs="Times New Roman" w:eastAsia="Times New Roman" w:hAnsi="Times New Roman"/>
          <w:sz w:val="18"/>
          <w:szCs w:val="18"/>
          <w:color w:val="auto"/>
        </w:rPr>
        <w:t>On August 25, 2020, we completed a registered direct offering pursuant to a securities purchase agreement with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and accredited investors providing for the issuance and sale by us of an aggregate of (i) 21,929,313 shares of our common stock (the “Shares”) at a price of $1.30 per share, and (ii) 16,532,232 pre-funded Series 2020-C warrants to purchase one share of our common stock (each, a “Series 2020-C Warrant”) at a price of $1.29 per Series 2020-C Warrant, in a registered direct offering (the “August 2020 Offering”). As of September 30, 2020, all of the Series 2020-C Warrants were exercised.</w:t>
      </w:r>
    </w:p>
    <w:p>
      <w:pPr>
        <w:spacing w:after="0" w:line="183" w:lineRule="exact"/>
        <w:rPr>
          <w:sz w:val="20"/>
          <w:szCs w:val="20"/>
          <w:color w:val="auto"/>
        </w:rPr>
      </w:pPr>
    </w:p>
    <w:p>
      <w:pPr>
        <w:ind w:right="80" w:firstLine="480"/>
        <w:spacing w:after="0" w:line="262" w:lineRule="auto"/>
        <w:rPr>
          <w:sz w:val="20"/>
          <w:szCs w:val="20"/>
          <w:color w:val="auto"/>
        </w:rPr>
      </w:pPr>
      <w:r>
        <w:rPr>
          <w:rFonts w:ascii="Times New Roman" w:cs="Times New Roman" w:eastAsia="Times New Roman" w:hAnsi="Times New Roman"/>
          <w:sz w:val="18"/>
          <w:szCs w:val="18"/>
          <w:color w:val="auto"/>
        </w:rPr>
        <w:t>The net proceeds to us from the August 2020 Offering were approximately $45.8 million, after deducting placement agent fees and other estimated offering expenses payable by us, and not including any future proceeds from the exercise of the Warrants. We intend to use the net proceeds from the August 2020 Offering to fund working capital and for other general corporate purposes.</w:t>
      </w:r>
    </w:p>
    <w:p>
      <w:pPr>
        <w:spacing w:after="0" w:line="174" w:lineRule="exact"/>
        <w:rPr>
          <w:sz w:val="20"/>
          <w:szCs w:val="20"/>
          <w:color w:val="auto"/>
        </w:rPr>
      </w:pPr>
    </w:p>
    <w:p>
      <w:pPr>
        <w:ind w:right="20" w:firstLine="480"/>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Conversion of 2020/21 Notes. </w:t>
      </w:r>
      <w:r>
        <w:rPr>
          <w:rFonts w:ascii="Times New Roman" w:cs="Times New Roman" w:eastAsia="Times New Roman" w:hAnsi="Times New Roman"/>
          <w:sz w:val="17"/>
          <w:szCs w:val="17"/>
          <w:color w:val="auto"/>
        </w:rPr>
        <w:t>On July 10, 2020, certain holders of the 2020/21 Notes converted $2.0 million in aggregate principal amount of 2020/21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Notes (including the conversion of an additional $0.3 million for make-whole payment) into an aggregate of 4,169,426 shares of common stock pursuant to the terms of the 2020/21 Indenture. We recorded a </w:t>
      </w:r>
      <w:r>
        <w:rPr>
          <w:rFonts w:ascii="Times New Roman" w:cs="Times New Roman" w:eastAsia="Times New Roman" w:hAnsi="Times New Roman"/>
          <w:sz w:val="17"/>
          <w:szCs w:val="17"/>
          <w:i w:val="1"/>
          <w:iCs w:val="1"/>
          <w:color w:val="auto"/>
        </w:rPr>
        <w:t>Loss on conversion of 2020/21 Notes</w:t>
      </w:r>
      <w:r>
        <w:rPr>
          <w:rFonts w:ascii="Times New Roman" w:cs="Times New Roman" w:eastAsia="Times New Roman" w:hAnsi="Times New Roman"/>
          <w:sz w:val="17"/>
          <w:szCs w:val="17"/>
          <w:color w:val="auto"/>
        </w:rPr>
        <w:t xml:space="preserve"> of $0.5 million on our Consolidated Statements of Operations.</w:t>
      </w:r>
    </w:p>
    <w:p>
      <w:pPr>
        <w:spacing w:after="0" w:line="155" w:lineRule="exact"/>
        <w:rPr>
          <w:sz w:val="20"/>
          <w:szCs w:val="20"/>
          <w:color w:val="auto"/>
        </w:rPr>
      </w:pPr>
    </w:p>
    <w:p>
      <w:pPr>
        <w:ind w:right="18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In February 2018, we commenced an at-the-market offering program, which allows it to sell and issue shares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time-to-time. In August 2019, the at-the-market offering program was amended to provide available capacity under the at-the-market offering program of $10.7 million.</w:t>
      </w:r>
    </w:p>
    <w:p>
      <w:pPr>
        <w:spacing w:after="0" w:line="175" w:lineRule="exact"/>
        <w:rPr>
          <w:sz w:val="20"/>
          <w:szCs w:val="20"/>
          <w:color w:val="auto"/>
        </w:rPr>
      </w:pPr>
    </w:p>
    <w:p>
      <w:pPr>
        <w:ind w:right="60" w:firstLine="480"/>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2020, we issued 1,343,121 shares of common stock under the at-the-market offering program for total proceeds of $2.2 million, net of commissions and other offering related expenses. No shares were issued under the at-the-market offering program during the three months ended September 30, 2020.</w:t>
      </w:r>
    </w:p>
    <w:p>
      <w:pPr>
        <w:spacing w:after="0" w:line="176" w:lineRule="exact"/>
        <w:rPr>
          <w:sz w:val="20"/>
          <w:szCs w:val="20"/>
          <w:color w:val="auto"/>
        </w:rPr>
      </w:pPr>
    </w:p>
    <w:p>
      <w:pPr>
        <w:ind w:right="240" w:firstLine="480"/>
        <w:spacing w:after="0" w:line="277" w:lineRule="auto"/>
        <w:rPr>
          <w:sz w:val="20"/>
          <w:szCs w:val="20"/>
          <w:color w:val="auto"/>
        </w:rPr>
      </w:pPr>
      <w:r>
        <w:rPr>
          <w:rFonts w:ascii="Times New Roman" w:cs="Times New Roman" w:eastAsia="Times New Roman" w:hAnsi="Times New Roman"/>
          <w:sz w:val="18"/>
          <w:szCs w:val="18"/>
          <w:color w:val="auto"/>
        </w:rPr>
        <w:t>As of September 30, 2020, we have remaining capacity to issue up to approximately $6.5 million of common stock under the at-the-market offering program.</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Expenses</w:t>
      </w:r>
    </w:p>
    <w:p>
      <w:pPr>
        <w:spacing w:after="0" w:line="224" w:lineRule="exact"/>
        <w:rPr>
          <w:sz w:val="20"/>
          <w:szCs w:val="20"/>
          <w:color w:val="auto"/>
        </w:rPr>
      </w:pPr>
    </w:p>
    <w:p>
      <w:pPr>
        <w:ind w:right="640" w:firstLine="480"/>
        <w:spacing w:after="0" w:line="262" w:lineRule="auto"/>
        <w:rPr>
          <w:sz w:val="20"/>
          <w:szCs w:val="20"/>
          <w:color w:val="auto"/>
        </w:rPr>
      </w:pPr>
      <w:r>
        <w:rPr>
          <w:rFonts w:ascii="Times New Roman" w:cs="Times New Roman" w:eastAsia="Times New Roman" w:hAnsi="Times New Roman"/>
          <w:sz w:val="18"/>
          <w:szCs w:val="18"/>
          <w:color w:val="auto"/>
        </w:rPr>
        <w:t>During the first quarter of 2020, we suspended our ethanol production at the Luverne Facility. In addition, due to the impact of the COVID-19 pandemic on the global economy and our industry, we also reduced our workforce impacting 26 people at the Luverne Facility and four people at our corporate headquarters.</w:t>
      </w:r>
    </w:p>
    <w:p>
      <w:pPr>
        <w:spacing w:after="0" w:line="176" w:lineRule="exact"/>
        <w:rPr>
          <w:sz w:val="20"/>
          <w:szCs w:val="20"/>
          <w:color w:val="auto"/>
        </w:rPr>
      </w:pPr>
    </w:p>
    <w:p>
      <w:pPr>
        <w:ind w:right="160" w:firstLine="480"/>
        <w:spacing w:after="0" w:line="277" w:lineRule="auto"/>
        <w:rPr>
          <w:sz w:val="20"/>
          <w:szCs w:val="20"/>
          <w:color w:val="auto"/>
        </w:rPr>
      </w:pPr>
      <w:r>
        <w:rPr>
          <w:rFonts w:ascii="Times New Roman" w:cs="Times New Roman" w:eastAsia="Times New Roman" w:hAnsi="Times New Roman"/>
          <w:sz w:val="18"/>
          <w:szCs w:val="18"/>
          <w:color w:val="auto"/>
        </w:rPr>
        <w:t xml:space="preserve">We incurred $0.1 million related to severance costs and $0.2 million related to lease agreements for which we will no longer receive value during the nine months ended September 30, 2020, which are recorded as </w:t>
      </w:r>
      <w:r>
        <w:rPr>
          <w:rFonts w:ascii="Times New Roman" w:cs="Times New Roman" w:eastAsia="Times New Roman" w:hAnsi="Times New Roman"/>
          <w:sz w:val="18"/>
          <w:szCs w:val="18"/>
          <w:i w:val="1"/>
          <w:iCs w:val="1"/>
          <w:color w:val="auto"/>
        </w:rPr>
        <w:t>Restructuring expenses</w:t>
      </w:r>
      <w:r>
        <w:rPr>
          <w:rFonts w:ascii="Times New Roman" w:cs="Times New Roman" w:eastAsia="Times New Roman" w:hAnsi="Times New Roman"/>
          <w:sz w:val="18"/>
          <w:szCs w:val="18"/>
          <w:color w:val="auto"/>
        </w:rPr>
        <w:t xml:space="preserve"> on the Consolidated Statements of Operations.</w:t>
      </w:r>
    </w:p>
    <w:p>
      <w:pPr>
        <w:spacing w:after="0" w:line="163" w:lineRule="exact"/>
        <w:rPr>
          <w:sz w:val="20"/>
          <w:szCs w:val="20"/>
          <w:color w:val="auto"/>
        </w:rPr>
      </w:pPr>
    </w:p>
    <w:p>
      <w:pPr>
        <w:ind w:right="80" w:firstLine="480"/>
        <w:spacing w:after="0" w:line="277" w:lineRule="auto"/>
        <w:rPr>
          <w:sz w:val="20"/>
          <w:szCs w:val="20"/>
          <w:color w:val="auto"/>
        </w:rPr>
      </w:pPr>
      <w:r>
        <w:rPr>
          <w:rFonts w:ascii="Times New Roman" w:cs="Times New Roman" w:eastAsia="Times New Roman" w:hAnsi="Times New Roman"/>
          <w:sz w:val="17"/>
          <w:szCs w:val="17"/>
          <w:color w:val="auto"/>
        </w:rPr>
        <w:t>We intend to continue developing our hydrocarbon business, including the planned expansion of the Luverne Facility, and we expect to move forward in securing the project funding needed to expand the Luverne Facility. The expansion is designed to allow us to produce large quantities of low carbon isobutanol, sustainable aviation fuel and renewable isooctane. We also expect to continue engineering efforts for the expansion of isobutanol production and the construction of a commercial renewable hydrocarbon production facility, as well as additional decarbonization projects, at the Luverne Facility.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w:t>
      </w:r>
    </w:p>
    <w:p>
      <w:pPr>
        <w:spacing w:after="0" w:line="224"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We have incurred consolidated net losses since inception and we had a significant accumulated deficit as of September 30, 2020. Our cash and cash equivalents at September 30, 2020 totaled $80.6 million, which is primarily being used for the following: (i) development of the Luverne Facility expansion plan; (ii) identification of new production facilities and to plan for expanded production to fulfill existing off-take agreements; (iii) operating activities at the Company’s corporate headquarters in Colorado, including research and development work; (iv) development expenses associated with our RNG projects; (v) exploration of strategic alternatives and additional financings, including project financing; and (vi) debt service obligations.</w:t>
      </w:r>
    </w:p>
    <w:p>
      <w:pPr>
        <w:spacing w:after="0" w:line="18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facility, completion of our development activities resulting in sales of isobutanol or isobutanol-derived products and/or technology, achieving market acceptance and demand for our products and services and attracting and retaining qualified personnel.</w:t>
      </w:r>
    </w:p>
    <w:p>
      <w:pPr>
        <w:spacing w:after="0" w:line="186"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81"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facility at another suitable location.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 especially in light of the impact of the COVID-19 pandemic on us and the financial markets in general.</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2"/>
        </w:trPr>
        <w:tc>
          <w:tcPr>
            <w:tcW w:w="616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7"/>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and cost of goods sold</w:t>
            </w: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5,554</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(5,533)</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Hydrocarbon revenue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3"/>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(5,918)</w:t>
            </w: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9,893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(7,633)</w:t>
            </w:r>
          </w:p>
        </w:tc>
        <w:tc>
          <w:tcPr>
            <w:tcW w:w="0" w:type="dxa"/>
            <w:vAlign w:val="bottom"/>
          </w:tcPr>
          <w:p>
            <w:pPr>
              <w:spacing w:after="0"/>
              <w:rPr>
                <w:sz w:val="1"/>
                <w:szCs w:val="1"/>
                <w:color w:val="auto"/>
              </w:rPr>
            </w:pPr>
          </w:p>
        </w:tc>
      </w:tr>
      <w:tr>
        <w:trPr>
          <w:trHeight w:val="220"/>
        </w:trPr>
        <w:tc>
          <w:tcPr>
            <w:tcW w:w="6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(3,783)</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0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1,789</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7"/>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3,215</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3"/>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4,035</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4,220</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(6,103)</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(8,003)</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07"/>
        </w:trPr>
        <w:tc>
          <w:tcPr>
            <w:tcW w:w="6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3"/>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from change in fair value of derivative warrant liability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5"/>
        </w:trPr>
        <w:tc>
          <w:tcPr>
            <w:tcW w:w="616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Gain (loss) from change in fair value of 2020/21 Notes and 2020 Notes embedded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7"/>
        </w:trPr>
        <w:tc>
          <w:tcPr>
            <w:tcW w:w="6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(8,619)</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firstLine="48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 from the sale of ethanol, isobutanol and related products for the three months ended September 30, 2020 was $0.02 million,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of $5.5 million compared to the three months ended September 30, 2019. This decrease was primarily the result of terminating ethanol and distiller's grains production at the Luverne Facility in March 2020 as a result of COVID-19 and in response to an unfavorable commodity environment. During the three months ended September 30, 2020, we sold 0 gallons of ethanol compared to 3.4 million gallons of ethanol sold in the three months ended September 30, 2019. We do not expect to earn revenue from the sale of ethanol, isobutanol and related products while the Luverne Facility's operations are suspended.</w:t>
      </w:r>
    </w:p>
    <w:p>
      <w:pPr>
        <w:spacing w:after="0" w:line="167" w:lineRule="exact"/>
        <w:rPr>
          <w:sz w:val="20"/>
          <w:szCs w:val="20"/>
          <w:color w:val="auto"/>
        </w:rPr>
      </w:pPr>
    </w:p>
    <w:p>
      <w:pPr>
        <w:jc w:val="both"/>
        <w:ind w:right="300" w:firstLine="469"/>
        <w:spacing w:after="0" w:line="262" w:lineRule="auto"/>
        <w:rPr>
          <w:sz w:val="20"/>
          <w:szCs w:val="20"/>
          <w:color w:val="auto"/>
        </w:rPr>
      </w:pPr>
      <w:r>
        <w:rPr>
          <w:rFonts w:ascii="Times New Roman" w:cs="Times New Roman" w:eastAsia="Times New Roman" w:hAnsi="Times New Roman"/>
          <w:sz w:val="18"/>
          <w:szCs w:val="18"/>
          <w:color w:val="auto"/>
        </w:rPr>
        <w:t>Hydrocarbon revenues are comprised of ATJ, isooctane and isooctene sales. Hydrocarbon sales decreased by $0.4 million during the three months ended September 30, 2020 as a result of decreased shipments of finished products from our demonstration plant located at the South Hampton Resources, Inc. facility near Houston, Texas (the “South Hampton Facility”).</w:t>
      </w:r>
    </w:p>
    <w:p>
      <w:pPr>
        <w:spacing w:after="0" w:line="174" w:lineRule="exact"/>
        <w:rPr>
          <w:sz w:val="20"/>
          <w:szCs w:val="20"/>
          <w:color w:val="auto"/>
        </w:rPr>
      </w:pPr>
    </w:p>
    <w:p>
      <w:pPr>
        <w:ind w:right="60" w:firstLine="4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was $2.3 million during the three months ended September 30, 2020, compared with $9.9 million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2019, a decrease of approximately $7.6 million, primarily the result of terminating ethanol production in March 2020 as a result of COVID-19 and in response to an unfavorable commodity environment. Cost of goods sold included approximately $0.9 million associated with the maintenance of the Luverne Facility and approximately $1.4 million in depreciation expense during the three months ended September 30, 2020.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right="220" w:firstLine="469"/>
        <w:spacing w:after="0" w:line="277" w:lineRule="auto"/>
        <w:rPr>
          <w:sz w:val="20"/>
          <w:szCs w:val="20"/>
          <w:color w:val="auto"/>
        </w:rPr>
      </w:pPr>
      <w:r>
        <w:rPr>
          <w:rFonts w:ascii="Times New Roman" w:cs="Times New Roman" w:eastAsia="Times New Roman" w:hAnsi="Times New Roman"/>
          <w:sz w:val="17"/>
          <w:szCs w:val="17"/>
          <w:color w:val="auto"/>
        </w:rPr>
        <w:t>Until the Luverne Facility restarts production, cost of goods sold will primarily be comprised of costs to process ATJ, isooctane and isooctene at our South Hampton Facility as well as costs to maintain the Luverne Facility. In late October of 2020, we began producing approximately 50,000 gallons of isobutanol at the Luverne Facility which will be shipped to the South Hampton Facility for use in production of renewable hydrocarbons during the first quarter of 2021. We plan to produce an additional 50,000 gallons of isobutanol during the second quarter of 2021 for use at the South Hampton Facility.</w:t>
      </w:r>
    </w:p>
    <w:p>
      <w:pPr>
        <w:spacing w:after="0" w:line="163" w:lineRule="exact"/>
        <w:rPr>
          <w:sz w:val="20"/>
          <w:szCs w:val="20"/>
          <w:color w:val="auto"/>
        </w:rPr>
      </w:pPr>
    </w:p>
    <w:p>
      <w:pPr>
        <w:ind w:right="460" w:firstLine="469"/>
        <w:spacing w:after="0" w:line="309"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 </w:t>
      </w:r>
      <w:r>
        <w:rPr>
          <w:rFonts w:ascii="Times New Roman" w:cs="Times New Roman" w:eastAsia="Times New Roman" w:hAnsi="Times New Roman"/>
          <w:sz w:val="17"/>
          <w:szCs w:val="17"/>
          <w:color w:val="auto"/>
        </w:rPr>
        <w:t>Research and development expense decreased by approximately $0.9 million during the three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2020, compared with the three months ended September 30, 2019, due primarily to a decrease in personnel and consulting expenses.</w:t>
      </w:r>
    </w:p>
    <w:p>
      <w:pPr>
        <w:spacing w:after="0" w:line="137" w:lineRule="exact"/>
        <w:rPr>
          <w:sz w:val="20"/>
          <w:szCs w:val="20"/>
          <w:color w:val="auto"/>
        </w:rPr>
      </w:pPr>
    </w:p>
    <w:p>
      <w:pPr>
        <w:ind w:right="36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approximately $0.8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compared with the three months ended September 30, 2019, due primarily to an increase in personnel, consulting and insurance expenses and professional fees, offset by a decrease in investor relations expenses.</w:t>
      </w:r>
    </w:p>
    <w:p>
      <w:pPr>
        <w:spacing w:after="0" w:line="173" w:lineRule="exact"/>
        <w:rPr>
          <w:sz w:val="20"/>
          <w:szCs w:val="20"/>
          <w:color w:val="auto"/>
        </w:rPr>
      </w:pPr>
    </w:p>
    <w:p>
      <w:pPr>
        <w:jc w:val="both"/>
        <w:ind w:right="34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during the three months ended September 30, 2020 was $0.5 million, a decrease of $0.1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September 30, 2019, due to lower amortization of original issue discounts and debt issuance costs and conversion of $2.0 million of 2020/21 Notes to common stock during July 2020.</w:t>
      </w:r>
    </w:p>
    <w:p>
      <w:pPr>
        <w:spacing w:after="0" w:line="173" w:lineRule="exact"/>
        <w:rPr>
          <w:sz w:val="20"/>
          <w:szCs w:val="20"/>
          <w:color w:val="auto"/>
        </w:rPr>
      </w:pPr>
    </w:p>
    <w:p>
      <w:pPr>
        <w:ind w:firstLine="469"/>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(Loss) on conversion of 2020/21 Notes to common stock. </w:t>
      </w:r>
      <w:r>
        <w:rPr>
          <w:rFonts w:ascii="Times New Roman" w:cs="Times New Roman" w:eastAsia="Times New Roman" w:hAnsi="Times New Roman"/>
          <w:sz w:val="18"/>
          <w:szCs w:val="18"/>
          <w:color w:val="auto"/>
        </w:rPr>
        <w:t>During the three months ended September 30, 2020, we incurred a $0.5 million loss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$2.0 million of 2020/21 Notes into common stock during July 2020.</w:t>
      </w:r>
    </w:p>
    <w:p>
      <w:pPr>
        <w:spacing w:after="0" w:line="159" w:lineRule="exact"/>
        <w:rPr>
          <w:sz w:val="20"/>
          <w:szCs w:val="20"/>
          <w:color w:val="auto"/>
        </w:rPr>
      </w:pPr>
    </w:p>
    <w:p>
      <w:pPr>
        <w:ind w:right="120" w:firstLine="469"/>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(Loss) gain from change in fair value of the 2020/21 Notes and 2020 Notes embedded derivative liability. </w:t>
      </w:r>
      <w:r>
        <w:rPr>
          <w:rFonts w:ascii="Times New Roman" w:cs="Times New Roman" w:eastAsia="Times New Roman" w:hAnsi="Times New Roman"/>
          <w:sz w:val="18"/>
          <w:szCs w:val="18"/>
          <w:color w:val="auto"/>
        </w:rPr>
        <w:t>During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2020, the estimated fair value of the 2020/21 Notes embedded derivative liability increased resulting in a non-cash gain of $0.2 million, primarily due to the revaluation of the embedded derivative liability.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6"/>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07"/>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and cost of goods sold</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Ethanol sales and related products,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3,804</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16,184</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(12,380)</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Hydrocarbon revenue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5,005</w:t>
            </w: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17,599</w:t>
            </w:r>
          </w:p>
        </w:tc>
        <w:tc>
          <w:tcPr>
            <w:tcW w:w="2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(12,594)</w:t>
            </w:r>
          </w:p>
        </w:tc>
        <w:tc>
          <w:tcPr>
            <w:tcW w:w="0" w:type="dxa"/>
            <w:vAlign w:val="bottom"/>
          </w:tcPr>
          <w:p>
            <w:pPr>
              <w:spacing w:after="0"/>
              <w:rPr>
                <w:sz w:val="1"/>
                <w:szCs w:val="1"/>
                <w:color w:val="auto"/>
              </w:rPr>
            </w:pPr>
          </w:p>
        </w:tc>
      </w:tr>
      <w:tr>
        <w:trPr>
          <w:trHeight w:val="213"/>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27,306</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(14,263)</w:t>
            </w:r>
          </w:p>
        </w:tc>
        <w:tc>
          <w:tcPr>
            <w:tcW w:w="0" w:type="dxa"/>
            <w:vAlign w:val="bottom"/>
          </w:tcPr>
          <w:p>
            <w:pPr>
              <w:spacing w:after="0"/>
              <w:rPr>
                <w:sz w:val="1"/>
                <w:szCs w:val="1"/>
                <w:color w:val="auto"/>
              </w:rPr>
            </w:pPr>
          </w:p>
        </w:tc>
      </w:tr>
      <w:tr>
        <w:trPr>
          <w:trHeight w:val="220"/>
        </w:trPr>
        <w:tc>
          <w:tcPr>
            <w:tcW w:w="63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loss</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(9,707)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7"/>
        </w:trPr>
        <w:tc>
          <w:tcPr>
            <w:tcW w:w="63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3,712</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c>
          <w:tcPr>
            <w:tcW w:w="0" w:type="dxa"/>
            <w:vAlign w:val="bottom"/>
          </w:tcPr>
          <w:p>
            <w:pPr>
              <w:spacing w:after="0"/>
              <w:rPr>
                <w:sz w:val="1"/>
                <w:szCs w:val="1"/>
                <w:color w:val="auto"/>
              </w:rPr>
            </w:pPr>
          </w:p>
        </w:tc>
      </w:tr>
      <w:tr>
        <w:trPr>
          <w:trHeight w:val="227"/>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8,917</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6,705</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2,212</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costs</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10,417</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20"/>
        </w:trPr>
        <w:tc>
          <w:tcPr>
            <w:tcW w:w="63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(19,336)</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(20,124)</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(1,559)</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modification of 2020 Notes</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3"/>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conversion of 2020/21 Notes to common stock</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 from change in fair value of derivative warrant liability</w:t>
            </w: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5"/>
        </w:trPr>
        <w:tc>
          <w:tcPr>
            <w:tcW w:w="6320" w:type="dxa"/>
            <w:vAlign w:val="bottom"/>
            <w:shd w:val="clear" w:color="auto" w:fill="CCEEFF"/>
          </w:tcPr>
          <w:p>
            <w:pPr>
              <w:ind w:left="160"/>
              <w:spacing w:after="0" w:line="195" w:lineRule="exact"/>
              <w:rPr>
                <w:sz w:val="20"/>
                <w:szCs w:val="20"/>
                <w:color w:val="auto"/>
              </w:rPr>
            </w:pPr>
            <w:r>
              <w:rPr>
                <w:rFonts w:ascii="Times New Roman" w:cs="Times New Roman" w:eastAsia="Times New Roman" w:hAnsi="Times New Roman"/>
                <w:sz w:val="18"/>
                <w:szCs w:val="18"/>
                <w:color w:val="auto"/>
              </w:rPr>
              <w:t>(Loss) gain from change in fair value of 2020/21 Notes and 2020 Notes embedded</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liability</w:t>
            </w:r>
          </w:p>
        </w:tc>
        <w:tc>
          <w:tcPr>
            <w:tcW w:w="1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3"/>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(2,796)</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(1,721)</w:t>
            </w: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07"/>
        </w:trPr>
        <w:tc>
          <w:tcPr>
            <w:tcW w:w="63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(22,132)</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(21,845)</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62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from the sale of ethanol, isobutanol and related products for the nine months ended September 30, 2020 was $3.8 million,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$12.4 million compared to the nine months ended September 30, 2019. This decrease was primarily the result of terminating ethanol and distiller's grains production at the Luverne Facility in March 2020 as a result of COVID-19 and in response to an unfavorable commodity</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environment. During the nine months ended September 30, 2020, we sold 2.4 million gallons of ethanol compared to 10.2 million gallons of ethanol sold in the nine months ended September 30, 2019.</w:t>
      </w:r>
    </w:p>
    <w:p>
      <w:pPr>
        <w:spacing w:after="0" w:line="182" w:lineRule="exact"/>
        <w:rPr>
          <w:sz w:val="20"/>
          <w:szCs w:val="20"/>
          <w:color w:val="auto"/>
        </w:rPr>
      </w:pPr>
    </w:p>
    <w:p>
      <w:pPr>
        <w:ind w:right="640" w:firstLine="480"/>
        <w:spacing w:after="0" w:line="277" w:lineRule="auto"/>
        <w:rPr>
          <w:sz w:val="20"/>
          <w:szCs w:val="20"/>
          <w:color w:val="auto"/>
        </w:rPr>
      </w:pPr>
      <w:r>
        <w:rPr>
          <w:rFonts w:ascii="Times New Roman" w:cs="Times New Roman" w:eastAsia="Times New Roman" w:hAnsi="Times New Roman"/>
          <w:sz w:val="18"/>
          <w:szCs w:val="18"/>
          <w:color w:val="auto"/>
        </w:rPr>
        <w:t>Hydrocarbon sales decreased by $0.3 million during the nine months ended September 30, 2020 as a result of decreased shipments of finished products from our demonstration plant located at the South Hampton Facility.</w:t>
      </w:r>
    </w:p>
    <w:p>
      <w:pPr>
        <w:spacing w:after="0" w:line="161" w:lineRule="exact"/>
        <w:rPr>
          <w:sz w:val="20"/>
          <w:szCs w:val="20"/>
          <w:color w:val="auto"/>
        </w:rPr>
      </w:pPr>
    </w:p>
    <w:p>
      <w:pPr>
        <w:ind w:right="2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was $13.0 million during the nine months ended September 30, 2020, compared with $27.3 million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2019, a decrease of approximately $14.3 million, primarily the result of terminating ethanol production in March 2020 as a result of COVID-19 and in response to an unfavorable commodity environment. Cost of goods sold included approximately $8.4 million associated with the production of ethanol and related products and maintenance of the Luverne Facility and approximately $4.6 million in depreciation expense during the nine months ended September 30, 2020.</w:t>
      </w:r>
    </w:p>
    <w:p>
      <w:pPr>
        <w:spacing w:after="0" w:line="1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71342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3" w:name="page44"/>
    <w:bookmarkEnd w:id="43"/>
    <w:p>
      <w:pPr>
        <w:ind w:left="480"/>
        <w:spacing w:after="0"/>
        <w:rPr>
          <w:sz w:val="20"/>
          <w:szCs w:val="20"/>
          <w:color w:val="auto"/>
        </w:rPr>
      </w:pPr>
      <w:r>
        <w:rPr>
          <w:rFonts w:ascii="Times New Roman" w:cs="Times New Roman" w:eastAsia="Times New Roman" w:hAnsi="Times New Roman"/>
          <w:sz w:val="18"/>
          <w:szCs w:val="18"/>
          <w:color w:val="auto"/>
        </w:rPr>
        <w:t>Until the Luverne Facility restarts production, cost of goods sold will primarily be comprised of costs to process ATJ, isooctane and isooctene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South Hampton Facility as well as costs to maintain the Luverne Facility. In late October of 2020, we began producing approximately 50,000 gallons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isobutanol which will be shipped to the South Hampton Facility for use in production of renewable hydrocarbons during the first quarter of 2021. We plan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produce an additional 50,000 gallons of isobutanol during the second quarter of 2021 for use at the South Hampton Facility.</w:t>
      </w:r>
    </w:p>
    <w:p>
      <w:pPr>
        <w:spacing w:after="0" w:line="199" w:lineRule="exact"/>
        <w:rPr>
          <w:sz w:val="20"/>
          <w:szCs w:val="20"/>
          <w:color w:val="auto"/>
        </w:rPr>
      </w:pPr>
    </w:p>
    <w:p>
      <w:pPr>
        <w:ind w:right="460" w:firstLine="480"/>
        <w:spacing w:after="0" w:line="309"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 </w:t>
      </w:r>
      <w:r>
        <w:rPr>
          <w:rFonts w:ascii="Times New Roman" w:cs="Times New Roman" w:eastAsia="Times New Roman" w:hAnsi="Times New Roman"/>
          <w:sz w:val="17"/>
          <w:szCs w:val="17"/>
          <w:color w:val="auto"/>
        </w:rPr>
        <w:t>Research and development expense decreased by approximately $1.6 million during the nine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September 30, 2020, compared with the nine months ended September 30, 2019, due primarily to a decrease in personnel and consulting expenses.</w:t>
      </w:r>
    </w:p>
    <w:p>
      <w:pPr>
        <w:spacing w:after="0" w:line="137" w:lineRule="exact"/>
        <w:rPr>
          <w:sz w:val="20"/>
          <w:szCs w:val="20"/>
          <w:color w:val="auto"/>
        </w:rPr>
      </w:pPr>
    </w:p>
    <w:p>
      <w:pPr>
        <w:jc w:val="both"/>
        <w:ind w:right="34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 </w:t>
      </w:r>
      <w:r>
        <w:rPr>
          <w:rFonts w:ascii="Times New Roman" w:cs="Times New Roman" w:eastAsia="Times New Roman" w:hAnsi="Times New Roman"/>
          <w:sz w:val="18"/>
          <w:szCs w:val="18"/>
          <w:color w:val="auto"/>
        </w:rPr>
        <w:t>Selling, general and administrative expense increased by approximately $2.2 million during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2020, compared with the nine months ended September 30, 2019, due primarily to an increase in personnel, consulting and insurance expenses and professional fees offset by a decrease in investor relations and travel expenses.</w:t>
      </w:r>
    </w:p>
    <w:p>
      <w:pPr>
        <w:spacing w:after="0" w:line="173" w:lineRule="exact"/>
        <w:rPr>
          <w:sz w:val="20"/>
          <w:szCs w:val="20"/>
          <w:color w:val="auto"/>
        </w:rPr>
      </w:pPr>
    </w:p>
    <w:p>
      <w:pPr>
        <w:ind w:right="8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During the nine months ended September 30, 2020, we incurred $0.3 million of restructuring charges related to the restructuring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Agri-Energy, termination of employees at Agri-Energy and Gevo and renegotiating contracts.</w:t>
      </w:r>
    </w:p>
    <w:p>
      <w:pPr>
        <w:spacing w:after="0" w:line="159" w:lineRule="exact"/>
        <w:rPr>
          <w:sz w:val="20"/>
          <w:szCs w:val="20"/>
          <w:color w:val="auto"/>
        </w:rPr>
      </w:pPr>
    </w:p>
    <w:p>
      <w:pPr>
        <w:ind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during the nine months ended September 30, 2020 was $1.6 million, a decrease of $0.6 million compared to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due to lower amortization of original issue discounts and debt issuance costs and conversion of $2.0 million of 2020/21 Notes to common stock during July 2020.</w:t>
      </w:r>
    </w:p>
    <w:p>
      <w:pPr>
        <w:spacing w:after="0" w:line="173" w:lineRule="exact"/>
        <w:rPr>
          <w:sz w:val="20"/>
          <w:szCs w:val="20"/>
          <w:color w:val="auto"/>
        </w:rPr>
      </w:pPr>
    </w:p>
    <w:p>
      <w:pPr>
        <w:ind w:right="40"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(Loss) from modification of 2020 Notes. </w:t>
      </w:r>
      <w:r>
        <w:rPr>
          <w:rFonts w:ascii="Times New Roman" w:cs="Times New Roman" w:eastAsia="Times New Roman" w:hAnsi="Times New Roman"/>
          <w:sz w:val="18"/>
          <w:szCs w:val="18"/>
          <w:color w:val="auto"/>
        </w:rPr>
        <w:t>During the nine months ended September 30, 2020, we incurred $0.7 million of legal and professional fees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modify the 2020 Notes into the 2020/21 Notes.</w:t>
      </w:r>
    </w:p>
    <w:p>
      <w:pPr>
        <w:spacing w:after="0" w:line="159" w:lineRule="exact"/>
        <w:rPr>
          <w:sz w:val="20"/>
          <w:szCs w:val="20"/>
          <w:color w:val="auto"/>
        </w:rPr>
      </w:pPr>
    </w:p>
    <w:p>
      <w:pPr>
        <w:ind w:firstLine="480"/>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(Loss) on conversion of 2020/21 Notes to common stock. </w:t>
      </w:r>
      <w:r>
        <w:rPr>
          <w:rFonts w:ascii="Times New Roman" w:cs="Times New Roman" w:eastAsia="Times New Roman" w:hAnsi="Times New Roman"/>
          <w:sz w:val="18"/>
          <w:szCs w:val="18"/>
          <w:color w:val="auto"/>
        </w:rPr>
        <w:t>During the nine months ended September 30, 2020, we incurred a $0.5 million loss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$2.0 million of 2020/21 Notes into common stock during July 2020.</w:t>
      </w:r>
    </w:p>
    <w:p>
      <w:pPr>
        <w:spacing w:after="0" w:line="159" w:lineRule="exact"/>
        <w:rPr>
          <w:sz w:val="20"/>
          <w:szCs w:val="20"/>
          <w:color w:val="auto"/>
        </w:rPr>
      </w:pPr>
    </w:p>
    <w:p>
      <w:pPr>
        <w:ind w:right="2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(Loss) gain from change in fair value of the 2020/21 Notes and 2020 Notes embedded derivative liability. </w:t>
      </w:r>
      <w:r>
        <w:rPr>
          <w:rFonts w:ascii="Times New Roman" w:cs="Times New Roman" w:eastAsia="Times New Roman" w:hAnsi="Times New Roman"/>
          <w:sz w:val="18"/>
          <w:szCs w:val="18"/>
          <w:color w:val="auto"/>
        </w:rPr>
        <w:t>During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2020, the estimated fair value of the 2020/21 Notes embedded derivative liability increased resulting in a non-cash loss of $0.03 million, primarily due to the revaluation of the embedded derivative liability as a result of the modification of the 2020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Our Revenues</w:t>
      </w:r>
    </w:p>
    <w:p>
      <w:pPr>
        <w:spacing w:after="0" w:line="224"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Our revenues are primarily derived from: (i) the sale of isobutanol, ethanol and related products; (ii) hydrocarbon sales consisting primarily of the sale of biojet fuel and isooctane derived from our isobutanol for purposes of certification and testing; and (iii) government grants and research and development programs. During the first quarter of 2020, we suspended our ethanol production at the Luverne Facility due to the impact of the COVID-19 pandemic on the economy and our industry as a whole. We do not anticipate earning revenue from the sale of ethanol during the remainder of 2020.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Components of Our Cost Structure</w:t>
      </w:r>
    </w:p>
    <w:p>
      <w:pPr>
        <w:spacing w:after="0" w:line="220" w:lineRule="exact"/>
        <w:rPr>
          <w:sz w:val="20"/>
          <w:szCs w:val="20"/>
          <w:color w:val="auto"/>
        </w:rPr>
      </w:pPr>
    </w:p>
    <w:p>
      <w:pPr>
        <w:ind w:right="6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Sold. </w:t>
      </w:r>
      <w:r>
        <w:rPr>
          <w:rFonts w:ascii="Times New Roman" w:cs="Times New Roman" w:eastAsia="Times New Roman" w:hAnsi="Times New Roman"/>
          <w:sz w:val="18"/>
          <w:szCs w:val="18"/>
          <w:color w:val="auto"/>
        </w:rPr>
        <w:t>Our cost of goods sold consists primarily of costs directly associated with ethanol production and initial operations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isobutanol at the Luverne Facility such as costs for direct materials, direct labor, depreciation, other operating costs and certain plant overhead costs. Direct materials include corn feedstock, denaturant and process chemicals. Direct labor includes compensation of personnel directly involved in production and maintenance operations at the Luverne Facility. Other operating costs include utilities and natural gas usage.</w:t>
      </w:r>
    </w:p>
    <w:p>
      <w:pPr>
        <w:spacing w:after="0" w:line="1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548" w:right="379" w:bottom="1440" w:gutter="0" w:footer="0" w:header="0"/>
        </w:sectPr>
      </w:pPr>
    </w:p>
    <w:bookmarkStart w:id="44" w:name="page45"/>
    <w:bookmarkEnd w:id="44"/>
    <w:p>
      <w:pPr>
        <w:ind w:right="140" w:firstLine="4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costs consist of expenses incurred to identify, develop and test our technologies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of isobutanol and the development of downstream applications thereof. Research and development expenses include personnel costs (including stock-based compensation), consultants and related contract research, facility costs, supplies, depreciation and amortization expense on property, plant and equipment used in product development, license fees paid to third parties for use of their intellectual property and patent rights and other overhead expenses incurred to support our research and development programs.</w:t>
      </w:r>
    </w:p>
    <w:p>
      <w:pPr>
        <w:spacing w:after="0" w:line="177" w:lineRule="exact"/>
        <w:rPr>
          <w:sz w:val="20"/>
          <w:szCs w:val="20"/>
          <w:color w:val="auto"/>
        </w:rPr>
      </w:pPr>
    </w:p>
    <w:p>
      <w:pPr>
        <w:ind w:right="200" w:firstLine="4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consist of personnel costs (including stock-based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consulting and service provider expenses (including patent counsel-related costs), legal fees, marketing costs, insurance costs, occupancy-related costs, depreciation and amortization expenses on property, plant and equipment not used in our product development programs or recorded in cost of goods sold, travel and relocation expenses and hiring expenses.</w:t>
      </w:r>
    </w:p>
    <w:p>
      <w:pPr>
        <w:spacing w:after="0" w:line="177" w:lineRule="exact"/>
        <w:rPr>
          <w:sz w:val="20"/>
          <w:szCs w:val="20"/>
          <w:color w:val="auto"/>
        </w:rPr>
      </w:pPr>
    </w:p>
    <w:p>
      <w:pPr>
        <w:ind w:right="140" w:firstLine="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Our 2020/21 Notes have, and the 2020 Notes had, a fixed interest rate of 12%. As of September 30, 2020, the 2020/21 Notes had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balance of $12.7 million. As of December 31, 2019, the 2020 Notes had a principal balance of $14.1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4" w:lineRule="exact"/>
        <w:rPr>
          <w:sz w:val="20"/>
          <w:szCs w:val="20"/>
          <w:color w:val="auto"/>
        </w:rPr>
      </w:pPr>
    </w:p>
    <w:p>
      <w:pPr>
        <w:ind w:right="240" w:firstLine="480"/>
        <w:spacing w:after="0" w:line="257" w:lineRule="auto"/>
        <w:rPr>
          <w:sz w:val="20"/>
          <w:szCs w:val="20"/>
          <w:color w:val="auto"/>
        </w:rPr>
      </w:pPr>
      <w:r>
        <w:rPr>
          <w:rFonts w:ascii="Times New Roman" w:cs="Times New Roman" w:eastAsia="Times New Roman" w:hAnsi="Times New Roman"/>
          <w:sz w:val="18"/>
          <w:szCs w:val="18"/>
          <w:color w:val="auto"/>
        </w:rPr>
        <w:t>Since our inception in 2005, we have devoted most of our cash resources to manufacturing ethanol, isobutanol and related products, research and development and selling, general and administrative activities related to the commercialization of ethanol, isobutanol, as well as related products from renewable feedstocks. We have incurred losses since inception and expect to incur losses through at least 2021. We have financed our operations primarily with proceeds from multiple sales of equity and debt securities, borrowings under debt facilities and product sales.</w:t>
      </w:r>
    </w:p>
    <w:p>
      <w:pPr>
        <w:spacing w:after="0" w:line="181"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capabilities, completion of our development activities resulting in sales of isobutanol or isobutanol-derived products and/or technology, achieving market acceptance and demand for our products and services and attracting and retaining qualified personnel.</w:t>
      </w:r>
    </w:p>
    <w:p>
      <w:pPr>
        <w:spacing w:after="0" w:line="186"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underwritten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8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transition to profitability is dependent upon, among other things, the successful development and commercialization of our products and product candidates, the achievement of a level of revenues adequate to support our cost structure and securing sufficient financing for the expansion of the Luverne Facility or a Retrofit facility at other suitable locations. We may never achieve profitability or generate positive cash flows, and unless and until we do, we will continue to need to raise additional cash. We intend to fund future operations through additional private and/or public offerings of debt or equity securities. In addition, we may seek additional capital through arrangements with strategic partners or from other sources and we will continue to address our cost structure. Notwithstanding, there can be no assurance that we will be able to raise additional funds or achieve or sustain profitability or positive cash flows from operations.</w:t>
      </w:r>
    </w:p>
    <w:p>
      <w:pPr>
        <w:spacing w:after="0" w:line="187" w:lineRule="exact"/>
        <w:rPr>
          <w:sz w:val="20"/>
          <w:szCs w:val="20"/>
          <w:color w:val="auto"/>
        </w:rPr>
      </w:pPr>
    </w:p>
    <w:p>
      <w:pPr>
        <w:ind w:left="480" w:right="760"/>
        <w:spacing w:after="0" w:line="277" w:lineRule="auto"/>
        <w:rPr>
          <w:sz w:val="20"/>
          <w:szCs w:val="20"/>
          <w:color w:val="auto"/>
        </w:rPr>
      </w:pPr>
      <w:r>
        <w:rPr>
          <w:rFonts w:ascii="Times New Roman" w:cs="Times New Roman" w:eastAsia="Times New Roman" w:hAnsi="Times New Roman"/>
          <w:sz w:val="18"/>
          <w:szCs w:val="18"/>
          <w:color w:val="auto"/>
        </w:rPr>
        <w:t>The Company has incurred consolidated net losses since inception and has a significant accumulated deficit as of September 30, 2020. As of September 30, 2020, we had cash and cash equivalents totaling $80.6 million.</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2"/>
        </w:trPr>
        <w:tc>
          <w:tcPr>
            <w:tcW w:w="8000" w:type="dxa"/>
            <w:vAlign w:val="bottom"/>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968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7"/>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7"/>
                <w:szCs w:val="17"/>
                <w:color w:val="auto"/>
              </w:rPr>
            </w:pPr>
          </w:p>
        </w:tc>
      </w:tr>
      <w:tr>
        <w:trPr>
          <w:trHeight w:val="20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(14,581)</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(14,798)</w:t>
            </w: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(1,756)</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(7,260)</w:t>
            </w: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80,656</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9,268</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4" w:lineRule="exact"/>
        <w:rPr>
          <w:sz w:val="20"/>
          <w:szCs w:val="20"/>
          <w:color w:val="auto"/>
        </w:rPr>
      </w:pPr>
    </w:p>
    <w:p>
      <w:pPr>
        <w:ind w:right="40" w:firstLine="480"/>
        <w:spacing w:after="0" w:line="262" w:lineRule="auto"/>
        <w:rPr>
          <w:sz w:val="20"/>
          <w:szCs w:val="20"/>
          <w:color w:val="auto"/>
        </w:rPr>
      </w:pPr>
      <w:r>
        <w:rPr>
          <w:rFonts w:ascii="Times New Roman" w:cs="Times New Roman" w:eastAsia="Times New Roman" w:hAnsi="Times New Roman"/>
          <w:sz w:val="18"/>
          <w:szCs w:val="18"/>
          <w:color w:val="auto"/>
        </w:rPr>
        <w:t>Our primary uses of cash from operating activities are personnel related expenses, research and development related expenses including costs incurred under development agreements, costs of licensing of technology, legal-related costs, expenses for maintenance of the Luverne Facility and for the operation of our South Hampton Facility.</w:t>
      </w:r>
    </w:p>
    <w:p>
      <w:pPr>
        <w:spacing w:after="0" w:line="176" w:lineRule="exact"/>
        <w:rPr>
          <w:sz w:val="20"/>
          <w:szCs w:val="20"/>
          <w:color w:val="auto"/>
        </w:rPr>
      </w:pPr>
    </w:p>
    <w:p>
      <w:pPr>
        <w:ind w:right="100" w:firstLine="480"/>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2020, net cash used for operating activities was $14.6 million compared to $14.8 million for the nine months ended September 30, 2019. The $0.2 million decrease in operating cash flows was primarily due to reduced production at the Luverne Facility offset by increased engineering and development fees on our RNG projects.</w:t>
      </w:r>
    </w:p>
    <w:p>
      <w:pPr>
        <w:spacing w:after="0" w:line="176"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We are currently maintaining the Luverne Facility until we arrange financing of its expansion for the production of hydrocarbons.</w:t>
      </w:r>
    </w:p>
    <w:p>
      <w:pPr>
        <w:spacing w:after="0" w:line="176" w:lineRule="exact"/>
        <w:rPr>
          <w:sz w:val="20"/>
          <w:szCs w:val="20"/>
          <w:color w:val="auto"/>
        </w:rPr>
      </w:pPr>
    </w:p>
    <w:p>
      <w:pPr>
        <w:ind w:right="160" w:firstLine="480"/>
        <w:spacing w:after="0" w:line="262" w:lineRule="auto"/>
        <w:rPr>
          <w:sz w:val="20"/>
          <w:szCs w:val="20"/>
          <w:color w:val="auto"/>
        </w:rPr>
      </w:pPr>
      <w:r>
        <w:rPr>
          <w:rFonts w:ascii="Times New Roman" w:cs="Times New Roman" w:eastAsia="Times New Roman" w:hAnsi="Times New Roman"/>
          <w:sz w:val="18"/>
          <w:szCs w:val="18"/>
          <w:color w:val="auto"/>
        </w:rPr>
        <w:t>We currently plan to spend approximately $7 million - $10 million over the next 15 months for engineering and development costs related to the expansion of the Luverne Facility and our RNG projects. We expect that additional expenditures will be required during the next 15 months for engineering and development work related to the expansion of the Luverne Facility, the RNG projects and other business initiatives.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2020, we used $1.8 million in cash for investing activities, substantially all of which related to capital expenditures at our Luverne Facility. We are installing equipment to fractionate distillers grains at the Luverne Facility totaling approximately $2.0 million as of September 30, 2020. The cost of the fractionation machine has been funded with a financing lease. No amounts are payable on this financing lease until the equipment is operational. The fractionation machine is expected to be operational in the first half of 2023.</w:t>
      </w:r>
    </w:p>
    <w:p>
      <w:pPr>
        <w:spacing w:after="0" w:line="181"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We are developing an RNG project comprised of anaerobic digesters to be located at three dairy farms in northwest Iowa, plus associated gas upgrading equipment, to supply our Luverne Facility with renewable thermal energy upon its startup in 2023. We expect to finance the RNG project, including finance-related costs and initial working capital, with approximately $65 million of combined project finance debt and third-party equity. Agri-Energy is expected to have a purchase option on approximately 50% of the RNG project’s estimated annual 350,000 MMBtu of RNG production. The RNG project is expected to be operational in early 2022, subject to securing adequate financing to complete the RNG project.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4"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During the nine months ended September 30, 2020, we generated $80.7 million in cash from financing activities, which primarily consisted of $2.2 million of net proceeds under our "at-the-market" offering program, receiving $16.1 million from the sale of common stock and warrants in the July 2020 Offering, $45.8 million from the sale of common stock and pre-funded warrants in the August 2020 Offering, $16.6 million from the exercise of Series 2020-A Warrants, Series 2020-B Warrants and Series 2020-C Warrants, and $1.0 million from the Small Business Administration's Paycheck Protection Program (“SBA PPP”) discussed below, offset by $0.5 million paid on loans payable - other.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left="20" w:right="120" w:firstLine="480"/>
        <w:spacing w:after="0" w:line="252" w:lineRule="auto"/>
        <w:rPr>
          <w:sz w:val="20"/>
          <w:szCs w:val="20"/>
          <w:color w:val="auto"/>
        </w:rPr>
      </w:pPr>
      <w:r>
        <w:rPr>
          <w:rFonts w:ascii="Times New Roman" w:cs="Times New Roman" w:eastAsia="Times New Roman" w:hAnsi="Times New Roman"/>
          <w:sz w:val="18"/>
          <w:szCs w:val="18"/>
          <w:color w:val="auto"/>
        </w:rPr>
        <w:t xml:space="preserve">On July 6, 2020, we completed a public offering (the “July 2020 Offering”) of (i) 20,896,666 Series 1 units (the “Series 1 Units”) at a price of $0.60 per Series 1 Unit, and (ii) 9,103,334 Series 2 units (the “Series 2 Units”) at a price of $0.59 per Series 2 Unit. The net proceeds to us from the July 2020 Offering were approximately $16.1 million, after deducting placement agent fees and other estimated offering expenses payable by the Company, and not including any future proceeds from the exercise of the Warrants. The Company intends to use the net proceeds from the July 2020 Offering to fund working capital and for other general corporate purposes. See Note 1, </w:t>
      </w:r>
      <w:r>
        <w:rPr>
          <w:rFonts w:ascii="Times New Roman" w:cs="Times New Roman" w:eastAsia="Times New Roman" w:hAnsi="Times New Roman"/>
          <w:sz w:val="18"/>
          <w:szCs w:val="18"/>
          <w:i w:val="1"/>
          <w:iCs w:val="1"/>
          <w:color w:val="auto"/>
        </w:rPr>
        <w:t>Nature of Business, Financial Condition and Basis of Presentation</w:t>
      </w:r>
      <w:r>
        <w:rPr>
          <w:rFonts w:ascii="Times New Roman" w:cs="Times New Roman" w:eastAsia="Times New Roman" w:hAnsi="Times New Roman"/>
          <w:sz w:val="18"/>
          <w:szCs w:val="18"/>
          <w:color w:val="auto"/>
        </w:rPr>
        <w:t>, to our consolidated financial statements included herein for additional information regarding the July 2020 Offering. As of September 30, 2020, all of the Series 2020-B warrants were exercised.</w:t>
      </w:r>
    </w:p>
    <w:p>
      <w:pPr>
        <w:spacing w:after="0" w:line="187" w:lineRule="exact"/>
        <w:rPr>
          <w:sz w:val="20"/>
          <w:szCs w:val="20"/>
          <w:color w:val="auto"/>
        </w:rPr>
      </w:pPr>
    </w:p>
    <w:p>
      <w:pPr>
        <w:ind w:left="20" w:right="100" w:firstLine="480"/>
        <w:spacing w:after="0" w:line="262" w:lineRule="auto"/>
        <w:rPr>
          <w:sz w:val="20"/>
          <w:szCs w:val="20"/>
          <w:color w:val="auto"/>
        </w:rPr>
      </w:pPr>
      <w:r>
        <w:rPr>
          <w:rFonts w:ascii="Times New Roman" w:cs="Times New Roman" w:eastAsia="Times New Roman" w:hAnsi="Times New Roman"/>
          <w:sz w:val="18"/>
          <w:szCs w:val="18"/>
          <w:color w:val="auto"/>
        </w:rPr>
        <w:t>During the quarter ended September 30, 2020, we received notices of exercise from holders of our Series 2020-A Warrants to issue an aggregate of 27,317,834 shares of common stock for total gross proceeds of approximately $16.4 million. Following these exercises, Series 2020-A Warrants to purchase 2,682,166 shares of our common stock remain outstanding at an exercise price of $0.60 per share.</w:t>
      </w:r>
    </w:p>
    <w:p>
      <w:pPr>
        <w:spacing w:after="0" w:line="176" w:lineRule="exact"/>
        <w:rPr>
          <w:sz w:val="20"/>
          <w:szCs w:val="20"/>
          <w:color w:val="auto"/>
        </w:rPr>
      </w:pPr>
    </w:p>
    <w:p>
      <w:pPr>
        <w:ind w:left="20" w:right="60" w:firstLine="480"/>
        <w:spacing w:after="0" w:line="251" w:lineRule="auto"/>
        <w:rPr>
          <w:sz w:val="20"/>
          <w:szCs w:val="20"/>
          <w:color w:val="auto"/>
        </w:rPr>
      </w:pPr>
      <w:r>
        <w:rPr>
          <w:rFonts w:ascii="Times New Roman" w:cs="Times New Roman" w:eastAsia="Times New Roman" w:hAnsi="Times New Roman"/>
          <w:sz w:val="18"/>
          <w:szCs w:val="18"/>
          <w:color w:val="auto"/>
        </w:rPr>
        <w:t xml:space="preserve">On August 25, 2020, we completed a registered direct offering pursuant to a securities purchase agreement with certain institutional and accredited investors providing for the issuance and sale by us of an aggregate of (i) 21,929,313 shares of our common stock (the “Shares”) at a price of $1.30 per share, and (ii) 16,532,232 pre-funded Series 2020-C warrants to purchase one share of our common stock (each, a “Series 2020-C Warrant”) at a price of $1.29 per Series 2020-C Warrant, in a registered direct offering (the “August 2020 Offering”). The net proceeds from the August 202 Offering were approximately $45.8 million, after deducting placement agent fees and other estimated offering expenses. The Company intends to use the net proceeds from the August 2020 Offering to fund working capital and for other general corporate purposes. See Note 1, </w:t>
      </w:r>
      <w:r>
        <w:rPr>
          <w:rFonts w:ascii="Times New Roman" w:cs="Times New Roman" w:eastAsia="Times New Roman" w:hAnsi="Times New Roman"/>
          <w:sz w:val="18"/>
          <w:szCs w:val="18"/>
          <w:i w:val="1"/>
          <w:iCs w:val="1"/>
          <w:color w:val="auto"/>
        </w:rPr>
        <w:t>Nature of Business, Financial Condition and 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Presentation</w:t>
      </w:r>
      <w:r>
        <w:rPr>
          <w:rFonts w:ascii="Times New Roman" w:cs="Times New Roman" w:eastAsia="Times New Roman" w:hAnsi="Times New Roman"/>
          <w:sz w:val="18"/>
          <w:szCs w:val="18"/>
          <w:color w:val="auto"/>
        </w:rPr>
        <w:t>, to our consolidated financial statements included herein for additional information regarding the August 2020 Offering. As of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all of the Series 2020-C warrants were exercised.</w:t>
      </w:r>
    </w:p>
    <w:p>
      <w:pPr>
        <w:spacing w:after="0" w:line="188" w:lineRule="exact"/>
        <w:rPr>
          <w:sz w:val="20"/>
          <w:szCs w:val="20"/>
          <w:color w:val="auto"/>
        </w:rPr>
      </w:pPr>
    </w:p>
    <w:p>
      <w:pPr>
        <w:ind w:right="34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At-the-Market Offering Program. </w:t>
      </w:r>
      <w:r>
        <w:rPr>
          <w:rFonts w:ascii="Times New Roman" w:cs="Times New Roman" w:eastAsia="Times New Roman" w:hAnsi="Times New Roman"/>
          <w:sz w:val="18"/>
          <w:szCs w:val="18"/>
          <w:color w:val="auto"/>
        </w:rPr>
        <w:t>In February 2018, we commenced an at-the-market offering program, which allows us to sell and issue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from time-to-time. In August 2019, the at-the-market offering program was amended to provide available capacity under the at-the-market offering program of $10.7 million.</w:t>
      </w:r>
    </w:p>
    <w:p>
      <w:pPr>
        <w:spacing w:after="0" w:line="175" w:lineRule="exact"/>
        <w:rPr>
          <w:sz w:val="20"/>
          <w:szCs w:val="20"/>
          <w:color w:val="auto"/>
        </w:rPr>
      </w:pPr>
    </w:p>
    <w:p>
      <w:pPr>
        <w:jc w:val="both"/>
        <w:ind w:left="20" w:right="320" w:firstLine="48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2020, we issued 1,343,121 shares of common stock under the at-the-market offering program for net proceeds of $2.2 million, net of commissions and offering related expenses. No shares were issued under the at-the-market offering program in the three months ended September 30, 2020. As of September 30, 2020, we had remaining capacity to issue up to $6.5 million of common stock under the at-the-market offering program.</w:t>
      </w:r>
    </w:p>
    <w:p>
      <w:pPr>
        <w:spacing w:after="0" w:line="181" w:lineRule="exact"/>
        <w:rPr>
          <w:sz w:val="20"/>
          <w:szCs w:val="20"/>
          <w:color w:val="auto"/>
        </w:rPr>
      </w:pPr>
    </w:p>
    <w:p>
      <w:pPr>
        <w:ind w:left="20" w:firstLine="480"/>
        <w:spacing w:after="0" w:line="257" w:lineRule="auto"/>
        <w:rPr>
          <w:sz w:val="20"/>
          <w:szCs w:val="20"/>
          <w:color w:val="auto"/>
        </w:rPr>
      </w:pPr>
      <w:r>
        <w:rPr>
          <w:rFonts w:ascii="Times New Roman" w:cs="Times New Roman" w:eastAsia="Times New Roman" w:hAnsi="Times New Roman"/>
          <w:sz w:val="18"/>
          <w:szCs w:val="18"/>
          <w:color w:val="auto"/>
        </w:rPr>
        <w:t>Under current SEC rules and regulations, if the aggregate market value of our common stock held by non-affiliates, or public float, falls to less than $75 million (calculated as set forth in Form S-3 and SEC rules and regulations) at the time of filing of our next Annual Report on Form 10- K, the amount we can raise through primary public offerings of our securities in any twelve-month period using a registration statement on Form S- 3 will be limited to one-third of our public float.</w:t>
      </w:r>
    </w:p>
    <w:p>
      <w:pPr>
        <w:spacing w:after="0" w:line="179" w:lineRule="exact"/>
        <w:rPr>
          <w:sz w:val="20"/>
          <w:szCs w:val="20"/>
          <w:color w:val="auto"/>
        </w:rPr>
      </w:pPr>
    </w:p>
    <w:p>
      <w:pPr>
        <w:ind w:left="20" w:firstLine="480"/>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2020/21 Notes. </w:t>
      </w:r>
      <w:r>
        <w:rPr>
          <w:rFonts w:ascii="Times New Roman" w:cs="Times New Roman" w:eastAsia="Times New Roman" w:hAnsi="Times New Roman"/>
          <w:sz w:val="18"/>
          <w:szCs w:val="18"/>
          <w:color w:val="auto"/>
        </w:rPr>
        <w:t>On January 10, 2020, the Company entered into an Exchange and Purchase Agreement (as amended, the “2020/21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the guarantors party thereto (the "Guarantors"), the holder of the 2020 Notes and Whitebox Advisors LLC ("Whitebox"), in its capacity as representative of the holder. Pursuant to the terms of the 2020/21 Purchase Agreement, the holder of the 2020 Notes, subject to certain conditions, agreed to exchange all of the outstanding principal amount of the 2020 Notes, which was approximately $14.1 million including unpaid accrued interest, for approximately $14.4 million in aggregate principal amount of the Company's newly created 2020/21 Notes (the “2020/21 Exchange”). Pursuant to the 2020/21 Purchase Agreement, the Company also granted an option to purchase up to an additional aggregate principal amount of approximately $7.1 million of 2020/21 Notes (the “2020/21 Option Notes”), at a purchase price equal to the aggregate principal amount of such 2020/21 Option Notes purchased less an original issue discount of 2.0%, having identical terms (other than with respect to the issue date and restrictions on transfer relating to compliance with applicable securities law) to the 2020/21 Notes issued, at any time during the period beginning on the date of closing of the 2020/21 Exchange and ending on the later of (a) 180 days thereafter, and (b) 30 days following June 3, 2020. In addition, on January 10, 2020, the Company completed the 2020/21 Exchange and cancelled the 2020 Notes. In addition, the Company entered into an Indenture by and among the Company, the guarantors named therein (the “2020/21 Notes Guarantors”) and FSB, as trustee and as collateral trustee (the “Original Indenture”), as supplemented by that certain First Supplemental Indenture, dated as of April 7, 2020 (the “First Supplemental Indenture”), that certain Second Supplemental Indenture, dated as of July 2, 2020 (the “Second Supplemental Indenture”), and that certain Third Supplemental Indenture, dated as of August 24, 2020 (the “Third Supplemental Indenture” and, together with the Original Indenture, the First Supplemental Indenture and the Second Supplemental Indenture, the “2020/21 Notes Indenture”), pursuant to which the Company issued the 2020/21 Notes. During the nine months ended September 30, 2020, the Company recognized an approximately $0.7 million loss on the 2020/21 Exchange within the Consolidated Statements of Operations.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47" w:name="page48"/>
    <w:bookmarkEnd w:id="47"/>
    <w:p>
      <w:pPr>
        <w:ind w:left="2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left="20" w:firstLine="480"/>
        <w:spacing w:after="0" w:line="271" w:lineRule="auto"/>
        <w:rPr>
          <w:sz w:val="20"/>
          <w:szCs w:val="20"/>
          <w:color w:val="auto"/>
        </w:rPr>
      </w:pPr>
      <w:r>
        <w:rPr>
          <w:rFonts w:ascii="Times New Roman" w:cs="Times New Roman" w:eastAsia="Times New Roman" w:hAnsi="Times New Roman"/>
          <w:sz w:val="17"/>
          <w:szCs w:val="17"/>
          <w:color w:val="auto"/>
        </w:rPr>
        <w:t>The 2020/21 Notes will mature on December 31, 2020, provided that the maturity date will automatically be extended to April 1, 2021 if the aggregate outstanding principal balance of the 2020/21 Notes (including any 2020/21 Option Notes) as of December 15, 2020 is less than $7 million. The 2020/21 Notes bear interest at a rate equal to 12% per annum (with 4% potentially payable as PIK Interest (as defined below) at our option), payable on March 31, June 30, September 30, and December 31 of each year. Under certain circumstances, we have the option to pay a portion of the interest due on the 2020/21 Notes by either (a) increasing the principal amount of the 2020/21 Notes by the amount of interest then due or (b) issuing additional 2020 Notes with a principal amount equal to the amount of interest then due (interest paid in the manner set forth in (a) or (b) being referred to as “PIK Interest”).</w:t>
      </w:r>
    </w:p>
    <w:p>
      <w:pPr>
        <w:spacing w:after="0" w:line="170" w:lineRule="exact"/>
        <w:rPr>
          <w:sz w:val="20"/>
          <w:szCs w:val="20"/>
          <w:color w:val="auto"/>
        </w:rPr>
      </w:pPr>
    </w:p>
    <w:p>
      <w:pPr>
        <w:ind w:right="600" w:firstLine="480"/>
        <w:spacing w:after="0" w:line="277" w:lineRule="auto"/>
        <w:rPr>
          <w:sz w:val="20"/>
          <w:szCs w:val="20"/>
          <w:color w:val="auto"/>
        </w:rPr>
      </w:pPr>
      <w:r>
        <w:rPr>
          <w:rFonts w:ascii="Times New Roman" w:cs="Times New Roman" w:eastAsia="Times New Roman" w:hAnsi="Times New Roman"/>
          <w:sz w:val="18"/>
          <w:szCs w:val="18"/>
          <w:color w:val="auto"/>
        </w:rPr>
        <w:t>The 2020/21 Notes are convertible into shares of our common stock, subject to certain terms and conditions. The initial conversion price of the 2020/21 Notes is equal to $2.442 per share of common stock, or 0.4095 shares of common stock per $1 principal amount of 2020 Notes.</w:t>
      </w:r>
    </w:p>
    <w:p>
      <w:pPr>
        <w:spacing w:after="0" w:line="163" w:lineRule="exact"/>
        <w:rPr>
          <w:sz w:val="20"/>
          <w:szCs w:val="20"/>
          <w:color w:val="auto"/>
        </w:rPr>
      </w:pPr>
    </w:p>
    <w:p>
      <w:pPr>
        <w:ind w:right="120" w:firstLine="480"/>
        <w:spacing w:after="0" w:line="262" w:lineRule="auto"/>
        <w:rPr>
          <w:sz w:val="20"/>
          <w:szCs w:val="20"/>
          <w:color w:val="auto"/>
        </w:rPr>
      </w:pPr>
      <w:r>
        <w:rPr>
          <w:rFonts w:ascii="Times New Roman" w:cs="Times New Roman" w:eastAsia="Times New Roman" w:hAnsi="Times New Roman"/>
          <w:sz w:val="18"/>
          <w:szCs w:val="18"/>
          <w:color w:val="auto"/>
        </w:rPr>
        <w:t>On July 10, 2020, certain holders of the 2020/21 Notes converted $2.0 million in the aggregate principal amount of 2020/21 Notes (including the conversion of an additional $0.3 million for make-whole payment) into 4,169,428 shares of common stock pursuant to the terms of the indenture. There was $12.5 million principal outstanding for the 2020/21 Notes upon completion of the conversion of the 2020/21 Notes.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consolidated financial statements included herein for further discussion of the 2020/21 Notes.</w:t>
      </w:r>
    </w:p>
    <w:p>
      <w:pPr>
        <w:spacing w:after="0" w:line="2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 xml:space="preserve">Loans Payable - Other. </w:t>
      </w:r>
      <w:r>
        <w:rPr>
          <w:rFonts w:ascii="Times New Roman" w:cs="Times New Roman" w:eastAsia="Times New Roman" w:hAnsi="Times New Roman"/>
          <w:sz w:val="18"/>
          <w:szCs w:val="18"/>
          <w:color w:val="auto"/>
        </w:rPr>
        <w:t>During the first quarter of 2020, we purchased equipment under a financing lease. During the fourth quarter of 2019,</w:t>
      </w:r>
    </w:p>
    <w:p>
      <w:pPr>
        <w:spacing w:after="0" w:line="27" w:lineRule="exact"/>
        <w:rPr>
          <w:sz w:val="20"/>
          <w:szCs w:val="20"/>
          <w:color w:val="auto"/>
        </w:rPr>
      </w:pPr>
    </w:p>
    <w:p>
      <w:pPr>
        <w:ind w:left="20" w:right="260"/>
        <w:spacing w:after="0" w:line="255" w:lineRule="auto"/>
        <w:rPr>
          <w:sz w:val="20"/>
          <w:szCs w:val="20"/>
          <w:color w:val="auto"/>
        </w:rPr>
      </w:pPr>
      <w:r>
        <w:rPr>
          <w:rFonts w:ascii="Times New Roman" w:cs="Times New Roman" w:eastAsia="Times New Roman" w:hAnsi="Times New Roman"/>
          <w:sz w:val="18"/>
          <w:szCs w:val="18"/>
          <w:color w:val="auto"/>
        </w:rPr>
        <w:t>we financed part of our insurance obligation. The equipment notes and financing lease pay interest between 4% and 21%, have total monthly payments of $0.1 million and mature at various date from August 2020 to February 2025. The equipment loans are secured by the related equipment.</w:t>
      </w:r>
    </w:p>
    <w:p>
      <w:pPr>
        <w:spacing w:after="0" w:line="182" w:lineRule="exact"/>
        <w:rPr>
          <w:sz w:val="20"/>
          <w:szCs w:val="20"/>
          <w:color w:val="auto"/>
        </w:rPr>
      </w:pPr>
    </w:p>
    <w:p>
      <w:pPr>
        <w:ind w:left="20" w:right="40" w:firstLine="480"/>
        <w:spacing w:after="0" w:line="250" w:lineRule="auto"/>
        <w:rPr>
          <w:sz w:val="20"/>
          <w:szCs w:val="20"/>
          <w:color w:val="auto"/>
        </w:rPr>
      </w:pPr>
      <w:r>
        <w:rPr>
          <w:rFonts w:ascii="Times New Roman" w:cs="Times New Roman" w:eastAsia="Times New Roman" w:hAnsi="Times New Roman"/>
          <w:sz w:val="18"/>
          <w:szCs w:val="18"/>
          <w:color w:val="auto"/>
        </w:rPr>
        <w:t>The rapidly evolving changes in financial markets could have a material impact on our ability to obtain financing, which could impact our liquidity. In April 2020, we entered into two loan agreements with Live Oak Banking Company, pursuant to which we obtained two loans from the Small Business Administration's Paycheck Protection Program (“SBA PPP”) totaling $1.0 million in the aggregate (the "SBA Loans"). The SBA Loans will mature in April 2022 and bear interest at a rate equal to 1% per annum, subject to the potential for partial or full loan forgiveness as dictated by U.S. federal law. Principal and interest are deferred until August 2021 and interest continues to accrue during the deferral period. The SBA Loans are payable monthly beginning August 5, 2021, with aggregate payments totaling $0.06 million per month, including interest and principal. The SBA Loans must be used for payroll, rent payments, mortgage interest payments and utilities payments as governed by the SBA PPP and are subject to partial or full forgiveness for the initial 24-week period following the loan disbursement if all proceeds are used for eligible purposes and within certain thresholds, we maintain certain employment levels and the we maintain certain compensation levels. No assurance can be given that we will obtain forgiveness of the loan in whole or in part. The loan contains customary events of default relating to, among other things, payment defaults, making materially false and misleading representations to the lender or breaching the terms of the loan documents.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our consolidated financial statements included herein for further discussion.</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83820</wp:posOffset>
            </wp:positionV>
            <wp:extent cx="713422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4" w:lineRule="exact"/>
        <w:rPr>
          <w:sz w:val="20"/>
          <w:szCs w:val="20"/>
          <w:color w:val="auto"/>
        </w:rPr>
      </w:pPr>
    </w:p>
    <w:p>
      <w:pPr>
        <w:ind w:right="240" w:firstLine="469"/>
        <w:spacing w:after="0" w:line="277"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since December 31, 2019. For a description of critical accounting policies that affect our significant judgments and estimates used in the preparation of our consolidated financial statements, refer to our Annual Report.</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September 30, 2020, we did not have any material off-balance sheet arrangements.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4" w:lineRule="exact"/>
        <w:rPr>
          <w:sz w:val="20"/>
          <w:szCs w:val="20"/>
          <w:color w:val="auto"/>
        </w:rPr>
      </w:pPr>
    </w:p>
    <w:p>
      <w:pPr>
        <w:ind w:right="180" w:firstLine="469"/>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6" w:lineRule="exact"/>
        <w:rPr>
          <w:sz w:val="20"/>
          <w:szCs w:val="20"/>
          <w:color w:val="auto"/>
        </w:rPr>
      </w:pPr>
    </w:p>
    <w:p>
      <w:pPr>
        <w:ind w:firstLine="469"/>
        <w:spacing w:after="0" w:line="252"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2020.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4" w:lineRule="exact"/>
        <w:rPr>
          <w:sz w:val="20"/>
          <w:szCs w:val="20"/>
          <w:color w:val="auto"/>
        </w:rPr>
      </w:pPr>
    </w:p>
    <w:p>
      <w:pPr>
        <w:ind w:right="60" w:firstLine="469"/>
        <w:spacing w:after="0" w:line="277"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September 30, 2020 that have materially affected, or are reasonably likely to materially affect, our internal control over financial reporting.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4" w:lineRule="exact"/>
        <w:rPr>
          <w:sz w:val="20"/>
          <w:szCs w:val="20"/>
          <w:color w:val="auto"/>
        </w:rPr>
      </w:pPr>
    </w:p>
    <w:p>
      <w:pPr>
        <w:ind w:right="60" w:firstLine="469"/>
        <w:spacing w:after="0" w:line="262"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and we are not aware of any pending or threatened litigation against us that we believe could have a material adverse effect on our business, operating results, financial condition or cash flows.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4"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Part I, Item 1A. “Risk Factors” in our Annual Report, which could materially affect our business, financial condition, cash flows or future results. Except as set forth below,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7"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impacted by the COVID-19 pandemic, and our financial condition, results of operations and liquidity may be materially and adversely impacted by it in the future.</w:t>
      </w:r>
    </w:p>
    <w:p>
      <w:pPr>
        <w:spacing w:after="0" w:line="160"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The COVID-19 pandemic has had an adverse impact on global commercial activity, including the global transportation industry and its supply chain, and has contributed to significant volatility in financial markets, including, among other effects, a decline in equity markets, changes in interest rates and reduced liquidity. It has also resulted in increased travel restrictions and extended shutdowns of businesses in various industries including, among others, the airline industry, and significantly reduced overall economic output. We expect that the impact of the COVID-19 pandemic on general economic activity will negatively impact our revenue and operating results for at least the remainder of 2020 and beyond. The impact of the COVID-19 pandemic on the global transportation industry could continue to result in less demand for our transportation fuel products which could have a material adverse effect on our business and financial condition. The suspension of ethanol production at our Luverne Facility and reduction in our workforce during the first quarter of 2020 due to the impact of COVID-19 had an adverse impact on our financial results for the third quarter of 2020 reducing revenue by 97% compared to the same period in 2019. There is also a risk that COVID-19 could have a material adverse impact on customer demand and cash flow.</w:t>
      </w:r>
    </w:p>
    <w:p>
      <w:pPr>
        <w:spacing w:after="0" w:line="18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The risks generally associated with the COVID-19 pandemic could magnify other risks discussed in this report and any of our SEC filings. For example, the rapidly evolving changes in financial markets could have a material impact on our ability to obtain additional financing, which could impact our liquidity. For example, volatility in the financial markets could make it more difficult to raise money from selling equity on the capital markets, the impact of COVID-19 on financial markets could limit potential lenders’ ability to provide funds for project finance of the planned expansion of the Luverne Facility or the terms of any project finance transactions could be worse than anticipated. In addition the effectiveness of external parties, including governmental and non-governmental organizations, in combating the spread and severity of COVID-19 could have a material impact on demand for our business. Further, steps taken by market counterparties such as commercial airlines could have an impact on their ability to perform under agreements to which we are a party, which could impact our business. For example, in connection with the impact that the COVID-19 pandemic has had on the economy and on the resulting disruption to the airline industry specifically, we and Delta amended portions of our previously disclosed Fuel Sales Agreement in April 2020, as discussed in “</w:t>
      </w:r>
      <w:r>
        <w:rPr>
          <w:rFonts w:ascii="Times New Roman" w:cs="Times New Roman" w:eastAsia="Times New Roman" w:hAnsi="Times New Roman"/>
          <w:sz w:val="18"/>
          <w:szCs w:val="18"/>
          <w:i w:val="1"/>
          <w:iCs w:val="1"/>
          <w:color w:val="auto"/>
        </w:rPr>
        <w:t>Management’s Discussion and Analysis of Financial Condition and Results of Operations—Company Overview—COVID-19</w:t>
      </w:r>
      <w:r>
        <w:rPr>
          <w:rFonts w:ascii="Times New Roman" w:cs="Times New Roman" w:eastAsia="Times New Roman" w:hAnsi="Times New Roman"/>
          <w:sz w:val="18"/>
          <w:szCs w:val="18"/>
          <w:color w:val="auto"/>
        </w:rPr>
        <w:t>.” Other commercial counterparties may also seek to amend supply agreement in the future.</w:t>
      </w:r>
    </w:p>
    <w:p>
      <w:pPr>
        <w:spacing w:after="0" w:line="190"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 COVID-19 pandemic could further and materially disrupt our own business operations and the services we provide, as well as the business operations of our customers, suppliers and other third parties with whom we interact. As an increasing percentage of our employees work remotely, we also face the risk that unusual working arrangements could impact the effectiveness of our operations or internal controls. In addition, a potential COVID-19 infection of any of our key employees could materially and adversely impact our operations. It is possible that COVID-19 restrictions could create difficulty for satisfying our legal or regulatory filing or other obligations, including with the SEC and other regulators.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0" w:lineRule="exact"/>
        <w:rPr>
          <w:sz w:val="20"/>
          <w:szCs w:val="20"/>
          <w:color w:val="auto"/>
        </w:rPr>
      </w:pPr>
    </w:p>
    <w:p>
      <w:pPr>
        <w:ind w:right="160" w:firstLine="480"/>
        <w:spacing w:after="0" w:line="254" w:lineRule="auto"/>
        <w:rPr>
          <w:sz w:val="20"/>
          <w:szCs w:val="20"/>
          <w:color w:val="auto"/>
        </w:rPr>
      </w:pPr>
      <w:r>
        <w:rPr>
          <w:rFonts w:ascii="Times New Roman" w:cs="Times New Roman" w:eastAsia="Times New Roman" w:hAnsi="Times New Roman"/>
          <w:sz w:val="18"/>
          <w:szCs w:val="18"/>
          <w:color w:val="auto"/>
        </w:rPr>
        <w:t>There is also a risk that the COVID-19 pandemic could continue to have a material adverse impact on customer demand and cash flow for the remainder of 2020 and beyond. We will continue to monitor the situation and assess possible implications to our business and its stakeholders and will take appropriate actions to help mitigate adverse consequences. The extent to which COVID-19 continues to impact our business and financial position will depend on future developments, which are difficult to predict, including the severity, duration and scope of the COVID-19 outbreak as well as the types of measures imposed by governmental authorities to contain the virus or address its impact and the duration of those actions and measures.</w:t>
      </w:r>
    </w:p>
    <w:p>
      <w:pPr>
        <w:spacing w:after="0" w:line="186" w:lineRule="exact"/>
        <w:rPr>
          <w:sz w:val="20"/>
          <w:szCs w:val="20"/>
          <w:color w:val="auto"/>
        </w:rPr>
      </w:pPr>
    </w:p>
    <w:p>
      <w:pPr>
        <w:ind w:right="40" w:firstLine="480"/>
        <w:spacing w:after="0" w:line="251" w:lineRule="auto"/>
        <w:rPr>
          <w:sz w:val="20"/>
          <w:szCs w:val="20"/>
          <w:color w:val="auto"/>
        </w:rPr>
      </w:pPr>
      <w:r>
        <w:rPr>
          <w:rFonts w:ascii="Times New Roman" w:cs="Times New Roman" w:eastAsia="Times New Roman" w:hAnsi="Times New Roman"/>
          <w:sz w:val="18"/>
          <w:szCs w:val="18"/>
          <w:color w:val="auto"/>
        </w:rPr>
        <w:t>We have considered multiple scenarios, with both positive and negative inputs, as part of the significant estimates and assumptions that are inherent in its financial statements and are based on trends in customer behavior and the economic environment throughout the quarter ended September 30, 2020 and beyond as the COVID-19 pandemic continues to impact the industries in which we operate. These estimates and assumptions include the collectability of billed and unbilled receivables and the estimation of revenue and tangible and intangible assets. With regard to collectability, we believe we may face atypical delays in client payments going forward but we have not experienced delays in collection as of September 30, 2020. In addition, we believe that the demand for certain discretionary lines of business may decrease, and that such decrease will impact our financial results in succeeding periods. Non-discretionary lines of business may also be adversely affected, for example because reduced economic activity or disruption in hydrocarbon markets reduces demand for or the extent of renewable alcohol-to-jet fuel, isooctane and isooctene. We believe that these trends and uncertainties are comparable to those faced by other registrants as a result of the COVID-19 pandemic.</w:t>
      </w:r>
    </w:p>
    <w:p>
      <w:pPr>
        <w:spacing w:after="0" w:line="18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All of the foregoing events or potential outcomes, including in combination with other risk factors included in this Quarterly Report on Form 10-Q or our Annual Report, could cause a material adverse effect on our results of operations in any period and, depending on their severity, could also materially and adversely affect our financial condition. In addition, such events and outcomes could potentially impact our reputation with clients and regulators, among others. The rapid development and fluidity of the pandemic precludes any prediction as to the ultimate impact of the COVID-19 pandemic on us. The full extent of the impact and effects of the COVID-19 pandemic on our business, operations, liquidity, financial condition and results of operations remain uncertain at this time.</w:t>
      </w:r>
    </w:p>
    <w:p>
      <w:pPr>
        <w:spacing w:after="0" w:line="18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delays in obtaining regulatory approvals for use of our renewable premium gasoline product, which could substantially hinder our ability to commercialize our renewable premium gasoline product in the U.S.</w:t>
      </w:r>
    </w:p>
    <w:p>
      <w:pPr>
        <w:spacing w:after="0" w:line="160"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Commercialization of our renewable premium gasoline product in the U.S. requires approvals from state and/or federal agencies. Before we can sell our renewable premium gasoline product as a fuel or as a gasoline blendstock, we must obtain certain approvals or certifications from the U.S. Environmental Protection Agency (“EPA”). There can be no assurances that the EPA will grant such approvals or certifications. Any delay or failure in receiving approval will slow or prevent the commercialization of our renewable premium gasoline product, which could have a material adverse effect on our business, financial condition and results of operations.</w:t>
      </w:r>
    </w:p>
    <w:p>
      <w:pPr>
        <w:spacing w:after="0" w:line="186" w:lineRule="exact"/>
        <w:rPr>
          <w:sz w:val="20"/>
          <w:szCs w:val="20"/>
          <w:color w:val="auto"/>
        </w:rPr>
      </w:pPr>
    </w:p>
    <w:p>
      <w:pPr>
        <w:jc w:val="both"/>
        <w:ind w:right="300" w:firstLine="480"/>
        <w:spacing w:after="0" w:line="262" w:lineRule="auto"/>
        <w:rPr>
          <w:sz w:val="20"/>
          <w:szCs w:val="20"/>
          <w:color w:val="auto"/>
        </w:rPr>
      </w:pPr>
      <w:r>
        <w:rPr>
          <w:rFonts w:ascii="Times New Roman" w:cs="Times New Roman" w:eastAsia="Times New Roman" w:hAnsi="Times New Roman"/>
          <w:sz w:val="18"/>
          <w:szCs w:val="18"/>
          <w:color w:val="auto"/>
        </w:rPr>
        <w:t>Additionally, California requires that fuels meet both its fuel certification requirements and a separate state low-carbon fuel standard. Any delay or failure in receiving approval for our renewable premium gasoline product will slow or prevent the commercialization of our renewable premium gasoline product, which could have a material adverse effect on our business, financial condition and results of operations.</w:t>
      </w:r>
    </w:p>
    <w:p>
      <w:pPr>
        <w:spacing w:after="0" w:line="176"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There are also various third-party certification organizations, such as ASTM International and Underwriters’ Laboratories, Inc., involved in standard-setting regarding the transportation, dispensing and use of liquid fuel in the U.S. and abroad. These organizations may change the current standards and additional requirements may be enacted that could prevent or delay approval of our renewable premium gasoline product. The process of seeking required approvals and the continuing need for compliance with applicable standards may require the expenditure of substantial resources, and there is no guarantee that we will satisfy these standards in a timely manner, if ever.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2"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 as</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that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Announced</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 the Plans</w:t>
            </w:r>
          </w:p>
        </w:tc>
        <w:tc>
          <w:tcPr>
            <w:tcW w:w="0" w:type="dxa"/>
            <w:vAlign w:val="bottom"/>
          </w:tcPr>
          <w:p>
            <w:pPr>
              <w:spacing w:after="0"/>
              <w:rPr>
                <w:sz w:val="1"/>
                <w:szCs w:val="1"/>
                <w:color w:val="auto"/>
              </w:rPr>
            </w:pPr>
          </w:p>
        </w:tc>
      </w:tr>
      <w:tr>
        <w:trPr>
          <w:trHeight w:val="236"/>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0" w:type="dxa"/>
            <w:vAlign w:val="bottom"/>
          </w:tcPr>
          <w:p>
            <w:pPr>
              <w:spacing w:after="0"/>
              <w:rPr>
                <w:sz w:val="1"/>
                <w:szCs w:val="1"/>
                <w:color w:val="auto"/>
              </w:rPr>
            </w:pPr>
          </w:p>
        </w:tc>
      </w:tr>
      <w:tr>
        <w:trPr>
          <w:trHeight w:val="207"/>
        </w:trPr>
        <w:tc>
          <w:tcPr>
            <w:tcW w:w="180" w:type="dxa"/>
            <w:vAlign w:val="bottom"/>
            <w:vMerge w:val="restart"/>
          </w:tcPr>
          <w:p>
            <w:pPr>
              <w:spacing w:after="0"/>
              <w:rPr>
                <w:sz w:val="17"/>
                <w:szCs w:val="17"/>
                <w:color w:val="auto"/>
              </w:rPr>
            </w:pPr>
          </w:p>
        </w:tc>
        <w:tc>
          <w:tcPr>
            <w:tcW w:w="4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July 1, 2020 - July 31, 2020 (1)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2020 - August 31, 2020</w:t>
            </w: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September 1, 2020 - September 30, 2020</w:t>
            </w: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7"/>
        </w:trPr>
        <w:tc>
          <w:tcPr>
            <w:tcW w:w="18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firstLine="7"/>
        <w:spacing w:after="0" w:line="307" w:lineRule="auto"/>
        <w:tabs>
          <w:tab w:leader="none" w:pos="2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exhibits listed below are filed or furnished as part of this report.</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8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Included</w:t>
            </w:r>
          </w:p>
        </w:tc>
      </w:tr>
      <w:tr>
        <w:trPr>
          <w:trHeight w:val="253"/>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6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187"/>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60"/>
              <w:spacing w:after="0" w:line="187" w:lineRule="exact"/>
              <w:rPr>
                <w:sz w:val="20"/>
                <w:szCs w:val="20"/>
                <w:color w:val="auto"/>
              </w:rPr>
            </w:pPr>
            <w:r>
              <w:rPr>
                <w:rFonts w:ascii="Times New Roman" w:cs="Times New Roman" w:eastAsia="Times New Roman" w:hAnsi="Times New Roman"/>
                <w:sz w:val="18"/>
                <w:szCs w:val="18"/>
                <w:b w:val="1"/>
                <w:bCs w:val="1"/>
                <w:color w:val="auto"/>
              </w:rPr>
              <w:t>File No.</w:t>
            </w:r>
          </w:p>
        </w:tc>
        <w:tc>
          <w:tcPr>
            <w:tcW w:w="80" w:type="dxa"/>
            <w:vAlign w:val="bottom"/>
            <w:tcBorders>
              <w:bottom w:val="single" w:sz="8" w:color="auto"/>
              <w:right w:val="single" w:sz="8" w:color="auto"/>
            </w:tcBorders>
          </w:tcPr>
          <w:p>
            <w:pPr>
              <w:spacing w:after="0"/>
              <w:rPr>
                <w:sz w:val="16"/>
                <w:szCs w:val="16"/>
                <w:color w:val="auto"/>
              </w:rPr>
            </w:pPr>
          </w:p>
        </w:tc>
        <w:tc>
          <w:tcPr>
            <w:tcW w:w="152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0"/>
        </w:trPr>
        <w:tc>
          <w:tcPr>
            <w:tcW w:w="340" w:type="dxa"/>
            <w:vAlign w:val="bottom"/>
            <w:tcBorders>
              <w:left w:val="single" w:sz="8" w:color="auto"/>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560" w:type="dxa"/>
            <w:vAlign w:val="bottom"/>
            <w:tcBorders>
              <w:right w:val="single" w:sz="8" w:color="auto"/>
            </w:tcBorders>
            <w:gridSpan w:val="8"/>
          </w:tcPr>
          <w:p>
            <w:pPr>
              <w:spacing w:after="0" w:line="170"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Amended and Restated Certificate of Incorporation of Gevo,</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280" w:type="dxa"/>
            <w:vAlign w:val="bottom"/>
            <w:tcBorders>
              <w:top w:val="single" w:sz="8" w:color="0000EE"/>
            </w:tcBorders>
            <w:gridSpan w:val="6"/>
          </w:tcPr>
          <w:p>
            <w:pPr>
              <w:spacing w:after="0" w:line="194"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Inc.</w:t>
              </w:r>
            </w:hyperlink>
          </w:p>
        </w:tc>
        <w:tc>
          <w:tcPr>
            <w:tcW w:w="280" w:type="dxa"/>
            <w:vAlign w:val="bottom"/>
            <w:tcBorders>
              <w:right w:val="single" w:sz="8" w:color="auto"/>
            </w:tcBorders>
            <w:gridSpan w:val="2"/>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March 29, 2011</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Times New Roman" w:cs="Times New Roman" w:eastAsia="Times New Roman" w:hAnsi="Times New Roman"/>
                <w:sz w:val="18"/>
                <w:szCs w:val="18"/>
                <w:color w:val="0000EE"/>
                <w:w w:val="98"/>
              </w:rPr>
            </w:pPr>
            <w:hyperlink r:id="rId75">
              <w:r>
                <w:rPr>
                  <w:rFonts w:ascii="Times New Roman" w:cs="Times New Roman" w:eastAsia="Times New Roman" w:hAnsi="Times New Roman"/>
                  <w:sz w:val="18"/>
                  <w:szCs w:val="18"/>
                  <w:color w:val="0000EE"/>
                  <w:w w:val="98"/>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Times New Roman" w:cs="Times New Roman" w:eastAsia="Times New Roman" w:hAnsi="Times New Roman"/>
                <w:sz w:val="18"/>
                <w:szCs w:val="18"/>
                <w:color w:val="0000EE"/>
                <w:w w:val="98"/>
              </w:rPr>
            </w:pPr>
            <w:hyperlink r:id="rId76">
              <w:r>
                <w:rPr>
                  <w:rFonts w:ascii="Times New Roman" w:cs="Times New Roman" w:eastAsia="Times New Roman" w:hAnsi="Times New Roman"/>
                  <w:sz w:val="18"/>
                  <w:szCs w:val="18"/>
                  <w:color w:val="0000EE"/>
                  <w:w w:val="98"/>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0"/>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60" w:type="dxa"/>
            <w:vAlign w:val="bottom"/>
            <w:tcBorders>
              <w:right w:val="single" w:sz="8" w:color="auto"/>
            </w:tcBorders>
            <w:gridSpan w:val="8"/>
          </w:tcPr>
          <w:p>
            <w:pPr>
              <w:spacing w:after="0"/>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Certificate of Amendment to Amended and Restated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60"/>
        </w:trPr>
        <w:tc>
          <w:tcPr>
            <w:tcW w:w="340" w:type="dxa"/>
            <w:vAlign w:val="bottom"/>
            <w:tcBorders>
              <w:left w:val="single" w:sz="8" w:color="auto"/>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1420" w:type="dxa"/>
            <w:vAlign w:val="bottom"/>
            <w:tcBorders>
              <w:top w:val="single" w:sz="8" w:color="0000EE"/>
              <w:bottom w:val="single" w:sz="8" w:color="auto"/>
            </w:tcBorders>
          </w:tcPr>
          <w:p>
            <w:pPr>
              <w:spacing w:after="0"/>
              <w:rPr>
                <w:sz w:val="5"/>
                <w:szCs w:val="5"/>
                <w:color w:val="auto"/>
              </w:rPr>
            </w:pPr>
          </w:p>
        </w:tc>
        <w:tc>
          <w:tcPr>
            <w:tcW w:w="460" w:type="dxa"/>
            <w:vAlign w:val="bottom"/>
            <w:tcBorders>
              <w:top w:val="single" w:sz="8" w:color="0000EE"/>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6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8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r>
      <w:tr>
        <w:trPr>
          <w:trHeight w:val="127"/>
        </w:trPr>
        <w:tc>
          <w:tcPr>
            <w:tcW w:w="3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560" w:type="dxa"/>
            <w:vAlign w:val="bottom"/>
            <w:tcBorders>
              <w:right w:val="single" w:sz="8" w:color="auto"/>
            </w:tcBorders>
            <w:gridSpan w:val="8"/>
          </w:tcPr>
          <w:p>
            <w:pPr>
              <w:spacing w:after="0" w:line="127"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Certificate of Amendment to Amended and Restated Certificate</w:t>
              </w:r>
            </w:hyperlink>
          </w:p>
        </w:tc>
        <w:tc>
          <w:tcPr>
            <w:tcW w:w="8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8-K</w:t>
            </w:r>
          </w:p>
        </w:tc>
        <w:tc>
          <w:tcPr>
            <w:tcW w:w="10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001-35073</w:t>
            </w:r>
          </w:p>
        </w:tc>
        <w:tc>
          <w:tcPr>
            <w:tcW w:w="8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June 4, 2018</w:t>
            </w:r>
          </w:p>
        </w:tc>
        <w:tc>
          <w:tcPr>
            <w:tcW w:w="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of Incorporation of Gevo, Inc.</w:t>
              </w:r>
            </w:hyperlink>
          </w:p>
        </w:tc>
        <w:tc>
          <w:tcPr>
            <w:tcW w:w="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7"/>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Amended and Restated Bylaws of Gevo, Inc.</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March 29,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434"/>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56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80">
              <w:r>
                <w:rPr>
                  <w:rFonts w:ascii="Times New Roman" w:cs="Times New Roman" w:eastAsia="Times New Roman" w:hAnsi="Times New Roman"/>
                  <w:sz w:val="18"/>
                  <w:szCs w:val="18"/>
                  <w:u w:val="single" w:color="auto"/>
                  <w:color w:val="0000EE"/>
                </w:rPr>
                <w:t>Form of Gevo, Inc. Common Stock Certificate.</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January 19, 2011</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r>
      <w:tr>
        <w:trPr>
          <w:trHeight w:val="384"/>
        </w:trPr>
        <w:tc>
          <w:tcPr>
            <w:tcW w:w="340" w:type="dxa"/>
            <w:vAlign w:val="bottom"/>
            <w:tcBorders>
              <w:left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1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Stock Issuance and Stockholder’s Rights Agreement, dated</w:t>
              </w:r>
            </w:hyperlink>
          </w:p>
        </w:tc>
        <w:tc>
          <w:tcPr>
            <w:tcW w:w="380" w:type="dxa"/>
            <w:vAlign w:val="bottom"/>
            <w:tcBorders>
              <w:right w:val="single" w:sz="8" w:color="auto"/>
            </w:tcBorders>
            <w:gridSpan w:val="3"/>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333-168792</w:t>
            </w:r>
          </w:p>
        </w:tc>
        <w:tc>
          <w:tcPr>
            <w:tcW w:w="8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August 12, 2010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00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r:id="rId81">
              <w:r>
                <w:rPr>
                  <w:rFonts w:ascii="Times New Roman" w:cs="Times New Roman" w:eastAsia="Times New Roman" w:hAnsi="Times New Roman"/>
                  <w:sz w:val="18"/>
                  <w:szCs w:val="18"/>
                  <w:color w:val="0000EE"/>
                  <w:w w:val="97"/>
                </w:rPr>
                <w:t>July 12, 2005, by and between Gevo, Inc. and California</w:t>
              </w:r>
            </w:hyperlink>
          </w:p>
        </w:tc>
        <w:tc>
          <w:tcPr>
            <w:tcW w:w="560" w:type="dxa"/>
            <w:vAlign w:val="bottom"/>
            <w:tcBorders>
              <w:right w:val="single" w:sz="8" w:color="auto"/>
            </w:tcBorders>
            <w:gridSpan w:val="4"/>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4560" w:type="dxa"/>
            <w:vAlign w:val="bottom"/>
            <w:tcBorders>
              <w:right w:val="single" w:sz="8" w:color="auto"/>
            </w:tcBorders>
            <w:gridSpan w:val="8"/>
          </w:tcPr>
          <w:p>
            <w:pPr>
              <w:spacing w:after="0" w:line="194"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Institute of Technology.</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2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21"/>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gridSpan w:val="9"/>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3"/>
        </w:trPr>
        <w:tc>
          <w:tcPr>
            <w:tcW w:w="3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3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40" w:type="dxa"/>
            <w:vAlign w:val="bottom"/>
            <w:tcBorders>
              <w:left w:val="single" w:sz="8" w:color="auto"/>
              <w:right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Exhibit</w:t>
            </w:r>
          </w:p>
        </w:tc>
        <w:tc>
          <w:tcPr>
            <w:tcW w:w="8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ind w:left="140"/>
              <w:spacing w:after="0" w:line="148" w:lineRule="exact"/>
              <w:rPr>
                <w:sz w:val="20"/>
                <w:szCs w:val="20"/>
                <w:color w:val="auto"/>
              </w:rPr>
            </w:pPr>
            <w:r>
              <w:rPr>
                <w:rFonts w:ascii="Times New Roman" w:cs="Times New Roman" w:eastAsia="Times New Roman" w:hAnsi="Times New Roman"/>
                <w:sz w:val="17"/>
                <w:szCs w:val="17"/>
                <w:b w:val="1"/>
                <w:bCs w:val="1"/>
                <w:color w:val="auto"/>
              </w:rPr>
              <w:t>Included</w:t>
            </w:r>
          </w:p>
        </w:tc>
        <w:tc>
          <w:tcPr>
            <w:tcW w:w="0" w:type="dxa"/>
            <w:vAlign w:val="bottom"/>
          </w:tcPr>
          <w:p>
            <w:pPr>
              <w:spacing w:after="0"/>
              <w:rPr>
                <w:sz w:val="1"/>
                <w:szCs w:val="1"/>
                <w:color w:val="auto"/>
              </w:rPr>
            </w:pPr>
          </w:p>
        </w:tc>
      </w:tr>
      <w:tr>
        <w:trPr>
          <w:trHeight w:val="253"/>
        </w:trPr>
        <w:tc>
          <w:tcPr>
            <w:tcW w:w="1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4660" w:type="dxa"/>
            <w:vAlign w:val="bottom"/>
            <w:tcBorders>
              <w:bottom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187"/>
        </w:trPr>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2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11"/>
          </w:tcPr>
          <w:p>
            <w:pPr>
              <w:spacing w:after="0"/>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Indenture, dated January 10, 2020, by and among Gevo, Inc., the</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4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7"/>
              </w:rPr>
            </w:pPr>
            <w:hyperlink r:id="rId82">
              <w:r>
                <w:rPr>
                  <w:rFonts w:ascii="Times New Roman" w:cs="Times New Roman" w:eastAsia="Times New Roman" w:hAnsi="Times New Roman"/>
                  <w:sz w:val="18"/>
                  <w:szCs w:val="18"/>
                  <w:color w:val="0000EE"/>
                  <w:w w:val="97"/>
                </w:rPr>
                <w:t>guarantors party thereto, and Wilmington Savings Fund Society,</w:t>
              </w:r>
            </w:hyperlink>
          </w:p>
        </w:tc>
        <w:tc>
          <w:tcPr>
            <w:tcW w:w="40" w:type="dxa"/>
            <w:vAlign w:val="bottom"/>
            <w:tcBorders>
              <w:top w:val="single" w:sz="8" w:color="0000EE"/>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11"/>
          </w:tcPr>
          <w:p>
            <w:pPr>
              <w:spacing w:after="0" w:line="194"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FSB, as trustee and as collateral trustee.</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34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560" w:type="dxa"/>
            <w:vAlign w:val="bottom"/>
            <w:tcBorders>
              <w:top w:val="single" w:sz="8" w:color="0000EE"/>
              <w:bottom w:val="single" w:sz="8" w:color="0000EE"/>
            </w:tcBorders>
          </w:tcPr>
          <w:p>
            <w:pPr>
              <w:spacing w:after="0"/>
              <w:rPr>
                <w:sz w:val="5"/>
                <w:szCs w:val="5"/>
                <w:color w:val="auto"/>
              </w:rPr>
            </w:pPr>
          </w:p>
        </w:tc>
        <w:tc>
          <w:tcPr>
            <w:tcW w:w="220" w:type="dxa"/>
            <w:vAlign w:val="bottom"/>
            <w:tcBorders>
              <w:top w:val="single" w:sz="8" w:color="0000EE"/>
              <w:bottom w:val="single" w:sz="8" w:color="0000EE"/>
            </w:tcBorders>
          </w:tcPr>
          <w:p>
            <w:pPr>
              <w:spacing w:after="0"/>
              <w:rPr>
                <w:sz w:val="5"/>
                <w:szCs w:val="5"/>
                <w:color w:val="auto"/>
              </w:rPr>
            </w:pPr>
          </w:p>
        </w:tc>
        <w:tc>
          <w:tcPr>
            <w:tcW w:w="1020" w:type="dxa"/>
            <w:vAlign w:val="bottom"/>
            <w:tcBorders>
              <w:top w:val="single" w:sz="8" w:color="0000EE"/>
              <w:bottom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bottom w:val="single" w:sz="8" w:color="auto"/>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340" w:type="dxa"/>
            <w:vAlign w:val="bottom"/>
            <w:tcBorders>
              <w:top w:val="single" w:sz="8" w:color="auto"/>
              <w:right w:val="single" w:sz="8" w:color="auto"/>
            </w:tcBorders>
          </w:tcPr>
          <w:p>
            <w:pPr>
              <w:spacing w:after="0"/>
              <w:rPr>
                <w:sz w:val="11"/>
                <w:szCs w:val="11"/>
                <w:color w:val="auto"/>
              </w:rPr>
            </w:pPr>
          </w:p>
        </w:tc>
        <w:tc>
          <w:tcPr>
            <w:tcW w:w="800" w:type="dxa"/>
            <w:vAlign w:val="bottom"/>
            <w:tcBorders>
              <w:top w:val="single" w:sz="8" w:color="auto"/>
              <w:right w:val="single" w:sz="8" w:color="auto"/>
            </w:tcBorders>
          </w:tcPr>
          <w:p>
            <w:pPr>
              <w:spacing w:after="0" w:line="127"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Borders>
              <w:top w:val="single" w:sz="8" w:color="auto"/>
              <w:right w:val="single" w:sz="8" w:color="auto"/>
            </w:tcBorders>
          </w:tcPr>
          <w:p>
            <w:pPr>
              <w:spacing w:after="0"/>
              <w:rPr>
                <w:sz w:val="11"/>
                <w:szCs w:val="11"/>
                <w:color w:val="auto"/>
              </w:rPr>
            </w:pPr>
          </w:p>
        </w:tc>
        <w:tc>
          <w:tcPr>
            <w:tcW w:w="140" w:type="dxa"/>
            <w:vAlign w:val="bottom"/>
            <w:tcBorders>
              <w:top w:val="single" w:sz="8" w:color="auto"/>
              <w:right w:val="single" w:sz="8" w:color="auto"/>
            </w:tcBorders>
          </w:tcPr>
          <w:p>
            <w:pPr>
              <w:spacing w:after="0"/>
              <w:rPr>
                <w:sz w:val="11"/>
                <w:szCs w:val="11"/>
                <w:color w:val="auto"/>
              </w:rPr>
            </w:pPr>
          </w:p>
        </w:tc>
        <w:tc>
          <w:tcPr>
            <w:tcW w:w="4240" w:type="dxa"/>
            <w:vAlign w:val="bottom"/>
            <w:tcBorders>
              <w:top w:val="single" w:sz="8" w:color="auto"/>
              <w:bottom w:val="single" w:sz="8" w:color="0000EE"/>
            </w:tcBorders>
            <w:gridSpan w:val="6"/>
          </w:tcPr>
          <w:p>
            <w:pPr>
              <w:spacing w:after="0" w:line="127"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First Supplemental Indenture, by and among Gevo, Inc., the</w:t>
              </w:r>
            </w:hyperlink>
          </w:p>
        </w:tc>
        <w:tc>
          <w:tcPr>
            <w:tcW w:w="420" w:type="dxa"/>
            <w:vAlign w:val="bottom"/>
            <w:tcBorders>
              <w:top w:val="single" w:sz="8" w:color="auto"/>
              <w:right w:val="single" w:sz="8" w:color="auto"/>
            </w:tcBorders>
            <w:gridSpan w:val="5"/>
          </w:tcPr>
          <w:p>
            <w:pPr>
              <w:spacing w:after="0"/>
              <w:rPr>
                <w:sz w:val="11"/>
                <w:szCs w:val="11"/>
                <w:color w:val="auto"/>
              </w:rPr>
            </w:pPr>
          </w:p>
        </w:tc>
        <w:tc>
          <w:tcPr>
            <w:tcW w:w="40" w:type="dxa"/>
            <w:vAlign w:val="bottom"/>
            <w:tcBorders>
              <w:top w:val="single" w:sz="8" w:color="auto"/>
              <w:right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12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right w:val="single" w:sz="8" w:color="auto"/>
            </w:tcBorders>
          </w:tcPr>
          <w:p>
            <w:pPr>
              <w:spacing w:after="0"/>
              <w:rPr>
                <w:sz w:val="11"/>
                <w:szCs w:val="11"/>
                <w:color w:val="auto"/>
              </w:rPr>
            </w:pPr>
          </w:p>
        </w:tc>
        <w:tc>
          <w:tcPr>
            <w:tcW w:w="1500" w:type="dxa"/>
            <w:vAlign w:val="bottom"/>
            <w:tcBorders>
              <w:top w:val="single" w:sz="8" w:color="auto"/>
              <w:right w:val="single" w:sz="8" w:color="auto"/>
            </w:tcBorders>
          </w:tcPr>
          <w:p>
            <w:pPr>
              <w:spacing w:after="0"/>
              <w:rPr>
                <w:sz w:val="11"/>
                <w:szCs w:val="11"/>
                <w:color w:val="auto"/>
              </w:rPr>
            </w:pPr>
          </w:p>
        </w:tc>
        <w:tc>
          <w:tcPr>
            <w:tcW w:w="10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spacing w:after="0"/>
              <w:rPr>
                <w:sz w:val="11"/>
                <w:szCs w:val="11"/>
                <w:color w:val="auto"/>
              </w:rPr>
            </w:pPr>
          </w:p>
        </w:tc>
        <w:tc>
          <w:tcPr>
            <w:tcW w:w="80" w:type="dxa"/>
            <w:vAlign w:val="bottom"/>
            <w:tcBorders>
              <w:top w:val="single" w:sz="8" w:color="auto"/>
              <w:right w:val="single" w:sz="8" w:color="auto"/>
            </w:tcBorders>
          </w:tcPr>
          <w:p>
            <w:pPr>
              <w:spacing w:after="0"/>
              <w:rPr>
                <w:sz w:val="11"/>
                <w:szCs w:val="11"/>
                <w:color w:val="auto"/>
              </w:rPr>
            </w:pPr>
          </w:p>
        </w:tc>
        <w:tc>
          <w:tcPr>
            <w:tcW w:w="9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4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guarantors party thereto, Wilmington Savings Fund Society,</w:t>
              </w:r>
            </w:hyperlink>
          </w:p>
        </w:tc>
        <w:tc>
          <w:tcPr>
            <w:tcW w:w="420" w:type="dxa"/>
            <w:vAlign w:val="bottom"/>
            <w:tcBorders>
              <w:right w:val="single" w:sz="8" w:color="auto"/>
            </w:tcBorders>
            <w:gridSpan w:val="5"/>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April 9,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660" w:type="dxa"/>
            <w:vAlign w:val="bottom"/>
            <w:tcBorders>
              <w:right w:val="single" w:sz="8" w:color="auto"/>
            </w:tcBorders>
            <w:gridSpan w:val="11"/>
            <w:vMerge w:val="restart"/>
          </w:tcPr>
          <w:p>
            <w:pPr>
              <w:spacing w:after="0" w:line="194" w:lineRule="exact"/>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FSB, as trustee and as collateral trustee, the requisite holders and</w:t>
              </w:r>
            </w:hyperlink>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11"/>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8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Whitebox Advisors LLC.</w:t>
              </w:r>
            </w:hyperlink>
          </w:p>
        </w:tc>
        <w:tc>
          <w:tcPr>
            <w:tcW w:w="8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color w:val="auto"/>
                <w:w w:val="79"/>
              </w:rPr>
              <w:t>4.5</w:t>
            </w:r>
          </w:p>
        </w:tc>
        <w:tc>
          <w:tcPr>
            <w:tcW w:w="8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660" w:type="dxa"/>
            <w:vAlign w:val="bottom"/>
            <w:tcBorders>
              <w:right w:val="single" w:sz="8" w:color="auto"/>
            </w:tcBorders>
            <w:gridSpan w:val="11"/>
          </w:tcPr>
          <w:p>
            <w:pPr>
              <w:spacing w:after="0" w:line="167"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Second Supplemental Indenture, dated July 2, 2020, by and</w:t>
              </w:r>
            </w:hyperlink>
          </w:p>
        </w:tc>
        <w:tc>
          <w:tcPr>
            <w:tcW w:w="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4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7"/>
              </w:rPr>
            </w:pPr>
            <w:hyperlink r:id="rId84">
              <w:r>
                <w:rPr>
                  <w:rFonts w:ascii="Times New Roman" w:cs="Times New Roman" w:eastAsia="Times New Roman" w:hAnsi="Times New Roman"/>
                  <w:sz w:val="18"/>
                  <w:szCs w:val="18"/>
                  <w:color w:val="0000EE"/>
                  <w:w w:val="97"/>
                </w:rPr>
                <w:t>among Gevo, Inc., the guarantors party thereto, Wilmington</w:t>
              </w:r>
            </w:hyperlink>
          </w:p>
        </w:tc>
        <w:tc>
          <w:tcPr>
            <w:tcW w:w="420" w:type="dxa"/>
            <w:vAlign w:val="bottom"/>
            <w:tcBorders>
              <w:right w:val="single" w:sz="8" w:color="auto"/>
            </w:tcBorders>
            <w:gridSpan w:val="5"/>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July 8,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540" w:type="dxa"/>
            <w:vAlign w:val="bottom"/>
            <w:gridSpan w:val="9"/>
            <w:vMerge w:val="restart"/>
          </w:tcPr>
          <w:p>
            <w:pPr>
              <w:spacing w:after="0" w:line="194" w:lineRule="exact"/>
              <w:rPr>
                <w:rFonts w:ascii="Times New Roman" w:cs="Times New Roman" w:eastAsia="Times New Roman" w:hAnsi="Times New Roman"/>
                <w:sz w:val="18"/>
                <w:szCs w:val="18"/>
                <w:color w:val="0000EE"/>
                <w:w w:val="97"/>
              </w:rPr>
            </w:pPr>
            <w:hyperlink r:id="rId84">
              <w:r>
                <w:rPr>
                  <w:rFonts w:ascii="Times New Roman" w:cs="Times New Roman" w:eastAsia="Times New Roman" w:hAnsi="Times New Roman"/>
                  <w:sz w:val="18"/>
                  <w:szCs w:val="18"/>
                  <w:color w:val="0000EE"/>
                  <w:w w:val="97"/>
                </w:rPr>
                <w:t>Savings Fund Society, FSB, as trustee and collateral trustee, and</w:t>
              </w:r>
            </w:hyperlink>
          </w:p>
        </w:tc>
        <w:tc>
          <w:tcPr>
            <w:tcW w:w="120" w:type="dxa"/>
            <w:vAlign w:val="bottom"/>
            <w:tcBorders>
              <w:right w:val="single" w:sz="8" w:color="auto"/>
            </w:tcBorders>
            <w:gridSpan w:val="2"/>
            <w:vMerge w:val="restart"/>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540" w:type="dxa"/>
            <w:vAlign w:val="bottom"/>
            <w:tcBorders>
              <w:bottom w:val="single" w:sz="8" w:color="0000EE"/>
            </w:tcBorders>
            <w:gridSpan w:val="9"/>
            <w:vMerge w:val="continue"/>
          </w:tcPr>
          <w:p>
            <w:pPr>
              <w:spacing w:after="0"/>
              <w:rPr>
                <w:sz w:val="5"/>
                <w:szCs w:val="5"/>
                <w:color w:val="auto"/>
              </w:rPr>
            </w:pPr>
          </w:p>
        </w:tc>
        <w:tc>
          <w:tcPr>
            <w:tcW w:w="120" w:type="dxa"/>
            <w:vAlign w:val="bottom"/>
            <w:tcBorders>
              <w:right w:val="single" w:sz="8" w:color="auto"/>
            </w:tcBorders>
            <w:gridSpan w:val="2"/>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11"/>
          </w:tcPr>
          <w:p>
            <w:pPr>
              <w:spacing w:after="0" w:line="19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Requisite Holders.</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color w:val="auto"/>
                <w:w w:val="79"/>
              </w:rPr>
              <w:t>4.6</w:t>
            </w:r>
          </w:p>
        </w:tc>
        <w:tc>
          <w:tcPr>
            <w:tcW w:w="8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380" w:type="dxa"/>
            <w:vAlign w:val="bottom"/>
            <w:tcBorders>
              <w:bottom w:val="single" w:sz="8" w:color="0000EE"/>
            </w:tcBorders>
            <w:gridSpan w:val="7"/>
          </w:tcPr>
          <w:p>
            <w:pPr>
              <w:spacing w:after="0" w:line="167"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Third Supplemental Indenture, dated August 24, 2020, by and</w:t>
              </w:r>
            </w:hyperlink>
          </w:p>
        </w:tc>
        <w:tc>
          <w:tcPr>
            <w:tcW w:w="280" w:type="dxa"/>
            <w:vAlign w:val="bottom"/>
            <w:tcBorders>
              <w:right w:val="single" w:sz="8" w:color="auto"/>
            </w:tcBorders>
            <w:gridSpan w:val="4"/>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24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among Gevo, Inc., the guarantors party thereto, Wilmington</w:t>
              </w:r>
            </w:hyperlink>
          </w:p>
        </w:tc>
        <w:tc>
          <w:tcPr>
            <w:tcW w:w="420" w:type="dxa"/>
            <w:vAlign w:val="bottom"/>
            <w:tcBorders>
              <w:right w:val="single" w:sz="8" w:color="auto"/>
            </w:tcBorders>
            <w:gridSpan w:val="5"/>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August 26, 2020</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3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4540" w:type="dxa"/>
            <w:vAlign w:val="bottom"/>
            <w:gridSpan w:val="9"/>
            <w:vMerge w:val="restart"/>
          </w:tcPr>
          <w:p>
            <w:pPr>
              <w:spacing w:after="0" w:line="194" w:lineRule="exact"/>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Savings Fund Society, FSB, as trustee and collateral trustee, and</w:t>
              </w:r>
            </w:hyperlink>
          </w:p>
        </w:tc>
        <w:tc>
          <w:tcPr>
            <w:tcW w:w="120" w:type="dxa"/>
            <w:vAlign w:val="bottom"/>
            <w:tcBorders>
              <w:right w:val="single" w:sz="8" w:color="auto"/>
            </w:tcBorders>
            <w:gridSpan w:val="2"/>
            <w:vMerge w:val="restart"/>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540" w:type="dxa"/>
            <w:vAlign w:val="bottom"/>
            <w:tcBorders>
              <w:bottom w:val="single" w:sz="8" w:color="0000EE"/>
            </w:tcBorders>
            <w:gridSpan w:val="9"/>
            <w:vMerge w:val="continue"/>
          </w:tcPr>
          <w:p>
            <w:pPr>
              <w:spacing w:after="0"/>
              <w:rPr>
                <w:sz w:val="5"/>
                <w:szCs w:val="5"/>
                <w:color w:val="auto"/>
              </w:rPr>
            </w:pPr>
          </w:p>
        </w:tc>
        <w:tc>
          <w:tcPr>
            <w:tcW w:w="120" w:type="dxa"/>
            <w:vAlign w:val="bottom"/>
            <w:tcBorders>
              <w:right w:val="single" w:sz="8" w:color="auto"/>
            </w:tcBorders>
            <w:gridSpan w:val="2"/>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60" w:type="dxa"/>
            <w:vAlign w:val="bottom"/>
            <w:tcBorders>
              <w:right w:val="single" w:sz="8" w:color="auto"/>
            </w:tcBorders>
            <w:gridSpan w:val="11"/>
          </w:tcPr>
          <w:p>
            <w:pPr>
              <w:spacing w:after="0" w:line="194"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the Requisite Holders.</w:t>
              </w:r>
            </w:hyperlink>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gridSpan w:val="11"/>
            <w:vMerge w:val="restart"/>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Registration Rights Agreement, dated January 10, 2020, by and</w:t>
              </w:r>
            </w:hyperlink>
          </w:p>
        </w:tc>
        <w:tc>
          <w:tcPr>
            <w:tcW w:w="4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January 13, 2020</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4660" w:type="dxa"/>
            <w:vAlign w:val="bottom"/>
            <w:tcBorders>
              <w:right w:val="single" w:sz="8" w:color="auto"/>
            </w:tcBorders>
            <w:gridSpan w:val="11"/>
            <w:vMerge w:val="continue"/>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480" w:type="dxa"/>
            <w:vAlign w:val="bottom"/>
            <w:tcBorders>
              <w:top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among Gevo, Inc. and the investors named therein.</w:t>
              </w:r>
            </w:hyperlink>
          </w:p>
        </w:tc>
        <w:tc>
          <w:tcPr>
            <w:tcW w:w="180" w:type="dxa"/>
            <w:vAlign w:val="bottom"/>
            <w:tcBorders>
              <w:right w:val="single" w:sz="8" w:color="auto"/>
            </w:tcBorders>
            <w:gridSpan w:val="3"/>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60" w:type="dxa"/>
            <w:vAlign w:val="bottom"/>
            <w:tcBorders>
              <w:top w:val="single" w:sz="8" w:color="0000EE"/>
              <w:bottom w:val="single" w:sz="8" w:color="auto"/>
            </w:tcBorders>
          </w:tcPr>
          <w:p>
            <w:pPr>
              <w:spacing w:after="0"/>
              <w:rPr>
                <w:sz w:val="2"/>
                <w:szCs w:val="2"/>
                <w:color w:val="auto"/>
              </w:rPr>
            </w:pPr>
          </w:p>
        </w:tc>
        <w:tc>
          <w:tcPr>
            <w:tcW w:w="220" w:type="dxa"/>
            <w:vAlign w:val="bottom"/>
            <w:tcBorders>
              <w:top w:val="single" w:sz="8" w:color="0000EE"/>
              <w:bottom w:val="single" w:sz="8" w:color="auto"/>
            </w:tcBorders>
          </w:tcPr>
          <w:p>
            <w:pPr>
              <w:spacing w:after="0"/>
              <w:rPr>
                <w:sz w:val="2"/>
                <w:szCs w:val="2"/>
                <w:color w:val="auto"/>
              </w:rPr>
            </w:pPr>
          </w:p>
        </w:tc>
        <w:tc>
          <w:tcPr>
            <w:tcW w:w="1020" w:type="dxa"/>
            <w:vAlign w:val="bottom"/>
            <w:tcBorders>
              <w:top w:val="single" w:sz="8" w:color="0000EE"/>
              <w:bottom w:val="single" w:sz="8" w:color="auto"/>
            </w:tcBorders>
          </w:tcPr>
          <w:p>
            <w:pPr>
              <w:spacing w:after="0"/>
              <w:rPr>
                <w:sz w:val="2"/>
                <w:szCs w:val="2"/>
                <w:color w:val="auto"/>
              </w:rPr>
            </w:pPr>
          </w:p>
        </w:tc>
        <w:tc>
          <w:tcPr>
            <w:tcW w:w="800" w:type="dxa"/>
            <w:vAlign w:val="bottom"/>
            <w:tcBorders>
              <w:top w:val="single" w:sz="8" w:color="0000EE"/>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11"/>
          </w:tcPr>
          <w:p>
            <w:pPr>
              <w:spacing w:after="0"/>
              <w:rPr>
                <w:rFonts w:ascii="Times New Roman" w:cs="Times New Roman" w:eastAsia="Times New Roman" w:hAnsi="Times New Roman"/>
                <w:sz w:val="18"/>
                <w:szCs w:val="18"/>
                <w:u w:val="single" w:color="auto"/>
                <w:color w:val="0000EE"/>
              </w:rPr>
            </w:pPr>
            <w:hyperlink r:id="rId87">
              <w:r>
                <w:rPr>
                  <w:rFonts w:ascii="Times New Roman" w:cs="Times New Roman" w:eastAsia="Times New Roman" w:hAnsi="Times New Roman"/>
                  <w:sz w:val="18"/>
                  <w:szCs w:val="18"/>
                  <w:u w:val="single" w:color="auto"/>
                  <w:color w:val="0000EE"/>
                </w:rPr>
                <w:t>Form of Series D Warrant to Purchase Common Stock.</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December 15, 2015</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40" w:type="dxa"/>
            <w:vAlign w:val="bottom"/>
            <w:tcBorders>
              <w:left w:val="single" w:sz="8" w:color="auto"/>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60" w:type="dxa"/>
            <w:vAlign w:val="bottom"/>
            <w:tcBorders>
              <w:bottom w:val="single" w:sz="8" w:color="auto"/>
              <w:right w:val="single" w:sz="8" w:color="auto"/>
            </w:tcBorders>
            <w:gridSpan w:val="11"/>
          </w:tcPr>
          <w:p>
            <w:pPr>
              <w:spacing w:after="0"/>
              <w:rPr>
                <w:rFonts w:ascii="Times New Roman" w:cs="Times New Roman" w:eastAsia="Times New Roman" w:hAnsi="Times New Roman"/>
                <w:sz w:val="18"/>
                <w:szCs w:val="18"/>
                <w:u w:val="single" w:color="auto"/>
                <w:color w:val="0000EE"/>
              </w:rPr>
            </w:pPr>
            <w:hyperlink r:id="rId88">
              <w:r>
                <w:rPr>
                  <w:rFonts w:ascii="Times New Roman" w:cs="Times New Roman" w:eastAsia="Times New Roman" w:hAnsi="Times New Roman"/>
                  <w:sz w:val="18"/>
                  <w:szCs w:val="18"/>
                  <w:u w:val="single" w:color="auto"/>
                  <w:color w:val="0000EE"/>
                </w:rPr>
                <w:t>Form of Amendment No. 1 to Series D Warrant</w:t>
              </w:r>
            </w:hyperlink>
          </w:p>
        </w:tc>
        <w:tc>
          <w:tcPr>
            <w:tcW w:w="4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13, 2016</w:t>
            </w:r>
          </w:p>
        </w:tc>
        <w:tc>
          <w:tcPr>
            <w:tcW w:w="10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136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0"/>
        </w:trPr>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r>
      <w:tr>
        <w:trPr>
          <w:trHeight w:val="148"/>
        </w:trPr>
        <w:tc>
          <w:tcPr>
            <w:tcW w:w="1180" w:type="dxa"/>
            <w:vAlign w:val="bottom"/>
            <w:tcBorders>
              <w:left w:val="single" w:sz="8" w:color="auto"/>
              <w:right w:val="single" w:sz="8" w:color="auto"/>
            </w:tcBorders>
            <w:gridSpan w:val="2"/>
          </w:tcPr>
          <w:p>
            <w:pPr>
              <w:ind w:left="20"/>
              <w:spacing w:after="0" w:line="148" w:lineRule="exact"/>
              <w:rPr>
                <w:sz w:val="20"/>
                <w:szCs w:val="20"/>
                <w:color w:val="auto"/>
              </w:rPr>
            </w:pPr>
            <w:r>
              <w:rPr>
                <w:rFonts w:ascii="Times New Roman" w:cs="Times New Roman" w:eastAsia="Times New Roman" w:hAnsi="Times New Roman"/>
                <w:sz w:val="17"/>
                <w:szCs w:val="17"/>
                <w:b w:val="1"/>
                <w:bCs w:val="1"/>
                <w:color w:val="auto"/>
              </w:rPr>
              <w:t>Exhibit</w:t>
            </w:r>
          </w:p>
        </w:tc>
        <w:tc>
          <w:tcPr>
            <w:tcW w:w="40" w:type="dxa"/>
            <w:vAlign w:val="bottom"/>
            <w:tcBorders>
              <w:right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7"/>
                <w:szCs w:val="17"/>
                <w:b w:val="1"/>
                <w:bCs w:val="1"/>
                <w:color w:val="auto"/>
              </w:rPr>
              <w:t>Filed</w:t>
            </w:r>
          </w:p>
        </w:tc>
      </w:tr>
      <w:tr>
        <w:trPr>
          <w:trHeight w:val="253"/>
        </w:trPr>
        <w:tc>
          <w:tcPr>
            <w:tcW w:w="118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0" w:type="dxa"/>
            <w:vAlign w:val="bottom"/>
            <w:tcBorders>
              <w:bottom w:val="single" w:sz="8" w:color="auto"/>
              <w:right w:val="single" w:sz="8" w:color="auto"/>
            </w:tcBorders>
          </w:tcPr>
          <w:p>
            <w:pPr>
              <w:spacing w:after="0"/>
              <w:rPr>
                <w:sz w:val="21"/>
                <w:szCs w:val="21"/>
                <w:color w:val="auto"/>
              </w:rPr>
            </w:pPr>
          </w:p>
        </w:tc>
        <w:tc>
          <w:tcPr>
            <w:tcW w:w="14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r>
      <w:tr>
        <w:trPr>
          <w:trHeight w:val="187"/>
        </w:trPr>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9"/>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60"/>
              <w:spacing w:after="0" w:line="187"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420"/>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Form of Series F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April 5, 2016</w:t>
            </w: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420"/>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4.11</w:t>
            </w:r>
          </w:p>
        </w:tc>
        <w:tc>
          <w:tcPr>
            <w:tcW w:w="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90">
              <w:r>
                <w:rPr>
                  <w:rFonts w:ascii="Times New Roman" w:cs="Times New Roman" w:eastAsia="Times New Roman" w:hAnsi="Times New Roman"/>
                  <w:sz w:val="18"/>
                  <w:szCs w:val="18"/>
                  <w:u w:val="single" w:color="auto"/>
                  <w:color w:val="0000EE"/>
                </w:rPr>
                <w:t>Form of Series I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September 15, 2016</w:t>
            </w: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440"/>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4.12</w:t>
            </w:r>
          </w:p>
        </w:tc>
        <w:tc>
          <w:tcPr>
            <w:tcW w:w="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91">
              <w:r>
                <w:rPr>
                  <w:rFonts w:ascii="Times New Roman" w:cs="Times New Roman" w:eastAsia="Times New Roman" w:hAnsi="Times New Roman"/>
                  <w:sz w:val="18"/>
                  <w:szCs w:val="18"/>
                  <w:u w:val="single" w:color="auto"/>
                  <w:color w:val="0000EE"/>
                </w:rPr>
                <w:t>Form of Series K Warrant to Purchase Common Stock</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February 22, 2017</w:t>
            </w: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r>
      <w:tr>
        <w:trPr>
          <w:trHeight w:val="190"/>
        </w:trPr>
        <w:tc>
          <w:tcPr>
            <w:tcW w:w="340" w:type="dxa"/>
            <w:vAlign w:val="bottom"/>
            <w:tcBorders>
              <w:bottom w:val="single" w:sz="8" w:color="auto"/>
              <w:right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rPr>
              <w:t>4.13</w:t>
            </w:r>
          </w:p>
        </w:tc>
        <w:tc>
          <w:tcPr>
            <w:tcW w:w="4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4640" w:type="dxa"/>
            <w:vAlign w:val="bottom"/>
            <w:tcBorders>
              <w:bottom w:val="single" w:sz="8" w:color="auto"/>
              <w:right w:val="single" w:sz="8" w:color="auto"/>
            </w:tcBorders>
            <w:gridSpan w:val="8"/>
          </w:tcPr>
          <w:p>
            <w:pPr>
              <w:spacing w:after="0" w:line="190" w:lineRule="exact"/>
              <w:rPr>
                <w:rFonts w:ascii="Times New Roman" w:cs="Times New Roman" w:eastAsia="Times New Roman" w:hAnsi="Times New Roman"/>
                <w:sz w:val="18"/>
                <w:szCs w:val="18"/>
                <w:u w:val="single" w:color="auto"/>
                <w:color w:val="0000EE"/>
              </w:rPr>
            </w:pPr>
            <w:hyperlink r:id="rId92">
              <w:r>
                <w:rPr>
                  <w:rFonts w:ascii="Times New Roman" w:cs="Times New Roman" w:eastAsia="Times New Roman" w:hAnsi="Times New Roman"/>
                  <w:sz w:val="18"/>
                  <w:szCs w:val="18"/>
                  <w:u w:val="single" w:color="auto"/>
                  <w:color w:val="0000EE"/>
                </w:rPr>
                <w:t>Form of Series 2020-A Warrant to Purchase Common Stock.</w:t>
              </w:r>
            </w:hyperlink>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July 8, 2020</w:t>
            </w:r>
          </w:p>
        </w:tc>
        <w:tc>
          <w:tcPr>
            <w:tcW w:w="1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r>
      <w:tr>
        <w:trPr>
          <w:trHeight w:val="207"/>
        </w:trPr>
        <w:tc>
          <w:tcPr>
            <w:tcW w:w="3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4.14</w:t>
            </w:r>
          </w:p>
        </w:tc>
        <w:tc>
          <w:tcPr>
            <w:tcW w:w="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93">
              <w:r>
                <w:rPr>
                  <w:rFonts w:ascii="Times New Roman" w:cs="Times New Roman" w:eastAsia="Times New Roman" w:hAnsi="Times New Roman"/>
                  <w:sz w:val="18"/>
                  <w:szCs w:val="18"/>
                  <w:u w:val="single" w:color="auto"/>
                  <w:color w:val="0000EE"/>
                </w:rPr>
                <w:t>Form of Series 2020-B Warrant to Purchase Common Stock.</w:t>
              </w:r>
            </w:hyperlink>
          </w:p>
        </w:tc>
        <w:tc>
          <w:tcPr>
            <w:tcW w:w="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 8, 2020</w:t>
            </w:r>
          </w:p>
        </w:tc>
        <w:tc>
          <w:tcPr>
            <w:tcW w:w="1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r:id="rId94">
              <w:r>
                <w:rPr>
                  <w:rFonts w:ascii="Times New Roman" w:cs="Times New Roman" w:eastAsia="Times New Roman" w:hAnsi="Times New Roman"/>
                  <w:sz w:val="18"/>
                  <w:szCs w:val="18"/>
                  <w:u w:val="single" w:color="auto"/>
                  <w:color w:val="0000EE"/>
                </w:rPr>
                <w:t>Form of Series 2020-C Warrant to Purchase Common Stock.</w:t>
              </w:r>
            </w:hyperlink>
          </w:p>
        </w:tc>
        <w:tc>
          <w:tcPr>
            <w:tcW w:w="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August 26, 2020</w:t>
            </w:r>
          </w:p>
        </w:tc>
        <w:tc>
          <w:tcPr>
            <w:tcW w:w="1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207"/>
        </w:trPr>
        <w:tc>
          <w:tcPr>
            <w:tcW w:w="3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u w:val="single" w:color="auto"/>
                  <w:color w:val="0000EE"/>
                </w:rPr>
                <w:t>Form of Securities Purchase Agreement</w:t>
              </w:r>
            </w:hyperlink>
            <w:r>
              <w:rPr>
                <w:rFonts w:ascii="Times New Roman" w:cs="Times New Roman" w:eastAsia="Times New Roman" w:hAnsi="Times New Roman"/>
                <w:sz w:val="18"/>
                <w:szCs w:val="18"/>
                <w:color w:val="000000"/>
              </w:rPr>
              <w:t>.</w:t>
            </w:r>
          </w:p>
        </w:tc>
        <w:tc>
          <w:tcPr>
            <w:tcW w:w="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July 8, 2020</w:t>
            </w:r>
          </w:p>
        </w:tc>
        <w:tc>
          <w:tcPr>
            <w:tcW w:w="1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167"/>
        </w:trPr>
        <w:tc>
          <w:tcPr>
            <w:tcW w:w="3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8"/>
          </w:tcPr>
          <w:p>
            <w:pPr>
              <w:spacing w:after="0" w:line="167"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Master Framework Agreement, dated August 13, 2020, by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4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420" w:type="dxa"/>
            <w:vAlign w:val="bottom"/>
            <w:tcBorders>
              <w:top w:val="single" w:sz="8" w:color="0000EE"/>
            </w:tcBorders>
            <w:gridSpan w:val="5"/>
          </w:tcPr>
          <w:p>
            <w:pPr>
              <w:spacing w:after="0" w:line="194"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between Gevo, Inc. and Praj Industries Ltd.</w:t>
              </w:r>
            </w:hyperlink>
          </w:p>
        </w:tc>
        <w:tc>
          <w:tcPr>
            <w:tcW w:w="220" w:type="dxa"/>
            <w:vAlign w:val="bottom"/>
            <w:tcBorders>
              <w:right w:val="single" w:sz="8" w:color="auto"/>
            </w:tcBorders>
            <w:gridSpan w:val="3"/>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August 18, 2020</w:t>
            </w:r>
          </w:p>
        </w:tc>
        <w:tc>
          <w:tcPr>
            <w:tcW w:w="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top w:val="single" w:sz="8" w:color="0000EE"/>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r>
        <w:trPr>
          <w:trHeight w:val="167"/>
        </w:trPr>
        <w:tc>
          <w:tcPr>
            <w:tcW w:w="3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10.3††</w:t>
            </w:r>
          </w:p>
        </w:tc>
        <w:tc>
          <w:tcPr>
            <w:tcW w:w="4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460" w:type="dxa"/>
            <w:vAlign w:val="bottom"/>
            <w:tcBorders>
              <w:bottom w:val="single" w:sz="8" w:color="0000EE"/>
            </w:tcBorders>
            <w:gridSpan w:val="6"/>
          </w:tcPr>
          <w:p>
            <w:pPr>
              <w:spacing w:after="0" w:line="167"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Renewable Hydrocarbons Purchase and Sale Agreement, dated</w:t>
              </w:r>
            </w:hyperlink>
          </w:p>
        </w:tc>
        <w:tc>
          <w:tcPr>
            <w:tcW w:w="18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w w:val="98"/>
              </w:rPr>
              <w:t>August 20, 2020</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16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August 14, 2020, by and between Gevo, Inc. and Trafigura</w:t>
              </w:r>
            </w:hyperlink>
          </w:p>
        </w:tc>
        <w:tc>
          <w:tcPr>
            <w:tcW w:w="480" w:type="dxa"/>
            <w:vAlign w:val="bottom"/>
            <w:tcBorders>
              <w:right w:val="single" w:sz="8" w:color="auto"/>
            </w:tcBorders>
            <w:gridSpan w:val="4"/>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640" w:type="dxa"/>
            <w:vAlign w:val="bottom"/>
            <w:tcBorders>
              <w:right w:val="single" w:sz="8" w:color="auto"/>
            </w:tcBorders>
            <w:gridSpan w:val="8"/>
          </w:tcPr>
          <w:p>
            <w:pPr>
              <w:spacing w:after="0" w:line="194"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Trading LLC.</w:t>
              </w:r>
            </w:hyperlink>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4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u w:val="single" w:color="auto"/>
                  <w:color w:val="0000EE"/>
                </w:rPr>
                <w:t>Form of Securities Purchase Agreement</w:t>
              </w:r>
            </w:hyperlink>
            <w:r>
              <w:rPr>
                <w:rFonts w:ascii="Times New Roman" w:cs="Times New Roman" w:eastAsia="Times New Roman" w:hAnsi="Times New Roman"/>
                <w:sz w:val="18"/>
                <w:szCs w:val="18"/>
                <w:color w:val="000000"/>
              </w:rPr>
              <w:t>.</w:t>
            </w:r>
          </w:p>
        </w:tc>
        <w:tc>
          <w:tcPr>
            <w:tcW w:w="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001-35073</w:t>
            </w:r>
          </w:p>
        </w:tc>
        <w:tc>
          <w:tcPr>
            <w:tcW w:w="8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August 24, 2020</w:t>
            </w:r>
          </w:p>
        </w:tc>
        <w:tc>
          <w:tcPr>
            <w:tcW w:w="1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r>
      <w:tr>
        <w:trPr>
          <w:trHeight w:val="417"/>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Section 302 Certification of the Principal Executive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420"/>
        </w:trPr>
        <w:tc>
          <w:tcPr>
            <w:tcW w:w="34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gridSpan w:val="8"/>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Section 302 Certification of the Principal Financial Officer.</w:t>
              </w:r>
            </w:hyperlink>
          </w:p>
        </w:tc>
        <w:tc>
          <w:tcPr>
            <w:tcW w:w="8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170"/>
        </w:trPr>
        <w:tc>
          <w:tcPr>
            <w:tcW w:w="34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8"/>
          </w:tcPr>
          <w:p>
            <w:pPr>
              <w:spacing w:after="0" w:line="170"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Section 906 Certification of the Principal Executive Officer and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r>
      <w:tr>
        <w:trPr>
          <w:trHeight w:val="193"/>
        </w:trPr>
        <w:tc>
          <w:tcPr>
            <w:tcW w:w="3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32.1</w:t>
            </w:r>
          </w:p>
        </w:tc>
        <w:tc>
          <w:tcPr>
            <w:tcW w:w="40" w:type="dxa"/>
            <w:vAlign w:val="bottom"/>
            <w:tcBorders>
              <w:right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500" w:type="dxa"/>
            <w:vAlign w:val="bottom"/>
            <w:tcBorders>
              <w:top w:val="single" w:sz="8" w:color="0000EE"/>
            </w:tcBorders>
            <w:gridSpan w:val="7"/>
          </w:tcPr>
          <w:p>
            <w:pPr>
              <w:spacing w:after="0" w:line="194" w:lineRule="exact"/>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Principal Financial Officer.**</w:t>
              </w:r>
            </w:hyperlink>
          </w:p>
        </w:tc>
        <w:tc>
          <w:tcPr>
            <w:tcW w:w="14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80" w:type="dxa"/>
            <w:vAlign w:val="bottom"/>
            <w:tcBorders>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140" w:type="dxa"/>
            <w:vAlign w:val="bottom"/>
            <w:tcBorders>
              <w:top w:val="single" w:sz="8" w:color="0000EE"/>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r>
      <w:tr>
        <w:trPr>
          <w:trHeight w:val="402"/>
        </w:trPr>
        <w:tc>
          <w:tcPr>
            <w:tcW w:w="340" w:type="dxa"/>
            <w:vAlign w:val="bottom"/>
            <w:tcBorders>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Borders>
              <w:righ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Financial statements from the Quarterly Report on Form 10-Q of</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3"/>
        </w:trPr>
        <w:tc>
          <w:tcPr>
            <w:tcW w:w="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Gevo, Inc. for the quarterly period ended September 30, 2020,</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3"/>
        </w:trPr>
        <w:tc>
          <w:tcPr>
            <w:tcW w:w="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w w:val="98"/>
              </w:rPr>
              <w:t>formatted in XBRL: (i) the Consolidated Balance Sheets, (ii)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3"/>
        </w:trPr>
        <w:tc>
          <w:tcPr>
            <w:tcW w:w="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Consolidated Statements of Operations, (iii) the Consolidated</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13"/>
        </w:trPr>
        <w:tc>
          <w:tcPr>
            <w:tcW w:w="3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Statements of Cash Flows, and (iv) Notes to the Consolidated</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r>
      <w:tr>
        <w:trPr>
          <w:trHeight w:val="229"/>
        </w:trPr>
        <w:tc>
          <w:tcPr>
            <w:tcW w:w="3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r>
    </w:tbl>
    <w:p>
      <w:pPr>
        <w:spacing w:after="0" w:line="192" w:lineRule="exact"/>
        <w:rPr>
          <w:sz w:val="20"/>
          <w:szCs w:val="20"/>
          <w:color w:val="auto"/>
        </w:rPr>
      </w:pPr>
    </w:p>
    <w:p>
      <w:pPr>
        <w:ind w:left="640" w:hanging="63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have been omitted pursuant to a confidential treatment request. Omitted information has been filed separately with the SEC.</w:t>
      </w:r>
    </w:p>
    <w:p>
      <w:pPr>
        <w:spacing w:after="0" w:line="238" w:lineRule="exact"/>
        <w:rPr>
          <w:sz w:val="20"/>
          <w:szCs w:val="20"/>
          <w:color w:val="auto"/>
        </w:rPr>
      </w:pPr>
    </w:p>
    <w:p>
      <w:pPr>
        <w:ind w:left="640" w:right="140" w:hanging="633"/>
        <w:spacing w:after="0" w:line="180" w:lineRule="auto"/>
        <w:tabs>
          <w:tab w:leader="none" w:pos="640" w:val="left"/>
        </w:tabs>
        <w:numPr>
          <w:ilvl w:val="0"/>
          <w:numId w:val="12"/>
        </w:numPr>
        <w:rPr>
          <w:rFonts w:ascii="Times New Roman" w:cs="Times New Roman" w:eastAsia="Times New Roman" w:hAnsi="Times New Roman"/>
          <w:sz w:val="40"/>
          <w:szCs w:val="40"/>
          <w:color w:val="auto"/>
          <w:vertAlign w:val="subscript"/>
        </w:rPr>
      </w:pPr>
      <w:r>
        <w:rPr>
          <w:rFonts w:ascii="Times New Roman" w:cs="Times New Roman" w:eastAsia="Times New Roman" w:hAnsi="Times New Roman"/>
          <w:sz w:val="20"/>
          <w:szCs w:val="20"/>
          <w:color w:val="auto"/>
        </w:rPr>
        <w:t>Certain portions of the exhibit have been omitted pursuant to Rule 601(b)(10) of Regulation S-K. The omitted information is (i) not material and (ii) would likely cause competitive harm to the Company if publicly disclosed.</w:t>
      </w:r>
    </w:p>
    <w:p>
      <w:pPr>
        <w:spacing w:after="0" w:line="203" w:lineRule="exact"/>
        <w:rPr>
          <w:sz w:val="20"/>
          <w:szCs w:val="20"/>
          <w:color w:val="auto"/>
        </w:rPr>
      </w:pPr>
    </w:p>
    <w:p>
      <w:pPr>
        <w:ind w:left="640" w:right="700" w:hanging="633"/>
        <w:spacing w:after="0" w:line="189" w:lineRule="auto"/>
        <w:tabs>
          <w:tab w:leader="none" w:pos="640" w:val="left"/>
        </w:tabs>
        <w:numPr>
          <w:ilvl w:val="0"/>
          <w:numId w:val="13"/>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21"/>
          <w:szCs w:val="21"/>
          <w:color w:val="auto"/>
        </w:rPr>
        <w:t>Certain schedules and exhibits have been omitted pursuant to Item 601(a)(5) of Regulation S-K under the Securities Exchange Act of 1934, as amended.</w:t>
      </w:r>
    </w:p>
    <w:p>
      <w:pPr>
        <w:spacing w:after="0" w:line="187" w:lineRule="exact"/>
        <w:rPr>
          <w:sz w:val="20"/>
          <w:szCs w:val="20"/>
          <w:color w:val="auto"/>
        </w:rPr>
      </w:pPr>
    </w:p>
    <w:p>
      <w:pPr>
        <w:ind w:left="640" w:hanging="633"/>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firstLine="469"/>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Gevo,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w:t>
      </w:r>
    </w:p>
    <w:p>
      <w:pPr>
        <w:spacing w:after="0" w:line="200" w:lineRule="exact"/>
        <w:rPr>
          <w:sz w:val="20"/>
          <w:szCs w:val="20"/>
          <w:color w:val="auto"/>
        </w:rPr>
      </w:pPr>
    </w:p>
    <w:p>
      <w:pPr>
        <w:spacing w:after="0" w:line="214"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15875</wp:posOffset>
            </wp:positionV>
            <wp:extent cx="24993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2499360" cy="8255"/>
                    </a:xfrm>
                    <a:prstGeom prst="rect">
                      <a:avLst/>
                    </a:prstGeom>
                    <a:noFill/>
                  </pic:spPr>
                </pic:pic>
              </a:graphicData>
            </a:graphic>
          </wp:anchor>
        </w:drawing>
      </w:r>
    </w:p>
    <w:p>
      <w:pPr>
        <w:spacing w:after="0" w:line="19"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b w:val="1"/>
          <w:bCs w:val="1"/>
          <w:color w:val="auto"/>
        </w:rPr>
        <w:t>Carolyn M. Romero, CPA</w:t>
      </w:r>
    </w:p>
    <w:p>
      <w:pPr>
        <w:spacing w:after="0" w:line="6"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b w:val="1"/>
          <w:bCs w:val="1"/>
          <w:i w:val="1"/>
          <w:iCs w:val="1"/>
          <w:color w:val="auto"/>
        </w:rPr>
        <w:t>VP - Controller</w:t>
      </w:r>
    </w:p>
    <w:p>
      <w:pPr>
        <w:spacing w:after="0" w:line="6" w:lineRule="exact"/>
        <w:rPr>
          <w:sz w:val="20"/>
          <w:szCs w:val="20"/>
          <w:color w:val="auto"/>
        </w:rPr>
      </w:pPr>
    </w:p>
    <w:p>
      <w:pPr>
        <w:jc w:val="center"/>
        <w:ind w:right="56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00" w:lineRule="exact"/>
        <w:rPr>
          <w:sz w:val="20"/>
          <w:szCs w:val="20"/>
          <w:color w:val="auto"/>
        </w:rPr>
      </w:pPr>
    </w:p>
    <w:p>
      <w:pPr>
        <w:spacing w:after="0" w:line="22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55</w:t>
      </w:r>
    </w:p>
    <w:p>
      <w:pPr>
        <w:sectPr>
          <w:pgSz w:w="11900" w:h="16838" w:orient="portrait"/>
          <w:cols w:equalWidth="0" w:num="1">
            <w:col w:w="10640"/>
          </w:cols>
          <w:pgMar w:left="320" w:top="121" w:right="9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R. Gruber, certify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40" w:hanging="433"/>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Gevo, Inc. (the “Registrant”);</w:t>
      </w:r>
    </w:p>
    <w:p>
      <w:pPr>
        <w:spacing w:after="0" w:line="219" w:lineRule="exact"/>
        <w:rPr>
          <w:rFonts w:ascii="Times New Roman" w:cs="Times New Roman" w:eastAsia="Times New Roman" w:hAnsi="Times New Roman"/>
          <w:sz w:val="18"/>
          <w:szCs w:val="18"/>
          <w:color w:val="auto"/>
        </w:rPr>
      </w:pPr>
    </w:p>
    <w:p>
      <w:pPr>
        <w:ind w:left="440" w:right="780" w:hanging="433"/>
        <w:spacing w:after="0" w:line="26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40" w:right="1000" w:hanging="433"/>
        <w:spacing w:after="0" w:line="307" w:lineRule="auto"/>
        <w:tabs>
          <w:tab w:leader="none" w:pos="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7"/>
          <w:szCs w:val="17"/>
          <w:color w:val="auto"/>
        </w:rPr>
      </w:pPr>
    </w:p>
    <w:p>
      <w:pPr>
        <w:ind w:left="440" w:right="660" w:hanging="433"/>
        <w:spacing w:after="0" w:line="26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40" w:right="720" w:hanging="406"/>
        <w:spacing w:after="0" w:line="262"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840" w:hanging="406"/>
        <w:spacing w:after="0" w:line="262"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40" w:right="680" w:hanging="406"/>
        <w:spacing w:after="0" w:line="262"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40" w:right="940" w:hanging="406"/>
        <w:spacing w:after="0" w:line="262"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40" w:right="900" w:hanging="433"/>
        <w:spacing w:after="0" w:line="262"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40" w:right="880" w:hanging="406"/>
        <w:spacing w:after="0" w:line="307" w:lineRule="auto"/>
        <w:tabs>
          <w:tab w:leader="none" w:pos="84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840" w:right="1120" w:hanging="406"/>
        <w:spacing w:after="0" w:line="277" w:lineRule="auto"/>
        <w:tabs>
          <w:tab w:leader="none" w:pos="8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6429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0" w:lineRule="exact"/>
        <w:rPr>
          <w:sz w:val="20"/>
          <w:szCs w:val="20"/>
          <w:color w:val="auto"/>
        </w:rPr>
      </w:pPr>
    </w:p>
    <w:p>
      <w:pPr>
        <w:jc w:val="center"/>
        <w:ind w:right="53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 w:lineRule="exact"/>
        <w:rPr>
          <w:sz w:val="20"/>
          <w:szCs w:val="20"/>
          <w:color w:val="auto"/>
        </w:rPr>
      </w:pPr>
    </w:p>
    <w:p>
      <w:pPr>
        <w:jc w:val="center"/>
        <w:ind w:right="53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1342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 Lynn Smull, certify that:</w:t>
      </w:r>
    </w:p>
    <w:p>
      <w:pPr>
        <w:spacing w:after="0" w:line="220" w:lineRule="exact"/>
        <w:rPr>
          <w:sz w:val="20"/>
          <w:szCs w:val="20"/>
          <w:color w:val="auto"/>
        </w:rPr>
      </w:pPr>
    </w:p>
    <w:p>
      <w:pPr>
        <w:ind w:left="420" w:hanging="413"/>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Gevo, Inc. (the “Registrant”);</w:t>
      </w:r>
    </w:p>
    <w:p>
      <w:pPr>
        <w:spacing w:after="0" w:line="219" w:lineRule="exact"/>
        <w:rPr>
          <w:rFonts w:ascii="Times New Roman" w:cs="Times New Roman" w:eastAsia="Times New Roman" w:hAnsi="Times New Roman"/>
          <w:sz w:val="18"/>
          <w:szCs w:val="18"/>
          <w:color w:val="auto"/>
        </w:rPr>
      </w:pPr>
    </w:p>
    <w:p>
      <w:pPr>
        <w:ind w:left="420" w:right="940" w:hanging="413"/>
        <w:spacing w:after="0" w:line="26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420" w:right="1160" w:hanging="413"/>
        <w:spacing w:after="0" w:line="307" w:lineRule="auto"/>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Times New Roman" w:cs="Times New Roman" w:eastAsia="Times New Roman" w:hAnsi="Times New Roman"/>
          <w:sz w:val="17"/>
          <w:szCs w:val="17"/>
          <w:color w:val="auto"/>
        </w:rPr>
      </w:pPr>
    </w:p>
    <w:p>
      <w:pPr>
        <w:ind w:left="420" w:right="1100" w:hanging="413"/>
        <w:spacing w:after="0" w:line="273" w:lineRule="auto"/>
        <w:tabs>
          <w:tab w:leader="none" w:pos="4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0" w:lineRule="exact"/>
        <w:rPr>
          <w:rFonts w:ascii="Times New Roman" w:cs="Times New Roman" w:eastAsia="Times New Roman" w:hAnsi="Times New Roman"/>
          <w:sz w:val="17"/>
          <w:szCs w:val="17"/>
          <w:color w:val="auto"/>
        </w:rPr>
      </w:pPr>
    </w:p>
    <w:p>
      <w:pPr>
        <w:ind w:left="840" w:right="1080" w:hanging="420"/>
        <w:spacing w:after="0" w:line="262"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840" w:right="980" w:hanging="420"/>
        <w:spacing w:after="0" w:line="262"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840" w:right="1040" w:hanging="420"/>
        <w:spacing w:after="0" w:line="262"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40" w:right="1100" w:hanging="420"/>
        <w:spacing w:after="0" w:line="262"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right="1060" w:hanging="413"/>
        <w:spacing w:after="0" w:line="262" w:lineRule="auto"/>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40" w:right="1040" w:hanging="420"/>
        <w:spacing w:after="0" w:line="307" w:lineRule="auto"/>
        <w:tabs>
          <w:tab w:leader="none" w:pos="84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840" w:right="1280" w:hanging="420"/>
        <w:spacing w:after="0" w:line="277" w:lineRule="auto"/>
        <w:tabs>
          <w:tab w:leader="none" w:pos="8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00" w:lineRule="exact"/>
        <w:rPr>
          <w:sz w:val="20"/>
          <w:szCs w:val="20"/>
          <w:color w:val="auto"/>
        </w:rPr>
      </w:pPr>
    </w:p>
    <w:p>
      <w:pPr>
        <w:spacing w:after="0" w:line="23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6347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0" w:lineRule="exact"/>
        <w:rPr>
          <w:sz w:val="20"/>
          <w:szCs w:val="20"/>
          <w:color w:val="auto"/>
        </w:rPr>
      </w:pPr>
    </w:p>
    <w:p>
      <w:pPr>
        <w:jc w:val="center"/>
        <w:ind w:right="55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jc w:val="center"/>
        <w:ind w:right="55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1342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CERTIFICATIONS PURSUANT TO SECTION 906 OF THE SARBANES-OXLEY ACT OF 2002</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1"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63" w:lineRule="exact"/>
        <w:rPr>
          <w:sz w:val="20"/>
          <w:szCs w:val="20"/>
          <w:color w:val="auto"/>
        </w:rPr>
      </w:pPr>
    </w:p>
    <w:p>
      <w:pPr>
        <w:ind w:right="60" w:firstLine="7"/>
        <w:spacing w:after="0" w:line="277" w:lineRule="auto"/>
        <w:tabs>
          <w:tab w:leader="none" w:pos="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Registrant for the quarter ended September 30, 2020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firstLine="7"/>
        <w:spacing w:after="0" w:line="277" w:lineRule="auto"/>
        <w:tabs>
          <w:tab w:leader="none" w:pos="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for the period covered by the Report.</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1349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Patrick R. Gruber</w:t>
      </w:r>
    </w:p>
    <w:p>
      <w:pPr>
        <w:spacing w:after="0" w:line="20"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6"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1349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3134995" cy="8255"/>
                    </a:xfrm>
                    <a:prstGeom prst="rect">
                      <a:avLst/>
                    </a:prstGeom>
                    <a:noFill/>
                  </pic:spPr>
                </pic:pic>
              </a:graphicData>
            </a:graphic>
          </wp:anchor>
        </w:drawing>
      </w:r>
    </w:p>
    <w:p>
      <w:pPr>
        <w:spacing w:after="0" w:line="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L. Lynn Smull</w:t>
      </w:r>
    </w:p>
    <w:p>
      <w:pPr>
        <w:spacing w:after="0" w:line="20"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6" w:lineRule="exact"/>
        <w:rPr>
          <w:sz w:val="20"/>
          <w:szCs w:val="20"/>
          <w:color w:val="auto"/>
        </w:rPr>
      </w:pPr>
    </w:p>
    <w:p>
      <w:pPr>
        <w:jc w:val="center"/>
        <w:ind w:right="616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495300</wp:posOffset>
            </wp:positionV>
            <wp:extent cx="713422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sectPr>
      <w:pgSz w:w="11900" w:h="16838" w:orient="portrait"/>
      <w:cols w:equalWidth="0" w:num="1">
        <w:col w:w="11100"/>
      </w:cols>
      <w:pgMar w:left="320" w:top="11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73" Type="http://schemas.openxmlformats.org/officeDocument/2006/relationships/hyperlink" Target="http://www.sec.gov/Archives/edgar/data/1392380/000119312511080096/dex31.htm" TargetMode="External"/><Relationship Id="rId74" Type="http://schemas.openxmlformats.org/officeDocument/2006/relationships/hyperlink" Target="http://www.sec.gov/Archives/edgar/data/1392380/000119312513253079/d551467dex31.htm" TargetMode="External"/><Relationship Id="rId75" Type="http://schemas.openxmlformats.org/officeDocument/2006/relationships/hyperlink" Target="http://www.sec.gov/Archives/edgar/data/1392380/000119312514264256/d755894dex31.htm" TargetMode="External"/><Relationship Id="rId76" Type="http://schemas.openxmlformats.org/officeDocument/2006/relationships/hyperlink" Target="http://www.sec.gov/Archives/edgar/data/1392380/000119312515141952/d913731dex31.htm" TargetMode="External"/><Relationship Id="rId77" Type="http://schemas.openxmlformats.org/officeDocument/2006/relationships/hyperlink" Target="http://www.sec.gov/Archives/edgar/data/1392380/000119312517004580/d318985dex31.htm" TargetMode="External"/><Relationship Id="rId78" Type="http://schemas.openxmlformats.org/officeDocument/2006/relationships/hyperlink" Target="http://www.sec.gov/Archives/edgar/data/1392380/000143774918011163/ex_115837.htm" TargetMode="External"/><Relationship Id="rId79" Type="http://schemas.openxmlformats.org/officeDocument/2006/relationships/hyperlink" Target="http://www.sec.gov/Archives/edgar/data/1392380/000119312511080096/dex32.htm" TargetMode="External"/><Relationship Id="rId80" Type="http://schemas.openxmlformats.org/officeDocument/2006/relationships/hyperlink" Target="http://www.sec.gov/Archives/edgar/data/1392380/000119312511009935/dex41.htm" TargetMode="External"/><Relationship Id="rId81" Type="http://schemas.openxmlformats.org/officeDocument/2006/relationships/hyperlink" Target="http://www.sec.gov/Archives/edgar/data/1392380/000119312510187275/dex43.htm" TargetMode="External"/><Relationship Id="rId82" Type="http://schemas.openxmlformats.org/officeDocument/2006/relationships/hyperlink" Target="http://www.sec.gov/Archives/edgar/data/1392380/000143774920000496/ex_169284.htm" TargetMode="External"/><Relationship Id="rId83" Type="http://schemas.openxmlformats.org/officeDocument/2006/relationships/hyperlink" Target="http://www.sec.gov/Archives/edgar/data/1392380/000143774920007376/ex_180509.htm" TargetMode="External"/><Relationship Id="rId84" Type="http://schemas.openxmlformats.org/officeDocument/2006/relationships/hyperlink" Target="http://www.sec.gov/Archives/edgar/data/1392380/000143774920014844/ex_193417.htm" TargetMode="External"/><Relationship Id="rId85" Type="http://schemas.openxmlformats.org/officeDocument/2006/relationships/hyperlink" Target="http://www.sec.gov/Archives/edgar/data/1392380/000143774920018749/ex_201634.htm" TargetMode="External"/><Relationship Id="rId86" Type="http://schemas.openxmlformats.org/officeDocument/2006/relationships/hyperlink" Target="http://www.sec.gov/Archives/edgar/data/1392380/000143774920000496/ex_169285.htm" TargetMode="External"/><Relationship Id="rId87" Type="http://schemas.openxmlformats.org/officeDocument/2006/relationships/hyperlink" Target="http://www.sec.gov/Archives/edgar/data/1392380/000119312515403779/d97590dex41.htm" TargetMode="External"/><Relationship Id="rId88" Type="http://schemas.openxmlformats.org/officeDocument/2006/relationships/hyperlink" Target="http://www.sec.gov/Archives/edgar/data/1392380/000119312516619452/d201378dex41.htm" TargetMode="External"/><Relationship Id="rId89" Type="http://schemas.openxmlformats.org/officeDocument/2006/relationships/hyperlink" Target="http://www.sec.gov/Archives/edgar/data/1392380/000119312516530726/d158752dex41.htm" TargetMode="External"/><Relationship Id="rId90" Type="http://schemas.openxmlformats.org/officeDocument/2006/relationships/hyperlink" Target="http://www.sec.gov/Archives/edgar/data/1392380/000119312516711029/d256125dex41.htm" TargetMode="External"/><Relationship Id="rId91" Type="http://schemas.openxmlformats.org/officeDocument/2006/relationships/hyperlink" Target="http://www.sec.gov/Archives/edgar/data/1392380/000119312517052235/d350599dex41.htm" TargetMode="External"/><Relationship Id="rId92" Type="http://schemas.openxmlformats.org/officeDocument/2006/relationships/hyperlink" Target="http://www.sec.gov/Archives/edgar/data/1392380/000143774920014844/ex_193415.htm" TargetMode="External"/><Relationship Id="rId93" Type="http://schemas.openxmlformats.org/officeDocument/2006/relationships/hyperlink" Target="http://www.sec.gov/Archives/edgar/data/1392380/000143774920014844/ex_193416.htm" TargetMode="External"/><Relationship Id="rId94" Type="http://schemas.openxmlformats.org/officeDocument/2006/relationships/hyperlink" Target="http://www.sec.gov/Archives/edgar/data/1392380/000143774920018749/ex_201633.htm" TargetMode="External"/><Relationship Id="rId95" Type="http://schemas.openxmlformats.org/officeDocument/2006/relationships/hyperlink" Target="http://www.sec.gov/Archives/edgar/data/1392380/000143774920014844/ex_193418.htm" TargetMode="External"/><Relationship Id="rId96" Type="http://schemas.openxmlformats.org/officeDocument/2006/relationships/hyperlink" Target="http://www.sec.gov/Archives/edgar/data/1392380/000143774920018219/ex_200328.htm" TargetMode="External"/><Relationship Id="rId97" Type="http://schemas.openxmlformats.org/officeDocument/2006/relationships/hyperlink" Target="http://www.sec.gov/Archives/edgar/data/1392380/000143774920018416/ex_200743.htm" TargetMode="External"/><Relationship Id="rId98" Type="http://schemas.openxmlformats.org/officeDocument/2006/relationships/hyperlink" Target="http://www.sec.gov/Archives/edgar/data/1392380/000143774920018618/ex_20089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2020-11-12T05:22:19Z</dcterms:created>
  <dcterms:modified xsi:type="dcterms:W3CDTF">2020-11-12T05:22:19Z</dcterms:modified>
</cp:coreProperties>
</file>