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862d1_8k.htm"/>
      <w:bookmarkStart w:id="1" w:name="kstm2623862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820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August 20,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Gevo,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2165"/>
        <w:gridCol w:w="2210"/>
        <w:gridCol w:w="153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E_edei--EntityFileNumber_c20260820"/>
            <w:bookmarkEnd w:id="6"/>
            <w:r>
              <w:rPr>
                <w:rFonts w:ascii="Times New Roman;Times;Serif" w:hAnsi="Times New Roman;Times;Serif"/>
                <w:b/>
                <w:sz w:val="20"/>
              </w:rPr>
              <w:t>001-35073</w:t>
            </w:r>
          </w:p>
        </w:tc>
        <w:tc>
          <w:tcPr>
            <w:tcW w:w="153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87-0747704</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21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145"/>
      </w:tblGrid>
      <w:tr>
        <w:trPr/>
        <w:tc>
          <w:tcPr>
            <w:tcW w:w="414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345 Inverness Drive South, </w:t>
            </w:r>
            <w:bookmarkStart w:id="9" w:name="xdx_90E_edei--EntityAddressAddressLine2_"/>
            <w:bookmarkEnd w:id="9"/>
            <w:r>
              <w:rPr>
                <w:rFonts w:ascii="Times New Roman;Times;Serif" w:hAnsi="Times New Roman;Times;Serif"/>
                <w:b/>
                <w:i w:val="false"/>
                <w:caps w:val="false"/>
                <w:smallCaps w:val="false"/>
                <w:sz w:val="20"/>
              </w:rPr>
              <w:t xml:space="preserve">Building C, </w:t>
            </w:r>
            <w:bookmarkStart w:id="10" w:name="xdx_905_edei--EntityAddressAddressLine3_"/>
            <w:bookmarkEnd w:id="10"/>
            <w:r>
              <w:rPr>
                <w:rFonts w:ascii="Times New Roman;Times;Serif" w:hAnsi="Times New Roman;Times;Serif"/>
                <w:b/>
                <w:i w:val="false"/>
                <w:caps w:val="false"/>
                <w:smallCaps w:val="false"/>
                <w:sz w:val="20"/>
              </w:rPr>
              <w:t>Suite 310</w:t>
              <w:br/>
            </w:r>
            <w:bookmarkStart w:id="11" w:name="xdx_901_edei--EntityAddressCityOrTown_c2"/>
            <w:bookmarkStart w:id="12" w:name="xdx_902_edei--EntityAddressCityOrTown_c2"/>
            <w:bookmarkEnd w:id="11"/>
            <w:bookmarkEnd w:id="12"/>
            <w:r>
              <w:rPr>
                <w:rFonts w:ascii="Times New Roman;Times;Serif" w:hAnsi="Times New Roman;Times;Serif"/>
                <w:b/>
                <w:i w:val="false"/>
                <w:caps w:val="false"/>
                <w:smallCaps w:val="false"/>
                <w:sz w:val="20"/>
              </w:rPr>
              <w:t>Englewood,</w:t>
            </w:r>
            <w:r>
              <w:rPr>
                <w:rFonts w:ascii="Times New Roman;Times;Serif" w:hAnsi="Times New Roman;Times;Serif"/>
                <w:b w:val="false"/>
                <w:i w:val="false"/>
                <w:caps w:val="false"/>
                <w:smallCaps w:val="false"/>
                <w:sz w:val="20"/>
              </w:rPr>
              <w:t xml:space="preserve"> </w:t>
            </w:r>
            <w:bookmarkStart w:id="13" w:name="xdx_901_edei--EntityAddressStateOrProvin"/>
            <w:bookmarkEnd w:id="13"/>
            <w:r>
              <w:rPr>
                <w:rFonts w:ascii="Times New Roman;Times;Serif" w:hAnsi="Times New Roman;Times;Serif"/>
                <w:b/>
                <w:i w:val="false"/>
                <w:caps w:val="false"/>
                <w:smallCaps w:val="false"/>
                <w:sz w:val="20"/>
              </w:rPr>
              <w:t>CO</w:t>
            </w:r>
            <w:r>
              <w:rPr>
                <w:rFonts w:ascii="Times New Roman;Times;Serif" w:hAnsi="Times New Roman;Times;Serif"/>
                <w:b w:val="false"/>
                <w:i w:val="false"/>
                <w:caps w:val="false"/>
                <w:smallCaps w:val="false"/>
                <w:sz w:val="20"/>
              </w:rPr>
              <w:t xml:space="preserve"> </w:t>
            </w:r>
            <w:bookmarkStart w:id="14" w:name="xdx_90B_edei--EntityAddressPostalZipCode"/>
            <w:bookmarkEnd w:id="14"/>
            <w:r>
              <w:rPr>
                <w:rFonts w:ascii="Times New Roman;Times;Serif" w:hAnsi="Times New Roman;Times;Serif"/>
                <w:b/>
                <w:i w:val="false"/>
                <w:caps w:val="false"/>
                <w:smallCaps w:val="false"/>
                <w:sz w:val="20"/>
              </w:rPr>
              <w:t>80112</w:t>
            </w:r>
          </w:p>
        </w:tc>
      </w:tr>
      <w:tr>
        <w:trPr/>
        <w:tc>
          <w:tcPr>
            <w:tcW w:w="41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5" w:name="xdx_907_edei--CityAreaCode_c20260820__20"/>
      <w:bookmarkEnd w:id="15"/>
      <w:r>
        <w:rPr>
          <w:rFonts w:ascii="Times New Roman;Times;Serif" w:hAnsi="Times New Roman;Times;Serif"/>
          <w:b/>
          <w:i w:val="false"/>
          <w:caps w:val="false"/>
          <w:smallCaps w:val="false"/>
          <w:sz w:val="20"/>
        </w:rPr>
        <w:t xml:space="preserve">303) </w:t>
      </w:r>
      <w:bookmarkStart w:id="16" w:name="xdx_907_edei--LocalPhoneNumber_c20260820"/>
      <w:bookmarkEnd w:id="16"/>
      <w:r>
        <w:rPr>
          <w:rFonts w:ascii="Times New Roman;Times;Serif" w:hAnsi="Times New Roman;Times;Serif"/>
          <w:b/>
          <w:i w:val="false"/>
          <w:caps w:val="false"/>
          <w:smallCaps w:val="false"/>
          <w:sz w:val="20"/>
        </w:rPr>
        <w:t>858-8358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D_edei--WrittenCommunications_c202"/>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8" w:name="xdx_90A_edei--SolicitingMaterial_c202608"/>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9" w:name="xdx_90D_edei--PreCommencementTenderOffer"/>
            <w:bookmarkEnd w:id="19"/>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20" w:name="xdx_908_edei--PreCommencementIssuerTende"/>
            <w:bookmarkEnd w:id="20"/>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3410"/>
        <w:gridCol w:w="60"/>
        <w:gridCol w:w="1385"/>
        <w:gridCol w:w="60"/>
        <w:gridCol w:w="327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1_edei--Security12bTitle_c20260820"/>
            <w:bookmarkEnd w:id="21"/>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F_edei--TradingSymbol_c20260820__2"/>
            <w:bookmarkEnd w:id="22"/>
            <w:r>
              <w:rPr>
                <w:rFonts w:ascii="Times New Roman;Times;Serif" w:hAnsi="Times New Roman;Times;Serif"/>
                <w:sz w:val="20"/>
              </w:rPr>
              <w:t>GEVO</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0_edei--SecurityExchangeName_c2026"/>
            <w:bookmarkEnd w:id="23"/>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6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the Board of Directors of Gevo, Inc., a Delaware corporation (the “Company”) appointed Greg Hanselman as the Company’s Chief Operating Officer,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Hanselman, age 60, has served as the Company’s Executive Vice President, Operations and Engineering since January 2026. Prior to joining the Company, Mr. Hanselman served as Owner and Principal for 5C Solutions, a private consulting business from May 2024 through January 2026. From March 2022 through April 2024, Mr. Hanselman served as Vice President of Global Engineering for Ingredion Incorporated (“Ingredion”), a publicly traded global ingredient solutions provider. From February 2020 through March 2022, Mr. Hanselman served as Vice President of Operations at Ingredion. Prior to that, Mr. Hanselman served in a series of operational leadership roles of increasing responsibility at Tate &amp; Lyle Plc, a publicly traded supplier of food and beverage products, between 2008 and 2020. Mr. Hanselman holds a bachelor of science degree in chemical engineering from Iowa State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Mr. Hanselman and any other persons pursuant to which he was appointed as an officer of the Company. There are no family relationships between Mr. Hanselman and any of the Company’s directors or executive officers. Mr. Hanselman is not party to any related party transaction with the Company required to be reported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Hanselman’s appointment as Chief Operating Officer, he will receive an initial annual base salary of $380,000, subject to annual review by the Company, and he will be eligible to receive an annual cash incentive award equal to 65% of his base salary. Mr. Hanselman will also be eligible to receive equity grants under the Company’s equity incentive plan, expected to be 215% of his annual base salary, which would vest on standard terms as specified in the Company’s form award agreements. Mr. Hanselman will also participate in the benefit programs generally provided to other employees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In addition, Mr. Hanselman will participate in the Gevo, Inc. Change in Control Severance Plan (“CIC Plan”), with 6-month severance benefits as set forth in the CIC Plan and related documents. The description of the CIC Plan does not purport to be complete and is subject to, and is qualified in its entirety by, the full text of the CIC Plan, a copy of which is filed as </w:t>
      </w:r>
      <w:hyperlink r:id="rId2">
        <w:r>
          <w:rPr>
            <w:rStyle w:val="InternetLink"/>
            <w:rFonts w:ascii="Times New Roman;Times;Serif" w:hAnsi="Times New Roman;Times;Serif"/>
            <w:b w:val="false"/>
            <w:i w:val="false"/>
            <w:caps w:val="false"/>
            <w:smallCaps w:val="false"/>
            <w:sz w:val="20"/>
          </w:rPr>
          <w:t>Exhibit 10.10</w:t>
        </w:r>
      </w:hyperlink>
      <w:r>
        <w:rPr>
          <w:rFonts w:ascii="Times New Roman;Times;Serif" w:hAnsi="Times New Roman;Times;Serif"/>
          <w:b w:val="false"/>
          <w:i w:val="false"/>
          <w:caps w:val="false"/>
          <w:smallCaps w:val="false"/>
          <w:sz w:val="20"/>
        </w:rPr>
        <w:t xml:space="preserve"> to the Company’s Annual Report on Form 10-K filed with the SEC on March 5, 2026, and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the Company issued a press release announcing, among other things, the appointment of Mr. Hanselman as Chief Operating Officer.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and Exhibit 99.1 shall not be deemed “filed” for purposes of Section 18 of the Exchange Act, nor shall it be deemed incorporated by reference in any filing under the Securities Act of 1933, as amended, or the Exchange Act, except as shall be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28" w:type="dxa"/>
          <w:right w:w="0" w:type="dxa"/>
        </w:tblCellMar>
      </w:tblPr>
      <w:tblGrid>
        <w:gridCol w:w="785"/>
        <w:gridCol w:w="60"/>
        <w:gridCol w:w="4955"/>
      </w:tblGrid>
      <w:tr>
        <w:trPr/>
        <w:tc>
          <w:tcPr>
            <w:tcW w:w="785" w:type="dxa"/>
            <w:tcBorders>
              <w:bottom w:val="single" w:sz="8" w:space="0" w:color="000000"/>
            </w:tcBorders>
            <w:vAlign w:val="center"/>
          </w:tcPr>
          <w:p>
            <w:pPr>
              <w:pStyle w:val="TableContents"/>
              <w:bidi w:val="0"/>
              <w:spacing w:before="0" w:after="283"/>
              <w:jc w:val="center"/>
              <w:rPr>
                <w:b/>
              </w:rPr>
            </w:pPr>
            <w:r>
              <w:rPr>
                <w:b/>
              </w:rPr>
              <w:t>Exhibit</w:t>
              <w:br/>
              <w:t>No.</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85" w:type="dxa"/>
            <w:tcBorders/>
            <w:tcMar>
              <w:bottom w:w="0" w:type="dxa"/>
            </w:tcMar>
            <w:vAlign w:val="center"/>
          </w:tcPr>
          <w:p>
            <w:pPr>
              <w:pStyle w:val="TableContents"/>
              <w:bidi w:val="0"/>
              <w:spacing w:before="0" w:after="283"/>
              <w:jc w:val="center"/>
              <w:rPr/>
            </w:pPr>
            <w:hyperlink w:anchor="tm26238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pPr>
            <w:hyperlink w:anchor="tm2623862d1_ex99-1.htm">
              <w:r>
                <w:rPr>
                  <w:rStyle w:val="InternetLink"/>
                  <w:rFonts w:ascii="Times New Roman;Times;Serif" w:hAnsi="Times New Roman;Times;Serif"/>
                  <w:sz w:val="20"/>
                </w:rPr>
                <w:t>Press Release of Gevo, Inc., dated August 26, 2026</w:t>
              </w:r>
            </w:hyperlink>
          </w:p>
        </w:tc>
      </w:tr>
      <w:tr>
        <w:trPr/>
        <w:tc>
          <w:tcPr>
            <w:tcW w:w="78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49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0" w:type="dxa"/>
          <w:right w:w="0" w:type="dxa"/>
        </w:tblCellMar>
      </w:tblPr>
      <w:tblGrid>
        <w:gridCol w:w="1970"/>
        <w:gridCol w:w="320"/>
        <w:gridCol w:w="5285"/>
      </w:tblGrid>
      <w:tr>
        <w:trPr/>
        <w:tc>
          <w:tcPr>
            <w:tcW w:w="1970"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GEVO, INC.</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26,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 Cabell Massey</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Cabell Massey</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Deputy 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5" w:name="tm2623862d1_ex99-1.htm"/>
      <w:bookmarkStart w:id="26" w:name="kstm2623862d1_ex991"/>
      <w:bookmarkEnd w:id="25"/>
      <w:bookmarkEnd w:id="26"/>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tbl>
      <w:tblPr>
        <w:tblW w:w="6160" w:type="dxa"/>
        <w:jc w:val="left"/>
        <w:tblInd w:w="0" w:type="dxa"/>
        <w:tblLayout w:type="fixed"/>
        <w:tblCellMar>
          <w:top w:w="0" w:type="dxa"/>
          <w:left w:w="0" w:type="dxa"/>
          <w:bottom w:w="0" w:type="dxa"/>
          <w:right w:w="0" w:type="dxa"/>
        </w:tblCellMar>
      </w:tblPr>
      <w:tblGrid>
        <w:gridCol w:w="2610"/>
        <w:gridCol w:w="2240"/>
        <w:gridCol w:w="1310"/>
      </w:tblGrid>
      <w:tr>
        <w:trPr/>
        <w:tc>
          <w:tcPr>
            <w:tcW w:w="2610" w:type="dxa"/>
            <w:tcBorders/>
            <w:vAlign w:val="center"/>
          </w:tcPr>
          <w:p>
            <w:pPr>
              <w:pStyle w:val="TableContents"/>
              <w:bidi w:val="0"/>
              <w:spacing w:before="0" w:after="283"/>
              <w:jc w:val="left"/>
              <w:rPr/>
            </w:pPr>
            <w:r>
              <w:rPr/>
              <w:drawing>
                <wp:inline distT="0" distB="0" distL="0" distR="0">
                  <wp:extent cx="1609725"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609725" cy="476250"/>
                          </a:xfrm>
                          <a:prstGeom prst="rect">
                            <a:avLst/>
                          </a:prstGeom>
                        </pic:spPr>
                      </pic:pic>
                    </a:graphicData>
                  </a:graphic>
                </wp:inline>
              </w:drawing>
            </w:r>
            <w:r>
              <w:rPr/>
              <w:t> </w:t>
            </w:r>
          </w:p>
        </w:tc>
        <w:tc>
          <w:tcPr>
            <w:tcW w:w="2240" w:type="dxa"/>
            <w:tcBorders/>
            <w:vAlign w:val="center"/>
          </w:tcPr>
          <w:p>
            <w:pPr>
              <w:pStyle w:val="TableContents"/>
              <w:bidi w:val="0"/>
              <w:spacing w:before="0" w:after="283"/>
              <w:jc w:val="left"/>
              <w:rPr>
                <w:b/>
                <w:sz w:val="20"/>
              </w:rPr>
            </w:pPr>
            <w:r>
              <w:rPr>
                <w:b/>
                <w:sz w:val="20"/>
              </w:rPr>
              <w:t>345 Inverness Drive South</w:t>
              <w:br/>
              <w:t>Building C, Suite 310</w:t>
              <w:br/>
              <w:t>Englewood, CO 80112 </w:t>
            </w:r>
          </w:p>
        </w:tc>
        <w:tc>
          <w:tcPr>
            <w:tcW w:w="1310" w:type="dxa"/>
            <w:tcBorders/>
            <w:vAlign w:val="center"/>
          </w:tcPr>
          <w:p>
            <w:pPr>
              <w:pStyle w:val="TableContents"/>
              <w:bidi w:val="0"/>
              <w:spacing w:before="0" w:after="283"/>
              <w:jc w:val="left"/>
              <w:rPr>
                <w:b/>
                <w:sz w:val="20"/>
              </w:rPr>
            </w:pPr>
            <w:r>
              <w:rPr>
                <w:b/>
                <w:sz w:val="20"/>
              </w:rPr>
              <w:t>t 303-858-8358</w:t>
              <w:br/>
              <w:t>f 303-858-8431</w:t>
              <w:br/>
              <w:t>gevo.com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Low-Carbon Solutions Provider Gevo Aligns Leadership to Advance Commercial Execution, North Dakota Expansion and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ENGLEWOOD, Colo., August 26, 2026 – Gevo, Inc. today announced expanded executive leadership responsibilities reflecting the current growth strategy to drive commercial execution, support expansion of Gevo North Dakota (“GND”) and advance the company’s growth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Gevo’s recent results show that our strategy is working and that we are becoming a stronger operating business,” said Gevo Chief Executive Officer Paul Bloom. “Our focus is on disciplined execution: improving cash generation, growing the value of our carbon business, operating and expanding Gevo North Dakota safely and reliably, and converting our best growth opportunities into financeable, value-creating projects. By expanding our leaders’ responsibilities, we are putting clear ownership behind the work that matters most as we execute against our outlook to deliver more than $60M in Adjusted EBITDA</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2026 and build a larger growth platform for long-term shareholder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 Role Expansions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20, Greg Hanselman now serves as Chief Operating Officer and Kyle James now serves as Chief Commercial and Risk Officer, continuing to lead the commercial organization. Dave Kettner will continue his role as the company’s General Counsel while taking on additional responsibilities as Chief Legal and Emerging Business Officer. All three will contine to report to Bloom.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As Chief Operating Officer, Hanselman runs the Operations and Engineering organization with overall responsibility for safety, reliability and operational excellence across the company. Through disciplined project execution, benchmarking and continuous improvement, he is leading the team to deliver increased production volumes while also optimizing plant costs and reducing carbon intensity in order to position the Gevo business for sustainable growth and future expansion.</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Adjusted EBITDA is a non-GAAP measure calculated by adding back depreciation and amortization, impairment of long-lived assets, allocated intercompany expenses for shared service functions, non-cash stock-based compensation, the change in fair value of derivative instruments and executive severance and other non-recurring expenses to GAAP net income (loss) from operations. We have not provided a reconciliation of forward-looking non-GAAP Adjusted EBITDA guidance measures to the most directly comparable GAAP measures because of the inherent difficulty in accurately forecasting certain items excluded from GAAP, which have not yet occurred, are dependent on various factors, are out of the company's control, or cannot be reasonably calculated or predicted at this time. Accordingly, a reconciliation is not available without unreasonable effort.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left"/>
              <w:rPr/>
            </w:pPr>
            <w:r>
              <w:rPr/>
              <w:t>As Chief Commercial and Risk Officer, James continues to lead the commercial organization while expanding responsibility for enterprise risk management, commercial execution and market expansion. His role brings customer demand and commercial strategy together as Gevo seeks to maximize value from low-carbon fuels, carbon markets and specialty products.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As Chief Legal and Emerging Business Officer, Kettner will continue to serve as General Counsel while expanding his role to include emerging business portfolio commercialization, strategic partnerships, licensing and new venture development. In this role, Kettner will lead Gevo’s emerging businesses to monetize technology development and pursue associated business opportunities in alignment with overall company strategy. He will also oversee government affairs and the sustainability, compliance and regulatory team in further support of commercial operations, project development, and other growth opportunities.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these appointments strengthen Gevo’s execution platform as the company works to deliver near-term Adjusted EBITDA growth from GND and existing assets while building a larger growth platform in low-carbon ethanol, carbon management and advanced biofuels, including sustainable aviation fuel (“SAF”).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Gevo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Gevo is pioneering low-carbon solutions with cost-effective, drop-in fuels that contribute to energy security, abate carbon and strengthen rural communities to drive economic growth. Gevo’s innovative technology can be used to make a variety of renewable products, including sustainable aviation fuel (SAF), motor fuels, chemicals, and other materials that provide U.S.-made solutions. Gevo’s business model includes developing, financing, and operating production facilities that create jobs and revitalize communities. Gevo owns and operates an ethanol plant with an adjacent carbon capture and storage (CCS) facility and Class VI carbon-storage well. Gevo also owns and operates one of the largest dairy-based renewable natural gas (RNG) facilities in the United States, turning by-products into clean, reliable energy. Additionally, Gevo developed the world’s first production facility for specialty alcohol-to-jet (ATJ) fuels and chemicals operating since 2012. Gevo is currently developing the world’s first large-scale ATJ facility to be co-located at our North Dakota site. Gevo’s market-driven “pay-for-performance” approach regarding carbon and other sustainability attributes helps deliver value to our local economies. Through its Verity subsidiary, Gevo provides transparency, accountability, and efficiency in tracking, measuring, and verifying various attributes throughout the supply chain. By strengthening rural economies, Gevo is working to secure a self-sufficient future and to make sure value is brought to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go to </w:t>
      </w:r>
      <w:r>
        <w:rPr>
          <w:rFonts w:ascii="Times New Roman;Times;Serif" w:hAnsi="Times New Roman;Times;Serif"/>
          <w:b w:val="false"/>
          <w:i w:val="false"/>
          <w:caps w:val="false"/>
          <w:smallCaps w:val="false"/>
          <w:sz w:val="20"/>
          <w:u w:val="single"/>
        </w:rPr>
        <w:t>www.gevo.com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Private Securities Litigation Reform Act of 1995. These forward-looking statements relate to a variety of matters, without limitation, including Gevo’s business strategy, the appointments of Greg Hanselman, Kyle James and Dave Kettner, the company’s outlook for non-GAAP Adjusted EBITDA, and other statements that are not purely statements of historical fact. These forward-looking statements are made on the basis of the current beliefs, expectations and assumptions of the management of Gevo and are subject to significant risks and uncertainty. Investors are cautioned not to place undue reliance on any such forward-looking statements. All such forward-looking statements speak only as of the date they are made, and Gevo undertakes no obligation to update or revise these statements, whether as a result of new information, future events or otherwise. Although Gevo believes that the expectations reflected in these forward-looking statements are reasonable, these statements involve many risks and uncertainties that may cause actual results to differ materially from what may be expressed or implied in these forward-looking statements. For a further discussion of risks and uncertainties that could cause actual results to differ from those expressed in these forward-looking statements, as well as risks relating to the business of Gevo in general, see the risk disclosures in the Annual Report on Form 10-K of Gevo for the year ended December 31, 2025, and in subsequent reports on Forms 10-Q and 8-K and other filings made with the U.S. Securities and Exchange Commission by Gevo.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Communications@gevo.com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IR Contact</w:t>
        <w:br/>
      </w:r>
      <w:r>
        <w:rPr>
          <w:rFonts w:ascii="Times New Roman;Times;Serif" w:hAnsi="Times New Roman;Times;Serif"/>
          <w:b w:val="false"/>
          <w:i w:val="false"/>
          <w:caps w:val="false"/>
          <w:smallCaps w:val="false"/>
          <w:sz w:val="20"/>
          <w:u w:val="single"/>
        </w:rPr>
        <w:t>IR@Gevo.com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39238022000040/gevo-cicseveranceplanfinal.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2006</Words>
  <Characters>11545</Characters>
  <CharactersWithSpaces>13553</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