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188595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257175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73025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7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92710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12" w:lineRule="exact"/>
        <w:rPr>
          <w:sz w:val="24"/>
          <w:szCs w:val="24"/>
          <w:color w:val="auto"/>
        </w:rPr>
      </w:pPr>
    </w:p>
    <w:p>
      <w:pPr>
        <w:ind w:left="3310" w:right="760" w:hanging="3310"/>
        <w:spacing w:after="0" w:line="380" w:lineRule="auto"/>
        <w:tabs>
          <w:tab w:leader="none" w:pos="33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236" w:lineRule="exact"/>
        <w:rPr>
          <w:sz w:val="24"/>
          <w:szCs w:val="24"/>
          <w:color w:val="auto"/>
        </w:rPr>
      </w:pPr>
    </w:p>
    <w:p>
      <w:pPr>
        <w:ind w:left="330" w:hanging="330"/>
        <w:spacing w:after="0"/>
        <w:tabs>
          <w:tab w:leader="none" w:pos="33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AND EXCHANGE ACT OF 1934</w:t>
      </w:r>
    </w:p>
    <w:p>
      <w:pPr>
        <w:spacing w:after="0" w:line="81" w:lineRule="exact"/>
        <w:rPr>
          <w:sz w:val="24"/>
          <w:szCs w:val="24"/>
          <w:color w:val="auto"/>
        </w:rPr>
      </w:pPr>
    </w:p>
    <w:tbl>
      <w:tblPr>
        <w:tblLayout w:type="fixed"/>
        <w:tblInd w:w="1090" w:type="dxa"/>
        <w:tblCellMar>
          <w:top w:w="0" w:type="dxa"/>
          <w:left w:w="0" w:type="dxa"/>
          <w:bottom w:w="0" w:type="dxa"/>
          <w:right w:w="0" w:type="dxa"/>
        </w:tblCellMar>
      </w:tblPr>
      <w:tr>
        <w:trPr>
          <w:trHeight w:val="207"/>
        </w:trPr>
        <w:tc>
          <w:tcPr>
            <w:tcW w:w="418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1080" w:type="dxa"/>
            <w:vAlign w:val="bottom"/>
          </w:tcPr>
          <w:p>
            <w:pPr>
              <w:spacing w:after="0"/>
              <w:rPr>
                <w:sz w:val="17"/>
                <w:szCs w:val="17"/>
                <w:color w:val="auto"/>
              </w:rPr>
            </w:pPr>
          </w:p>
        </w:tc>
      </w:tr>
      <w:tr>
        <w:trPr>
          <w:trHeight w:val="358"/>
        </w:trPr>
        <w:tc>
          <w:tcPr>
            <w:tcW w:w="7300" w:type="dxa"/>
            <w:vAlign w:val="bottom"/>
            <w:gridSpan w:val="7"/>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Commission File Number 001-35073</w:t>
            </w:r>
          </w:p>
        </w:tc>
      </w:tr>
      <w:tr>
        <w:trPr>
          <w:trHeight w:val="108"/>
        </w:trPr>
        <w:tc>
          <w:tcPr>
            <w:tcW w:w="2740" w:type="dxa"/>
            <w:vAlign w:val="bottom"/>
          </w:tcPr>
          <w:p>
            <w:pPr>
              <w:spacing w:after="0"/>
              <w:rPr>
                <w:sz w:val="9"/>
                <w:szCs w:val="9"/>
                <w:color w:val="auto"/>
              </w:rPr>
            </w:pPr>
          </w:p>
        </w:tc>
        <w:tc>
          <w:tcPr>
            <w:tcW w:w="234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363"/>
        </w:trPr>
        <w:tc>
          <w:tcPr>
            <w:tcW w:w="2740" w:type="dxa"/>
            <w:vAlign w:val="bottom"/>
          </w:tcPr>
          <w:p>
            <w:pPr>
              <w:spacing w:after="0"/>
              <w:rPr>
                <w:sz w:val="24"/>
                <w:szCs w:val="24"/>
                <w:color w:val="auto"/>
              </w:rPr>
            </w:pPr>
          </w:p>
        </w:tc>
        <w:tc>
          <w:tcPr>
            <w:tcW w:w="2340" w:type="dxa"/>
            <w:vAlign w:val="bottom"/>
            <w:gridSpan w:val="2"/>
          </w:tcPr>
          <w:p>
            <w:pPr>
              <w:jc w:val="center"/>
              <w:ind w:left="114"/>
              <w:spacing w:after="0"/>
              <w:rPr>
                <w:sz w:val="20"/>
                <w:szCs w:val="20"/>
                <w:color w:val="auto"/>
              </w:rPr>
            </w:pPr>
            <w:r>
              <w:rPr>
                <w:rFonts w:ascii="Times New Roman" w:cs="Times New Roman" w:eastAsia="Times New Roman" w:hAnsi="Times New Roman"/>
                <w:sz w:val="25"/>
                <w:szCs w:val="25"/>
                <w:b w:val="1"/>
                <w:bCs w:val="1"/>
                <w:color w:val="auto"/>
                <w:w w:val="99"/>
              </w:rPr>
              <w:t>GEVO, INC.</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8"/>
        </w:trPr>
        <w:tc>
          <w:tcPr>
            <w:tcW w:w="7300" w:type="dxa"/>
            <w:vAlign w:val="bottom"/>
            <w:gridSpan w:val="7"/>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108"/>
        </w:trPr>
        <w:tc>
          <w:tcPr>
            <w:tcW w:w="2740" w:type="dxa"/>
            <w:vAlign w:val="bottom"/>
          </w:tcPr>
          <w:p>
            <w:pPr>
              <w:spacing w:after="0"/>
              <w:rPr>
                <w:sz w:val="9"/>
                <w:szCs w:val="9"/>
                <w:color w:val="auto"/>
              </w:rPr>
            </w:pPr>
          </w:p>
        </w:tc>
        <w:tc>
          <w:tcPr>
            <w:tcW w:w="234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0" w:type="dxa"/>
            <w:vAlign w:val="bottom"/>
            <w:gridSpan w:val="3"/>
          </w:tcPr>
          <w:p>
            <w:pPr>
              <w:spacing w:after="0"/>
              <w:rPr>
                <w:sz w:val="9"/>
                <w:szCs w:val="9"/>
                <w:color w:val="auto"/>
              </w:rPr>
            </w:pPr>
          </w:p>
        </w:tc>
      </w:tr>
      <w:tr>
        <w:trPr>
          <w:trHeight w:val="367"/>
        </w:trPr>
        <w:tc>
          <w:tcPr>
            <w:tcW w:w="5080" w:type="dxa"/>
            <w:vAlign w:val="bottom"/>
            <w:gridSpan w:val="3"/>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2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87-0747704</w:t>
            </w:r>
          </w:p>
        </w:tc>
      </w:tr>
      <w:tr>
        <w:trPr>
          <w:trHeight w:val="216"/>
        </w:trPr>
        <w:tc>
          <w:tcPr>
            <w:tcW w:w="5080" w:type="dxa"/>
            <w:vAlign w:val="bottom"/>
            <w:gridSpan w:val="3"/>
          </w:tcPr>
          <w:p>
            <w:pPr>
              <w:jc w:val="center"/>
              <w:ind w:right="224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080" w:type="dxa"/>
            <w:vAlign w:val="bottom"/>
            <w:gridSpan w:val="3"/>
          </w:tcPr>
          <w:p>
            <w:pPr>
              <w:jc w:val="center"/>
              <w:ind w:right="22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88"/>
        </w:trPr>
        <w:tc>
          <w:tcPr>
            <w:tcW w:w="5080" w:type="dxa"/>
            <w:vAlign w:val="bottom"/>
            <w:gridSpan w:val="3"/>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345 Inverness Drive South,</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5080" w:type="dxa"/>
            <w:vAlign w:val="bottom"/>
            <w:gridSpan w:val="3"/>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Building C, Suite 310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0"/>
        </w:trPr>
        <w:tc>
          <w:tcPr>
            <w:tcW w:w="5080" w:type="dxa"/>
            <w:vAlign w:val="bottom"/>
            <w:gridSpan w:val="3"/>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9"/>
              </w:rPr>
              <w:t>Englewood, CO</w:t>
            </w:r>
          </w:p>
        </w:tc>
        <w:tc>
          <w:tcPr>
            <w:tcW w:w="22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80112</w:t>
            </w:r>
          </w:p>
        </w:tc>
      </w:tr>
      <w:tr>
        <w:trPr>
          <w:trHeight w:val="234"/>
        </w:trPr>
        <w:tc>
          <w:tcPr>
            <w:tcW w:w="5080" w:type="dxa"/>
            <w:vAlign w:val="bottom"/>
            <w:gridSpan w:val="3"/>
          </w:tcPr>
          <w:p>
            <w:pPr>
              <w:jc w:val="center"/>
              <w:ind w:right="224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5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(303) 858-8358</w:t>
      </w:r>
    </w:p>
    <w:p>
      <w:pPr>
        <w:spacing w:after="0" w:line="3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72"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300" w:type="dxa"/>
            <w:vAlign w:val="bottom"/>
            <w:vMerge w:val="restart"/>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180" w:type="dxa"/>
            <w:vAlign w:val="bottom"/>
            <w:vMerge w:val="restart"/>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74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130"/>
        </w:trPr>
        <w:tc>
          <w:tcPr>
            <w:tcW w:w="4300" w:type="dxa"/>
            <w:vAlign w:val="bottom"/>
            <w:vMerge w:val="continue"/>
          </w:tcPr>
          <w:p>
            <w:pPr>
              <w:spacing w:after="0"/>
              <w:rPr>
                <w:sz w:val="11"/>
                <w:szCs w:val="11"/>
                <w:color w:val="auto"/>
              </w:rPr>
            </w:pPr>
          </w:p>
        </w:tc>
        <w:tc>
          <w:tcPr>
            <w:tcW w:w="2180" w:type="dxa"/>
            <w:vAlign w:val="bottom"/>
            <w:vMerge w:val="continue"/>
          </w:tcPr>
          <w:p>
            <w:pPr>
              <w:spacing w:after="0"/>
              <w:rPr>
                <w:sz w:val="11"/>
                <w:szCs w:val="11"/>
                <w:color w:val="auto"/>
              </w:rPr>
            </w:pPr>
          </w:p>
        </w:tc>
        <w:tc>
          <w:tcPr>
            <w:tcW w:w="3740" w:type="dxa"/>
            <w:vAlign w:val="bottom"/>
            <w:vMerge w:val="restart"/>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0" w:type="dxa"/>
            <w:vAlign w:val="bottom"/>
          </w:tcPr>
          <w:p>
            <w:pPr>
              <w:spacing w:after="0"/>
              <w:rPr>
                <w:sz w:val="1"/>
                <w:szCs w:val="1"/>
                <w:color w:val="auto"/>
              </w:rPr>
            </w:pPr>
          </w:p>
        </w:tc>
      </w:tr>
      <w:tr>
        <w:trPr>
          <w:trHeight w:val="108"/>
        </w:trPr>
        <w:tc>
          <w:tcPr>
            <w:tcW w:w="430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300" w:type="dxa"/>
            <w:vAlign w:val="bottom"/>
            <w:tcBorders>
              <w:bottom w:val="single" w:sz="8" w:color="auto"/>
            </w:tcBorders>
          </w:tcPr>
          <w:p>
            <w:pPr>
              <w:jc w:val="center"/>
              <w:ind w:right="95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18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9"/>
              </w:rPr>
              <w:t>GEVO</w:t>
            </w:r>
          </w:p>
        </w:tc>
        <w:tc>
          <w:tcPr>
            <w:tcW w:w="374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03" w:lineRule="exact"/>
        <w:rPr>
          <w:sz w:val="24"/>
          <w:szCs w:val="24"/>
          <w:color w:val="auto"/>
        </w:rPr>
      </w:pPr>
    </w:p>
    <w:p>
      <w:pPr>
        <w:ind w:left="10" w:right="280" w:firstLine="486"/>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10"/>
        <w:spacing w:after="0" w:line="207" w:lineRule="exact"/>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left="130" w:right="44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10" w:right="100"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1" w:right="839" w:bottom="1440" w:gutter="0" w:footer="0" w:header="0"/>
        </w:sectPr>
      </w:pPr>
    </w:p>
    <w:p>
      <w:pPr>
        <w:spacing w:after="0" w:line="41" w:lineRule="exact"/>
        <w:rPr>
          <w:sz w:val="24"/>
          <w:szCs w:val="24"/>
          <w:color w:val="auto"/>
        </w:rPr>
      </w:pPr>
    </w:p>
    <w:p>
      <w:pPr>
        <w:ind w:left="103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39" w:lineRule="exact"/>
        <w:rPr>
          <w:sz w:val="24"/>
          <w:szCs w:val="24"/>
          <w:color w:val="auto"/>
        </w:rPr>
      </w:pPr>
    </w:p>
    <w:p>
      <w:pPr>
        <w:ind w:left="103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4010" w:space="720"/>
            <w:col w:w="1480" w:space="720"/>
            <w:col w:w="1960" w:space="80"/>
            <w:col w:w="1260"/>
          </w:cols>
          <w:pgMar w:left="830" w:top="661" w:right="839" w:bottom="1440" w:gutter="0" w:footer="0" w:header="0"/>
          <w:type w:val="continuous"/>
        </w:sectPr>
      </w:pPr>
    </w:p>
    <w:p>
      <w:pPr>
        <w:ind w:left="10" w:right="500"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90" w:right="580"/>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13, 2025, 239,562,995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420370</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0</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43180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80" w:type="dxa"/>
            <w:vAlign w:val="bottom"/>
            <w:gridSpan w:val="12"/>
          </w:tcPr>
          <w:p>
            <w:pPr>
              <w:jc w:val="center"/>
              <w:ind w:right="2420"/>
              <w:spacing w:after="0" w:line="202" w:lineRule="exact"/>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740" w:type="dxa"/>
            <w:vAlign w:val="bottom"/>
            <w:vMerge w:val="restart"/>
          </w:tcPr>
          <w:p>
            <w:pPr>
              <w:jc w:val="right"/>
              <w:ind w:right="429"/>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5"/>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2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7"/>
              </w:rPr>
              <w:t>Item 1.</w:t>
            </w:r>
          </w:p>
        </w:tc>
        <w:tc>
          <w:tcPr>
            <w:tcW w:w="400" w:type="dxa"/>
            <w:vAlign w:val="bottom"/>
            <w:gridSpan w:val="2"/>
          </w:tcPr>
          <w:p>
            <w:pPr>
              <w:spacing w:after="0"/>
              <w:rPr>
                <w:sz w:val="16"/>
                <w:szCs w:val="16"/>
                <w:color w:val="auto"/>
              </w:rPr>
            </w:pPr>
          </w:p>
        </w:tc>
        <w:tc>
          <w:tcPr>
            <w:tcW w:w="1500" w:type="dxa"/>
            <w:vAlign w:val="bottom"/>
            <w:tcBorders>
              <w:bottom w:val="single" w:sz="8" w:color="0000EE"/>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8"/>
              </w:rPr>
              <w:t>Financial Statements</w:t>
            </w:r>
          </w:p>
        </w:tc>
        <w:tc>
          <w:tcPr>
            <w:tcW w:w="6500" w:type="dxa"/>
            <w:vAlign w:val="bottom"/>
            <w:gridSpan w:val="15"/>
          </w:tcPr>
          <w:p>
            <w:pPr>
              <w:spacing w:after="0"/>
              <w:rPr>
                <w:sz w:val="16"/>
                <w:szCs w:val="16"/>
                <w:color w:val="auto"/>
              </w:rPr>
            </w:pPr>
          </w:p>
        </w:tc>
        <w:tc>
          <w:tcPr>
            <w:tcW w:w="740" w:type="dxa"/>
            <w:vAlign w:val="bottom"/>
          </w:tcPr>
          <w:p>
            <w:pPr>
              <w:jc w:val="center"/>
              <w:ind w:left="309"/>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3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as of March 31, 2025 (unaudited) and December 31, 2024</w:t>
            </w:r>
          </w:p>
        </w:tc>
        <w:tc>
          <w:tcPr>
            <w:tcW w:w="1700" w:type="dxa"/>
            <w:vAlign w:val="bottom"/>
            <w:gridSpan w:val="5"/>
          </w:tcPr>
          <w:p>
            <w:pPr>
              <w:spacing w:after="0"/>
              <w:rPr>
                <w:sz w:val="17"/>
                <w:szCs w:val="17"/>
                <w:color w:val="auto"/>
              </w:rPr>
            </w:pPr>
          </w:p>
        </w:tc>
        <w:tc>
          <w:tcPr>
            <w:tcW w:w="740" w:type="dxa"/>
            <w:vAlign w:val="bottom"/>
          </w:tcPr>
          <w:p>
            <w:pPr>
              <w:jc w:val="center"/>
              <w:ind w:left="309"/>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2025 and 2024</w:t>
            </w:r>
          </w:p>
        </w:tc>
        <w:tc>
          <w:tcPr>
            <w:tcW w:w="740" w:type="dxa"/>
            <w:vAlign w:val="bottom"/>
          </w:tcPr>
          <w:p>
            <w:pPr>
              <w:jc w:val="center"/>
              <w:ind w:left="309"/>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5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480" w:type="dxa"/>
            <w:vAlign w:val="bottom"/>
            <w:gridSpan w:val="3"/>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months ended March 31, 2025 and</w:t>
            </w:r>
          </w:p>
        </w:tc>
        <w:tc>
          <w:tcPr>
            <w:tcW w:w="140" w:type="dxa"/>
            <w:vAlign w:val="bottom"/>
          </w:tcPr>
          <w:p>
            <w:pPr>
              <w:spacing w:after="0"/>
              <w:rPr>
                <w:sz w:val="17"/>
                <w:szCs w:val="17"/>
                <w:color w:val="auto"/>
              </w:rPr>
            </w:pPr>
          </w:p>
        </w:tc>
        <w:tc>
          <w:tcPr>
            <w:tcW w:w="740" w:type="dxa"/>
            <w:vAlign w:val="bottom"/>
          </w:tcPr>
          <w:p>
            <w:pPr>
              <w:jc w:val="center"/>
              <w:ind w:left="309"/>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2024 (unaudited)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5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months ended March 31, 2025 and 2024</w:t>
            </w:r>
          </w:p>
        </w:tc>
        <w:tc>
          <w:tcPr>
            <w:tcW w:w="420" w:type="dxa"/>
            <w:vAlign w:val="bottom"/>
            <w:gridSpan w:val="2"/>
          </w:tcPr>
          <w:p>
            <w:pPr>
              <w:spacing w:after="0"/>
              <w:rPr>
                <w:sz w:val="17"/>
                <w:szCs w:val="17"/>
                <w:color w:val="auto"/>
              </w:rPr>
            </w:pPr>
          </w:p>
        </w:tc>
        <w:tc>
          <w:tcPr>
            <w:tcW w:w="740" w:type="dxa"/>
            <w:vAlign w:val="bottom"/>
          </w:tcPr>
          <w:p>
            <w:pPr>
              <w:jc w:val="center"/>
              <w:ind w:left="309"/>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740" w:type="dxa"/>
            <w:vAlign w:val="bottom"/>
          </w:tcPr>
          <w:p>
            <w:pPr>
              <w:jc w:val="center"/>
              <w:ind w:left="309"/>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400" w:type="dxa"/>
            <w:vAlign w:val="bottom"/>
            <w:gridSpan w:val="2"/>
          </w:tcPr>
          <w:p>
            <w:pPr>
              <w:spacing w:after="0"/>
              <w:rPr>
                <w:sz w:val="24"/>
                <w:szCs w:val="24"/>
                <w:color w:val="auto"/>
              </w:rPr>
            </w:pPr>
          </w:p>
        </w:tc>
        <w:tc>
          <w:tcPr>
            <w:tcW w:w="64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540" w:type="dxa"/>
            <w:vAlign w:val="bottom"/>
            <w:gridSpan w:val="4"/>
          </w:tcPr>
          <w:p>
            <w:pPr>
              <w:spacing w:after="0"/>
              <w:rPr>
                <w:sz w:val="24"/>
                <w:szCs w:val="24"/>
                <w:color w:val="auto"/>
              </w:rPr>
            </w:pPr>
          </w:p>
        </w:tc>
        <w:tc>
          <w:tcPr>
            <w:tcW w:w="740" w:type="dxa"/>
            <w:vAlign w:val="bottom"/>
          </w:tcPr>
          <w:p>
            <w:pPr>
              <w:jc w:val="center"/>
              <w:ind w:left="309"/>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400" w:type="dxa"/>
            <w:vAlign w:val="bottom"/>
            <w:gridSpan w:val="2"/>
          </w:tcPr>
          <w:p>
            <w:pPr>
              <w:spacing w:after="0"/>
              <w:rPr>
                <w:sz w:val="17"/>
                <w:szCs w:val="17"/>
                <w:color w:val="auto"/>
              </w:rPr>
            </w:pPr>
          </w:p>
        </w:tc>
        <w:tc>
          <w:tcPr>
            <w:tcW w:w="43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640" w:type="dxa"/>
            <w:vAlign w:val="bottom"/>
            <w:gridSpan w:val="9"/>
          </w:tcPr>
          <w:p>
            <w:pPr>
              <w:spacing w:after="0"/>
              <w:rPr>
                <w:sz w:val="17"/>
                <w:szCs w:val="17"/>
                <w:color w:val="auto"/>
              </w:rPr>
            </w:pPr>
          </w:p>
        </w:tc>
        <w:tc>
          <w:tcPr>
            <w:tcW w:w="740" w:type="dxa"/>
            <w:vAlign w:val="bottom"/>
          </w:tcPr>
          <w:p>
            <w:pPr>
              <w:jc w:val="center"/>
              <w:ind w:left="309"/>
              <w:spacing w:after="0" w:line="19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196"/>
        </w:trPr>
        <w:tc>
          <w:tcPr>
            <w:tcW w:w="9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80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740" w:type="dxa"/>
            <w:vAlign w:val="bottom"/>
          </w:tcPr>
          <w:p>
            <w:pPr>
              <w:jc w:val="center"/>
              <w:ind w:left="309"/>
              <w:spacing w:after="0" w:line="19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439"/>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40" w:type="dxa"/>
            <w:vAlign w:val="bottom"/>
            <w:gridSpan w:val="11"/>
          </w:tcPr>
          <w:p>
            <w:pPr>
              <w:jc w:val="center"/>
              <w:ind w:right="2580"/>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400" w:type="dxa"/>
            <w:vAlign w:val="bottom"/>
            <w:gridSpan w:val="2"/>
          </w:tcPr>
          <w:p>
            <w:pPr>
              <w:spacing w:after="0"/>
              <w:rPr>
                <w:sz w:val="24"/>
                <w:szCs w:val="24"/>
                <w:color w:val="auto"/>
              </w:rPr>
            </w:pPr>
          </w:p>
        </w:tc>
        <w:tc>
          <w:tcPr>
            <w:tcW w:w="26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2760" w:type="dxa"/>
            <w:vAlign w:val="bottom"/>
            <w:tcBorders>
              <w:top w:val="single" w:sz="8" w:color="0000EE"/>
            </w:tcBorders>
            <w:gridSpan w:val="4"/>
          </w:tcPr>
          <w:p>
            <w:pPr>
              <w:spacing w:after="0"/>
              <w:rPr>
                <w:sz w:val="24"/>
                <w:szCs w:val="24"/>
                <w:color w:val="auto"/>
              </w:rPr>
            </w:pPr>
          </w:p>
        </w:tc>
        <w:tc>
          <w:tcPr>
            <w:tcW w:w="2580" w:type="dxa"/>
            <w:vAlign w:val="bottom"/>
            <w:gridSpan w:val="7"/>
          </w:tcPr>
          <w:p>
            <w:pPr>
              <w:spacing w:after="0"/>
              <w:rPr>
                <w:sz w:val="24"/>
                <w:szCs w:val="24"/>
                <w:color w:val="auto"/>
              </w:rPr>
            </w:pPr>
          </w:p>
        </w:tc>
        <w:tc>
          <w:tcPr>
            <w:tcW w:w="740" w:type="dxa"/>
            <w:vAlign w:val="bottom"/>
          </w:tcPr>
          <w:p>
            <w:pPr>
              <w:jc w:val="center"/>
              <w:ind w:left="309"/>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392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80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40" w:type="dxa"/>
            <w:vAlign w:val="bottom"/>
          </w:tcPr>
          <w:p>
            <w:pPr>
              <w:jc w:val="center"/>
              <w:ind w:left="309"/>
              <w:spacing w:after="0" w:line="196" w:lineRule="exact"/>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392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Use of Proceeds</w:t>
            </w:r>
            <w:r>
              <w:rPr>
                <w:rFonts w:ascii="Times New Roman" w:cs="Times New Roman" w:eastAsia="Times New Roman" w:hAnsi="Times New Roman"/>
                <w:sz w:val="18"/>
                <w:szCs w:val="18"/>
                <w:color w:val="000000"/>
              </w:rPr>
              <w:t>, and Issuer Purchases of Equity Securities</w:t>
            </w:r>
          </w:p>
        </w:tc>
        <w:tc>
          <w:tcPr>
            <w:tcW w:w="740" w:type="dxa"/>
            <w:vAlign w:val="bottom"/>
          </w:tcPr>
          <w:p>
            <w:pPr>
              <w:jc w:val="center"/>
              <w:ind w:left="309"/>
              <w:spacing w:after="0" w:line="196" w:lineRule="exact"/>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400" w:type="dxa"/>
            <w:vAlign w:val="bottom"/>
            <w:gridSpan w:val="2"/>
          </w:tcPr>
          <w:p>
            <w:pPr>
              <w:spacing w:after="0"/>
              <w:rPr>
                <w:sz w:val="17"/>
                <w:szCs w:val="17"/>
                <w:color w:val="auto"/>
              </w:rPr>
            </w:pPr>
          </w:p>
        </w:tc>
        <w:tc>
          <w:tcPr>
            <w:tcW w:w="23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1760" w:type="dxa"/>
            <w:vAlign w:val="bottom"/>
            <w:tcBorders>
              <w:top w:val="single" w:sz="8" w:color="0000EE"/>
            </w:tcBorders>
            <w:gridSpan w:val="3"/>
          </w:tcPr>
          <w:p>
            <w:pPr>
              <w:spacing w:after="0"/>
              <w:rPr>
                <w:sz w:val="17"/>
                <w:szCs w:val="17"/>
                <w:color w:val="auto"/>
              </w:rPr>
            </w:pPr>
          </w:p>
        </w:tc>
        <w:tc>
          <w:tcPr>
            <w:tcW w:w="3920" w:type="dxa"/>
            <w:vAlign w:val="bottom"/>
            <w:gridSpan w:val="10"/>
          </w:tcPr>
          <w:p>
            <w:pPr>
              <w:spacing w:after="0"/>
              <w:rPr>
                <w:sz w:val="17"/>
                <w:szCs w:val="17"/>
                <w:color w:val="auto"/>
              </w:rPr>
            </w:pPr>
          </w:p>
        </w:tc>
        <w:tc>
          <w:tcPr>
            <w:tcW w:w="740" w:type="dxa"/>
            <w:vAlign w:val="bottom"/>
          </w:tcPr>
          <w:p>
            <w:pPr>
              <w:jc w:val="center"/>
              <w:ind w:left="309"/>
              <w:spacing w:after="0" w:line="196" w:lineRule="exact"/>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400" w:type="dxa"/>
            <w:vAlign w:val="bottom"/>
            <w:gridSpan w:val="2"/>
          </w:tcPr>
          <w:p>
            <w:pPr>
              <w:spacing w:after="0"/>
              <w:rPr>
                <w:sz w:val="17"/>
                <w:szCs w:val="17"/>
                <w:color w:val="auto"/>
              </w:rPr>
            </w:pPr>
          </w:p>
        </w:tc>
        <w:tc>
          <w:tcPr>
            <w:tcW w:w="80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740" w:type="dxa"/>
            <w:vAlign w:val="bottom"/>
          </w:tcPr>
          <w:p>
            <w:pPr>
              <w:jc w:val="center"/>
              <w:ind w:left="309"/>
              <w:spacing w:after="0" w:line="196" w:lineRule="exact"/>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400" w:type="dxa"/>
            <w:vAlign w:val="bottom"/>
            <w:gridSpan w:val="2"/>
          </w:tcPr>
          <w:p>
            <w:pPr>
              <w:spacing w:after="0"/>
              <w:rPr>
                <w:sz w:val="17"/>
                <w:szCs w:val="17"/>
                <w:color w:val="auto"/>
              </w:rPr>
            </w:pPr>
          </w:p>
        </w:tc>
        <w:tc>
          <w:tcPr>
            <w:tcW w:w="17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6240" w:type="dxa"/>
            <w:vAlign w:val="bottom"/>
            <w:gridSpan w:val="14"/>
          </w:tcPr>
          <w:p>
            <w:pPr>
              <w:spacing w:after="0"/>
              <w:rPr>
                <w:sz w:val="17"/>
                <w:szCs w:val="17"/>
                <w:color w:val="auto"/>
              </w:rPr>
            </w:pPr>
          </w:p>
        </w:tc>
        <w:tc>
          <w:tcPr>
            <w:tcW w:w="740" w:type="dxa"/>
            <w:vAlign w:val="bottom"/>
          </w:tcPr>
          <w:p>
            <w:pPr>
              <w:jc w:val="center"/>
              <w:ind w:left="309"/>
              <w:spacing w:after="0" w:line="196" w:lineRule="exact"/>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400" w:type="dxa"/>
            <w:vAlign w:val="bottom"/>
            <w:gridSpan w:val="2"/>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tcBorders>
              <w:top w:val="single" w:sz="8" w:color="0000EE"/>
            </w:tcBorders>
            <w:gridSpan w:val="4"/>
          </w:tcPr>
          <w:p>
            <w:pPr>
              <w:spacing w:after="0"/>
              <w:rPr>
                <w:sz w:val="17"/>
                <w:szCs w:val="17"/>
                <w:color w:val="auto"/>
              </w:rPr>
            </w:pPr>
          </w:p>
        </w:tc>
        <w:tc>
          <w:tcPr>
            <w:tcW w:w="6680" w:type="dxa"/>
            <w:vAlign w:val="bottom"/>
            <w:gridSpan w:val="16"/>
          </w:tcPr>
          <w:p>
            <w:pPr>
              <w:spacing w:after="0"/>
              <w:rPr>
                <w:sz w:val="17"/>
                <w:szCs w:val="17"/>
                <w:color w:val="auto"/>
              </w:rPr>
            </w:pPr>
          </w:p>
        </w:tc>
        <w:tc>
          <w:tcPr>
            <w:tcW w:w="740" w:type="dxa"/>
            <w:vAlign w:val="bottom"/>
          </w:tcPr>
          <w:p>
            <w:pPr>
              <w:jc w:val="center"/>
              <w:ind w:left="309"/>
              <w:spacing w:after="0" w:line="196" w:lineRule="exact"/>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43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7180" w:type="dxa"/>
            <w:vAlign w:val="bottom"/>
            <w:gridSpan w:val="19"/>
          </w:tcPr>
          <w:p>
            <w:pPr>
              <w:spacing w:after="0"/>
              <w:rPr>
                <w:sz w:val="24"/>
                <w:szCs w:val="24"/>
                <w:color w:val="auto"/>
              </w:rPr>
            </w:pPr>
          </w:p>
        </w:tc>
        <w:tc>
          <w:tcPr>
            <w:tcW w:w="740" w:type="dxa"/>
            <w:vAlign w:val="bottom"/>
          </w:tcPr>
          <w:p>
            <w:pPr>
              <w:jc w:val="center"/>
              <w:ind w:left="309"/>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60"/>
          </w:cols>
          <w:pgMar w:left="980" w:top="513" w:right="1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5"/>
                <w:szCs w:val="15"/>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65,288</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Finance right-of-use assets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677,800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583,941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28,770</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Loans payable</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Remarketed Bonds payable, net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payable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203,008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500,000,000 shares authorized; 239,562,995 and</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239,176,293 shares issued and outstanding at March 31, 2025, and December 31, 2024,</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1,289,406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(821,965)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469,837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See the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production</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Project development costs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Facility idling costs</w:t>
            </w:r>
          </w:p>
        </w:tc>
        <w:tc>
          <w:tcPr>
            <w:tcW w:w="7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49,248</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7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(20,139)</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7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7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7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(21,773)</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redeemable non-controlling interest</w:t>
            </w:r>
          </w:p>
        </w:tc>
        <w:tc>
          <w:tcPr>
            <w:tcW w:w="7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Gevo, Inc.</w:t>
            </w:r>
          </w:p>
        </w:tc>
        <w:tc>
          <w:tcPr>
            <w:tcW w:w="7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(21,728)</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7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 and diluted</w:t>
            </w:r>
          </w:p>
        </w:tc>
        <w:tc>
          <w:tcPr>
            <w:tcW w:w="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232,027,993</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240,844,334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See the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 and 2024</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80" w:type="dxa"/>
            <w:vAlign w:val="bottom"/>
            <w:tcBorders>
              <w:bottom w:val="single" w:sz="8" w:color="auto"/>
            </w:tcBorders>
            <w:gridSpan w:val="4"/>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2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239,176,293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1,287,333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(800,237)</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Stock-based awards and related share issuances,</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386,702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239,562,995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1,289,406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(821,965)</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240,499,833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4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1,276,581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(721,597)</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Stock-based awards and related share issuances,</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1,204,232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(2,127,661)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(18,875)</w:t>
            </w:r>
          </w:p>
        </w:tc>
        <w:tc>
          <w:tcPr>
            <w:tcW w:w="0" w:type="dxa"/>
            <w:vAlign w:val="bottom"/>
          </w:tcPr>
          <w:p>
            <w:pPr>
              <w:spacing w:after="0"/>
              <w:rPr>
                <w:sz w:val="1"/>
                <w:szCs w:val="1"/>
                <w:color w:val="auto"/>
              </w:rPr>
            </w:pPr>
          </w:p>
        </w:tc>
      </w:tr>
      <w:tr>
        <w:trPr>
          <w:trHeight w:val="210"/>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239,576,404</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1,280,021</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(740,472)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See the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42"/>
        </w:trPr>
        <w:tc>
          <w:tcPr>
            <w:tcW w:w="610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(21,773)</w:t>
            </w:r>
          </w:p>
        </w:tc>
        <w:tc>
          <w:tcPr>
            <w:tcW w:w="80" w:type="dxa"/>
            <w:vAlign w:val="bottom"/>
          </w:tcPr>
          <w:p>
            <w:pPr>
              <w:spacing w:after="0"/>
              <w:rPr>
                <w:sz w:val="17"/>
                <w:szCs w:val="17"/>
                <w:color w:val="auto"/>
              </w:rPr>
            </w:pPr>
          </w:p>
        </w:tc>
        <w:tc>
          <w:tcPr>
            <w:tcW w:w="440" w:type="dxa"/>
            <w:vAlign w:val="bottom"/>
            <w:gridSpan w:val="4"/>
          </w:tcPr>
          <w:p>
            <w:pPr>
              <w:jc w:val="right"/>
              <w:ind w:right="20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(18,875)</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4,233</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4,451</w:t>
            </w:r>
          </w:p>
        </w:tc>
        <w:tc>
          <w:tcPr>
            <w:tcW w:w="0" w:type="dxa"/>
            <w:vAlign w:val="bottom"/>
          </w:tcPr>
          <w:p>
            <w:pPr>
              <w:spacing w:after="0"/>
              <w:rPr>
                <w:sz w:val="1"/>
                <w:szCs w:val="1"/>
                <w:color w:val="auto"/>
              </w:rPr>
            </w:pPr>
          </w:p>
        </w:tc>
      </w:tr>
      <w:tr>
        <w:trPr>
          <w:trHeight w:val="203"/>
        </w:trPr>
        <w:tc>
          <w:tcPr>
            <w:tcW w:w="6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fair value of derivative instruments</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non-cash (income) expense</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0" w:type="dxa"/>
            <w:vAlign w:val="bottom"/>
          </w:tcPr>
          <w:p>
            <w:pPr>
              <w:spacing w:after="0"/>
              <w:rPr>
                <w:sz w:val="1"/>
                <w:szCs w:val="1"/>
                <w:color w:val="auto"/>
              </w:rPr>
            </w:pPr>
          </w:p>
        </w:tc>
      </w:tr>
      <w:tr>
        <w:trPr>
          <w:trHeight w:val="203"/>
        </w:trPr>
        <w:tc>
          <w:tcPr>
            <w:tcW w:w="6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Changes in operating assets and liabilities, net of effects of acquisition:</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receivable</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03"/>
        </w:trPr>
        <w:tc>
          <w:tcPr>
            <w:tcW w:w="61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Inventories</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Prepaid expenses and other current assets, deposits and other assets</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(3,297)</w:t>
            </w:r>
          </w:p>
        </w:tc>
        <w:tc>
          <w:tcPr>
            <w:tcW w:w="0" w:type="dxa"/>
            <w:vAlign w:val="bottom"/>
          </w:tcPr>
          <w:p>
            <w:pPr>
              <w:spacing w:after="0"/>
              <w:rPr>
                <w:sz w:val="1"/>
                <w:szCs w:val="1"/>
                <w:color w:val="auto"/>
              </w:rPr>
            </w:pPr>
          </w:p>
        </w:tc>
      </w:tr>
      <w:tr>
        <w:trPr>
          <w:trHeight w:val="203"/>
        </w:trPr>
        <w:tc>
          <w:tcPr>
            <w:tcW w:w="6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Accounts payable, accrued expenses and non-current liabilities</w:t>
            </w:r>
          </w:p>
        </w:tc>
        <w:tc>
          <w:tcPr>
            <w:tcW w:w="10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(3,326)</w:t>
            </w: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0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(24,048)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(16,078)</w:t>
            </w:r>
          </w:p>
        </w:tc>
        <w:tc>
          <w:tcPr>
            <w:tcW w:w="0" w:type="dxa"/>
            <w:vAlign w:val="bottom"/>
          </w:tcPr>
          <w:p>
            <w:pPr>
              <w:spacing w:after="0"/>
              <w:rPr>
                <w:sz w:val="1"/>
                <w:szCs w:val="1"/>
                <w:color w:val="auto"/>
              </w:rPr>
            </w:pPr>
          </w:p>
        </w:tc>
      </w:tr>
      <w:tr>
        <w:trPr>
          <w:trHeight w:val="196"/>
        </w:trPr>
        <w:tc>
          <w:tcPr>
            <w:tcW w:w="6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Acquisitions of property, plant and equipment</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(17,512)</w:t>
            </w:r>
          </w:p>
        </w:tc>
        <w:tc>
          <w:tcPr>
            <w:tcW w:w="0" w:type="dxa"/>
            <w:vAlign w:val="bottom"/>
          </w:tcPr>
          <w:p>
            <w:pPr>
              <w:spacing w:after="0"/>
              <w:rPr>
                <w:sz w:val="1"/>
                <w:szCs w:val="1"/>
                <w:color w:val="auto"/>
              </w:rPr>
            </w:pPr>
          </w:p>
        </w:tc>
      </w:tr>
      <w:tr>
        <w:trPr>
          <w:trHeight w:val="203"/>
        </w:trPr>
        <w:tc>
          <w:tcPr>
            <w:tcW w:w="6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Acquisition of Red Trail Energy</w:t>
            </w:r>
          </w:p>
        </w:tc>
        <w:tc>
          <w:tcPr>
            <w:tcW w:w="10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(198,461)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0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(204,295)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(17,512)</w:t>
            </w:r>
          </w:p>
        </w:tc>
        <w:tc>
          <w:tcPr>
            <w:tcW w:w="0" w:type="dxa"/>
            <w:vAlign w:val="bottom"/>
          </w:tcPr>
          <w:p>
            <w:pPr>
              <w:spacing w:after="0"/>
              <w:rPr>
                <w:sz w:val="1"/>
                <w:szCs w:val="1"/>
                <w:color w:val="auto"/>
              </w:rPr>
            </w:pPr>
          </w:p>
        </w:tc>
      </w:tr>
      <w:tr>
        <w:trPr>
          <w:trHeight w:val="196"/>
        </w:trPr>
        <w:tc>
          <w:tcPr>
            <w:tcW w:w="6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OIC loan proceeds</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Non-controlling interest</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Proceeds from the exercise of stock options</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Payment of loans payable</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3"/>
        </w:trPr>
        <w:tc>
          <w:tcPr>
            <w:tcW w:w="6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Payment of finance lease liabilities</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7"/>
                <w:szCs w:val="17"/>
                <w:b w:val="1"/>
                <w:bCs w:val="1"/>
                <w:color w:val="auto"/>
              </w:rPr>
              <w:t>Net cash provided by (used in) financing activities</w:t>
            </w:r>
          </w:p>
        </w:tc>
        <w:tc>
          <w:tcPr>
            <w:tcW w:w="10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104,242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(1,452)</w:t>
            </w: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(35,042)</w:t>
            </w:r>
          </w:p>
        </w:tc>
        <w:tc>
          <w:tcPr>
            <w:tcW w:w="0" w:type="dxa"/>
            <w:vAlign w:val="bottom"/>
          </w:tcPr>
          <w:p>
            <w:pPr>
              <w:spacing w:after="0"/>
              <w:rPr>
                <w:sz w:val="1"/>
                <w:szCs w:val="1"/>
                <w:color w:val="auto"/>
              </w:rPr>
            </w:pPr>
          </w:p>
        </w:tc>
      </w:tr>
      <w:tr>
        <w:trPr>
          <w:trHeight w:val="203"/>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0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259,033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375,597</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at end of period</w:t>
            </w: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134,932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gridSpan w:val="3"/>
            <w:shd w:val="clear" w:color="auto" w:fill="CCEEFF"/>
          </w:tcPr>
          <w:p>
            <w:pPr>
              <w:jc w:val="right"/>
              <w:ind w:right="20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340,555</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1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Schedule of cash, cash equivalents and restricted cash</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42"/>
        </w:trPr>
        <w:tc>
          <w:tcPr>
            <w:tcW w:w="6100" w:type="dxa"/>
            <w:vAlign w:val="bottom"/>
            <w:tcBorders>
              <w:bottom w:val="single" w:sz="8" w:color="CCEEFF"/>
            </w:tcBorders>
            <w:vMerge w:val="continue"/>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180" w:type="dxa"/>
            <w:vAlign w:val="bottom"/>
            <w:gridSpan w:val="2"/>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65,288</w:t>
            </w:r>
          </w:p>
        </w:tc>
        <w:tc>
          <w:tcPr>
            <w:tcW w:w="180" w:type="dxa"/>
            <w:vAlign w:val="bottom"/>
            <w:gridSpan w:val="3"/>
            <w:shd w:val="clear" w:color="auto" w:fill="CCEEFF"/>
          </w:tcPr>
          <w:p>
            <w:pPr>
              <w:spacing w:after="0"/>
              <w:rPr>
                <w:sz w:val="17"/>
                <w:szCs w:val="17"/>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270,642</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 (current)</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1,489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 (non-current)</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68,155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69,913</w:t>
            </w:r>
          </w:p>
        </w:tc>
        <w:tc>
          <w:tcPr>
            <w:tcW w:w="0" w:type="dxa"/>
            <w:vAlign w:val="bottom"/>
          </w:tcPr>
          <w:p>
            <w:pPr>
              <w:spacing w:after="0"/>
              <w:rPr>
                <w:sz w:val="1"/>
                <w:szCs w:val="1"/>
                <w:color w:val="auto"/>
              </w:rPr>
            </w:pPr>
          </w:p>
        </w:tc>
      </w:tr>
      <w:tr>
        <w:trPr>
          <w:trHeight w:val="196"/>
        </w:trPr>
        <w:tc>
          <w:tcPr>
            <w:tcW w:w="6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cash, cash equivalents and restricted cash</w:t>
            </w:r>
          </w:p>
        </w:tc>
        <w:tc>
          <w:tcPr>
            <w:tcW w:w="1180" w:type="dxa"/>
            <w:vAlign w:val="bottom"/>
            <w:gridSpan w:val="2"/>
          </w:tcPr>
          <w:p>
            <w:pPr>
              <w:spacing w:after="0"/>
              <w:rPr>
                <w:sz w:val="17"/>
                <w:szCs w:val="17"/>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134,932</w:t>
            </w:r>
          </w:p>
        </w:tc>
        <w:tc>
          <w:tcPr>
            <w:tcW w:w="16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340,555</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1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disclosures of cash and non-cash investing and financing transactions</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42"/>
        </w:trPr>
        <w:tc>
          <w:tcPr>
            <w:tcW w:w="6100" w:type="dxa"/>
            <w:vAlign w:val="bottom"/>
            <w:tcBorders>
              <w:bottom w:val="single" w:sz="8" w:color="CCEEFF"/>
            </w:tcBorders>
            <w:vMerge w:val="continue"/>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1180" w:type="dxa"/>
            <w:vAlign w:val="bottom"/>
            <w:gridSpan w:val="2"/>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2,013</w:t>
            </w:r>
          </w:p>
        </w:tc>
        <w:tc>
          <w:tcPr>
            <w:tcW w:w="180" w:type="dxa"/>
            <w:vAlign w:val="bottom"/>
            <w:gridSpan w:val="3"/>
            <w:shd w:val="clear" w:color="auto" w:fill="CCEEFF"/>
          </w:tcPr>
          <w:p>
            <w:pPr>
              <w:spacing w:after="0"/>
              <w:rPr>
                <w:sz w:val="17"/>
                <w:szCs w:val="17"/>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Non-cash purchase of property, plant and equipment</w:t>
            </w:r>
          </w:p>
        </w:tc>
        <w:tc>
          <w:tcPr>
            <w:tcW w:w="1360" w:type="dxa"/>
            <w:vAlign w:val="bottom"/>
            <w:gridSpan w:val="3"/>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5,767</w:t>
            </w:r>
          </w:p>
        </w:tc>
        <w:tc>
          <w:tcPr>
            <w:tcW w:w="440" w:type="dxa"/>
            <w:vAlign w:val="bottom"/>
            <w:gridSpan w:val="4"/>
          </w:tcPr>
          <w:p>
            <w:pPr>
              <w:jc w:val="right"/>
              <w:ind w:right="14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9,554</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Right-of-use asset purchased with operating lease</w:t>
            </w:r>
          </w:p>
        </w:tc>
        <w:tc>
          <w:tcPr>
            <w:tcW w:w="136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4"/>
            <w:shd w:val="clear" w:color="auto" w:fill="CCEEFF"/>
          </w:tcPr>
          <w:p>
            <w:pPr>
              <w:jc w:val="right"/>
              <w:ind w:right="14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bl>
    <w:p>
      <w:pPr>
        <w:ind w:left="2140"/>
        <w:spacing w:after="0"/>
        <w:rPr>
          <w:sz w:val="20"/>
          <w:szCs w:val="20"/>
          <w:color w:val="auto"/>
        </w:rPr>
      </w:pPr>
      <w:r>
        <w:rPr>
          <w:rFonts w:ascii="Times New Roman" w:cs="Times New Roman" w:eastAsia="Times New Roman" w:hAnsi="Times New Roman"/>
          <w:sz w:val="18"/>
          <w:szCs w:val="18"/>
          <w:color w:val="auto"/>
        </w:rPr>
        <w:t>See the accompanying Notes to the Condensed Consolidated Financial Statements.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7" w:lineRule="exact"/>
        <w:rPr>
          <w:sz w:val="20"/>
          <w:szCs w:val="20"/>
          <w:color w:val="auto"/>
        </w:rPr>
      </w:pPr>
    </w:p>
    <w:p>
      <w:pPr>
        <w:ind w:right="4540" w:firstLine="8"/>
        <w:spacing w:after="0" w:line="503" w:lineRule="auto"/>
        <w:tabs>
          <w:tab w:leader="none" w:pos="3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Financial Condition and Basis of Presentation Nature of business.</w:t>
      </w: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Gevo, Inc. (Nasdaq: GEVO) (“Gevo”, “we”, “us”, “our”, or the “Company,” which, unless otherwise indicated, refers to Gevo, Inc. and its subsidiaries), a Delaware corporation founded in 2005, is a growth-oriented, carbon abatement company with the mission of solving greenhouse gas (“GHG”) emissions for those sectors of the transportation industry that are not amenable to electrification or hydrogen.</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is focused on transforming renewable energy into energy-dense liquid drop-in hydrocarbons that can be used as renewable fuels, such as synthetic aviation fuel (“SAF”) and other fuels and chemicals, with the potential to create new energy production, new jobs, new agricultural uses, and result in significant economic benefits. Moreover, we have the potential to achieve a “net-zero” GHG, or even carbon negative footprint measured by the Argonne National Laboratory’s GREET (Greenhouse gases, Regulated Emissions, and Energy use in Transportation) model (the “GREET Model”) to measure, predict and verify GHG emissions across the life-cycle. Our “net-zero” concept means production of drop-in hydrocarbon fuels by using sustainably grown feedstocks (e.g., low till and no-till corn cultivation) and renewable and substantially decarbonized energy sources, resulting in an expected net-zero carbon footprint from the full life cycle of the fuel measured from the capture of renewable carbon through the burning of the fuel.</w:t>
      </w:r>
    </w:p>
    <w:p>
      <w:pPr>
        <w:spacing w:after="0" w:line="192"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Gevo’s primary market focus with its energy-dense liquid drop-in hydrocarbon offering is SAF given current demand and growing customer interest. The Company believes that SAF produced from a carbohydrate-to-alcohol process is the most economically viable approach to meet this rising demand at a production cost that is relevant for the industry. The Company also has commercial opportunities for other renewable hydrocarbon products, such as (i) renewable natural gas, also known as biogas (“RNG”),</w:t>
      </w:r>
    </w:p>
    <w:p>
      <w:pPr>
        <w:spacing w:after="0" w:line="3" w:lineRule="exact"/>
        <w:rPr>
          <w:sz w:val="20"/>
          <w:szCs w:val="20"/>
          <w:color w:val="auto"/>
        </w:rPr>
      </w:pPr>
    </w:p>
    <w:p>
      <w:pPr>
        <w:ind w:firstLine="8"/>
        <w:spacing w:after="0" w:line="251"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hydrocarbons for gasoline and racing blendstocks and diesel fuel, and (iii) ingredients for the chemical industry, such as ethylene and butenes for plastics and materials; and other chemicals. With the recent acquisition of the majority of the assets of Red Trail Energy, LLC (“Red Trail Energy”), which specialized in the production of low carbon ethanol and animal feed from corn and sequestering carbon through its carbon capture and sequestration asset, we are expanding our capabilities in the biofuels and carbon marketing sector. Red Trail Energy’s operations further enables our renewable fuels strategy and enhances our ability to provide sustainable fuel alternatives, and carbon sequestration and supports our broader goal of diversifying renewable product portfolio. We are engaged in technology, process and intellectual property development targeted to large scale deployment of net-zero hydrocarbon fuels and chemicals. We are developing the marketplace and customers for SAF and other related products. We also are engaged as a developer and enabler/licensor for large scale commercial production, and we expect to be a co-investor on certain projects. Gevo’s business model is that of a developer of projects, licensor, process technology developer, and operator of certain assets in the future.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Alcohol-to-Jet Projects</w:t>
      </w:r>
    </w:p>
    <w:p>
      <w:pPr>
        <w:spacing w:after="0" w:line="22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early 2021, we announced our proprietary “Alcohol-to-Jet Projects” that we are developing and engineering as a series of planned facilities to produce energy dense liquid hydrocarbons using renewable energy and our proprietary technology. Our Alcohol-to-Jet Projects will convert carbohydrates and renewable energy (e.g., photosynthetic, wind, and RNG) from a variety of sources into energy dense liquid hydrocarbons that, when burned in traditional engines, has the potential to achieve net zero GHG emissions across the whole lifecycle of the liquid fuel: from the way carbon is captured from the atmosphere, processed to make liquid fuel products, and burned as a fuel for planes, cars, trucks, and ships. Gevo owns our Alcohol-to-Jet plant designs and the overall Gevo net zero process (i.e., the process to enable carbon-negative olefins, and hydrocarbon fuels with an anticipated net zero or better carbon footprint measured across the lifecycle of the whole processes). The proprietary Gevo Alcohol-to-Jet processes and plant designs are based upon the conversion of carbohydrates to alcohols, followed by the conversion of the alcohols to olefins (i.e., building blocks for chemicals, plastics, and fuels), and then the conversion of the olefins into fuels, all optimized and integrated to achieve a net zero carbon footprint. Our partners in developing and executing the Alcohol-to-Jet projects have included Fluid Quip Technologies, LLC, Axens North America, Inc., PRAJ Industries Limited (“PRAJ”), Zero6 Clean Energy Assets, Inc. (“Zero6”), McDermott International Ltd., and Fagen, Inc. Gevo owns the overall proprietary plant designs, engineering details, integration technologies, and has filed patents on several process improvements.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1"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Our initial Alcohol-to-Jet Project, Alcohol-to-Jet 60 (“ATJ-60”), is expected to be located in Lake Preston, South Dakota, and is being currently designed to produce approximately 65 million gallons per year (“MGPY”) of total hydrocarbon volumes, including 60 MGPY of SAF. Along with the hydrocarbons, ATJ-60 is currently being designed to produce approximately 1.3 billion pounds per year of high-value protein products for use in the food chain and approximately 30 million pounds per year of corn oil. Our products will be produced in three steps: the first step is milling the corn and the production of protein, oil, and carbohydrates, the second step produces alcohols using fermentation and the third step is the conversion of the alcohols into hydrocarbons.</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are also developing other commercial production projects for SAF at other locations in the United States where we expect to use our Alcohol-to-Jet plant designs based on work done for ATJ-60 at Lake Preston. Gevo expects to play the role of project developer, plant designer, technology licensor, and investor, based on traditional developer business models where the developer gets a partial ownership stake for developing the project. We may also co-invest in projects to increase our equity ownership in those projects.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Renewable Natural Gas Project</w:t>
      </w:r>
    </w:p>
    <w:p>
      <w:pPr>
        <w:spacing w:after="0" w:line="22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 xml:space="preserve">Gevo’s RNG facilities in Northwest Iowa (“NW Iowa RNG”), recorded in the Renewable Natural Gas segment, produce RNG captured from dairy cow manure supplied by three local dairies. Animal manure can be digested anaerobically to produce biogas, which is then upgraded to pipeline quality gas referred to as RNG. </w:t>
      </w:r>
      <w:r>
        <w:rPr>
          <w:rFonts w:ascii="Times New Roman" w:cs="Times New Roman" w:eastAsia="Times New Roman" w:hAnsi="Times New Roman"/>
          <w:sz w:val="18"/>
          <w:szCs w:val="18"/>
          <w:color w:val="212529"/>
        </w:rPr>
        <w:t>In addition, in 2024 we completed an expansion to the RNG Project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increase its annual expected output from </w:t>
      </w:r>
      <w:r>
        <w:rPr>
          <w:rFonts w:ascii="Times New Roman" w:cs="Times New Roman" w:eastAsia="Times New Roman" w:hAnsi="Times New Roman"/>
          <w:sz w:val="18"/>
          <w:szCs w:val="18"/>
          <w:color w:val="000000"/>
        </w:rPr>
        <w:t>355,000 million British thermal units (“MMBtu”) to 400,000 MMBtu. We sell our RNG to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California market through an agreement with BP Canada Energy Marketing Corp. and BP Products North America Inc. (collectively, “BP”). In addition, we generate and sell Low Carbon Fuel Standard (“LCFS”) credits as well as D3 Renewable Identification Numbers (“RINs”) through the production of RNG (collectively, “environmental attributes”).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Luverne Facility</w:t>
      </w:r>
    </w:p>
    <w:p>
      <w:pPr>
        <w:spacing w:after="0" w:line="22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Gevo’s development plant in Luverne, Minnesota (the “Luverne Facility”) is currently being used for market development and customer education, but is not currently operating as a production plant. The Luverne Facility was originally constructed in 1998 and is located on approximately 55 acres of land, which contains approximately 50,000 square feet of building space. Gevo may use the Luverne Facility in the future to prove our processes, process concepts, unit operations and for other purposes to optimize feedstocks and the processes used for producing hydrocarbons from alcohols.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Red Trail Energy Asset Purchase Agreement</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September 10, 2024, Gevo and its subsidiaries entered into an Asset Purchase Agreement with Red Trail Energy to acquire substantially all of its assets and assume certain liabilities. The acquisition was completed on January 31, 2025, for a purchase price of $210 million, subject to customary adjustments, including a working capital adjustment. The acquired assets are now known as “Gevo North Dakota.” The transaction was funded through a combination of Gevo equity capital, and a $105 million senior secured term loan facility and $5 million in equity from Orion Infrastructure Capital (“OIC”), a U.S.-based private investment firm. The acquired assets include the ethanol production plant, the carbon capture and storage well, and the pore space. The operational personnel of Red Trail Energy joined Gevo upon the closing of the acquisition. The acquired ethanol production facility converts corn into ethanol and produces distillers grains, a high-protein animal feed, and corn oil, which is used in biodiesel production and industrial applications. This acquisition also includes carbon capture and sequestration (“CCS”) assets that will support Gevo’s broader carbon abatement goals, particularly in relation to its ATJ-60 project under development in South Dakota. This facility has one of the lowest carbon intensity scores in the industry, at 19 gCO2e/MJ (from British Columbia) or an estimated 21 gCO2e/MJ (under the Argonne-R&amp;D-GREET model. The high-quality carbon abatement credits generated at this plant are expected to further catalyze the development of the emerging market for carbon abatement products. The acquisition of Red Trail Energy strengthens Gevo’s growth trajectory by adding ethanol production, distillers grains, corn oil, and Carbon Dioxide Removal credit (“CDR”) to our cash inflow stream, while also enhancing our capabilities in CCS and supporting our broader efforts in SAF production. See Note 2, Business Combinations, for additional information.</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(“GAAP”) along with the instructions to Form 10-Q and Article 10 of Regulation S-X. Accordingly, they do not include the information and footnotes required by GAAP for complete financial statements. These statements reflect all normal and recurring adjustments which, in the opinion of management, are necessary to present fairly the financial position, results of operations and cash flows of the Company as of, and for the three months ended, March 31, 2025, and are not necessarily indicative of the results to be expected for the full year. These statements should be read in conjunction with the Company’s audited consolidated financial statements and notes thereto included under the heading “Financial Statements and Supplementary Data” in Part II, Item 8 of the Company’s Annual Report on Form 10-K for the year ended December 31,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financial statements at December 31, 2024, have been derived from the audited financial statements as of that date. For further information, refer to our audited financial statements and notes thereto included for the year ended December 31, 2024 (the “2024 Annual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revenues, expenses, and related disclosures. These estimates and assumptions are inherently subject to uncertainty, and actual results could differ from these estimates. Significant areas requiring estimates and assumptions include, but are not limited to, the determination of useful lives of property, plant and equipment, inventory, asset retirement obligations, the recognition of revenue, and valuation of business combinations. Management regularly reviews our estimates based on the most current available information. Changes in facts and circumstances may result in revised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Combinations</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its business combinations in accordance with the provisions of Accounting Standards Codification Topic 805-10, Business Combinations ("ASC 805-10"). ASC 805-10 mandates the use of the purchase method of accounting for all business combinations. Under this method, assets acquired and liabilities assumed are recorded at their respective fair values as of the acquisition date. For transactions meeting the definition of business combinations, the Company evaluates the recognition of goodwill. Goodwill represents the excess of the purchase price over the fair value of the identifiable tangible and intangible assets acquired, and liabilities assumed, in a business combination. ASC 805-10 further stipulates criteria that intangible assets acquired in a business combination must meet in order to be recognized and reported separately from goodwill. Acquisition-related costs, including transaction fees, are recognized separately from the business combination and expensed as incurred.</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determination of the fair value of net assets acquired, including the allocation of fair value to identifiable assets and liabilities, is based on established valuation techniques. Fair value is defined as the price that would be received to sell an asset or paid to transfer a liability in an orderly transaction between market participants at the measurement date. In the context of purchase accounting, determining fair value often requires significant judgments and estimates by management, including the selection of appropriate valuation methodologies, estimates of future revenues, costs, cash flows, discount rates, and the identification of comparable companies. The estimated fair values of assets acquired and liabilities assumed are based on management's judgment, supplemented by the expertise of third-party valuation specialists engaged to assist in determining fair value. The allocation of fair value to the identifiable assets and liabilities is based on available information at the acquisition date and assumptions deemed reasonable by management. However, changes in facts and circumstances may result in adjustments to the initial fair value estimates during the measurement period, which may not exceed one year from the acquisition date.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Financial Instruments</w:t>
      </w:r>
    </w:p>
    <w:p>
      <w:pPr>
        <w:spacing w:after="0" w:line="22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After acquiring an ethanol operating facility in the first quarter of 2025, the Company integrated commodity-based derivative transactions, specifically corn futures contracts, into its hedging strategy to manage its exposure to commodity price fluctuations. This strategy aims to protect cash flows associated with the increased exposure to commodity price volatility arising from its Gevo North Dakota operations, which include corn-based production and procurement activities. These derivative contracts are intended to economically hedge the Company’s cash flow exposure to changes in corn prices, which directly impact the cost of raw materials used in production.</w:t>
      </w:r>
    </w:p>
    <w:p>
      <w:pPr>
        <w:spacing w:after="0" w:line="18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Company does not apply hedge accounting to these instruments under FASB ASC 815, Derivatives and Hedging. As such, all derivative instruments are recorded at fair value on the consolidated balance sheet, and changes in the fair value of these instruments are recognized in earnings in the period in which they occur. Gains and losses resulting from changes in the fair value of corn derivative contracts are included in the cost of goods sold in the consolidated statements of operations, as they directly relate to the Company’s inventory procurement and production activities. These instruments may create volatility in earnings from period to period, as the timing of derivative gains or losses may not align with the recognition of the related exposure in the financial statements. The Company does not use derivative instruments for speculative purposes.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 Retirement Obligation</w:t>
      </w:r>
    </w:p>
    <w:p>
      <w:pPr>
        <w:spacing w:after="0" w:line="225"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fair value of an asset retirement obligation (“ARO”) is recognized in the period in which it is incurred, provided that a reasonable estimate of fair value can be made. The Company’s ARO is primarily related to commitments to restore or decommission property subject to operating leases associated with its Gevo North Dakota and RNG operations.</w:t>
      </w:r>
    </w:p>
    <w:p>
      <w:pPr>
        <w:spacing w:after="0" w:line="176" w:lineRule="exact"/>
        <w:rPr>
          <w:sz w:val="20"/>
          <w:szCs w:val="20"/>
          <w:color w:val="auto"/>
        </w:rPr>
      </w:pPr>
    </w:p>
    <w:p>
      <w:pPr>
        <w:ind w:right="80" w:firstLine="324"/>
        <w:spacing w:after="0" w:line="223" w:lineRule="exact"/>
        <w:rPr>
          <w:sz w:val="20"/>
          <w:szCs w:val="20"/>
          <w:color w:val="auto"/>
        </w:rPr>
      </w:pPr>
      <w:r>
        <w:rPr>
          <w:rFonts w:ascii="Times New Roman" w:cs="Times New Roman" w:eastAsia="Times New Roman" w:hAnsi="Times New Roman"/>
          <w:sz w:val="18"/>
          <w:szCs w:val="18"/>
          <w:color w:val="auto"/>
        </w:rPr>
        <w:t>In January 2025, Gevo completed the acquisition of Red Trail Energy. As part of the acquisition, management recorded the ARO related to the Broom Creek formation pore space, which includes plugging injection wells, sealing the site, and post-closure monitoring, as required by regulatory and environmental standards to ensure long-term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containment. These requirements are driven by both regulatory mandates and industry best practices to ensure long-term environmental safety and mitigate the risk of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leakage.</w:t>
      </w:r>
    </w:p>
    <w:p>
      <w:pPr>
        <w:spacing w:after="0" w:line="19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Additionally, during the first quarter of 2025, certain operating lease agreements were amended, resulting in changes to the terms of property restitution. As a result of these amendments, the Company recognized new AROs and corresponding assets.</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capitalized ARO costs included in property, plant, and equipment are depreciated over the shorter of the useful life of the related asset or the term of the associated lease. ARO liabilities are accreted over time using the credit-adjusted risk-free rate applied at initial recognition and recorded in operations expense on the Condensed Consolidated Statement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for Redeemable Non-Controlling Interest</w:t>
      </w:r>
    </w:p>
    <w:p>
      <w:pPr>
        <w:spacing w:after="0" w:line="225"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acquisition of Red Trail Energy, Gevo Intermediate Holdco entered into a membership subscription agreement with OIC, pursuant to which OIC purchased equity units. The subscription agreement includes put and call options (the "Put/Call Option") related to the non-controlling interest. Specifically, the Company has the right to issue a call option to purchase all outstanding units, and OIC holds a put option requiring the Company to purchase the outstanding units at fair value. These options are exercisable for a period of three years (the "Option Period") following the date on which all indebtedness under the Credit Agreement has been paid.</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Under applicable accounting guidance, an equity instrument that is redeemable for cash or other assets must be classified outside of permanent equity if it is redeemable (a) at a fixed or determinable price on a fixed or determinable date, (b) at the option of the holder, or</w:t>
      </w:r>
    </w:p>
    <w:p>
      <w:pPr>
        <w:jc w:val="both"/>
        <w:ind w:right="260" w:firstLine="8"/>
        <w:spacing w:after="0" w:line="255" w:lineRule="auto"/>
        <w:tabs>
          <w:tab w:leader="none" w:pos="2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 event not solely within the control of the issuer. As a result of the Put/Call Option feature, the Company has classified the non-controlling interest as redeemable and reported it within temporary equity on the Consolidated Balance Sheets, initially at its fair value as of the acquisition date.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redeemable non-controlling interest is adjusted each reporting period to reflect income (or loss) attributable to the redeemable non-controlling interest, as well as any applicable distributions. A measurement period adjustment, if necessary, is made to adjust the redeemable non-controlling interest to the higher of its redemption value (fair value) or carrying value as of each reporting date. These fair value adjustments are recognized through equity and are not reflected in the Company's Consolidated Statements of Income.</w:t>
      </w:r>
    </w:p>
    <w:p>
      <w:pPr>
        <w:spacing w:after="0" w:line="180"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For earnings per share calculations, the Company adjusts net income attributable to the Company for the measurement period adjustment to the extent the redemption value exceeds the fair value of the redeemable non-controlling interest on a cumulative basis.</w:t>
      </w:r>
    </w:p>
    <w:p>
      <w:pPr>
        <w:spacing w:after="0" w:line="16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redeemable non-controlling interest is determined using a combination of the income approach (specifically, a discounted cash flow analysis) and the market approach (using the guideline public company method). As of March 31, 2025, the fair value of the redeemable non-controlling interest is estimated to be equal to its carrying amount.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Not Yet Adopted Accounting Pronouncements</w:t>
      </w:r>
    </w:p>
    <w:p>
      <w:pPr>
        <w:spacing w:after="0" w:line="227"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December 2023, the FASB issued ASU 2023-09, Income Taxes (Topic 740): Improvements to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("ASU 2023-09").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Early adoption is permitted. A public entity should apply the amendments in ASU 2023-09 prospectively to all annual periods beginning after December 15, 2024. The Company is currently evaluating the impact of this standard on our consolidated financial statements and related disclosures.</w:t>
      </w:r>
    </w:p>
    <w:p>
      <w:pPr>
        <w:spacing w:after="0" w:line="18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Income Statement Disclosures. </w:t>
      </w:r>
      <w:r>
        <w:rPr>
          <w:rFonts w:ascii="Times New Roman" w:cs="Times New Roman" w:eastAsia="Times New Roman" w:hAnsi="Times New Roman"/>
          <w:sz w:val="18"/>
          <w:szCs w:val="18"/>
          <w:color w:val="auto"/>
        </w:rPr>
        <w:t>In November 2024, the FASB issued ASU No. 2024-03, Income Statement—Reporting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Income—Expense Disaggregation Disclosures (Subtopic 220-40) ("ASU 2024-03"). ASU 2024-03 will require companies to disaggregate, within the notes to the financial statements, certain expenses presented on the face of the financial statements to enhance transparency and help investors better understand an entity's performance. The amendment will specifically require that an entity disclose the amounts related to purchases of inventory, employee compensation, depreciation and intangible asset amortization. Entities will also be required to provide a qualitative description of the amounts remaining in relevant expense captions that are not separately disaggregated quantitatively, disclose the total amount of selling expenses and, in annual reporting periods, provide a definition of what constitutes selling expenses. The amendments in ASU 2024-03 are effective for fiscal years beginning after December 15, 2026, and interim periods within fiscal years beginning after December 15, 2027, with early adoption permitted. The Company is currently evaluating the impact of the adoption of ASU 2024-03 on the Company’s financial statement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Segment Reporting. </w:t>
      </w:r>
      <w:r>
        <w:rPr>
          <w:rFonts w:ascii="Times New Roman" w:cs="Times New Roman" w:eastAsia="Times New Roman" w:hAnsi="Times New Roman"/>
          <w:sz w:val="18"/>
          <w:szCs w:val="18"/>
          <w:color w:val="auto"/>
        </w:rPr>
        <w:t>In November 2023, the FASB issued ASU 2023-07, Segment Reporting (Topic 280): Improvements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Reportable Segment Disclosures (“ASU 2023-07”). ASU 2023-07 would enhance disclosures for significant segment expenses for all public entities required to report segment information in accordance with ASC 280. ASC 280 requires a public entity to report for each reportable segment a measure of segment profit or loss that its chief operating decision maker (“CODM”) uses to assess segment performance and to make decisions about resource allocations. The amendments in ASU 2023-07 improve financial reporting by requiring disclosure of incremental segment information on an annual and interim basis for all public entities to enable investors to develop more useful financial analyses. Currently, Topic 280 requires that a public entity disclose certain information about its reportable segments. For example, a public entity is required to report a measure of segment profit or loss that the CODM uses to assess segment performance and make decisions about allocating resources. ASC 280 also requires other specified segment items and amounts such as depreciation, amortization and depletion expense to be disclosed under certain circumstances. The amendments in ASU 2023-07 do not change or remove those disclosure requirements. The amendments in ASU 2023-07 also do not change how a public entity identifies its operating segments, aggregates those operating segments, or applies the quantitative thresholds to determine its reportable segments. The amendments in ASU 2023-07 are effective for fiscal years beginning after December 15, 2023, and interim periods within fiscal years beginning after December 15, 2024. Early adoption is permitted. A public entity should apply the amendments in ASU 2023-07 retrospectively to all prior periods presented in the financial statements. The Company adopted this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1"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guidance in the fourth quarter of 2024. The requirements of this ASU are disclosure-related and did not have an impact on the Company’s consolidated financial statements and results of operations. See Note 22, Segments, for the updated segment disclosures.</w:t>
      </w:r>
    </w:p>
    <w:p>
      <w:pPr>
        <w:spacing w:after="0" w:line="136"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 Trail Energy Asset Purchase Agreement</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September 10, 2024, Gevo and its subsidiaries entered into an Asset Purchase Agreement (the “Red Trail Purchase Agreement”) with Red Trail Energy to acquire substantially all of its assets and assume certain liabilities. The acquisition was completed on January 31, 2025 (the “Closing Date”). The acquired assets are now known as “Gevo North Dakota.” Gevo’s acquisition of Red Trail Energy was a strategic move aimed at accelerating its production of renewable fuels, particularly SAF, while also enabling additional co-located projects. This acquisition aligns with Gevo’s broader goal of reducing carbon emissions and promoting sustainability in the energy and transportation sectors. Furthermore, the acquisition grants access to critical CCS assets, which will bolster Gevo’s mission to permanently sequester biogenic CO2. This enhancement of its carbon management capabilities positions Gevo to meet the growing global demand for low-carbon, high-quality products, and strengthens its role in the transition to a more sustainable economy.</w:t>
      </w:r>
    </w:p>
    <w:p>
      <w:pPr>
        <w:spacing w:after="0" w:line="192"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The transaction met the requirements to be considered a business combination under FASB ASC 805: Business Combinations (“ASC 805”). The assets and liabilities acquired from the Seller, affected for preliminary adjustments to reflect the fair market values assigned to assets purchased and liabilities assumed, and results of operations, are included in the Company’s consolidated financial statements from the Closing Date. The Company has allocated the purchase price to the tangible and identifiable intangible assets and liabilities assumed based on their estimated fair market values at the Closing Date as required under ASC 805.</w:t>
      </w:r>
    </w:p>
    <w:p>
      <w:pPr>
        <w:spacing w:after="0" w:line="18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Red Trail Purchase Agreement was accounted for using the acquisition method of accounting. The purchase price per the Red Trail Purchase Agreement was $210 million and was adjusted to $208.4 million at the Closing Date, based on minor adjustments to the purchase price and an estimated working capital adjustment (the “Purchase Price”). The Purchase Price will be adjusted further based on the final working capital amount compared to the estimated working capital amount. The Purchase Price was funded through a combination of $103.9 million in cash, of which $10.0 million was paid in escrow in 2024, $99.5 million senior secured term loan facility, net of discount and financing costs, and $5.0 million in equity from OIC.</w:t>
      </w:r>
    </w:p>
    <w:p>
      <w:pPr>
        <w:spacing w:after="0" w:line="18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Company incurred approximately $4.4 million of direct acquisition-related expenditures for the three months ended March 31, 2025, which are recognized in General and administrative expense in the Condensed Consolidated Statements of Operations.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fair values of the assets acquired and liabilities assumed in connection with the Red Trail Purchase Agreement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Red Trail</w:t>
            </w:r>
          </w:p>
        </w:tc>
      </w:tr>
      <w:tr>
        <w:trPr>
          <w:trHeight w:val="216"/>
        </w:trPr>
        <w:tc>
          <w:tcPr>
            <w:tcW w:w="7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Purchase Agreement</w:t>
            </w:r>
          </w:p>
        </w:tc>
      </w:tr>
      <w:tr>
        <w:trPr>
          <w:trHeight w:val="199"/>
        </w:trPr>
        <w:tc>
          <w:tcPr>
            <w:tcW w:w="78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2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w:t>
            </w:r>
          </w:p>
        </w:tc>
      </w:tr>
      <w:tr>
        <w:trPr>
          <w:trHeight w:val="216"/>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0"/>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110,841</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46,300</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37,814</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 use assets (operating and finance)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16"/>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9"/>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 acquired</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213,094</w:t>
            </w:r>
          </w:p>
        </w:tc>
      </w:tr>
      <w:tr>
        <w:trPr>
          <w:trHeight w:val="20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(operating and finance)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09"/>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(operating and finance)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16"/>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10"/>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r>
      <w:tr>
        <w:trPr>
          <w:trHeight w:val="210"/>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 acquired and liabilities assumed</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208,371</w:t>
            </w:r>
          </w:p>
        </w:tc>
      </w:tr>
      <w:tr>
        <w:trPr>
          <w:trHeight w:val="20"/>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purchase price allocation is preliminary and subject to change during the measurement period, which is not to exceed one year from the Closing Date. When the valuation is final, changes to the valuation of acquired assets and liabilities could result in adjustments to identified intangibles and goodwill.</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Fair Value of Net Assets Acquired and Intangibles</w:t>
      </w:r>
    </w:p>
    <w:p>
      <w:pPr>
        <w:spacing w:after="0" w:line="22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assets and liabilities were recorded at their respective fair values as of the Closing Date. The Company marked the inventory to fair value based on the market prices adjusted for various factors. The property, plant and equipment assets were valued using the cost and market approaches as of the acquisition date. The Company developed the fair value of the customer-related intangible assets, using the multi-period excess earnings method. For all other major assets and liabilities acquired, the Company determined that book value approximated fair value. Goodwill represents the future economic benefits that the Company expects to achieve as a result of the acquisition of the human capital and assets acquired. The goodwill resulting from this acquisition is expected to be deductible for tax purposes. The fair value of net assets acquired, intangibles, and goodwill, was assigned to the Company’s Gevo North Dakota segment.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intangible assets acquired in the Red Trail Purchase Agreement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Red Trail</w:t>
            </w:r>
          </w:p>
        </w:tc>
        <w:tc>
          <w:tcPr>
            <w:tcW w:w="2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Purchase Agreement</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9"/>
        </w:trPr>
        <w:tc>
          <w:tcPr>
            <w:tcW w:w="3440" w:type="dxa"/>
            <w:vAlign w:val="bottom"/>
            <w:tcBorders>
              <w:bottom w:val="single" w:sz="8" w:color="CCEEFF"/>
            </w:tcBorders>
          </w:tcPr>
          <w:p>
            <w:pPr>
              <w:spacing w:after="0"/>
              <w:rPr>
                <w:sz w:val="17"/>
                <w:szCs w:val="17"/>
                <w:color w:val="auto"/>
              </w:rPr>
            </w:pPr>
          </w:p>
        </w:tc>
        <w:tc>
          <w:tcPr>
            <w:tcW w:w="35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Customer-related intangible</w:t>
            </w:r>
          </w:p>
        </w:tc>
        <w:tc>
          <w:tcPr>
            <w:tcW w:w="3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5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46,300</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520" w:type="dxa"/>
            <w:vAlign w:val="bottom"/>
            <w:vMerge w:val="restart"/>
          </w:tcPr>
          <w:p>
            <w:pPr>
              <w:jc w:val="right"/>
              <w:ind w:right="181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44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Pro Forma Financial Information</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pro forma financial information (in thousands) presented in the following table was computed by combining the historical financial information of Gevo along with the effects from business combination accounting and the associated debt resulting from this acquisition as if the companies were combined on January 1, 2024. This information is presented for informational purposes only and is not necessarily indicative of the operating results that would have occurred if the acquisition had been consummated as of that date. This information should not be used as a predictive measure of our future financial position, results of operations, or liquidity.</w:t>
      </w:r>
    </w:p>
    <w:p>
      <w:pPr>
        <w:spacing w:after="0" w:line="19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7620</wp:posOffset>
            </wp:positionV>
            <wp:extent cx="2091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ind w:left="7240"/>
        <w:spacing w:after="0"/>
        <w:tabs>
          <w:tab w:leader="none" w:pos="89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20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190"/>
        </w:trPr>
        <w:tc>
          <w:tcPr>
            <w:tcW w:w="42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Total operating revenues</w:t>
            </w:r>
          </w:p>
        </w:tc>
        <w:tc>
          <w:tcPr>
            <w:tcW w:w="24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43,648</w:t>
            </w:r>
          </w:p>
        </w:tc>
        <w:tc>
          <w:tcPr>
            <w:tcW w:w="720" w:type="dxa"/>
            <w:vAlign w:val="bottom"/>
            <w:gridSpan w:val="2"/>
            <w:shd w:val="clear" w:color="auto" w:fill="CCEEFF"/>
          </w:tcPr>
          <w:p>
            <w:pPr>
              <w:jc w:val="right"/>
              <w:ind w:right="4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38,025</w:t>
            </w: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(20,574)</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(25,281)</w:t>
            </w:r>
          </w:p>
        </w:tc>
      </w:tr>
    </w:tbl>
    <w:p>
      <w:pPr>
        <w:spacing w:after="0" w:line="200" w:lineRule="exact"/>
        <w:rPr>
          <w:sz w:val="20"/>
          <w:szCs w:val="20"/>
          <w:color w:val="auto"/>
        </w:rPr>
      </w:pPr>
    </w:p>
    <w:p>
      <w:pPr>
        <w:spacing w:after="0" w:line="218"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 from Contracts with Customers and Other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Ethanol and Related Products</w:t>
      </w:r>
    </w:p>
    <w:p>
      <w:pPr>
        <w:spacing w:after="0" w:line="22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recognizes revenue from sales of ethanol and co-products at the point in time when the performance obligations in the Company's contracts with customers are met, which is when the customer obtains control of such products and typically occurs upon shipment (depending on the terms of the underlying contracts). Revenue is measured as the amount of consideration expected to be received in exchange for transferring goods or providing services. In some instances, the Company enters into contracts with customers that contain multiple performance obligations to deliver specified volumes of co-products over a contractual period of less than 12 months. In such instances, the Company allocates the transaction price to each performance obligation identified in the contract based on relative standalone selling prices and recognizes the related revenue when control of each individual product is transferred to the customer in satisfaction of the corresponding performance obligation.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RNG and Environmental Attribute Revenue</w:t>
      </w:r>
    </w:p>
    <w:p>
      <w:pPr>
        <w:spacing w:after="0" w:line="22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Company’s recognized revenue from the sale of RNG and related environmental attributes are produced at the NW Iowa RNG facility under long-term contracts with customers. Revenue is recognized at a point in time when the Company transfers the product to its customer. The customer obtains control of the product upon RNG delivery into gas pipeline system, whereas the title and control for the environmental attributes are transferred to the customer subsequent to the issuance of such attributes by the relevant regulatory agency. The Company generally has multiple performance obligations in our arrangements with customers. The Company’s performance obligation related to the sales of RNG and related environmental attributes are satisfied at a point in time upon delivery to the customer. Revenue is measured as the amount of consideration the Company expects to receive in exchange for transferring its products. There is no variable consideration present in the Company’s performance obligations. Consideration for each transaction is based upon quoted market prices at the time of delivery. All material contracts have payment terms of between one to three months and there are no return or refund rights.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Revenue</w:t>
      </w:r>
    </w:p>
    <w:p>
      <w:pPr>
        <w:spacing w:after="0" w:line="22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limited revenues from the sale of isooctane and software services during the three months ended March 31, 2025 and 2024. The isooctane was sold on a free-on-board shipping point basis (recognized at a point in time), were independent transactions, did not provide post-sale support or promises to deliver future goods, and were single performance obligations.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displays the Company’s revenue by major source based on product type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20" w:type="dxa"/>
            <w:vAlign w:val="bottom"/>
            <w:vMerge w:val="restart"/>
          </w:tcPr>
          <w:p>
            <w:pPr>
              <w:ind w:left="2740"/>
              <w:spacing w:after="0"/>
              <w:rPr>
                <w:sz w:val="20"/>
                <w:szCs w:val="20"/>
                <w:color w:val="auto"/>
              </w:rPr>
            </w:pPr>
            <w:r>
              <w:rPr>
                <w:rFonts w:ascii="Times New Roman" w:cs="Times New Roman" w:eastAsia="Times New Roman" w:hAnsi="Times New Roman"/>
                <w:sz w:val="14"/>
                <w:szCs w:val="14"/>
                <w:b w:val="1"/>
                <w:bCs w:val="1"/>
                <w:color w:val="auto"/>
              </w:rPr>
              <w:t>Major Goods/Service Line</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1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Ethanol</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Ethanol related products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attributes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Renewable natural gas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revenue</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Contract Assets, Current Liabilities, and Trade Receivables. </w:t>
      </w:r>
      <w:r>
        <w:rPr>
          <w:rFonts w:ascii="Times New Roman" w:cs="Times New Roman" w:eastAsia="Times New Roman" w:hAnsi="Times New Roman"/>
          <w:sz w:val="18"/>
          <w:szCs w:val="18"/>
          <w:color w:val="auto"/>
        </w:rPr>
        <w:t>During the three months ended March 31, 2025 and 2024, there were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assets or liabilities as all customer amounts owed to the Company are unconditional and the Company does not receive payment in advance for its products. Accordingly, amounts owed by customers are included in “Trade accounts receivable, net” on the Company’s Condensed Consolidated Balance Sheets. In addition, due to the nature of the Company’s contracts, there are no costs incurred or to be paid in the future that qualify for asset recognition as a cost to fulfill or obtain a contract. No allowance for credit losses was recorded for each of the three months ended March 31, 2025 and 2024.</w:t>
      </w:r>
    </w:p>
    <w:p>
      <w:pPr>
        <w:spacing w:after="0" w:line="180"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 average number of common shares outstanding for the respective periods. Diluted net loss per share is calculated using the diluted weighted average number of common shares outstanding, which includes the effect of potentially dilutive securities. These potentially dilutive securities for this calculation consist of unexercised warrants, stock options and unvested restricted stock awards, all of which are measured using the treasury stock method and only those instruments that result in a reduction in net income per common share or an increase in net loss per common share are included in the calculation. Potentially dilutive securities are not considered to be dilutive in periods in which a net loss is reported. See Note 16, Stock-Based Compensation, for discussion of our stock options and restricted stock awards and Note 20, Stockholders’ Equity, for discussion of our warrants.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Basic and diluted net loss per share is calculated as follows (net loss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3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(21,728)</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(18,875)</w:t>
            </w:r>
          </w:p>
        </w:tc>
      </w:tr>
      <w:tr>
        <w:trPr>
          <w:trHeight w:val="216"/>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232,027,993</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240,844,334</w:t>
            </w:r>
          </w:p>
        </w:tc>
      </w:tr>
      <w:tr>
        <w:trPr>
          <w:trHeight w:val="210"/>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0"/>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potentially dilutive securities excluded from the calculation of diluted weighted average shares outstanding because they were anti-dilutive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3540" w:type="dxa"/>
            <w:vAlign w:val="bottom"/>
            <w:tcBorders>
              <w:bottom w:val="single" w:sz="8" w:color="auto"/>
            </w:tcBorders>
            <w:gridSpan w:val="3"/>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380" w:type="dxa"/>
            <w:vAlign w:val="bottom"/>
            <w:tcBorders>
              <w:bottom w:val="single" w:sz="8" w:color="CCEEFF"/>
            </w:tcBorders>
          </w:tcPr>
          <w:p>
            <w:pPr>
              <w:spacing w:after="0"/>
              <w:rPr>
                <w:sz w:val="12"/>
                <w:szCs w:val="12"/>
                <w:color w:val="auto"/>
              </w:rPr>
            </w:pPr>
          </w:p>
        </w:tc>
        <w:tc>
          <w:tcPr>
            <w:tcW w:w="1640" w:type="dxa"/>
            <w:vAlign w:val="bottom"/>
            <w:tcBorders>
              <w:bottom w:val="single" w:sz="8" w:color="auto"/>
            </w:tcBorders>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26,668</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2,121,777</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4,082,996</w:t>
            </w:r>
          </w:p>
        </w:tc>
        <w:tc>
          <w:tcPr>
            <w:tcW w:w="24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6,207,422</w:t>
            </w:r>
          </w:p>
        </w:tc>
        <w:tc>
          <w:tcPr>
            <w:tcW w:w="24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26,668</w:t>
            </w:r>
          </w:p>
        </w:tc>
      </w:tr>
      <w:tr>
        <w:trPr>
          <w:trHeight w:val="20"/>
        </w:trPr>
        <w:tc>
          <w:tcPr>
            <w:tcW w:w="63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has restricted cash balances of $69.6 million, of which $1.5 million is included in current assets and $68.2 million is included in non-current assets on the Condensed Consolidated Balance Sheet. The restricted cash consists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of amounts held as collateral for a letter of credit to provide financing support for the Company’s Remarketed Bonds, which support the development and construction of NW Iowa RNG (see Note 15, Debt). The letter of credit has a fee of 0.75% annually and expires April 6, 2026, unless terminated earlier. As of March 31, 2025, no amounts have been drawn under the Bond Letter of Credit.</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recorded interest income on the restricted cash balances of $0.7 million and $0.9 million, respectively. The interest income is included in “Other (expense) income, net” in the Condensed Consolidated Statements of Operations.</w:t>
      </w:r>
    </w:p>
    <w:p>
      <w:pPr>
        <w:spacing w:after="0" w:line="172"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components of the Company’s prepaid and other current assets (in thousands) as of:</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Corn derivative contracts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Prepaid feedstock</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r>
      <w:tr>
        <w:trPr>
          <w:trHeight w:val="209"/>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w:t>
            </w:r>
          </w:p>
        </w:tc>
      </w:tr>
      <w:tr>
        <w:trPr>
          <w:trHeight w:val="20"/>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 Right-of-Use Assets and Related Liabilities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is party to an operating lease for the Company’s office and research facility in Englewood, Colorado, which expires in January 2029, and an operating lease for additional office space in Albuquerque, New Mexico, which expires in 2025. The Company’s office facility lease contains an option to extend the lease which is not included in the length of the term as management does not reasonably expect to exercise. The additional office space lease does not contain an option to extend.</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four finance leases for land, one for a processing facility, and one for a piece of operating equipment. The land leases are for NW Iowa RNG. The Company leases land from dairy farmers on which it has built three anaerobic digesters, and a gas upgrade facility to condition raw biogas from cow manure provided by the farmers. These leases expire at various dates between 2031 and 2050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accounts for lease components separately from non-lease components for the Company’s dairy lease asset class. The total consideration in the lease agreement is allocated to the lease and non-lease components based on their relative standalone selling prices. These leases contain options to extend the leases, which management reasonably expects to exercise and are included in the length of the terms. The lease of operating equipment is to be used at NW Iowa RNG, and expires in 2025. The lease does not contain an option to extend, and contains a purchase option upon termination that the Company expects to exercise.</w:t>
      </w:r>
    </w:p>
    <w:p>
      <w:pPr>
        <w:spacing w:after="0" w:line="1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August 2024, the Company entered into an amendment that extended the term of an existing agreement to use a third-party processing facility beyond the previous 12 month term, which resulted in the agreement being recorded as a lease. The agreement for the leased facility expires in 2025, with no option to extend the lease term. Lease amortization for the third-party processing facility was recorded as a component of Project development costs on the Condensed Consolidated Statement of Operations prior to the signing of a customer offtake agreement in August 2024, and after which it is included as a component of work-in-progress inventory, to be expended as a component of Cost of production as sales are made in future periods.</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Company’s acquisition of Red Trail Energy, the Company assumed rail car lease agreements used to transport dried distillers grains, all of which are classified as operating leases. As these agreements did not specify an implicit interest rate, the Company utilized its estimated incremental borrowing rate to calculate the present value of future minimum lease payments in accordance with purchase accounting requirements as of the acquisition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1" w:lineRule="exact"/>
        <w:rPr>
          <w:sz w:val="20"/>
          <w:szCs w:val="20"/>
          <w:color w:val="auto"/>
        </w:rPr>
      </w:pPr>
    </w:p>
    <w:p>
      <w:pPr>
        <w:ind w:right="40" w:firstLine="324"/>
        <w:spacing w:after="0" w:line="312" w:lineRule="auto"/>
        <w:rPr>
          <w:sz w:val="20"/>
          <w:szCs w:val="20"/>
          <w:color w:val="auto"/>
        </w:rPr>
      </w:pPr>
      <w:r>
        <w:rPr>
          <w:rFonts w:ascii="Times New Roman" w:cs="Times New Roman" w:eastAsia="Times New Roman" w:hAnsi="Times New Roman"/>
          <w:sz w:val="17"/>
          <w:szCs w:val="17"/>
          <w:color w:val="auto"/>
        </w:rPr>
        <w:t>The following tables present the (i) costs by lease category, (ii) other quantitative information, and (iii) future minimum payments under non-cancelable financing and operating leases as they relate to the Company’s leases (in thousands, except for weighted averages):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1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r>
      <w:tr>
        <w:trPr>
          <w:trHeight w:val="210"/>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cost</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r>
      <w:tr>
        <w:trPr>
          <w:trHeight w:val="229"/>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 expense:</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r>
      <w:tr>
        <w:trPr>
          <w:trHeight w:val="230"/>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7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tcPr>
          <w:p>
            <w:pPr>
              <w:spacing w:after="0"/>
              <w:rPr>
                <w:sz w:val="19"/>
                <w:szCs w:val="19"/>
                <w:color w:val="auto"/>
              </w:rPr>
            </w:pPr>
          </w:p>
        </w:tc>
      </w:tr>
      <w:tr>
        <w:trPr>
          <w:trHeight w:val="209"/>
        </w:trPr>
        <w:tc>
          <w:tcPr>
            <w:tcW w:w="6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expense</w:t>
            </w:r>
          </w:p>
        </w:tc>
        <w:tc>
          <w:tcPr>
            <w:tcW w:w="7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575"/>
        </w:trPr>
        <w:tc>
          <w:tcPr>
            <w:tcW w:w="6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1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r>
      <w:tr>
        <w:trPr>
          <w:trHeight w:val="20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0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r>
      <w:tr>
        <w:trPr>
          <w:trHeight w:val="216"/>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8"/>
                <w:szCs w:val="18"/>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cash flows from finance leases</w:t>
            </w:r>
          </w:p>
        </w:tc>
        <w:tc>
          <w:tcPr>
            <w:tcW w:w="10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 obtained in exchange for new finance lease liabilities</w:t>
            </w:r>
          </w:p>
        </w:tc>
        <w:tc>
          <w:tcPr>
            <w:tcW w:w="10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asset obtained in exchange for new operating lease liabilities</w:t>
            </w:r>
          </w:p>
        </w:tc>
        <w:tc>
          <w:tcPr>
            <w:tcW w:w="10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8"/>
                <w:szCs w:val="18"/>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remaining lease term, finance lease (months)</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tcPr>
          <w:p>
            <w:pPr>
              <w:spacing w:after="0"/>
              <w:rPr>
                <w:sz w:val="18"/>
                <w:szCs w:val="18"/>
                <w:color w:val="auto"/>
              </w:rPr>
            </w:pPr>
          </w:p>
        </w:tc>
      </w:tr>
      <w:tr>
        <w:trPr>
          <w:trHeight w:val="216"/>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remaining lease term, operating leases (months)</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spacing w:after="0"/>
              <w:rPr>
                <w:sz w:val="18"/>
                <w:szCs w:val="18"/>
                <w:color w:val="auto"/>
              </w:rPr>
            </w:pPr>
          </w:p>
        </w:tc>
      </w:tr>
      <w:tr>
        <w:trPr>
          <w:trHeight w:val="216"/>
        </w:trPr>
        <w:tc>
          <w:tcPr>
            <w:tcW w:w="618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Weighted-average discount rate - finance leases </w:t>
            </w:r>
            <w:r>
              <w:rPr>
                <w:rFonts w:ascii="Times New Roman" w:cs="Times New Roman" w:eastAsia="Times New Roman" w:hAnsi="Times New Roman"/>
                <w:sz w:val="25"/>
                <w:szCs w:val="25"/>
                <w:color w:val="auto"/>
                <w:vertAlign w:val="superscript"/>
              </w:rPr>
              <w:t>(1)</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12 %</w:t>
            </w:r>
          </w:p>
        </w:tc>
      </w:tr>
      <w:tr>
        <w:trPr>
          <w:trHeight w:val="216"/>
        </w:trPr>
        <w:tc>
          <w:tcPr>
            <w:tcW w:w="618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Weighted-average discount rate - operating leases </w:t>
            </w:r>
            <w:r>
              <w:rPr>
                <w:rFonts w:ascii="Times New Roman" w:cs="Times New Roman" w:eastAsia="Times New Roman" w:hAnsi="Times New Roman"/>
                <w:sz w:val="25"/>
                <w:szCs w:val="25"/>
                <w:color w:val="auto"/>
                <w:vertAlign w:val="superscript"/>
              </w:rPr>
              <w:t>(1)</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6 %</w:t>
            </w:r>
          </w:p>
        </w:tc>
      </w:tr>
    </w:tbl>
    <w:p>
      <w:pPr>
        <w:spacing w:after="0" w:line="198" w:lineRule="exact"/>
        <w:rPr>
          <w:sz w:val="20"/>
          <w:szCs w:val="20"/>
          <w:color w:val="auto"/>
        </w:rPr>
      </w:pPr>
    </w:p>
    <w:p>
      <w:pPr>
        <w:ind w:left="340" w:right="60" w:hanging="332"/>
        <w:spacing w:after="0" w:line="261"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our leases do not provide an implicit interest rate, we calculate the lease liability at lease commencement as the present value of unpaid lease payments using our estimated incremental borrowing rate. The incremental borrowing rate represents the rate of interest that we would have to pay to borrow an amount equal to the lease payments on a collateralized basis over a similar term and is determined using a portfolio approach based on information available at the commencement date of the lease.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Borders>
              <w:bottom w:val="single" w:sz="8" w:color="CCEEFF"/>
            </w:tcBorders>
          </w:tcPr>
          <w:p>
            <w:pPr>
              <w:spacing w:after="0"/>
              <w:rPr>
                <w:sz w:val="15"/>
                <w:szCs w:val="15"/>
                <w:color w:val="auto"/>
              </w:rPr>
            </w:pPr>
          </w:p>
        </w:tc>
        <w:tc>
          <w:tcPr>
            <w:tcW w:w="28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28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amounts representing present value discounts</w:t>
            </w:r>
          </w:p>
        </w:tc>
        <w:tc>
          <w:tcPr>
            <w:tcW w:w="28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8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2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84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42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2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7"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Inventory is valued at the lower of cost or net realizable value. The following table sets forth the components of the Company’s inventory balances (in thousands) as of:</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5"/>
                <w:szCs w:val="15"/>
                <w:color w:val="auto"/>
              </w:rPr>
            </w:pPr>
          </w:p>
        </w:tc>
        <w:tc>
          <w:tcPr>
            <w:tcW w:w="15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Biofuels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Environmental attributes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Biofuels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Spare parts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09"/>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16,787</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w:t>
            </w:r>
          </w:p>
        </w:tc>
      </w:tr>
      <w:tr>
        <w:trPr>
          <w:trHeight w:val="20"/>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has entered into forward corn purchase contracts under which it is required to take delivery at the contract price. At the time the contracts were created, the price of the contract approximated market price. Subsequent changes in market conditions could cause the contract prices to become higher or lower than market prices. As of March 31, 2025, the average price of corn purchased under certain fixed price contracts, that had not yet been delivered, was lower than the approximated market price. Based on this information, the Company has no estimated loss on firm purchase commitments for the three months ended March 31, 2025 and 2024, respectively. Any loss is recorded in “Loss on firm purchase commitments” on the Condensed Consolidated Statement of Operations and "Accrued loss on firm purchase commitments" on the Condensed Consolidated Balance Sheets. The amount of potential loss was determined by applying a methodology similar to that used in the impairment valuation with respect to inventory. Given the uncertainty of future ethanol prices, future losses on the outstanding purchase commitments could be recorded in future periods.</w:t>
      </w:r>
    </w:p>
    <w:p>
      <w:pPr>
        <w:spacing w:after="0" w:line="211"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Company uses corn commodity-based derivative financial instruments to manage the exposure to price risk related to corn purchases. The Company does not apply hedge accounting. Accordingly, these derivative contracts are recorded on the Company’s balance sheet at fair value and changes in fair value are recognized in Cost of production on the Condensed Consolidated Statements of Operations. Changes in fair value are recognized as non-cash adjustments on the Condensed Consolidated Statement of Cash Flows.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details regarding the Company's derivative financial instruments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Contract Type</w:t>
            </w:r>
          </w:p>
        </w:tc>
        <w:tc>
          <w:tcPr>
            <w:tcW w:w="1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gridSpan w:val="2"/>
            <w:vMerge w:val="continue"/>
          </w:tcPr>
          <w:p>
            <w:pPr>
              <w:spacing w:after="0"/>
              <w:rPr>
                <w:sz w:val="12"/>
                <w:szCs w:val="12"/>
                <w:color w:val="auto"/>
              </w:rPr>
            </w:pPr>
          </w:p>
        </w:tc>
        <w:tc>
          <w:tcPr>
            <w:tcW w:w="148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 of Contracts</w:t>
            </w:r>
          </w:p>
        </w:tc>
        <w:tc>
          <w:tcPr>
            <w:tcW w:w="2300" w:type="dxa"/>
            <w:vAlign w:val="bottom"/>
            <w:gridSpan w:val="2"/>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Notional Amount (Qty)</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Corn options</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2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6,455,000  bushels</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fair value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gain (loss) recognized in income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26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Location of gain (loss) in fair value</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04"/>
        </w:trPr>
        <w:tc>
          <w:tcPr>
            <w:tcW w:w="388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Statement of Operations Income/(Expense)</w:t>
            </w:r>
          </w:p>
        </w:tc>
        <w:tc>
          <w:tcPr>
            <w:tcW w:w="26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vMerge w:val="restart"/>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3880" w:type="dxa"/>
            <w:vAlign w:val="bottom"/>
            <w:vMerge w:val="continue"/>
          </w:tcPr>
          <w:p>
            <w:pPr>
              <w:spacing w:after="0"/>
              <w:rPr>
                <w:sz w:val="15"/>
                <w:szCs w:val="15"/>
                <w:color w:val="auto"/>
              </w:rPr>
            </w:pPr>
          </w:p>
        </w:tc>
        <w:tc>
          <w:tcPr>
            <w:tcW w:w="26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recognized in income</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Corn derivative instruments</w:t>
            </w:r>
          </w:p>
        </w:tc>
        <w:tc>
          <w:tcPr>
            <w:tcW w:w="2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production</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fair value</w:t>
            </w: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40" w:type="dxa"/>
            <w:vAlign w:val="bottom"/>
            <w:gridSpan w:val="2"/>
            <w:vMerge w:val="restart"/>
          </w:tcPr>
          <w:p>
            <w:pPr>
              <w:jc w:val="right"/>
              <w:ind w:right="137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3880" w:type="dxa"/>
            <w:vAlign w:val="bottom"/>
          </w:tcPr>
          <w:p>
            <w:pPr>
              <w:spacing w:after="0"/>
              <w:rPr>
                <w:sz w:val="24"/>
                <w:szCs w:val="24"/>
                <w:color w:val="auto"/>
              </w:rPr>
            </w:pPr>
          </w:p>
        </w:tc>
        <w:tc>
          <w:tcPr>
            <w:tcW w:w="26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7"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Company’s property, plant and equipment by classification (in thousands) as of:</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Plant facilities and infrastructure</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106,333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74,255</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150,527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79,637</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r>
      <w:tr>
        <w:trPr>
          <w:trHeight w:val="216"/>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165,115</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154,272</w:t>
            </w:r>
          </w:p>
        </w:tc>
      </w:tr>
      <w:tr>
        <w:trPr>
          <w:trHeight w:val="209"/>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443,538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322,954</w:t>
            </w:r>
          </w:p>
        </w:tc>
      </w:tr>
      <w:tr>
        <w:trPr>
          <w:trHeight w:val="216"/>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(104,468)</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(101,312)</w:t>
            </w:r>
          </w:p>
        </w:tc>
      </w:tr>
      <w:tr>
        <w:trPr>
          <w:trHeight w:val="210"/>
        </w:trPr>
        <w:tc>
          <w:tcPr>
            <w:tcW w:w="5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339,070</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221,642</w:t>
            </w:r>
          </w:p>
        </w:tc>
      </w:tr>
      <w:tr>
        <w:trPr>
          <w:trHeight w:val="20"/>
        </w:trPr>
        <w:tc>
          <w:tcPr>
            <w:tcW w:w="5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recorded depreciation expense of $2.9 million and $4.0 million, respectively. The Company’s Construction in progress primarily relates to our ATJ projects, in particular engineering work, design work and modularization.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Intangible Assets and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w:t>
      </w:r>
    </w:p>
    <w:p>
      <w:pPr>
        <w:spacing w:after="0" w:line="225" w:lineRule="exact"/>
        <w:rPr>
          <w:sz w:val="20"/>
          <w:szCs w:val="20"/>
          <w:color w:val="auto"/>
        </w:rPr>
      </w:pPr>
    </w:p>
    <w:p>
      <w:pPr>
        <w:ind w:right="20" w:firstLine="324"/>
        <w:spacing w:after="0" w:line="274" w:lineRule="auto"/>
        <w:rPr>
          <w:sz w:val="20"/>
          <w:szCs w:val="20"/>
          <w:color w:val="auto"/>
        </w:rPr>
      </w:pPr>
      <w:r>
        <w:rPr>
          <w:rFonts w:ascii="Times New Roman" w:cs="Times New Roman" w:eastAsia="Times New Roman" w:hAnsi="Times New Roman"/>
          <w:sz w:val="17"/>
          <w:szCs w:val="17"/>
          <w:color w:val="auto"/>
        </w:rPr>
        <w:t>Identifiable intangible assets consist of acquired patents, which management evaluates to determine whether they (i) support current products, (ii) support planned research and development, or (iii) prevent others from competing with Gevo’s products, and identifiable intangible assets. During the period, Gevo recognized approximately $46.3 million in customer-related intangible assets as part of the Red Trail Energy acquisition (see Note 2, Business Combinations, for additional information). These assets represent long-term customer relationships and commercial agreements that are expected to generate sustained revenue over time. They are being amortized over their estimated useful life of 4 years, based on the projected economic benefits derived from the underlying contracts and partnerships.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Company’s intangible assets by classification (in thousands) as of:</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Identifiable</w:t>
            </w:r>
          </w:p>
        </w:tc>
        <w:tc>
          <w:tcPr>
            <w:tcW w:w="140" w:type="dxa"/>
            <w:vAlign w:val="bottom"/>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Useful Life</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Assets, net</w:t>
            </w:r>
          </w:p>
        </w:tc>
        <w:tc>
          <w:tcPr>
            <w:tcW w:w="1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Defensive assets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Customer-related intangible assets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58,680</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52,113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Identifiable</w:t>
            </w:r>
          </w:p>
        </w:tc>
        <w:tc>
          <w:tcPr>
            <w:tcW w:w="140" w:type="dxa"/>
            <w:vAlign w:val="bottom"/>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Useful Life</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Assets, Net</w:t>
            </w:r>
          </w:p>
        </w:tc>
        <w:tc>
          <w:tcPr>
            <w:tcW w:w="1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Defensive assets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Customer-related intangible assets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12,380</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of $2.3 million and $0.3 million for the three months ended March 31, 2025 and 2024, respectively.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details the estimated amortization of identifiable intangible assets as of March 31, 2025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Patents</w:t>
            </w:r>
          </w:p>
        </w:tc>
        <w:tc>
          <w:tcPr>
            <w:tcW w:w="140" w:type="dxa"/>
            <w:vAlign w:val="bottom"/>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Defensive Assets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Developed</w:t>
            </w:r>
          </w:p>
        </w:tc>
        <w:tc>
          <w:tcPr>
            <w:tcW w:w="160" w:type="dxa"/>
            <w:vAlign w:val="bottom"/>
          </w:tcPr>
          <w:p>
            <w:pPr>
              <w:spacing w:after="0"/>
              <w:rPr>
                <w:sz w:val="13"/>
                <w:szCs w:val="13"/>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Customer-Related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Trade Name</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6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13,122</w:t>
            </w: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13,122</w:t>
            </w:r>
          </w:p>
        </w:tc>
        <w:tc>
          <w:tcPr>
            <w:tcW w:w="0" w:type="dxa"/>
            <w:vAlign w:val="bottom"/>
          </w:tcPr>
          <w:p>
            <w:pPr>
              <w:spacing w:after="0"/>
              <w:rPr>
                <w:sz w:val="1"/>
                <w:szCs w:val="1"/>
                <w:color w:val="auto"/>
              </w:rPr>
            </w:pPr>
          </w:p>
        </w:tc>
      </w:tr>
      <w:tr>
        <w:trPr>
          <w:trHeight w:val="22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0" w:type="dxa"/>
            <w:vAlign w:val="bottom"/>
          </w:tcPr>
          <w:p>
            <w:pPr>
              <w:spacing w:after="0"/>
              <w:rPr>
                <w:sz w:val="1"/>
                <w:szCs w:val="1"/>
                <w:color w:val="auto"/>
              </w:rPr>
            </w:pPr>
          </w:p>
        </w:tc>
      </w:tr>
      <w:tr>
        <w:trPr>
          <w:trHeight w:val="229"/>
        </w:trPr>
        <w:tc>
          <w:tcPr>
            <w:tcW w:w="2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10"/>
        </w:trPr>
        <w:tc>
          <w:tcPr>
            <w:tcW w:w="2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45,816</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52,113</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goodwill increased by $37.9 million, primarily as a result of the acquisition of Red Trail Energy. The increase reflects the difference between the fair value of Red Trail Energy's net assets, including intangible assets, and the purchase price, with the excess recorded as goodwill. The goodwill recognized in this acquisition is primarily attributable to expected synergies from integrating operations, as well as other factors that are not individually identifiable or separately recognized.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changes in the carrying amount of goodwill (in thousands) as of:</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Borders>
              <w:bottom w:val="single" w:sz="8" w:color="CCEEFF"/>
            </w:tcBorders>
          </w:tcPr>
          <w:p>
            <w:pPr>
              <w:spacing w:after="0"/>
              <w:rPr>
                <w:sz w:val="15"/>
                <w:szCs w:val="15"/>
                <w:color w:val="auto"/>
              </w:rPr>
            </w:pPr>
          </w:p>
        </w:tc>
        <w:tc>
          <w:tcPr>
            <w:tcW w:w="24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beginning of period</w:t>
            </w:r>
          </w:p>
        </w:tc>
        <w:tc>
          <w:tcPr>
            <w:tcW w:w="24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acquistion balance adjustments</w:t>
            </w:r>
          </w:p>
        </w:tc>
        <w:tc>
          <w:tcPr>
            <w:tcW w:w="2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end of period</w:t>
            </w:r>
          </w:p>
        </w:tc>
        <w:tc>
          <w:tcPr>
            <w:tcW w:w="24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41,605</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460" w:type="dxa"/>
            <w:vAlign w:val="bottom"/>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2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9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Deposits and Other Assets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components of the Company’s deposits and other assets (in thousands) as of:</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2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4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Prepaid feedstock</w:t>
            </w: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r>
      <w:tr>
        <w:trPr>
          <w:trHeight w:val="216"/>
        </w:trPr>
        <w:tc>
          <w:tcPr>
            <w:tcW w:w="24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Equity interest </w:t>
            </w:r>
            <w:r>
              <w:rPr>
                <w:rFonts w:ascii="Times New Roman" w:cs="Times New Roman" w:eastAsia="Times New Roman" w:hAnsi="Times New Roman"/>
                <w:sz w:val="25"/>
                <w:szCs w:val="25"/>
                <w:color w:val="auto"/>
                <w:vertAlign w:val="superscript"/>
              </w:rPr>
              <w:t>(1)</w:t>
            </w:r>
          </w:p>
        </w:tc>
        <w:tc>
          <w:tcPr>
            <w:tcW w:w="4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24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Deposits receivable </w:t>
            </w:r>
            <w:r>
              <w:rPr>
                <w:rFonts w:ascii="Times New Roman" w:cs="Times New Roman" w:eastAsia="Times New Roman" w:hAnsi="Times New Roman"/>
                <w:sz w:val="25"/>
                <w:szCs w:val="25"/>
                <w:color w:val="auto"/>
                <w:vertAlign w:val="superscript"/>
              </w:rPr>
              <w:t>(2)</w:t>
            </w: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47,737</w:t>
            </w:r>
          </w:p>
        </w:tc>
      </w:tr>
      <w:tr>
        <w:trPr>
          <w:trHeight w:val="216"/>
        </w:trPr>
        <w:tc>
          <w:tcPr>
            <w:tcW w:w="24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Earnest money deposit </w:t>
            </w:r>
            <w:r>
              <w:rPr>
                <w:rFonts w:ascii="Times New Roman" w:cs="Times New Roman" w:eastAsia="Times New Roman" w:hAnsi="Times New Roman"/>
                <w:sz w:val="25"/>
                <w:szCs w:val="25"/>
                <w:color w:val="auto"/>
                <w:vertAlign w:val="superscript"/>
              </w:rPr>
              <w:t>(3)</w:t>
            </w:r>
          </w:p>
        </w:tc>
        <w:tc>
          <w:tcPr>
            <w:tcW w:w="4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248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assets, net </w:t>
            </w:r>
            <w:r>
              <w:rPr>
                <w:rFonts w:ascii="Times New Roman" w:cs="Times New Roman" w:eastAsia="Times New Roman" w:hAnsi="Times New Roman"/>
                <w:sz w:val="25"/>
                <w:szCs w:val="25"/>
                <w:color w:val="auto"/>
                <w:vertAlign w:val="superscript"/>
              </w:rPr>
              <w:t>(4)</w:t>
            </w:r>
          </w:p>
        </w:tc>
        <w:tc>
          <w:tcPr>
            <w:tcW w:w="48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13,566</w:t>
            </w:r>
          </w:p>
        </w:tc>
      </w:tr>
      <w:tr>
        <w:trPr>
          <w:trHeight w:val="210"/>
        </w:trPr>
        <w:tc>
          <w:tcPr>
            <w:tcW w:w="2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deposits and other assets</w:t>
            </w:r>
          </w:p>
        </w:tc>
        <w:tc>
          <w:tcPr>
            <w:tcW w:w="4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69,179</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75,623</w:t>
            </w:r>
          </w:p>
        </w:tc>
      </w:tr>
      <w:tr>
        <w:trPr>
          <w:trHeight w:val="20"/>
        </w:trPr>
        <w:tc>
          <w:tcPr>
            <w:tcW w:w="24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tcPr>
          <w:p>
            <w:pPr>
              <w:spacing w:after="0"/>
              <w:rPr>
                <w:sz w:val="7"/>
                <w:szCs w:val="7"/>
                <w:color w:val="auto"/>
              </w:rPr>
            </w:pPr>
          </w:p>
        </w:tc>
      </w:tr>
    </w:tbl>
    <w:p>
      <w:pPr>
        <w:spacing w:after="0" w:line="76" w:lineRule="exact"/>
        <w:rPr>
          <w:sz w:val="20"/>
          <w:szCs w:val="20"/>
          <w:color w:val="auto"/>
        </w:rPr>
      </w:pPr>
    </w:p>
    <w:p>
      <w:pPr>
        <w:ind w:left="340" w:right="100" w:hanging="332"/>
        <w:spacing w:after="0" w:line="254"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directly holds a 3.6% interest in the Series A Preferred Stock of Zero6 Clean Energy Assets, Inc. (“Zero6”), formerly Juhl Clean Energy Assets, Inc., which is not a publicly listed entity with a readily determinable fair value. The Company therefore measures the securities at cost. Recent observable equity raises indicated no impairment issues or an increase to the carrying value. This ownership interest is also pledged as collateral against two future obligations to Rock County Wind Fuel, LLC (“RCWF”), a Zero6 subsidiary, see Note 18, Commitments and Contingencies, for additional information.</w:t>
      </w:r>
    </w:p>
    <w:p>
      <w:pPr>
        <w:spacing w:after="0" w:line="3" w:lineRule="exact"/>
        <w:rPr>
          <w:rFonts w:ascii="Times New Roman" w:cs="Times New Roman" w:eastAsia="Times New Roman" w:hAnsi="Times New Roman"/>
          <w:sz w:val="18"/>
          <w:szCs w:val="18"/>
          <w:color w:val="auto"/>
        </w:rPr>
      </w:pPr>
    </w:p>
    <w:p>
      <w:pPr>
        <w:ind w:left="340" w:right="160" w:hanging="332"/>
        <w:spacing w:after="0" w:line="250"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provided to a developer of certain wind-farm projects and power utility contractor to induce to design and construct the power generation, transmission and distribution facilities that will serve ATJ-60, $5.5 million of which will be either reimbursed or used as an investment into the wind generation facility and the remaining $44.9 million is expected to be fully reimbursed upon completion of the project. Gevo has contractual priority liens against the equipment and constructed facilities under the contracts.</w:t>
      </w:r>
    </w:p>
    <w:p>
      <w:pPr>
        <w:spacing w:after="0" w:line="1" w:lineRule="exact"/>
        <w:rPr>
          <w:rFonts w:ascii="Times New Roman" w:cs="Times New Roman" w:eastAsia="Times New Roman" w:hAnsi="Times New Roman"/>
          <w:sz w:val="18"/>
          <w:szCs w:val="18"/>
          <w:color w:val="auto"/>
        </w:rPr>
      </w:pPr>
    </w:p>
    <w:p>
      <w:pPr>
        <w:ind w:left="340" w:right="440" w:hanging="332"/>
        <w:spacing w:after="0" w:line="250"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Earnest money deposited in connection with the Red Trail Energy purchase agreement, see Note 2, Business Combinations, for additional information.</w:t>
      </w: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related to the installation of infrastructure and equipment necessary to support the feedstock processing facilities.</w:t>
      </w:r>
    </w:p>
    <w:p>
      <w:pPr>
        <w:spacing w:after="0" w:line="203"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Liabilities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components of the Company’s accounts payable and accrued liabilities (in thousands) as of:</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tcBorders>
              <w:bottom w:val="single" w:sz="8" w:color="CCEEFF"/>
            </w:tcBorders>
          </w:tcPr>
          <w:p>
            <w:pPr>
              <w:spacing w:after="0"/>
              <w:rPr>
                <w:sz w:val="15"/>
                <w:szCs w:val="15"/>
                <w:color w:val="auto"/>
              </w:rPr>
            </w:pPr>
          </w:p>
        </w:tc>
        <w:tc>
          <w:tcPr>
            <w:tcW w:w="3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construction in progress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3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0" w:type="dxa"/>
            <w:vAlign w:val="bottom"/>
          </w:tcPr>
          <w:p>
            <w:pPr>
              <w:spacing w:after="0"/>
              <w:rPr>
                <w:sz w:val="1"/>
                <w:szCs w:val="1"/>
                <w:color w:val="auto"/>
              </w:rPr>
            </w:pPr>
          </w:p>
        </w:tc>
      </w:tr>
      <w:tr>
        <w:trPr>
          <w:trHeight w:val="210"/>
        </w:trPr>
        <w:tc>
          <w:tcPr>
            <w:tcW w:w="4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3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28,770</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22,006</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140" w:type="dxa"/>
            <w:vAlign w:val="bottom"/>
            <w:vMerge w:val="restart"/>
          </w:tcPr>
          <w:p>
            <w:pPr>
              <w:jc w:val="right"/>
              <w:ind w:right="21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414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Asset Retirement Obligation</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a liability for the estimated costs associated with the retirement of certain assets that are subject to legal or contractual obligations. These assets primarily relate to the decommissioning of RNG production facilities, landfill gas recovery systems, and associated infrastructure at our RNG plant. Additionally, the Company recognizes an ARO related to the closure plan for our Class VI injection and monitoring wells at the Gevo North Dakota operation.</w:t>
      </w:r>
    </w:p>
    <w:p>
      <w:pPr>
        <w:spacing w:after="0" w:line="18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the ARO based on current regulatory requirements and historical cost data, considering appropriate inflation and discount rates for the estimated timeline of asset removal. The fair value of the estimated ARO is recorded as a long-term liability, with a corresponding increase in the carrying amount of the related asset.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asset retirement obligation (in thousands) as of:</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09"/>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 beginning of period</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 upon acquisition</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incurred</w:t>
            </w: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r>
      <w:tr>
        <w:trPr>
          <w:trHeight w:val="216"/>
        </w:trPr>
        <w:tc>
          <w:tcPr>
            <w:tcW w:w="7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9"/>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 retirement obligation, end of period</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Any changes in the assumptions used to calculate the fair value of the asset retirement obligation are recorded as an offset to the related asset. Surety bonds have been established to cover the cost of a portion of the facility closure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Bond Issuance</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April 15, 2021, on behalf of Gevo NW Iowa RNG, LLC, the Iowa Finance Authority (the “Issuer”) issued $68,155,000 of its non-recourse Solid Waste Facility Revenue Bonds (Gevo NW Iowa RNG, LLC Renewable Natural Gas Project), Series 2021 (Green Bonds) (the “2021 Bonds”) for NW Iowa RNG. The bond proceeds were used as a source of construction financing alongside equity from the Company. The 2021 Bonds were issued under a Trust Indenture dated April 1, 2021 (the “Indenture”) between the Issuer and Citibank, N.A. as trustee (the “Trustee”). The 2021 Bonds had a maturity date of January 1, 2042. The bonds bore interest at 1.5% per annum during the Initial Term Rate Period (as defined in the Indenture), payable semi-annually on January 1 and July 1 of each year. The effective interest rate was 1.1%. The 2021 Bonds were supported by the $71.2 million Bond Letter of Credit; see Note 5, Restricted Cash. The Trustee could draw sufficient amounts on the Bond Letter of Credit to pay the principal and interest until the first mandatory tender date of April 1, 2024. The 2021 Bonds were callable and re-marketable on or after October 1, 2022.</w:t>
      </w:r>
    </w:p>
    <w:p>
      <w:pPr>
        <w:spacing w:after="0" w:line="18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2021 Bonds were issued at a premium of $0.8 million and debt issuance costs were $3.0 million. The bond debt was classified as current debt and is presented net of the premium and issuance costs, which were being amortized over the life of the 2021 Bonds using the interest method. As of the Conversion Date (defined below) all premiums and debt issuance costs were fully amortized.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Bond Remarketing</w:t>
      </w:r>
    </w:p>
    <w:p>
      <w:pPr>
        <w:spacing w:after="0" w:line="185"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On April 1, 2024 (the “Conversion Date”), the 2021 Bonds became subject to mandatory tender for purchase and have been remarketed to bear interest in a new term rate period (the “Remarketed Bonds”). In connection with the conversion and remarketing of the 2021 Bonds on the Conversion Date, the original Indenture was amended by a First Supplemental Indenture dated April 1, 2024 (together with the original Indenture the “First Supplemental Indenture,”) between the Issuer and the Trustee. The original bond financing agreement was amended by a First Supplemental Bond Financing Agreement dated April 1, 2024 (together with the original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bond financing Agreement, the “First Supplemental Bond Financing Agreement”) between the Issuer and the Company. The Remarketed Bonds were accounted for as a debt extinguishment, with no gain or loss recognized from extinguishment.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Remarketed Bonds retained the same principal and maturity date of January 1, 2042. The Remarketed Bonds now bear interest of 3.875% per annum during the Initial Term Rate Period (as defined in the Indenture), payable semi-annually. The effective interest rate is 1.2%. The Company incurred $1.7 million of debt issuance costs associated with the remarketing. As of March 31, 2025, debt issuance costs net of amortization were $6.1 million.</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Remarketed Bonds are supported by a $69.6 million New Bond Letter of Credit; see Note 5, Restricted Cash, issued to the incumbent Trustee that can draw sufficient amounts on the New Bond Letter of Credit to pay the principal and interest, in case of default, until the first mandatory tender date of April 1, 2026. The Remarketed Bonds are subject to redemption and re-marketable on or after November 1, 2024. If the Remarketed Bonds have not been called and re-marketed by the first mandatory tender date, the Trustee may draw on the New Bond Letter of Credit to repay the bonds in their entirety at the purchase price. As of March 31, 2025, no amounts have been drawn under the New Bond Letter of Credit.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Agreement</w:t>
      </w:r>
    </w:p>
    <w:p>
      <w:pPr>
        <w:spacing w:after="0" w:line="18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On January 31, 2025 (the “Closing Date”), the Company, through its subsidiaries Net-Zero North HoldCo, LLC, Richardton-CCS, Net-Zero-Richardton, and other affiliates (the “Borrower”), entered into a Credit Agreement (the “Agreement”) with OIC Investment Agent, LLC as the administrative agent and collateral agent for the secured parties (“Lenders”), in connection with the Red Trail Energy acquisition transaction. The Agreement provides for a $105 million senior secured term loan (the “Term Loan”) that was funded on the Closing Date with a maturity of January 31, 2030. The proceeds of the Term Loan were used to partially fund the transaction and the payment of fees under the Agreement. The Agreement also provides for additional uncommitted term loans in an aggregate amount to be mutually agreed upon by the Borrower, the Guarantors and the Lenders for use for certain future growth opportunities after the Closing Date. Interest on the Term Loan will accrue at a rate of (i) 10.00% per annum if the net leverage ratio as of the last day of the quarter for the measurement period (the “Measurement Period”) consisting of the prior four consecutive fiscal quarters of the Borrower (“Leverage Ratio”) is less than 1.5x, (ii) 10.75% per annum if the Leverage Ratio is equal to or greater than 1.5x, but less than 3.0x, and (iii) 11.50% per annum if the Leverage Ratio is equal to or greater than 3.0x and shall initially be set at 11.50% per annum until the next quarterly adjustment date. The Leverage Ratio is defined as the ratio of the combined indebtedness of the Borrower and the Guarantors (other than any indebtedness pursuant to any permitted working capital facility) less any cash equivalent investments in any collateral accounts to the consolidated EBITDA of the Borrower and Guarantors for the relevant Measurement Period. Interest will be due and payable in cash at the end of each quarter.</w:t>
      </w:r>
    </w:p>
    <w:p>
      <w:pPr>
        <w:spacing w:after="0" w:line="19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Term Loan, and subject to the other terms under the Agreement, Lenders made an equity investment in Gevo Intermediate HoldCo, LLC (“Holdings”) equal to $5 million on the Closing Date. The organizational documents of Holdings also provide Lenders with the right to appoint two non-voting observers to the board of managers of Holdings.</w:t>
      </w:r>
    </w:p>
    <w:p>
      <w:pPr>
        <w:spacing w:after="0" w:line="176"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Term Loan is secured by a first-lien security interest subject only to reasonable and customary permitted liens and encumbrances, in all the Borrower’s and each Guarantor’s tangible and intangible assets, properties controlled by Borrower and Guarantors, and contracts, including deposit accounts and collateral assignment of material contracts and certain real estate assets to be determined, and includes a pledge of all equity interests in the Borrower and its subsidiaries. The Agreement also contains customary affirmative and negative covenants, events of default, mandatory prepayments (including an excess cash flow sweep), conditions precedent, representations, and warranties.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Payable</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 April 2020, the Company entered into loan agreements with Live Oak Banking Company, pursuant to which the Company obtained loans from the Small Business Administration’s Paycheck Protection Program (“SBA PPP”) totaling $1.0 million (the “SBA Loans”).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1"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April 2021, the balance of $0.6 million of loans and accrued interest obtained through the SBA PPP were forgiven. The remaining SBA Loan totals $0.2 million, bears interest at 1.0% per annum and matures in April 2025. Monthly payments of $8,230, including interest, began on June 5, 2021, and are payable through April 2025.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summary of the Company’s long-term debt is as follows (in thousands) as of:</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11.5%</w:t>
            </w:r>
          </w:p>
        </w:tc>
        <w:tc>
          <w:tcPr>
            <w:tcW w:w="2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2030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Remarketed Bonds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68,155</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SBA loans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2025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68,176</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issuance costs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10"/>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 net</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non-current debt</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67,109</w:t>
            </w:r>
          </w:p>
        </w:tc>
        <w:tc>
          <w:tcPr>
            <w:tcW w:w="0" w:type="dxa"/>
            <w:vAlign w:val="bottom"/>
          </w:tcPr>
          <w:p>
            <w:pPr>
              <w:spacing w:after="0"/>
              <w:rPr>
                <w:sz w:val="1"/>
                <w:szCs w:val="1"/>
                <w:color w:val="auto"/>
              </w:rPr>
            </w:pPr>
          </w:p>
        </w:tc>
      </w:tr>
      <w:tr>
        <w:trPr>
          <w:trHeight w:val="20"/>
        </w:trPr>
        <w:tc>
          <w:tcPr>
            <w:tcW w:w="6500" w:type="dxa"/>
            <w:vAlign w:val="bottom"/>
            <w:gridSpan w:val="4"/>
            <w:vMerge w:val="restart"/>
          </w:tcPr>
          <w:p>
            <w:pPr>
              <w:ind w:left="340"/>
              <w:spacing w:after="0"/>
              <w:rPr>
                <w:sz w:val="20"/>
                <w:szCs w:val="20"/>
                <w:color w:val="auto"/>
              </w:rPr>
            </w:pPr>
            <w:r>
              <w:rPr>
                <w:rFonts w:ascii="Times New Roman" w:cs="Times New Roman" w:eastAsia="Times New Roman" w:hAnsi="Times New Roman"/>
                <w:sz w:val="18"/>
                <w:szCs w:val="18"/>
                <w:color w:val="auto"/>
              </w:rPr>
              <w:t>Future payments for the Company’s long-term debt are as follows (in thousands):</w:t>
            </w: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0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2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9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89,155</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1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9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0" w:type="dxa"/>
            <w:vAlign w:val="bottom"/>
          </w:tcPr>
          <w:p>
            <w:pPr>
              <w:spacing w:after="0"/>
              <w:rPr>
                <w:sz w:val="1"/>
                <w:szCs w:val="1"/>
                <w:color w:val="auto"/>
              </w:rPr>
            </w:pPr>
          </w:p>
        </w:tc>
      </w:tr>
      <w:tr>
        <w:trPr>
          <w:trHeight w:val="210"/>
        </w:trPr>
        <w:tc>
          <w:tcPr>
            <w:tcW w:w="3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173,155</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Stock-Based Compensation</w:t>
      </w:r>
    </w:p>
    <w:p>
      <w:pPr>
        <w:spacing w:after="0" w:line="227" w:lineRule="exact"/>
        <w:rPr>
          <w:sz w:val="20"/>
          <w:szCs w:val="20"/>
          <w:color w:val="auto"/>
        </w:rPr>
      </w:pPr>
    </w:p>
    <w:p>
      <w:pPr>
        <w:ind w:right="5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Equity incentive plans</w:t>
      </w:r>
      <w:r>
        <w:rPr>
          <w:rFonts w:ascii="Times New Roman" w:cs="Times New Roman" w:eastAsia="Times New Roman" w:hAnsi="Times New Roman"/>
          <w:sz w:val="18"/>
          <w:szCs w:val="18"/>
          <w:color w:val="auto"/>
        </w:rPr>
        <w:t>. In February 2011, the Company’s stockholders approved the Gevo, Inc. 2010 Stock Incentive Plan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and restated to date, the “2010 Plan”), and the Employee Stock Purchase Plan.</w:t>
      </w:r>
    </w:p>
    <w:p>
      <w:pPr>
        <w:spacing w:after="0" w:line="160"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2010 Plan provides for the grant of non-qualified stock options, incentive stock options, stock appreciation rights, restricted stock awards, restricted stock units and other equity awards to employees and directors of the Company. In May 2023, upon approval of the stockholders at the 2023 Annual Meeting of Stockholders, the 2010 Plan was amended and restated, which increased the number of shares of common stock reserved for issuance under the 2010 Plan to 37,980,074 shares. At March 31, 2025, 3,001,469 shares were available for future issuance under the 2010 Plan.</w:t>
      </w:r>
    </w:p>
    <w:p>
      <w:pPr>
        <w:spacing w:after="0" w:line="181" w:lineRule="exact"/>
        <w:rPr>
          <w:sz w:val="20"/>
          <w:szCs w:val="20"/>
          <w:color w:val="auto"/>
        </w:rPr>
      </w:pPr>
    </w:p>
    <w:p>
      <w:pPr>
        <w:ind w:right="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Stock-based compensation expense</w:t>
      </w:r>
      <w:r>
        <w:rPr>
          <w:rFonts w:ascii="Times New Roman" w:cs="Times New Roman" w:eastAsia="Times New Roman" w:hAnsi="Times New Roman"/>
          <w:sz w:val="18"/>
          <w:szCs w:val="18"/>
          <w:color w:val="auto"/>
        </w:rPr>
        <w:t>. The Company records stock-based compensation expense during the requisite service period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share-based payment awards granted to employees and non-employees.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1"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equity classified stock-based compensation expense for the periods indicated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760" w:type="dxa"/>
            <w:vAlign w:val="bottom"/>
            <w:tcBorders>
              <w:bottom w:val="single" w:sz="8" w:color="auto"/>
            </w:tcBorders>
            <w:gridSpan w:val="5"/>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5"/>
                <w:szCs w:val="15"/>
                <w:color w:val="auto"/>
              </w:rPr>
            </w:pPr>
          </w:p>
        </w:tc>
      </w:tr>
      <w:tr>
        <w:trPr>
          <w:trHeight w:val="142"/>
        </w:trPr>
        <w:tc>
          <w:tcPr>
            <w:tcW w:w="4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0" w:type="dxa"/>
            <w:vAlign w:val="bottom"/>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2"/>
                <w:szCs w:val="12"/>
                <w:color w:val="auto"/>
              </w:rPr>
            </w:pPr>
          </w:p>
        </w:tc>
      </w:tr>
      <w:tr>
        <w:trPr>
          <w:trHeight w:val="209"/>
        </w:trPr>
        <w:tc>
          <w:tcPr>
            <w:tcW w:w="46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production</w:t>
            </w:r>
          </w:p>
        </w:tc>
        <w:tc>
          <w:tcPr>
            <w:tcW w:w="19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6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w:t>
            </w:r>
          </w:p>
        </w:tc>
      </w:tr>
      <w:tr>
        <w:trPr>
          <w:trHeight w:val="216"/>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9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10"/>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980" w:type="dxa"/>
            <w:vAlign w:val="bottom"/>
          </w:tcPr>
          <w:p>
            <w:pPr>
              <w:spacing w:after="0"/>
              <w:rPr>
                <w:sz w:val="18"/>
                <w:szCs w:val="18"/>
                <w:color w:val="auto"/>
              </w:rPr>
            </w:pPr>
          </w:p>
        </w:tc>
        <w:tc>
          <w:tcPr>
            <w:tcW w:w="100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6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w:t>
            </w:r>
          </w:p>
        </w:tc>
      </w:tr>
      <w:tr>
        <w:trPr>
          <w:trHeight w:val="20"/>
        </w:trPr>
        <w:tc>
          <w:tcPr>
            <w:tcW w:w="4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Stock option award activity</w:t>
      </w:r>
      <w:r>
        <w:rPr>
          <w:rFonts w:ascii="Times New Roman" w:cs="Times New Roman" w:eastAsia="Times New Roman" w:hAnsi="Times New Roman"/>
          <w:sz w:val="18"/>
          <w:szCs w:val="18"/>
          <w:color w:val="auto"/>
        </w:rPr>
        <w:t>. Stock option activity under the Company’s stock incentive plans and changes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2025,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center"/>
              <w:ind w:left="18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00" w:type="dxa"/>
            <w:vAlign w:val="bottom"/>
          </w:tcPr>
          <w:p>
            <w:pPr>
              <w:jc w:val="center"/>
              <w:ind w:left="20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left="185"/>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9"/>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6"/>
        </w:trPr>
        <w:tc>
          <w:tcPr>
            <w:tcW w:w="248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ind w:left="185"/>
              <w:spacing w:after="0" w:line="176" w:lineRule="exact"/>
              <w:rPr>
                <w:sz w:val="20"/>
                <w:szCs w:val="20"/>
                <w:color w:val="auto"/>
              </w:rPr>
            </w:pPr>
            <w:r>
              <w:rPr>
                <w:rFonts w:ascii="Times New Roman" w:cs="Times New Roman" w:eastAsia="Times New Roman" w:hAnsi="Times New Roman"/>
                <w:sz w:val="14"/>
                <w:szCs w:val="14"/>
                <w:b w:val="1"/>
                <w:bCs w:val="1"/>
                <w:color w:val="auto"/>
                <w:w w:val="95"/>
              </w:rPr>
              <w:t xml:space="preserve">Price </w:t>
            </w:r>
            <w:r>
              <w:rPr>
                <w:rFonts w:ascii="Times New Roman" w:cs="Times New Roman" w:eastAsia="Times New Roman" w:hAnsi="Times New Roman"/>
                <w:sz w:val="20"/>
                <w:szCs w:val="20"/>
                <w:b w:val="1"/>
                <w:bCs w:val="1"/>
                <w:color w:val="auto"/>
                <w:w w:val="95"/>
                <w:vertAlign w:val="superscript"/>
              </w:rPr>
              <w:t>(1)</w:t>
            </w: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14,103,458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0" w:type="dxa"/>
            <w:vAlign w:val="bottom"/>
          </w:tcPr>
          <w:p>
            <w:pPr>
              <w:spacing w:after="0"/>
              <w:rPr>
                <w:sz w:val="1"/>
                <w:szCs w:val="1"/>
                <w:color w:val="auto"/>
              </w:rPr>
            </w:pPr>
          </w:p>
        </w:tc>
      </w:tr>
      <w:tr>
        <w:trPr>
          <w:trHeight w:val="229"/>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and expired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(235,360)</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(163,193)</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Options outstanding at March 31, 2025</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13,704,905</w:t>
            </w:r>
          </w:p>
        </w:tc>
        <w:tc>
          <w:tcPr>
            <w:tcW w:w="1060" w:type="dxa"/>
            <w:vAlign w:val="bottom"/>
            <w:tcBorders>
              <w:bottom w:val="single" w:sz="8" w:color="CCEEFF"/>
            </w:tcBorders>
            <w:gridSpan w:val="2"/>
          </w:tcPr>
          <w:p>
            <w:pPr>
              <w:jc w:val="right"/>
              <w:ind w:right="72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151"/>
        </w:trPr>
        <w:tc>
          <w:tcPr>
            <w:tcW w:w="362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Options vested and expected to vest at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13,704,905</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72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40" w:right="380" w:hanging="332"/>
        <w:spacing w:after="0" w:line="284"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of options outstanding ranges from $0.67 to $876 as of March 31,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higher end of the range is due to the impact of several reverse stock splits during the years 2015 to 2018.</w:t>
      </w:r>
    </w:p>
    <w:p>
      <w:pPr>
        <w:spacing w:after="0" w:line="158" w:lineRule="exact"/>
        <w:rPr>
          <w:sz w:val="20"/>
          <w:szCs w:val="20"/>
          <w:color w:val="auto"/>
        </w:rPr>
      </w:pPr>
    </w:p>
    <w:p>
      <w:pPr>
        <w:jc w:val="both"/>
        <w:ind w:right="420" w:firstLine="324"/>
        <w:spacing w:after="0" w:line="267" w:lineRule="auto"/>
        <w:rPr>
          <w:sz w:val="20"/>
          <w:szCs w:val="20"/>
          <w:color w:val="auto"/>
        </w:rPr>
      </w:pPr>
      <w:r>
        <w:rPr>
          <w:rFonts w:ascii="Times New Roman" w:cs="Times New Roman" w:eastAsia="Times New Roman" w:hAnsi="Times New Roman"/>
          <w:sz w:val="18"/>
          <w:szCs w:val="18"/>
          <w:color w:val="auto"/>
        </w:rPr>
        <w:t>During the three months ended March 31, 2025, 5.3 million stock options vested. As of March 31,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total unrecognized compensation expense, net of actual forfeitures and expirations, relating to stock options was $4.2 million, which is expected to be expensed over the remaining weighted-average recognition period of approximately 1.4 years.</w:t>
      </w:r>
    </w:p>
    <w:p>
      <w:pPr>
        <w:spacing w:after="0" w:line="17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The Company periodically grants restricted stock awards to employees and directors. The vesting period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awards granted may be based upon a service period or based upon the attainment of performance objectives. The Company recognizes stock-based compensation over the vesting period, which for awards that vest based on a service period is generally two to three years.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Non-vested restricted stock awards and the changes during the three months ended March 31, 2025,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4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6740" w:type="dxa"/>
            <w:vAlign w:val="bottom"/>
          </w:tcPr>
          <w:p>
            <w:pPr>
              <w:spacing w:after="0"/>
              <w:rPr>
                <w:sz w:val="15"/>
                <w:szCs w:val="15"/>
                <w:color w:val="auto"/>
              </w:rPr>
            </w:pP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7,588,144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Vested and issued</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(69,654)</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and expired</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(207,509)</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Non-vested at March 31, 2025</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7,310,981</w:t>
            </w:r>
          </w:p>
        </w:tc>
        <w:tc>
          <w:tcPr>
            <w:tcW w:w="120" w:type="dxa"/>
            <w:vAlign w:val="bottom"/>
          </w:tcPr>
          <w:p>
            <w:pPr>
              <w:spacing w:after="0"/>
              <w:rPr>
                <w:sz w:val="18"/>
                <w:szCs w:val="18"/>
                <w:color w:val="auto"/>
              </w:rPr>
            </w:pP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2025, the total unrecognized compensation expense, net of actual forfeitures and expirations, relating to restricted stock awards was $4.9 million, which is expected to be recognized over the remaining weighted-average period of approximately 1.5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has incurred operating losses since inception; therefore, no provision for income taxes was recorded and all related deferred tax assets are fully reserved. We continue to assess the impact of our deferred tax assets as they relate to income taxes. Our effective tax rate from continuing operations was 0% for each of the three months ended March 31, 2025, and 2024. The rate differs from the U.S. Federal statutory tax rate of 21% due to a full valuation allowance.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Legal Matters</w:t>
      </w:r>
      <w:r>
        <w:rPr>
          <w:rFonts w:ascii="Times New Roman" w:cs="Times New Roman" w:eastAsia="Times New Roman" w:hAnsi="Times New Roman"/>
          <w:sz w:val="18"/>
          <w:szCs w:val="18"/>
          <w:color w:val="auto"/>
        </w:rPr>
        <w:t>. From time to time, the Company has been, and may again become, involved in legal proceedings arising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course of its business. The Company is not presently a party to any litigation and is not aware of any pending or threatened litigation against the Company that it believes could have a material adverse effect on its business, operating results, financial condition or cash flows.</w:t>
      </w:r>
    </w:p>
    <w:p>
      <w:pPr>
        <w:spacing w:after="0" w:line="18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State Tax Audit. </w:t>
      </w:r>
      <w:r>
        <w:rPr>
          <w:rFonts w:ascii="Times New Roman" w:cs="Times New Roman" w:eastAsia="Times New Roman" w:hAnsi="Times New Roman"/>
          <w:sz w:val="18"/>
          <w:szCs w:val="18"/>
          <w:color w:val="auto"/>
        </w:rPr>
        <w:t>During 2023, the Company was notified of a pending sales and use tax audit by the South Dakota Department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for the period covering January 2021 through December 2023. Although the final resolution of the Company’s sales and use tax audit is uncertain, based on current information, in the opinion of the Company’s management, the Company concluded that certain losses on litigation were probable and estimable; as a result, the Company recorded $1.3 million accrual for use tax contingencies, included in Accounts payable and accrued liabilities on the Consolidated Balance Sheets.</w:t>
      </w:r>
    </w:p>
    <w:p>
      <w:pPr>
        <w:spacing w:after="0" w:line="183" w:lineRule="exact"/>
        <w:rPr>
          <w:sz w:val="20"/>
          <w:szCs w:val="20"/>
          <w:color w:val="auto"/>
        </w:rPr>
      </w:pPr>
    </w:p>
    <w:p>
      <w:pPr>
        <w:ind w:right="1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Indemnifications</w:t>
      </w:r>
      <w:r>
        <w:rPr>
          <w:rFonts w:ascii="Times New Roman" w:cs="Times New Roman" w:eastAsia="Times New Roman" w:hAnsi="Times New Roman"/>
          <w:sz w:val="18"/>
          <w:szCs w:val="18"/>
          <w:color w:val="auto"/>
        </w:rPr>
        <w:t>. In the ordinary course of its business, the Company makes certain indemnities under which it may be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payments in relation to certain transactions. As of March 31,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did not have any liabilities associated with indemnities.</w:t>
      </w:r>
    </w:p>
    <w:p>
      <w:pPr>
        <w:spacing w:after="0" w:line="175"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addition, the Company indemnifies its officers and directors for certain events or occurrences, subject to certain limitations.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losses for any known contingent liability, including those that may arise from indemnification provisions, when future payment is probable. No such losses have been recorded to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Environmental Liabilities</w:t>
      </w:r>
      <w:r>
        <w:rPr>
          <w:rFonts w:ascii="Times New Roman" w:cs="Times New Roman" w:eastAsia="Times New Roman" w:hAnsi="Times New Roman"/>
          <w:sz w:val="18"/>
          <w:szCs w:val="18"/>
          <w:color w:val="auto"/>
        </w:rPr>
        <w:t>. The Company’s operations are subject to environmental laws and regulations adopted by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authorities in 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March 31, 2025.</w:t>
      </w:r>
    </w:p>
    <w:p>
      <w:pPr>
        <w:spacing w:after="0" w:line="183" w:lineRule="exact"/>
        <w:rPr>
          <w:sz w:val="20"/>
          <w:szCs w:val="20"/>
          <w:color w:val="auto"/>
        </w:rPr>
      </w:pPr>
    </w:p>
    <w:p>
      <w:pPr>
        <w:ind w:right="1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Fuel Supply Commitment. </w:t>
      </w:r>
      <w:r>
        <w:rPr>
          <w:rFonts w:ascii="Times New Roman" w:cs="Times New Roman" w:eastAsia="Times New Roman" w:hAnsi="Times New Roman"/>
          <w:sz w:val="18"/>
          <w:szCs w:val="18"/>
          <w:color w:val="auto"/>
        </w:rPr>
        <w:t>The Company has three long-term fuel supply contracts to source feedstock for the anaerobic digesters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NW Iowa RNG project. These contracts provide an annual amount of feedstock to be used in the production of RNG.</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Zero6 Commitments. </w:t>
      </w:r>
      <w:r>
        <w:rPr>
          <w:rFonts w:ascii="Times New Roman" w:cs="Times New Roman" w:eastAsia="Times New Roman" w:hAnsi="Times New Roman"/>
          <w:sz w:val="18"/>
          <w:szCs w:val="18"/>
          <w:color w:val="auto"/>
        </w:rPr>
        <w:t>In September 2022, the Company entered into a development agreement with Zero6 to construct and operate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wind project for the provision of electric energy for ATJ-60. Pursuant to the agreement, the Company has committed to pay Zero6 total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charges of $8.6 million, comprised of advanced development fee payments of $0.9 million, certain reimbursable costs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million, and $6.5 million upon completion of the project. The Company is not contractually obligated for the specified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 until certain milestones are met in future periods, and upon completion of the project.</w:t>
      </w:r>
    </w:p>
    <w:p>
      <w:pPr>
        <w:spacing w:after="0" w:line="207"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Further, the Company has committed to fund certain discretionary, budgeted costs associated with long lead equipment and engineering services for ATJ projects, totaling an estimated $19.7 million. The amount is expected to be fully reimbursed upon completion of the project. Gevo has contractual priority liens against the equipment and constructed facilities under the contracts. See Note 21, Variable Interest Entities, for further information.</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Additionally, the Company’s investment in Zero6, see Note 12, </w:t>
      </w:r>
      <w:r>
        <w:rPr>
          <w:rFonts w:ascii="Times New Roman" w:cs="Times New Roman" w:eastAsia="Times New Roman" w:hAnsi="Times New Roman"/>
          <w:sz w:val="18"/>
          <w:szCs w:val="18"/>
          <w:color w:val="212529"/>
        </w:rPr>
        <w:t>Deposits and Other Assets</w:t>
      </w:r>
      <w:r>
        <w:rPr>
          <w:rFonts w:ascii="Times New Roman" w:cs="Times New Roman" w:eastAsia="Times New Roman" w:hAnsi="Times New Roman"/>
          <w:sz w:val="18"/>
          <w:szCs w:val="18"/>
          <w:color w:val="auto"/>
        </w:rPr>
        <w:t>, is pledged separately as collateral for two commitments for the purchase of wind electricity for the Luverne Facility, as well as the purchase of 100% of RCWF’s renewable energy credits. Gevo has a commitment to purchase all of RCWF’s electricity. The portion not used by the Luverne Facility is charged to the Company at a lower price.</w:t>
      </w:r>
    </w:p>
    <w:p>
      <w:pPr>
        <w:spacing w:after="0" w:line="1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Firm Purchase Commitments for Corn. </w:t>
      </w:r>
      <w:r>
        <w:rPr>
          <w:rFonts w:ascii="Times New Roman" w:cs="Times New Roman" w:eastAsia="Times New Roman" w:hAnsi="Times New Roman"/>
          <w:sz w:val="18"/>
          <w:szCs w:val="18"/>
          <w:color w:val="auto"/>
        </w:rPr>
        <w:t>To ensure an adequate supply of corn to operate the plant, the Company enters into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purchase corn from local farmers and elevators. As of March 31, 2025, the Company had various fixed price contracts for the purchase of approximately 8.1 million bushels of corn. Using the stated contract price for the fixed price contracts, the Company had commitments of approximately $35.1 million related to the 8.1 million bushels under contract.</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estimated commitments as of March 31, 2025, and thereafter are shown below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2028</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2030 and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supply payments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Zero6 commitment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19,658</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development commitments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18,995</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East River commitment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Firm purchase commitments for corn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35,146</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Renewable energy credits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 purchases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Electricity above use (est.)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52,262</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10,348</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Fair Value Measurements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Accounting standards define fair value, outline a framework for measuring fair value, and detail the required disclosures about fair value measurements. Under these standards, fair value is defined as the price that would be received to sell an asset or paid 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inputs include quoted market prices in an active market for identical assets or liabilities.</w:t>
      </w:r>
    </w:p>
    <w:p>
      <w:pPr>
        <w:spacing w:after="0" w:line="225"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inputs are unobservable and corroborated by little or no market data.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 and fair value, by fair value hierarchy, of the Company’s financial instruments at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7"/>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2025</w:t>
            </w: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25"/>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480" w:type="dxa"/>
            <w:vAlign w:val="bottom"/>
            <w:tcBorders>
              <w:bottom w:val="single" w:sz="8" w:color="CCEEFF"/>
            </w:tcBorders>
          </w:tcPr>
          <w:p>
            <w:pPr>
              <w:spacing w:after="0"/>
              <w:rPr>
                <w:sz w:val="15"/>
                <w:szCs w:val="15"/>
                <w:color w:val="auto"/>
              </w:rPr>
            </w:pPr>
          </w:p>
        </w:tc>
        <w:tc>
          <w:tcPr>
            <w:tcW w:w="30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556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Cash and cash equivalents </w:t>
            </w:r>
            <w:r>
              <w:rPr>
                <w:rFonts w:ascii="Times New Roman" w:cs="Times New Roman" w:eastAsia="Times New Roman" w:hAnsi="Times New Roman"/>
                <w:sz w:val="24"/>
                <w:szCs w:val="24"/>
                <w:color w:val="auto"/>
                <w:vertAlign w:val="superscript"/>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Commodities derivative instruments</w:t>
            </w: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4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7"/>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25"/>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480" w:type="dxa"/>
            <w:vAlign w:val="bottom"/>
            <w:tcBorders>
              <w:bottom w:val="single" w:sz="8" w:color="CCEEFF"/>
            </w:tcBorders>
          </w:tcPr>
          <w:p>
            <w:pPr>
              <w:spacing w:after="0"/>
              <w:rPr>
                <w:sz w:val="15"/>
                <w:szCs w:val="15"/>
                <w:color w:val="auto"/>
              </w:rPr>
            </w:pPr>
          </w:p>
        </w:tc>
        <w:tc>
          <w:tcPr>
            <w:tcW w:w="30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556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Cash and cash equivalents </w:t>
            </w:r>
            <w:r>
              <w:rPr>
                <w:rFonts w:ascii="Times New Roman" w:cs="Times New Roman" w:eastAsia="Times New Roman" w:hAnsi="Times New Roman"/>
                <w:sz w:val="24"/>
                <w:szCs w:val="24"/>
                <w:color w:val="auto"/>
                <w:vertAlign w:val="superscript"/>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30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62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includes $50.7 million and $186.7 million invested in U.S. government money market funds as of March 31, 2025 and December 31, 2024, respectively.</w:t>
      </w:r>
    </w:p>
    <w:p>
      <w:pPr>
        <w:spacing w:after="0" w:line="162"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The Company had no transfers of assets or liabilities between fair value hierarchy levels between December 31, 2024, and March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Remarketed Bonds</w:t>
      </w:r>
    </w:p>
    <w:p>
      <w:pPr>
        <w:spacing w:after="0" w:line="22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fair value of the Remarketed Bonds is estimated using the Black-Derman-Toy interest rate lattice framework. The effective maturity of the Remarketed Bonds was assumed to be April 1, 2026 (two years from issuance) with repayment of 100% of principal on that date. The impact of the Company’s optional redemption feature, effective November 1, 2024, is appropriately captured by the Black-Derman-Toy interest rate lattice.</w:t>
      </w:r>
    </w:p>
    <w:p>
      <w:pPr>
        <w:spacing w:after="0" w:line="180"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Term Loan entered into on January 31, 2025, is estimated to be equal to its carrying amount as of March 31, 2025, due to the short duration for which the loan was outstanding during the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1"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of the Remarketed Bonds and Term Loan as of March 31, 2025, are summarized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4160" w:type="dxa"/>
            <w:vAlign w:val="bottom"/>
            <w:tcBorders>
              <w:bottom w:val="single" w:sz="8" w:color="CCEEFF"/>
            </w:tcBorders>
          </w:tcPr>
          <w:p>
            <w:pPr>
              <w:spacing w:after="0"/>
              <w:rPr>
                <w:sz w:val="15"/>
                <w:szCs w:val="15"/>
                <w:color w:val="auto"/>
              </w:rPr>
            </w:pPr>
          </w:p>
        </w:tc>
        <w:tc>
          <w:tcPr>
            <w:tcW w:w="27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Remarketed Bonds</w:t>
            </w:r>
          </w:p>
        </w:tc>
        <w:tc>
          <w:tcPr>
            <w:tcW w:w="3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68,155</w:t>
            </w:r>
          </w:p>
        </w:tc>
        <w:tc>
          <w:tcPr>
            <w:tcW w:w="4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68,852</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Redeemable non-controlling interest</w:t>
      </w:r>
    </w:p>
    <w:p>
      <w:pPr>
        <w:spacing w:after="0" w:line="22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the fair value of the redeemable non-controlling interest is $4.9 million, which is estimated to be equal to its carrying amount.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Redeemable Non-</w:t>
            </w:r>
          </w:p>
        </w:tc>
      </w:tr>
      <w:tr>
        <w:trPr>
          <w:trHeight w:val="173"/>
        </w:trPr>
        <w:tc>
          <w:tcPr>
            <w:tcW w:w="76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Controlling Interest</w:t>
            </w:r>
          </w:p>
        </w:tc>
      </w:tr>
      <w:tr>
        <w:trPr>
          <w:trHeight w:val="20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from non-controlling member made on January 31, 2025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member</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as of March 31, 2025</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w:t>
            </w:r>
          </w:p>
        </w:tc>
      </w:tr>
      <w:tr>
        <w:trPr>
          <w:trHeight w:val="20"/>
        </w:trPr>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7960" w:firstLine="8"/>
        <w:spacing w:after="0" w:line="502" w:lineRule="auto"/>
        <w:tabs>
          <w:tab w:leader="none" w:pos="32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Share Issuances</w:t>
      </w:r>
    </w:p>
    <w:p>
      <w:pPr>
        <w:ind w:left="340"/>
        <w:spacing w:after="0"/>
        <w:rPr>
          <w:sz w:val="20"/>
          <w:szCs w:val="20"/>
          <w:color w:val="auto"/>
        </w:rPr>
      </w:pPr>
      <w:r>
        <w:rPr>
          <w:rFonts w:ascii="Times New Roman" w:cs="Times New Roman" w:eastAsia="Times New Roman" w:hAnsi="Times New Roman"/>
          <w:sz w:val="18"/>
          <w:szCs w:val="18"/>
          <w:i w:val="1"/>
          <w:iCs w:val="1"/>
          <w:color w:val="auto"/>
        </w:rPr>
        <w:t>At-the-Market Offering Program</w:t>
      </w:r>
    </w:p>
    <w:p>
      <w:pPr>
        <w:spacing w:after="0" w:line="22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January 2024 the Company filed a registration statement on Form S-3, which included a base prospectus which covers the offer, issuance and sale of up to an aggregate of $750.0 million of the registrant’s common stock, preferred stock, debt securities, depositary shares, warrants, purchase contracts and units and an at-the-market offering prospectus supplement covering the offering, issuance and sale by the Company of up to a maximum aggregate offering price of $500.0 million of common stock that may be issued and sold under an at-the-market-offering agreement.</w:t>
      </w:r>
    </w:p>
    <w:p>
      <w:pPr>
        <w:spacing w:after="0" w:line="18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has remaining capacity to issue up to $500.0 million of common stock under the at-the-market offering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On May 30, 2023, the Company authorized a stock repurchase program, under which it may repurchase up to $25 million of its common stock. The primary goal of the repurchase program is to allow the Company to opportunistically repurchase shares, while maintaining the Company’s ability to fund its development projects. Under the stock repurchase program, the Company may repurchase shares from time to time in the open market or through privately negotiated transactions. The timing, volume and nature of stock repurchases, if any, will be in the Company’s sole discretion and will be dependent on market conditions, applicable securities laws, and other factors. The stock repurchase program may be suspended or discontinued at any time by the Company and does not have an expiration date.</w:t>
      </w:r>
    </w:p>
    <w:p>
      <w:pPr>
        <w:spacing w:after="0" w:line="18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did not repurchase shares of common stock under the stock repurchase program during the three months ended March 31, 2025. The Company repurchased 2.1 million shares of common stock for $1.4 million under the stock repurchase program during the three months ended March 31, 2024. Shares were repurchased at market value, and were retired immediately upon repurchase. As of March 31, 2025, approximately $20.3 million remained available under the stock repurchase program.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June 2022, the Company completed a registered direct offering (“the June 2022 Offering”) of an aggregate of 33,333,336 shares of the Company’s common stock at a price of $4.50 per share, accompanied by Series 2022-A warrants to purchase an aggregate of 33,333,336 shares of the Company’s common stock (each, a “Series 2022-A Warrant”) pursuant to a securities purchase agreement with certain institutional and accredited investors. The Series 2022-A Warrants are exercisable for a term of five years from the date of issuance at an exercise price of $4.37 per share. As of March 31, 2025, none of the Series 2022-A Warrants had been exercised.</w:t>
      </w:r>
    </w:p>
    <w:p>
      <w:pPr>
        <w:spacing w:after="0" w:line="183"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Series 2022-A Warrants, the Company has warrants outstanding that were issued in conjunction with a registered direct offering in August 2020 (the “Series 2020-A Warrants”). The Company evaluated the Series 2022-A Warrants and Series 2020-A Warrants for liability or equity classification and determined that equity treatment was appropriate because both the Series 2022-A Warrants and Series 2020-A Warrants do not meet the definition of liability instruments.</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Series 2022-A Warrants and Series 2020-A Warrants are classified as a component of equity because they are freestanding financial instruments that are legally detachable and separately exercisable from the shares of common stock with which they were issued, are immediately exercisable and will expire five years from the date of issuance, do not embody an obligation for the Company to repurchase its shares, and permit the holders to receive a fixed number of shares of common stock upon exercise. In addition, the Series 2022-A Warrants and Series 2020-A Warrants do not provide any guarantee of value or return.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pertaining to shares issued upon the exercise of warrants: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Exercises as</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Price as of</w:t>
            </w: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Warrants on</w:t>
            </w: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5"/>
                <w:szCs w:val="15"/>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Series 2020-A Warrants </w:t>
            </w:r>
            <w:r>
              <w:rPr>
                <w:rFonts w:ascii="Times New Roman" w:cs="Times New Roman" w:eastAsia="Times New Roman" w:hAnsi="Times New Roman"/>
                <w:sz w:val="24"/>
                <w:szCs w:val="24"/>
                <w:color w:val="auto"/>
                <w:vertAlign w:val="superscript"/>
              </w:rPr>
              <w:t>(1)</w:t>
            </w: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7/6/2020</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7/6/2025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29,995,867</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Series 2022-A Warrants </w:t>
            </w:r>
            <w:r>
              <w:rPr>
                <w:rFonts w:ascii="Times New Roman" w:cs="Times New Roman" w:eastAsia="Times New Roman" w:hAnsi="Times New Roman"/>
                <w:sz w:val="25"/>
                <w:szCs w:val="25"/>
                <w:color w:val="auto"/>
                <w:vertAlign w:val="superscript"/>
              </w:rPr>
              <w:t>(1)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6/8/2022</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6/7/2027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33,333,336</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33,333,336</w:t>
            </w: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Warrants</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63,333,336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29,995,867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33,337,469</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Equity-classified warrants.</w:t>
      </w:r>
    </w:p>
    <w:p>
      <w:pPr>
        <w:spacing w:after="0" w:line="238"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2024, no warrants were exercised.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Variable Interest Entities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Company has entered into agreements with various SPEs to facilitate the development and construction of facilities to provide carbon neutral power to ATJ-60. These SPEs are structured as a limited liability companies.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Nonconsolidated VIEs</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During September 2022 and February 2023, the Company entered into agreements with Zero6 Energy Development, Inc. (“ZEDI”), a national clean energy expert that provides expertise in capital management, development, engineering, and asset management, to develop and construct facilities to provide carbon neutral power to ATJ-60 via the two Project LLCs: Kingsbury County Wind Fuel, LLC (“KCWF”) and Dakota Renewable Hydrogen, LLC (“DRH”), respectively. In December 2023 the agreements with ZEDI related to the two Project LLCs were amended to remove certain kickout rights that previously existed.</w:t>
      </w:r>
    </w:p>
    <w:p>
      <w:pPr>
        <w:spacing w:after="0" w:line="183"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Each Project LLC is currently funded via advances for certain long lead equipment items from Gevo. The Company has made certain refundable project advances indirectly to the Project LLCs via ZEDI, to induce ZEDI to design and construct the power generation, transmission and distribution facilities that will serve ATJ-60.</w:t>
      </w:r>
    </w:p>
    <w:p>
      <w:pPr>
        <w:spacing w:after="0" w:line="176"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Each Project LLC is a VIE, and the Company holds an implicit variable interest in each Project LLC. As of December 2023, we have concluded that the removal of the kickout rights from the agreements has resulted in a loss of control and that, therefore, the Company is no longer the primary beneficiary of the Project LLCs. The Project LLCs are a VIE because their equity is insufficient to maintain its on-going collateral requirements without additional financial support from the Company.</w:t>
      </w:r>
    </w:p>
    <w:p>
      <w:pPr>
        <w:spacing w:after="0" w:line="18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There was no gain or loss recognized as a result of the deconsolidation of the Project LLCs. We have recognized $49.3 million in Deposits and other assets related to advances made to the Project LLCs which are reimbursable upon the achievement or failure to achieve certain milestones. Such amounts represent our maximum exposure to loss as a result of our involvement with the Project LLCs.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Segments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discrete financial information is available that is regularly reviewed by the Chief Operating Decision Maker (“CODM”) in deciding how to allocate resources to an individual segment and in assessing performance. The Company’s Chief Executive Officer is the CODM. The CODM assesses the segments’ performance by using Loss from Operations.</w:t>
      </w:r>
    </w:p>
    <w:p>
      <w:pPr>
        <w:spacing w:after="0" w:line="180"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CODM uses operating results for each segment predominantly in the annual budget and forecasting process. The CODM considers budget-to-actual variances on a quarterly basis when making decisions about the allocation of operating and capital resources of each segment. As such, management has determined that the Company has organized its operations and activities in the manner in which information is utilized by the CODM and has determined that it has three operating and reportable segments: (i) Gevo segment;</w:t>
      </w:r>
    </w:p>
    <w:p>
      <w:pPr>
        <w:spacing w:after="0" w:line="3" w:lineRule="exact"/>
        <w:rPr>
          <w:sz w:val="20"/>
          <w:szCs w:val="20"/>
          <w:color w:val="auto"/>
        </w:rPr>
      </w:pPr>
    </w:p>
    <w:p>
      <w:pPr>
        <w:ind w:right="220" w:firstLine="8"/>
        <w:spacing w:after="0" w:line="290" w:lineRule="auto"/>
        <w:tabs>
          <w:tab w:leader="none" w:pos="26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GevoFuels segment; (iii) GevoRNG segment; and (iv) Gevo North Dakota segment. All segments follow the same basis of accounting policies as described in Note 2, Summary of Significant Accounting Policies, of Part II, Item 8 in our 2024 Annual Report.</w:t>
      </w:r>
    </w:p>
    <w:p>
      <w:pPr>
        <w:spacing w:after="0" w:line="15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Gevo segment</w:t>
      </w:r>
      <w:r>
        <w:rPr>
          <w:rFonts w:ascii="Times New Roman" w:cs="Times New Roman" w:eastAsia="Times New Roman" w:hAnsi="Times New Roman"/>
          <w:sz w:val="18"/>
          <w:szCs w:val="18"/>
          <w:color w:val="auto"/>
        </w:rPr>
        <w:t>. The Gevo segment is responsible for all research and development activities related to the future production of SAF,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opportunities for other renewable hydrocarbon products, such as hydrocarbons for gasoline blendstocks and diesel fuel; ingredients for the chemical industry, such as ethylene and butenes; plastics and materials; and other chemicals. The Gevo segment also develops, maintains and protects its intellectual property portfolio, provides corporate oversight services, and is responsible for development of Verity platforms.</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GevoFuels segment</w:t>
      </w:r>
      <w:r>
        <w:rPr>
          <w:rFonts w:ascii="Times New Roman" w:cs="Times New Roman" w:eastAsia="Times New Roman" w:hAnsi="Times New Roman"/>
          <w:sz w:val="18"/>
          <w:szCs w:val="18"/>
          <w:color w:val="auto"/>
        </w:rPr>
        <w:t>. GevoFuels is a cornerstone of the Company’s operations, committed to driving low-cost, sustainable,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American-made energy solutions. Our focus is on advancing practical, low-carbon energy alternatives that promote energy independence and strengthen the economy. This segment is dedicated to the development, construction, and operation of Alcohol-to-Jet projects that are not only good for the environment but also cost-effective for businesses and consumers. Our flagship project, ATJ-60, is a groundbreaking greenfield initiative focused on producing SAF right here in the U.S.</w:t>
      </w:r>
    </w:p>
    <w:p>
      <w:pPr>
        <w:spacing w:after="0" w:line="183" w:lineRule="exact"/>
        <w:rPr>
          <w:sz w:val="20"/>
          <w:szCs w:val="20"/>
          <w:color w:val="auto"/>
        </w:rPr>
      </w:pPr>
    </w:p>
    <w:p>
      <w:pPr>
        <w:ind w:right="3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GevoRNG segment</w:t>
      </w:r>
      <w:r>
        <w:rPr>
          <w:rFonts w:ascii="Times New Roman" w:cs="Times New Roman" w:eastAsia="Times New Roman" w:hAnsi="Times New Roman"/>
          <w:sz w:val="18"/>
          <w:szCs w:val="18"/>
          <w:color w:val="auto"/>
        </w:rPr>
        <w:t>. The Renewable Natural Gas segment includes GevoRNG which is an innovative project that leverages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anaerobic digestion technology to capture and convert methane emissions into renewable natural gas. This project plays a significant</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role in addressing both the environmental impact of methane emissions and the growing demand for cleaner energy alternatives. RNG is chemically identical to conventional natural gas, but it is produced from organic waste rather than fossil fuels, making it a sustainable and carbon-neutral energy source. By converting methane emissions into RNG, Gevo RNG helps mitigate the environmental impact of livestock farming, specifically reducing the greenhouse gases that contribute to climate change.</w:t>
      </w:r>
    </w:p>
    <w:p>
      <w:pPr>
        <w:spacing w:after="0" w:line="17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Gevo North Dakota segment. </w:t>
      </w:r>
      <w:r>
        <w:rPr>
          <w:rFonts w:ascii="Times New Roman" w:cs="Times New Roman" w:eastAsia="Times New Roman" w:hAnsi="Times New Roman"/>
          <w:sz w:val="18"/>
          <w:szCs w:val="18"/>
          <w:color w:val="auto"/>
        </w:rPr>
        <w:t>The Gevo North Dakota segment (“GevoND”) includes advanced CCS technologies and low-carbon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ethanol assets at a newly acquired facility in North Dakota, enhancing our portfolio of integrated, cost-effective carbon abatement solutions. The principal products manufactured by our ethanol plant include ethanol and distillers grains. At capacity, Gevo North Dakota facility is capable of processing approximately 67 million gallons of low-carbon ethanol annually, including 2 million gallons of corn fiber ethanol with an ultra-low carbon intensity. Additionally, the facility produces more than 230,000 tons of low-carbon animal feed and vegetable oil, contributing to sustainable agriculture and food systems. The site has an operating, fully permitted Class VI CCS well, which captures and sequesters approximately 160,000 tons of biogenic carbon dioxide annually. This capability is a key component of our strategy to drive meaningful carbon abatement at scale, with the potential to sequester multiple times that amount in total carbon emissions, directly supporting Gevo’s vision of decarbonizing the energy, transportation, and agriculture sectors.</w:t>
      </w:r>
    </w:p>
    <w:p>
      <w:pPr>
        <w:spacing w:after="0" w:line="190"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"Other Expenses" in the segment table include the following components: cost of production, general and administrative expenses, acquisition-related costs, facility idling costs, and other expenses.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7"/>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Gevo</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GevoFuels</w:t>
            </w:r>
          </w:p>
        </w:tc>
        <w:tc>
          <w:tcPr>
            <w:tcW w:w="880" w:type="dxa"/>
            <w:vAlign w:val="bottom"/>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GevoRNG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GevoND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Project development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and other expenses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loss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Acquisitions of property, plant, and equipment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169,575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202,106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224,972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677,800</w:t>
            </w:r>
          </w:p>
        </w:tc>
        <w:tc>
          <w:tcPr>
            <w:tcW w:w="0" w:type="dxa"/>
            <w:vAlign w:val="bottom"/>
          </w:tcPr>
          <w:p>
            <w:pPr>
              <w:spacing w:after="0"/>
              <w:rPr>
                <w:sz w:val="1"/>
                <w:szCs w:val="1"/>
                <w:color w:val="auto"/>
              </w:rPr>
            </w:pPr>
          </w:p>
        </w:tc>
      </w:tr>
      <w:tr>
        <w:trPr>
          <w:trHeight w:val="751"/>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Gevo</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jc w:val="right"/>
              <w:ind w:right="510"/>
              <w:spacing w:after="0" w:line="142" w:lineRule="exact"/>
              <w:rPr>
                <w:sz w:val="20"/>
                <w:szCs w:val="20"/>
                <w:color w:val="auto"/>
              </w:rPr>
            </w:pPr>
            <w:r>
              <w:rPr>
                <w:rFonts w:ascii="Times New Roman" w:cs="Times New Roman" w:eastAsia="Times New Roman" w:hAnsi="Times New Roman"/>
                <w:sz w:val="14"/>
                <w:szCs w:val="14"/>
                <w:b w:val="1"/>
                <w:bCs w:val="1"/>
                <w:color w:val="auto"/>
              </w:rPr>
              <w:t>GevoFuels</w:t>
            </w:r>
          </w:p>
        </w:tc>
        <w:tc>
          <w:tcPr>
            <w:tcW w:w="96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GevoRNG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Project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and other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loss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Acquisitions of property, plant, and equipment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380,071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158,346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95,154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633,571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Subsequent Events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On April 22, 2025, we received notification of the termination of the U.S. Department of Agriculture (“USDA”) Partnerships for Climate-Smart Commodities grant for Gevo’s Climate-Smart Farm-to-Flight Program (the “USDA Grant”). The Company expects to be reimbursed for all remaining costs not yet reimbursed by the USDA under the grant in future periods.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(this “Report”) contains forward-looking statements within the meaning of Section 21 E of the Securities Exchange Act of 1934, as amended (the “Exchange Act”). When used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our financial condition, our results of operation and liquidity, our expectations regarding the financing, development, and construction of our Alcohol-to-Jet Projects (as defined below), as well as other growth projects, and the associated costs, our ability to produce our products, our expectations regarding the demand for our products and our ability to meet such demand, our ability to meet production, financial and operational guidance, our strategy to pursue low-carbon or “net zero” carbon renewable fuels, our ability to replace our fossil-based energy sources with renewable energy sources at our Alcohol-to-Jet Projects and elsewhere, our expectations regarding jet fuel consumption, our expectations regarding the location, start-up date and production results for our initial Alcohol-to-Jet Project, our expectations regarding the benefits of increased modularization of the plant design for our Alcohol-to-Jet Projects, our expectations regarding the benefits of ETO (as defined below) technology for our Alcohol-to-Jet Projects, our expectations regarding our ability to produce and the anticipated benefits of renewable liquid hydrocarbons, our expectations regarding our ability to produce and resell protein and other products for use in the food chain, our ability and plans to construct greenfield commercial hydrocarbon facilities to produce synthetic aviation fuel (“SAF”) and other products, our ability to raise additional funds to finance our business and the sources of those funds, our ability to successfully operate our renewable natural gas (“RNG”) facilities in Iowa and our expectations regarding levels of RNG production, the availability of, and market prices for, government economic incentives to the renewable energy market, achievement of advances in our technology platform, the availability of suitable and cost-competitive feedstocks, our ability to gain market acceptance for our products, our expectations regarding the demand for and revenue to be generated from the sale of carbon credits, the expected cost-competitiveness and relative performance attributes of our products, our strategy to pursue alcohol-to-SAF development and production, additional competition and changes in economic conditions. As part of our strategy to expand and diversify our operations, we recently acquired the majority of the assets of Red Trail Energy, LLC (“Red Trail Energy”), which is expected to enhance our ability to scale production and accelerate our growth in the renewable fuels market. This acquisition introduces additional integration and operational complexities, which may impact our ability to achieve some of the goals outlined above. Important factors could cause actual results to differ materially from those indicated or implied by forward-looking statements such as those contained in documents we have filed with the United States (“U.S.”) Securities and Exchange Commission (the “SEC”), including this Report in Item 7. “Management’s Discussion and Analysis of Financial Condition and Results of Operations,” our Annual Report on Form 10-K for the year ended December 31, 2024 (our “2024 Annual Report”), including Item 1A. “Risk Factors” of our 2024 Annual Report and subsequent reports on Form 10-Q.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spacing w:after="0" w:line="19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in this Report the terms “Gevo,” “we,” “us,” “our” and “Company” refer to Gevo, Inc. and its wholly owned, direct and indirect subsidiaries.</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unaudited condensed consolidated financial statements and the related notes and other financial information appearing elsewhere in this Report. Readers are also urged to carefully review and consider the various disclosures made by us which attempt to advise interested parties of the factors which affect our business, including, without limitation, the disclosures in our 2024 Annual Report.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a growth-oriented carbon abatement company that focuses on hard to decarbonize market sectors such as jet fuel, certain specialty fuels, on-road fuels, chemicals and materials, and certain products for the food chain such as protein and feeds made as co-products from our processes. Each of the market areas that Gevo focuses on have the common need for carbon-based products and are not conducive to full electrification or hydrogen. We produce and sell renewable, drop-in products for these sectors, and generate carbon abatement value through our plant design and business systems. Carbon abatement value can be valorized via Renewable Identification Numbers (“RINs”), state credits, Inflation Reduction Act (“IRA”) tax credits, and the value of Scope 3 greenhouse gas emissions for end customers. Gevo is primarily a project development, investment, and technology company, which also holds certain operating assets with the intent of generating cash flow.</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primary market focus, given the large demand and growing customer interest, is carbon abated hydrocarbon fuels, including SAF. We believe that SAF produced from a carbohydrate-to-alcohol process is the most economically viable approach to meet growing jet fuel demand and to generate value from carbon abatement. We also have commercial opportunities for other renewable hydrocarbon products, such as RNG; hydrocarbons for gasoline and racing fuel blendstocks and diesel fuel; ingredients for the chemical industry, such as ethylene and butenes for plastics and materials; and other chemicals. With the recent acquisition of the majority of the assets of Red Trail Energy, which specialized in the production of ethanol and feed co-products from corn and sequestering carbon through its carbon capture and sequestration asset, we have expanded our capabilities in the biofuels and carbon marketing sector. Red Trail Energy’s operations complement our renewable fuels strategy and enhance our ability to provide sustainable fuel alternatives and carbon sequestration, supporting our broader goal of diversifying renewable product streams.</w:t>
      </w:r>
    </w:p>
    <w:p>
      <w:pPr>
        <w:spacing w:after="0" w:line="18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Commodity Insights projects that global jet fuel production is expected to peak around 2035 at 7.8 million barrels per day, with SAF comprising approximately 11% of the aviation fuel mix. By 2050, the contribution of SAF could increase significantly, potentially representing 36% of global aviation fuel consumption, according to Commodity Insights. The International Air Transport Association (“IATA”), which represents over 300 airlines worldwide, forecasts that air travel demand will continue to grow, with the potential to double by 2040 compared to 2019 levels. In support of this growth, the IATA has adopted a resolution urging its members to achieve net-zero emissions by 2050. In line with this, the Boston Consulting Group anticipates substantial growth in global SAF demand in the coming decades, with SAF expected to account for 12% of global aviation energy demand by 2050.</w:t>
      </w:r>
    </w:p>
    <w:p>
      <w:pPr>
        <w:spacing w:after="0" w:line="189"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To serve these markets, we are developing commercial projects for converting renewable energy into energy-dense, liquid hydrocarbons that can be used as renewable fuels, such as SAF, with the potential to achieve a cost competitive jet fuel with reduced or eliminated greenhouse gas (“GHG”) footprint. We believe that this addresses the global need of economically reducing GHG emissions with “drop in” synthetic petroleum fuels. We use the Argonne National Laboratory’s Greenhouse gases, Regulated Emissions, and Energy use in Transportation model (the “GREET Model”) to measure, predict and verify GHG emissions across the life cycle of our products. Gevo expects that by using sustainably grown feedstock (e.g., low till, no-till cultivation, ethanol and other alcohols) and renewable and substantially decarbonized energy sources, drop-in hydrocarbon fuels can be produced that have a reduced or eliminated full life cycle footprint measured from the capture of renewable carbon through the burning of the fuel. This is because such feedstocks come from crops, which take carbon dioxide out of the atmosphere and convert it into biomass through photosynthesis. This yields vital amino acid nutrients, or protein, that humans and animals can consume, as well as vegetable oil and carbohydrates, or sugar. The plant sugar may be fermented with microorganisms to produce a clean alcohol suitable for on-road fuels, or for further industrial scale chemical processing into hydrocarbons. Given the overabundance of plant-derived sugar, the growing unmet demand for drop-in, renewable hydrocarbons such as SAF, and the availability of demonstrated industrial-scale technologies that can convert plant sugars to alcohols and then to hydrocarbons, we view our projects as first movers in an attractive, scalable new industry connecting this overabundance of plant sugar to unmet demand for products such as low-carbon ethanol, nutrients and SAF.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Project Updates</w:t>
      </w:r>
    </w:p>
    <w:p>
      <w:pPr>
        <w:spacing w:after="0" w:line="22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Alcohol-to-Jet Projects. </w:t>
      </w:r>
      <w:r>
        <w:rPr>
          <w:rFonts w:ascii="Times New Roman" w:cs="Times New Roman" w:eastAsia="Times New Roman" w:hAnsi="Times New Roman"/>
          <w:sz w:val="18"/>
          <w:szCs w:val="18"/>
          <w:color w:val="auto"/>
        </w:rPr>
        <w:t>Our concept of “Alcohol-to-Jet Projects” is a series of planned facilities to produce energy dense liquid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hydrocarbons using renewable energy and our proprietary technology. Our initial Alcohol-to-Jet Project, which we refer to as “ATJ-60”, is expected to be located in Lake Preston, South Dakota, and is being designed to produce approximately 65 million gallons per year (“MGPY”) of total hydrocarbon volumes, including 60 MGPY of SAF. The liquid hydrocarbons, when burned, are expected to have a “net zero” GHG footprint. Along with the hydrocarbons, ATJ-60 is expected to produce approximately 1.3 billion pounds per year of high-value protein products for use in the food chain and approximately 30 million pounds per year of corn oil. Our products will be produced in three steps: the first step is milling the corn to produce the carbohydrates needed for the production of SAF while</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simultaneously enabling the production of protein and oil; the second step produces alcohols using carbohydrate-based fermentation; and the third step is the conversion of the alcohols into hydrocarbons. In connection with the planned construction of Gevo’s ATJ-60 SAF facility, Gevo commissioned an analysis by Charles River Associates, which estimated that the facility will contribute approximately $116 million annually to the local economy, generating 100 direct jobs at the plant and creating an additional 736 local jobs. Furthermore, the analysis estimated that (i) the construction phase of the ATJ-60 facility is projected to provide a temporary $184 million economic boost and support 1,266 jobs; and (ii) the facility is expected to generate $1.82 per gallon of SAF produced in local economic value and contribute an estimated $23 million annually in federal tax revenue.</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work with several technology, design and equipment partners, most notably Fluid Quip Technologies (“FQT”), Axens North America, Inc. (“Axens”), and PRAJ Industries Limited (“Praj”). FQT and Axens provide area operation designs which have been incorporated into Gevo’s proprietary overall design of low carbon intensity (“CI”) carbohydrate-to-hydrocarbon plants, such as our ATJ-60 plant. Praj is working with us on the proprietary design and construction of prefabricated process modules for our plants. Our partners are working with us on proprietary process designs that have the potential to lower capital and future operating costs. The advantage of utilizing FQT and Axens for our operation and related process designs, which are proven in other applications, is that we believe we have chosen technology which is substantially de-risked.</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have substantially completed the engineering design on our ATJ-60 project and are continuing with detailed engineering and modularization design. We are refining the project cost estimates with engineering, procurement, and construction (“EPC”) partners to identify opportunities to reduce and negotiate the cost. We expect to sign a lump-sum, fixed price agreement for the EPC to build and deliver the plant once the cost refinements and negotiations are complete. The current detailed engineering work is focused on increasing the modularization of component parts on the ATJ-60 plant design, with the goal to build the process equipment into modules at a factory, then assemble onsite. This will enable us to minimize specialized field work typical in plant construction of this type, lower the risk and costs, as well as provide better access to skilled labor. Increasing the modularization of the plant design is expected to reduce our spend in advance of securing third-party equity and debt financing for ATJ-60 and increase the certainty of the construction schedule for those counterparties.</w:t>
      </w:r>
    </w:p>
    <w:p>
      <w:pPr>
        <w:spacing w:after="0" w:line="188" w:lineRule="exact"/>
        <w:rPr>
          <w:sz w:val="20"/>
          <w:szCs w:val="20"/>
          <w:color w:val="auto"/>
        </w:rPr>
      </w:pPr>
    </w:p>
    <w:p>
      <w:pPr>
        <w:ind w:right="80" w:firstLine="324"/>
        <w:spacing w:after="0" w:line="273" w:lineRule="auto"/>
        <w:rPr>
          <w:sz w:val="20"/>
          <w:szCs w:val="20"/>
          <w:color w:val="auto"/>
        </w:rPr>
      </w:pPr>
      <w:r>
        <w:rPr>
          <w:rFonts w:ascii="Times New Roman" w:cs="Times New Roman" w:eastAsia="Times New Roman" w:hAnsi="Times New Roman"/>
          <w:sz w:val="17"/>
          <w:szCs w:val="17"/>
          <w:color w:val="auto"/>
        </w:rPr>
        <w:t>We currently expect to finance the construction of ATJ-60 at the subsidiary level using a combination of Company equity (including funds already spent on the project), and capital from project level equity and debt financing. The Company previously projected a range of $90.0 – $125.0 million to be spent on ATJ-60 between January 2024 and the financial close of ATJ-60. The Company expects the remaining spend until the financial close of ATJ-60 to fall below the previously estimated range. Cash distributions from future ATJ-60 earnings would be proportionate to Gevo’s ownership in ATJ-60 under this expected financing structure. The use of project debt and third-party equity allows us to conserve capital for use on other growth projects. We expect to apply similar development and financing strategies to future Alcohol-to-Jet Projects to grow our SAF production to meet the demand for SAF.</w:t>
      </w:r>
    </w:p>
    <w:p>
      <w:pPr>
        <w:spacing w:after="0" w:line="171"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order to achieve full construction financing for ATJ-60, we need to secure third-party equity and debt. On October 16th, 2024, ATJ-60 reached a critical milestone of receiving conditional commitment from the DOE for a loan guarantee facility with a capacity of approximately $1.6 billion (including capitalized interest during construction). This milestone is significant as it helps to validate ATJ-60’s integrity, which is underpinned by the DOE’s diligence process. The focus is now on negotiating and closing this DOE loan and our project level equity financing as quickly as possible. We expect that our ATJ-60 plant start-up date will occur approximately thirty-six months after the ATJ-60 financing closes, the timing of which is uncertain. We are also working to secure access to carbon capture and sequestration at the site.</w:t>
      </w:r>
    </w:p>
    <w:p>
      <w:pPr>
        <w:spacing w:after="0" w:line="18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are evaluating and performing early site development work at several sites in the U.S. for other greenfield sites. These sites include several locations that are particularly advantageous in terms of potential economics, opportunities to decarbonize, and time to market. In addition, we are pursuing potential Alcohol-to-Jet Projects with several existing ethanol plant sites. Existing ethanol plants need to be decarbonized with renewable energy or de-fossilized energy and/or carbon sequestration. Gevo has developed a preferred list of potential partners and sites with decarbonization in mind and is engaged in preliminary feasibility and development discussions with several of these potential partners. We plan to give priority to existing industrial plant sites that have attractive potential economics and high predictability of timeline for decarbonization.</w:t>
      </w:r>
    </w:p>
    <w:p>
      <w:pPr>
        <w:spacing w:after="0" w:line="185" w:lineRule="exact"/>
        <w:rPr>
          <w:sz w:val="20"/>
          <w:szCs w:val="20"/>
          <w:color w:val="auto"/>
        </w:rPr>
      </w:pPr>
    </w:p>
    <w:p>
      <w:pPr>
        <w:jc w:val="both"/>
        <w:ind w:right="2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Gevo North Dakota. </w:t>
      </w:r>
      <w:r>
        <w:rPr>
          <w:rFonts w:ascii="Times New Roman" w:cs="Times New Roman" w:eastAsia="Times New Roman" w:hAnsi="Times New Roman"/>
          <w:sz w:val="18"/>
          <w:szCs w:val="18"/>
          <w:color w:val="auto"/>
        </w:rPr>
        <w:t>On September 10, 2024, Gevo and its subsidiaries entered into an Asset Purchase Agreement with Red Trail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to acquire substantially all of its assets and assume certain liabilities. The acquisition was completed on January 31, 2025, for a purchase price of $210 million, subject to customary adjustments, including a working capital adjustment. The acquired assets are now</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known as “Gevo North Dakota.” The transaction was funded through a combination of Gevo equity capital, and a $105 million senior secured term loan facility and $5 million in equity from Orion Infrastructure Capital (“OIC”), a U.S.-based private investment firm. OIC’s equity contribution resulted in the creation of a redeemable non-controlling interest (NCI). This NCI is subject to a Put/Call option feature, which grants Gevo the right to call (purchase) the units held by OIC, and OIC the right to put (sell) the units to Gevo. These options are exercisable for a period of three years following the repayment of all outstanding debt under the Company’s Credit Agreement. As a result of the redeemable nature of this non-controlling interest, it has been classified as temporary equity on the Company’s Consolidated Balance Sheets.</w:t>
      </w:r>
    </w:p>
    <w:p>
      <w:pPr>
        <w:spacing w:after="0" w:line="18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acquired assets included the ethanol production plant, the carbon capture and storage well, and the pore space. The operational personnel of Red Trail Energy joined Gevo upon the closing of the acquisition. The acquired ethanol production facility converts corn into ethanol and distillers grains, a high-protein animal feed containing essential amino acid nutrients, and corn oil. This acquisition also includes carbon capture and sequestration (“CCS”) assets that will support Gevo’s broader carbon abatement goals, particularly in relation to its ATJ-60 project under development in South Dakota. We believe the acquisition strengthens Gevo’s growth trajectory by adding ethanol production, distillers grains, corn oil, and Carbon Dioxide Removal credit (“CDR”) sales to our revenue stream, while also enhancing our capabilities in CCS and supporting our broader strategic efforts in SAF production which use low-carbon alcohol as a feedstock.</w:t>
      </w:r>
    </w:p>
    <w:p>
      <w:pPr>
        <w:spacing w:after="0" w:line="19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have begun negotiations to sell the resultant carbon tax credits from our CCS asset in North Dakota. Now that the U.S. Department of the Treasury and Internal Revenue Service have issued the rules around the Section 45Z tax credit, we expect tax credit sales to generate cashflow for our North Dakota operation starting in 2025.</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have begun the engineering and development of a 30 MGPY ATJ plant for the North Dakota site, which would upgrade the low-carbon ethanol already produced onsite to jet fuel. We expect to continue engineering and development through 2025 and into 2026 before completing the front-end engineering design (“FEED”) phase of the project. At the end of FEED, we expect to have a capital estimate and schedule for the project. Because we began with the designs and know-how from the ATJ-60 project, we are able to shorten the time and costs to complete the development phase of the project.</w:t>
      </w:r>
    </w:p>
    <w:p>
      <w:pPr>
        <w:spacing w:after="0" w:line="179" w:lineRule="exact"/>
        <w:rPr>
          <w:sz w:val="20"/>
          <w:szCs w:val="20"/>
          <w:color w:val="auto"/>
        </w:rPr>
      </w:pPr>
    </w:p>
    <w:p>
      <w:pPr>
        <w:ind w:right="4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USDA Grant. </w:t>
      </w:r>
      <w:r>
        <w:rPr>
          <w:rFonts w:ascii="Times New Roman" w:cs="Times New Roman" w:eastAsia="Times New Roman" w:hAnsi="Times New Roman"/>
          <w:sz w:val="18"/>
          <w:szCs w:val="18"/>
          <w:color w:val="auto"/>
        </w:rPr>
        <w:t>On April 22, 2025, we received notification of the termination of the U.S. Department of Agriculture (“USDA”)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Partnerships for Climate-Smart Commodities grant for Gevo’s Climate-Smart Farm-to-Flight Program (the “USDA Grant”).</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Although terminated early, we believe we have achieved considerable progress through the Farm-to-Flight Program:</w:t>
      </w:r>
    </w:p>
    <w:p>
      <w:pPr>
        <w:spacing w:after="0" w:line="225" w:lineRule="exact"/>
        <w:rPr>
          <w:sz w:val="20"/>
          <w:szCs w:val="20"/>
          <w:color w:val="auto"/>
        </w:rPr>
      </w:pPr>
    </w:p>
    <w:p>
      <w:pPr>
        <w:ind w:left="1000" w:right="40" w:hanging="317"/>
        <w:spacing w:after="0" w:line="272" w:lineRule="auto"/>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Farm-to-Flight Program enrolled more than 145,000 acres of active farmland in 2024, as farmers receive premium payments on crops from fields that utilize effective, efficient farming methods that improve their soil health and product yield for the long run, a sound investment for them, for the next generation of farmers in their families and for our country. </w:t>
      </w:r>
    </w:p>
    <w:p>
      <w:pPr>
        <w:spacing w:after="0" w:line="1" w:lineRule="exact"/>
        <w:rPr>
          <w:rFonts w:ascii="Times New Roman" w:cs="Times New Roman" w:eastAsia="Times New Roman" w:hAnsi="Times New Roman"/>
          <w:sz w:val="17"/>
          <w:szCs w:val="17"/>
          <w:color w:val="auto"/>
        </w:rPr>
      </w:pPr>
    </w:p>
    <w:p>
      <w:pPr>
        <w:ind w:left="1000" w:right="80" w:hanging="317"/>
        <w:spacing w:after="0" w:line="250"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farmers are eligible for an estimated $11 million for their participation during the program. When farmers receive higher value for their crops through new markets that value their production practices, they have more resources to invest back in their farms, and the nation’s rural economies grow.  </w:t>
      </w:r>
    </w:p>
    <w:p>
      <w:pPr>
        <w:spacing w:after="0" w:line="1" w:lineRule="exact"/>
        <w:rPr>
          <w:rFonts w:ascii="Times New Roman" w:cs="Times New Roman" w:eastAsia="Times New Roman" w:hAnsi="Times New Roman"/>
          <w:sz w:val="18"/>
          <w:szCs w:val="18"/>
          <w:color w:val="auto"/>
        </w:rPr>
      </w:pPr>
    </w:p>
    <w:p>
      <w:pPr>
        <w:jc w:val="both"/>
        <w:ind w:left="1000" w:hanging="317"/>
        <w:spacing w:after="0" w:line="250"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proof is in the participants, as our Farm-to-Flight Program has a 100% farmer retention rate year-over-year and grew to nearly 200 farmers in 2024. Farmers participated in our program because it reduced their input costs, improved their yields, and increased their bottom line.</w:t>
      </w:r>
    </w:p>
    <w:p>
      <w:pPr>
        <w:spacing w:after="0" w:line="1" w:lineRule="exact"/>
        <w:rPr>
          <w:rFonts w:ascii="Times New Roman" w:cs="Times New Roman" w:eastAsia="Times New Roman" w:hAnsi="Times New Roman"/>
          <w:sz w:val="18"/>
          <w:szCs w:val="18"/>
          <w:color w:val="auto"/>
        </w:rPr>
      </w:pPr>
    </w:p>
    <w:p>
      <w:pPr>
        <w:ind w:left="1000" w:right="140" w:hanging="317"/>
        <w:spacing w:after="0" w:line="25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Farm-to-Flight Program encourages use of regenerative agriculture practices, Gevo’s Verity subsidiary measures, quantifies, and verifies farmers’ results through blockchain-based distributed ledger technology and smart contracts. The outcome of our program to date is a 9.8-point reduction in carbon intensity (CI) for corn feedstock. This outcome adds value to farmers’ crops because CI is a key attribute in domestic and international markets for SAF and other renewable fuels, as well as for chemicals used to make drop-in products, typically derived from petroleum with the performance consumers demand today. Markets reward these attributes, and our Farm-to-Flight program positioned farmers to reap the benefits of the value they deliver to this new market for above ground energy.</w:t>
      </w:r>
    </w:p>
    <w:p>
      <w:pPr>
        <w:spacing w:after="0" w:line="18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incurred $0.7 million of costs under the USDA Grant, which are included in Project development costs in the Condensed Consolidated Statement of Operations. The Company expects to be reimbursed an estimated $8.6 million for all remaining costs not yet reimbursed by the USDA under the grant in future periods. This includes $7.4 million of payments to growers in the program and $1.2 million for payments made to agricultural service providers.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termination did not have a material impact on the financial statements for the three months ended March 31, 2025, nor impact Gevo’s commercial objectives, since the critical work under the project had already been completed.</w:t>
      </w:r>
    </w:p>
    <w:p>
      <w:pPr>
        <w:spacing w:after="0" w:line="158" w:lineRule="exact"/>
        <w:rPr>
          <w:sz w:val="20"/>
          <w:szCs w:val="20"/>
          <w:color w:val="auto"/>
        </w:rPr>
      </w:pPr>
    </w:p>
    <w:p>
      <w:pPr>
        <w:ind w:right="1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Renewable Natural Gas Project. </w:t>
      </w:r>
      <w:r>
        <w:rPr>
          <w:rFonts w:ascii="Times New Roman" w:cs="Times New Roman" w:eastAsia="Times New Roman" w:hAnsi="Times New Roman"/>
          <w:sz w:val="18"/>
          <w:szCs w:val="18"/>
          <w:color w:val="auto"/>
        </w:rPr>
        <w:t>The RNG project in Northwest Iowa (the “RNG Project”) started up and began producing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injecting initial volumes of biogas in 2022, during the project’s testing and ramp-up period. In 2023, the project achieved stable production levels and surpassed our annual production target of 310,000 million British thermal units (“MMBtu”). In addition, in 2024 we completed an expansion to the RNG Project to increase its annual expected output from 355,000 MMBtu to 400,000 MMBtu.</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RNG Project generates revenue through the sale of environmental attributes associated with RNG produced at the facility. These attributes include credits under California’s Low Carbon Fuel Standard (“LCFS”) program and the U.S. Environmental Protection Agency (“EPA”) Renewable Fuels Standard (“RFS”) program (“RFS Program”), which allow us to earn renewable identification numbers (“RINs”). Gevo was granted registration approval by the EPA in 2022, allowing us to participate in the RFS Program to receive RINs.</w:t>
      </w:r>
    </w:p>
    <w:p>
      <w:pPr>
        <w:spacing w:after="0" w:line="183"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have operated under a temporary pathway from California’s LCFS program, which we received during the first quarter of 2023. We continued to realize sales for our environmental attributes under the temporary pathway for LCFS credits and RINs in 2024. In March of 2025, the California Air Resources Board (“CARB”) approved our application for a provisional Tier 2 pathway, representing the significantly lower carbon intensity of our RNG than was reflected under the temporary pathway. With the provisional pathway approval having been received prior to March 31, 2025, we were able to apply the provisional pathway carbon intensity score to dispensing activities that occurred in Q4 2024, which also included RNG production for the months of July and August stored and dispensed in Q4 2024, and for dispensing activities throughout 2025.</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provisional pathway has a Carbon Intensity (“CI”) score of approximately -339 MJ/eCO2, which represents approximately 160,000 carbon credits in the California LCFS system assuming our RNG operation produces 400,000 MMBTU in 2025. This is an increase of carbon credits from approximately 90,000 credits under our old temporary pathway of -150 MJ/eCO2. The increase of carbon credit generation of approximately 70,000 credits represents a significant increase in revenue for the RNG business.</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Verity. </w:t>
      </w:r>
      <w:r>
        <w:rPr>
          <w:rFonts w:ascii="Times New Roman" w:cs="Times New Roman" w:eastAsia="Times New Roman" w:hAnsi="Times New Roman"/>
          <w:sz w:val="18"/>
          <w:szCs w:val="18"/>
          <w:color w:val="auto"/>
        </w:rPr>
        <w:t>Verity Holdings, LLC (“Verity”), a wholly owned subsidiary of Gevo, Inc., enables the tracking, verification, and empirically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valuation of intangible attributes associated with processed goods, including carbon intensity across the full carbon lifecycle. Verity provides end-to-end carbon accounting via a proprietary digital Measure, Report and Verify (“MRV”) platform. This platform specializes in carbon accounting and services aimed at maximizing the value of environmental benefits throughout the entire business system. Verity's comprehensive approach includes regulatory analysis, strategy development, life cycle analysis, compliance management, audit readiness, carbon marketing, utilization and retirement services, and trading/marketing for Scope 1, 2, and 3 emissions. By integrating advanced technological capabilities, Verity supports Gevo's mission of converting renewable energy and biogenic carbon into sustainable fuels and chemicals with a net zero or better carbon footprint.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Verity project highlights include:</w:t>
      </w:r>
    </w:p>
    <w:p>
      <w:pPr>
        <w:spacing w:after="0" w:line="225" w:lineRule="exact"/>
        <w:rPr>
          <w:sz w:val="20"/>
          <w:szCs w:val="20"/>
          <w:color w:val="auto"/>
        </w:rPr>
      </w:pPr>
    </w:p>
    <w:p>
      <w:pPr>
        <w:ind w:left="1000" w:right="80" w:hanging="317"/>
        <w:spacing w:after="0" w:line="261"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Development of Verity began as a value-added service for our SAF production, and was then expanded to support external customers;</w:t>
      </w: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ethanol producers currently contracted, with additional producers in the pipeline;</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its first privately-sponsored grower’s program for a biofuel client in the midwestern U.S.;</w:t>
      </w:r>
    </w:p>
    <w:p>
      <w:pPr>
        <w:spacing w:after="0" w:line="9" w:lineRule="exact"/>
        <w:rPr>
          <w:rFonts w:ascii="Times New Roman" w:cs="Times New Roman" w:eastAsia="Times New Roman" w:hAnsi="Times New Roman"/>
          <w:sz w:val="18"/>
          <w:szCs w:val="18"/>
          <w:color w:val="auto"/>
        </w:rPr>
      </w:pPr>
    </w:p>
    <w:p>
      <w:pPr>
        <w:ind w:left="1000" w:right="120" w:hanging="317"/>
        <w:spacing w:after="0" w:line="250"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agreements with two soybean processors to track the environmental attributes of soybeans, including soybean oil and renewable diesel;</w:t>
      </w:r>
    </w:p>
    <w:p>
      <w:pPr>
        <w:ind w:left="1000" w:right="160" w:hanging="317"/>
        <w:spacing w:after="0" w:line="250"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Cultivate Agricultural Intelligence, LLC (“CulitvateAI”), a cloud-based, mobile software-as-a-service (“SaaS”) platform that helps stakeholders make informed, data-driven decisions with real-time analytics. Currently we are integrating CultivateAI’s platform with Verity’s attribute tracking solutions to deliver advanced solutions for carbon abatement across industries such as in food, feed, fuels and industrial markets; and</w:t>
      </w:r>
    </w:p>
    <w:p>
      <w:pPr>
        <w:spacing w:after="0" w:line="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light, fee-based, industry agnostic business model.</w:t>
      </w:r>
    </w:p>
    <w:p>
      <w:pPr>
        <w:spacing w:after="0" w:line="20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It is critical that we prove the CI of Gevo’s products, ensuring that these values are accurate and auditable. The mission of Verity is to document CI and other sustainability attributes and apply Distributed Ledger Technology, commonly referred to as blockchain, to create a record of the products throughout the entire business system. Verity starts by calculating carbon intensity of feedstocks from data collected at the farm and field level. We plan to track these feedstocks through production at our plants where we intend to use a</w:t>
      </w:r>
    </w:p>
    <w:p>
      <w:pPr>
        <w:sectPr>
          <w:pgSz w:w="11900" w:h="16838" w:orient="portrait"/>
          <w:cols w:equalWidth="0" w:num="1">
            <w:col w:w="9900"/>
          </w:cols>
          <w:pgMar w:left="980" w:top="513"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mix of renewable electricity, biogas, renewable hydrogen and other potentially decarbonized energy sources in production. The aggregated CI data supports a finished renewable fuel with a net CI reduction which can be quantified as a digital asset and monetized in voluntary or compliance carbon markets, and used to meet compliance requirements for tax incentives while preventing double-counting. We believe that in the future, regenerative agricultural practices have the potential to sequester large quantities of soil organic carbon while improving soil health.</w:t>
      </w:r>
    </w:p>
    <w:p>
      <w:pPr>
        <w:spacing w:after="0" w:line="18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There is increasing regulatory and stakeholder pressure on global corporations to lower emissions. These trends are driving demand for carbon credits, giving rise to two sets of markets, the regulated compliance carbon market and the unregulated voluntary carbon market, both of which could grow meaningfully in the coming decades. Verity intends to document and account for carbon capture in conjunction with scientifically supported measurement techniques. The potential for Verity is broad and could be applicable to tracking the CI of various items beyond Gevo’s internal businesses, including, but not limited to, renewable fuels, food, feed and industrial products through their respective business systems and value chains. Our robust scientific measurement, reporting, and verification plan and approach is expected to provide a high-quality credit that should meet regulated compliance and unregulated carbon markets.</w:t>
      </w:r>
    </w:p>
    <w:p>
      <w:pPr>
        <w:spacing w:after="0" w:line="18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b w:val="1"/>
          <w:bCs w:val="1"/>
          <w:color w:val="212529"/>
        </w:rPr>
        <w:t>Contracts</w:t>
      </w:r>
      <w:r>
        <w:rPr>
          <w:rFonts w:ascii="Times New Roman" w:cs="Times New Roman" w:eastAsia="Times New Roman" w:hAnsi="Times New Roman"/>
          <w:sz w:val="18"/>
          <w:szCs w:val="18"/>
          <w:b w:val="1"/>
          <w:bCs w:val="1"/>
          <w:i w:val="1"/>
          <w:iCs w:val="1"/>
          <w:color w:val="212529"/>
        </w:rPr>
        <w:t>.</w:t>
      </w:r>
      <w:r>
        <w:rPr>
          <w:rFonts w:ascii="Times New Roman" w:cs="Times New Roman" w:eastAsia="Times New Roman" w:hAnsi="Times New Roman"/>
          <w:sz w:val="18"/>
          <w:szCs w:val="18"/>
          <w:b w:val="1"/>
          <w:bCs w:val="1"/>
          <w:color w:val="212529"/>
        </w:rPr>
        <w:t xml:space="preserve"> </w:t>
      </w:r>
      <w:r>
        <w:rPr>
          <w:rFonts w:ascii="Times New Roman" w:cs="Times New Roman" w:eastAsia="Times New Roman" w:hAnsi="Times New Roman"/>
          <w:sz w:val="18"/>
          <w:szCs w:val="18"/>
          <w:color w:val="212529"/>
        </w:rPr>
        <w:t>In March 2023, we entered into a joint development framework agreement with Southwest Iowa Renewable Energy; in</w:t>
      </w:r>
      <w:r>
        <w:rPr>
          <w:rFonts w:ascii="Times New Roman" w:cs="Times New Roman" w:eastAsia="Times New Roman" w:hAnsi="Times New Roman"/>
          <w:sz w:val="18"/>
          <w:szCs w:val="18"/>
          <w:b w:val="1"/>
          <w:bCs w:val="1"/>
          <w:color w:val="212529"/>
        </w:rPr>
        <w:t xml:space="preserve"> </w:t>
      </w:r>
      <w:r>
        <w:rPr>
          <w:rFonts w:ascii="Times New Roman" w:cs="Times New Roman" w:eastAsia="Times New Roman" w:hAnsi="Times New Roman"/>
          <w:sz w:val="18"/>
          <w:szCs w:val="18"/>
          <w:color w:val="212529"/>
        </w:rPr>
        <w:t>August 2023, we entered into a joint development framework agreement with a second ethanol producer in the midwestern U.S. that has over 100 million gallons of capacity; and in October 2023, we entered into an agreement with a third ethanol producer in the southwestern U.S. These agreements include commercial terms and profit-sharing frameworks. As we grow Verity as an externally facing business, we are working to sign up additional ethanol and biofuel customers. Each of these agreements will focus on implementing Verity technology and developing the market for carbon credits to help farmers and biofuel producers quantify the CI reductions for their products.</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During the second quarter of 2023, we launched the Verity Tracking platform (the “Platform”) with farmers in the Lake Preston, South Dakota area who participated in our 2022 grower program. In its initial release, the Platform allows the users to measure, report, verify, and view the CI scores at both the farm average and field-by-field levels. The Platform provides insights into the contributors and removers behind the CI, helping users to understand the factors that drive differences in CI performance between fields. Users can also compare their scores with the U.S. national average calculated by the GREET model.</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the third and fourth quarters of 2024, Verity entered into agreements with two additional ethanol plants, extending our reach in the U.S. ethanol market. One of those plants is Gevo North Dakota, formally Red Trail Energy, which Gevo acquired in January of 2025. Verity also added two soybean processing facilities to assist in tracking environmental aspects of soybean oil and renewable diesel, enabling them to expand into new markets.</w:t>
      </w:r>
    </w:p>
    <w:p>
      <w:pPr>
        <w:spacing w:after="0" w:line="17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Acquisition of CultivateAI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third quarter of 2024, Gevo acquired CultivateAI, a leading provider of agricultural data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cloud-based, mobile SaaS platform. CultivateAI is a proven business with a track record of repeatable revenue. The business provides agricultural data to clients through a SaaS platform, leveraging high-resolution drone and satellite technology. This process begins by capturing detailed imagery of an agricultural operation. CultivateAI uses that information to build missing GIS maps and create a digital agricultural inventory, including facilities, assets, and crops. This comprehensive digital inventory generates quantifiable insights that help customers improve management practices and overall performance. CultivateAI’s technology has enabled Verity to accelerate its technology and business development efforts, and overall growth.</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Ethanol to Olefins and the LG Chem Agreement. </w:t>
      </w:r>
      <w:r>
        <w:rPr>
          <w:rFonts w:ascii="Times New Roman" w:cs="Times New Roman" w:eastAsia="Times New Roman" w:hAnsi="Times New Roman"/>
          <w:sz w:val="18"/>
          <w:szCs w:val="18"/>
          <w:color w:val="auto"/>
        </w:rPr>
        <w:t>In April 2023, we entered into a joint development agreement with LG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Chem, Ltd. (“LG Chem”) a leading global chemical company to develop bio-propylene for renewable chemicals using our Ethanol-to-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Olefins (“ETO”) technology. Gevo’s proprietary ETO technology can target carbon neutral or carbon negative drop-in replacements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traditional petroleum-based building blocks called olefins, including bio-propylene, which can be used for renewable chemicals or fuels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sustainable aviation fuel. These plant-based, renewable olefins would be derived from atmospheric CO2 captured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photosynthesis and are expected to deliver the same performance in final products on the market today. The market opportunities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building blocks include low-carbon polypropylene, polyethylene and similar chemical products whose market size for low-carbon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solutions is $400.0 – $500.0 billion. We also believe ETO will reduce the capital and operating cost in future Alcohol-to-Jet SAF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production facilities.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Under the terms of the agreement with LG Chem, we will provide the core enabling technology we have developed for renewable olefins to be produced from low-carbon ethanol and will collaborate with LG Chem to accelerate the pilot research, technical scale-up, and commercialization of bio-propylene. LG Chem is expected to bear all scale-up costs for chemicals and make certain payments to Gevo. In the second quarter of 2023, we received $1.1 million, which is net of foreign taxes withheld of $0.2 million, and in the second quarter of 2024 received $0.7 million, which is net of foreign taxes withheld of $0.1 million. We expect to receive an additional $0.4 million through 2025 to help defray costs associated with the joint development efforts. In addition, LG Chem agreed to make certain payments to us upon commencement of commercialization as follows:</w:t>
      </w:r>
    </w:p>
    <w:p>
      <w:pPr>
        <w:spacing w:after="0" w:line="189" w:lineRule="exact"/>
        <w:rPr>
          <w:sz w:val="20"/>
          <w:szCs w:val="20"/>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upon commencement of commercialization, to be paid ratably over a period of five years.</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royalty on Net Sales for the first production facility beginning six years from commercial operation.</w:t>
      </w:r>
    </w:p>
    <w:p>
      <w:pPr>
        <w:spacing w:after="0" w:line="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royalty on Net Sales for all subsequent production facilities upon commencement of operations.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also achieved the following recent milestones on our ETO technology:</w:t>
      </w:r>
    </w:p>
    <w:p>
      <w:pPr>
        <w:spacing w:after="0" w:line="225" w:lineRule="exact"/>
        <w:rPr>
          <w:sz w:val="20"/>
          <w:szCs w:val="20"/>
          <w:color w:val="auto"/>
        </w:rPr>
      </w:pPr>
    </w:p>
    <w:p>
      <w:pPr>
        <w:ind w:left="1000" w:right="260" w:hanging="317"/>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2024, we successfully launched an ETO pilot plant at a third-party facility in Crosby, Texas, which has delivered the results required to move to the next phase of scale-up in our agreement with LG Chem.</w:t>
      </w:r>
    </w:p>
    <w:p>
      <w:pPr>
        <w:ind w:left="1000" w:right="280" w:hanging="317"/>
        <w:spacing w:after="0" w:line="250"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achieved the second milestone under the joint development agreement with LG Chem in April 2024. As a result, we have received, project-to-date, $2.1 million in payments under the agreement.</w:t>
      </w:r>
    </w:p>
    <w:p>
      <w:pPr>
        <w:ind w:left="1000" w:right="280" w:hanging="317"/>
        <w:spacing w:after="0" w:line="250"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2024, we successfully completed the first phase of developing our ETO pilot plant at a third-party facility. The data is being used for process design and further scale-up planning.</w:t>
      </w:r>
    </w:p>
    <w:p>
      <w:pPr>
        <w:ind w:left="1000" w:right="140" w:hanging="317"/>
        <w:spacing w:after="0" w:line="255"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extended our joint development agreement with LG Chem to accelerate the commercialization of bio-propylene using Gevo’s ethanol-to-olefins technology, aiming to deliver cost-effective, bio-based renewable fuels and chemicals.</w:t>
      </w:r>
    </w:p>
    <w:p>
      <w:pPr>
        <w:spacing w:after="0" w:line="18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Ethanol to Olefins and the Axens Agreement. </w:t>
      </w:r>
      <w:r>
        <w:rPr>
          <w:rFonts w:ascii="Times New Roman" w:cs="Times New Roman" w:eastAsia="Times New Roman" w:hAnsi="Times New Roman"/>
          <w:sz w:val="18"/>
          <w:szCs w:val="18"/>
          <w:color w:val="auto"/>
        </w:rPr>
        <w:t>Axens and Gevo are building on their previous successful commercial cooperation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ensure they remain leaders in the ETJ space by partnering with IFPEN on the final development and commercial deployment of Gevo’s next-generation ETO process for fuel applications that are expected to achieve zero carbon intensity or better. Gevo’s ETO process produces light olefins from ethanol, which can then be converted to transportation fuels utilizing commercially proven oligomerization and hydrogenation technologies. Provided the technology development is completed successfully, Gevo is expected to lead deployment of its ETO technology in North America with an effort to bring high-quality jobs and economic development to rural America, and Axens would provide process licensing, catalyst, equipment, and engineering services globally.</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Luverne Facility. </w:t>
      </w:r>
      <w:r>
        <w:rPr>
          <w:rFonts w:ascii="Times New Roman" w:cs="Times New Roman" w:eastAsia="Times New Roman" w:hAnsi="Times New Roman"/>
          <w:sz w:val="18"/>
          <w:szCs w:val="18"/>
          <w:color w:val="auto"/>
        </w:rPr>
        <w:t>In 2022, activities at our Luverne Facility were transitioned to care and maintenance, market development,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education, as we shifted focus to our Net Zero Projects. The Luverne Facility is well equipped and positioned as a development site as it provides a unique opportunity to showcase our decarbonization and business systems and raise awareness with future partnerships, investors, and local communities, even though operations at the site have been minimized. Future operations, if any, will be tailored to support a focus on advancing our technology, testing, optimizing alternative feedstocks and yeast strains, and unit operations as well as partnership development for fuels and specialty chemicals with integrated solutions for GHG reductions. We continue to evaluate incentive opportunities recently introduced by the Inflation Reduction Act, which may positively impact the future economics of our operation at Luverne.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RNG Key Operating Metrics</w:t>
      </w:r>
    </w:p>
    <w:p>
      <w:pPr>
        <w:spacing w:after="0" w:line="22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Total operating revenues reflect both sales of RNG and sales of related environmental attributes. As a result, our revenues are primarily affected by unit production of RNG, production of environmental attributes, and the prices at which we monetize such production. The following table summarizes the key operating metrics described above, recorded on our RNG segment, which metrics we use to measure performance: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unless otherwise indicated)</w:t>
            </w:r>
          </w:p>
        </w:tc>
        <w:tc>
          <w:tcPr>
            <w:tcW w:w="23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5"/>
                <w:szCs w:val="15"/>
                <w:color w:val="auto"/>
              </w:rPr>
            </w:pPr>
          </w:p>
        </w:tc>
        <w:tc>
          <w:tcPr>
            <w:tcW w:w="10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42"/>
        </w:trPr>
        <w:tc>
          <w:tcPr>
            <w:tcW w:w="5320" w:type="dxa"/>
            <w:vAlign w:val="bottom"/>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Renewable natural gas (RNG)</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Environmental attributes - RINs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(1,070)</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Environmental attributes - LCFS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RNG metrics (MMBtu)</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RNG production volumes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RNG production volumes dispensed</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bottom w:val="single" w:sz="8" w:color="CCEEFF"/>
            </w:tcBorders>
            <w:shd w:val="clear" w:color="auto" w:fill="CCEEFF"/>
          </w:tcPr>
          <w:p>
            <w:pPr>
              <w:ind w:left="220"/>
              <w:spacing w:after="0" w:line="210" w:lineRule="exact"/>
              <w:rPr>
                <w:sz w:val="20"/>
                <w:szCs w:val="20"/>
                <w:color w:val="auto"/>
              </w:rPr>
            </w:pPr>
            <w:r>
              <w:rPr>
                <w:rFonts w:ascii="Times New Roman" w:cs="Times New Roman" w:eastAsia="Times New Roman" w:hAnsi="Times New Roman"/>
                <w:sz w:val="17"/>
                <w:szCs w:val="17"/>
                <w:color w:val="auto"/>
              </w:rPr>
              <w:t xml:space="preserve">Total RNG volumes available for RIN and LCFS generation </w:t>
            </w:r>
            <w:r>
              <w:rPr>
                <w:rFonts w:ascii="Times New Roman" w:cs="Times New Roman" w:eastAsia="Times New Roman" w:hAnsi="Times New Roman"/>
                <w:sz w:val="24"/>
                <w:szCs w:val="24"/>
                <w:color w:val="auto"/>
                <w:vertAlign w:val="superscript"/>
              </w:rPr>
              <w:t>(1)</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RIN metrics</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RIN generation </w:t>
            </w:r>
            <w:r>
              <w:rPr>
                <w:rFonts w:ascii="Times New Roman" w:cs="Times New Roman" w:eastAsia="Times New Roman" w:hAnsi="Times New Roman"/>
                <w:sz w:val="25"/>
                <w:szCs w:val="25"/>
                <w:color w:val="auto"/>
                <w:vertAlign w:val="superscript"/>
              </w:rPr>
              <w:t>(2) (3)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Plus: Prior period RINs carried into current period</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RINs sold</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RIN inventory</w:t>
            </w:r>
          </w:p>
        </w:tc>
        <w:tc>
          <w:tcPr>
            <w:tcW w:w="2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3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 xml:space="preserve">Average realized RIN price </w:t>
            </w:r>
            <w:r>
              <w:rPr>
                <w:rFonts w:ascii="Times New Roman" w:cs="Times New Roman" w:eastAsia="Times New Roman" w:hAnsi="Times New Roman"/>
                <w:sz w:val="22"/>
                <w:szCs w:val="22"/>
                <w:color w:val="auto"/>
                <w:vertAlign w:val="superscript"/>
              </w:rPr>
              <w:t>(4)</w:t>
            </w:r>
          </w:p>
        </w:tc>
        <w:tc>
          <w:tcPr>
            <w:tcW w:w="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(0.56)</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LCFS metrics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LCFS generation </w:t>
            </w:r>
            <w:r>
              <w:rPr>
                <w:rFonts w:ascii="Times New Roman" w:cs="Times New Roman" w:eastAsia="Times New Roman" w:hAnsi="Times New Roman"/>
                <w:sz w:val="25"/>
                <w:szCs w:val="25"/>
                <w:color w:val="auto"/>
                <w:vertAlign w:val="superscript"/>
              </w:rPr>
              <w:t>(5)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Plus: Prior period LCFS carried into current period</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LCFS sold</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195 %</w:t>
            </w:r>
          </w:p>
        </w:tc>
        <w:tc>
          <w:tcPr>
            <w:tcW w:w="0" w:type="dxa"/>
            <w:vAlign w:val="bottom"/>
          </w:tcPr>
          <w:p>
            <w:pPr>
              <w:spacing w:after="0"/>
              <w:rPr>
                <w:sz w:val="1"/>
                <w:szCs w:val="1"/>
                <w:color w:val="auto"/>
              </w:rPr>
            </w:pPr>
          </w:p>
        </w:tc>
      </w:tr>
      <w:tr>
        <w:trPr>
          <w:trHeight w:val="249"/>
        </w:trPr>
        <w:tc>
          <w:tcPr>
            <w:tcW w:w="5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LCFS inventory</w:t>
            </w:r>
          </w:p>
        </w:tc>
        <w:tc>
          <w:tcPr>
            <w:tcW w:w="2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197"/>
        </w:trPr>
        <w:tc>
          <w:tcPr>
            <w:tcW w:w="53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 xml:space="preserve">Average realized LCFS price </w:t>
            </w:r>
            <w:r>
              <w:rPr>
                <w:rFonts w:ascii="Times New Roman" w:cs="Times New Roman" w:eastAsia="Times New Roman" w:hAnsi="Times New Roman"/>
                <w:sz w:val="22"/>
                <w:szCs w:val="22"/>
                <w:color w:val="auto"/>
                <w:vertAlign w:val="superscript"/>
              </w:rPr>
              <w:t>(4)</w:t>
            </w:r>
          </w:p>
        </w:tc>
        <w:tc>
          <w:tcPr>
            <w:tcW w:w="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64.51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56.70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7.81</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RNG operating expenses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4"/>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RNG operating expenses per MMBTU (actual)</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160" w:type="dxa"/>
            <w:vAlign w:val="bottom"/>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6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wp:posOffset>
            </wp:positionV>
            <wp:extent cx="15684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13"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gas production which has not been dispensed to generate RINs and LCFS.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RINs are generally generated in the month following the gas being dispensed.</w:t>
      </w:r>
    </w:p>
    <w:p>
      <w:pPr>
        <w:spacing w:after="0" w:line="9" w:lineRule="exact"/>
        <w:rPr>
          <w:rFonts w:ascii="Times New Roman" w:cs="Times New Roman" w:eastAsia="Times New Roman" w:hAnsi="Times New Roman"/>
          <w:sz w:val="18"/>
          <w:szCs w:val="18"/>
          <w:color w:val="auto"/>
        </w:rPr>
      </w:pPr>
    </w:p>
    <w:p>
      <w:pPr>
        <w:ind w:left="340" w:right="160" w:hanging="332"/>
        <w:spacing w:after="0" w:line="250"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MMBtu of RNG has approximately the same energy content as 11.693 gallons of ethanol, and thus may generate 11.693 RINs under the RFS Program.</w:t>
      </w:r>
    </w:p>
    <w:p>
      <w:pPr>
        <w:ind w:left="340" w:right="480" w:hanging="332"/>
        <w:spacing w:after="0" w:line="250"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prices for environmental attributes (under the temporary pathway) are net of third-party commissions and thus do not correspond directly to index prices.</w:t>
      </w: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LCFS credits are generally generated in the calendar quarter following the gas being dispensed.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Gevo North Dakota Key Operating Metrics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production and price levels from the date of acquisition for our Gevo North Dakota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center"/>
              <w:ind w:right="59"/>
              <w:spacing w:after="0" w:line="118" w:lineRule="exact"/>
              <w:rPr>
                <w:sz w:val="20"/>
                <w:szCs w:val="20"/>
                <w:color w:val="auto"/>
              </w:rPr>
            </w:pPr>
            <w:r>
              <w:rPr>
                <w:rFonts w:ascii="Times New Roman" w:cs="Times New Roman" w:eastAsia="Times New Roman" w:hAnsi="Times New Roman"/>
                <w:sz w:val="13"/>
                <w:szCs w:val="13"/>
                <w:b w:val="1"/>
                <w:bCs w:val="1"/>
                <w:color w:val="auto"/>
              </w:rPr>
              <w:t>Dried</w:t>
            </w:r>
          </w:p>
        </w:tc>
        <w:tc>
          <w:tcPr>
            <w:tcW w:w="140" w:type="dxa"/>
            <w:vAlign w:val="bottom"/>
          </w:tcPr>
          <w:p>
            <w:pPr>
              <w:spacing w:after="0"/>
              <w:rPr>
                <w:sz w:val="10"/>
                <w:szCs w:val="10"/>
                <w:color w:val="auto"/>
              </w:rPr>
            </w:pPr>
          </w:p>
        </w:tc>
        <w:tc>
          <w:tcPr>
            <w:tcW w:w="7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Modified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Corn Oil</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Ethanol</w:t>
            </w: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Distillers</w:t>
            </w:r>
          </w:p>
        </w:tc>
        <w:tc>
          <w:tcPr>
            <w:tcW w:w="1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Distillers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 unless otherwise indicated)</w:t>
            </w: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Grains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Grains</w:t>
            </w:r>
          </w:p>
        </w:tc>
        <w:tc>
          <w:tcPr>
            <w:tcW w:w="1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&amp; Syrup Sold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60" w:type="dxa"/>
            <w:vAlign w:val="bottom"/>
            <w:gridSpan w:val="2"/>
            <w:vMerge w:val="continue"/>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(gallons)</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(tons)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(tons)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8"/>
              </w:rPr>
              <w:t>(lbs)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Production quantities</w:t>
            </w: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11,136,584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2,904,620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 price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Revenues</w:t>
            </w: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3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Marketing fees and other</w:t>
            </w:r>
          </w:p>
        </w:tc>
        <w:tc>
          <w:tcPr>
            <w:tcW w:w="1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Primary production costs</w:t>
            </w: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Corn ground (bushels)</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3,867,488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Corn cost per bushel</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corn production costs</w:t>
            </w:r>
          </w:p>
        </w:tc>
        <w:tc>
          <w:tcPr>
            <w:tcW w:w="1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Natural gas (MMBTU)</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Natural gas cost per MMBTU</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natural gas production costs</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2025 and 2024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0" w:type="dxa"/>
            <w:vAlign w:val="bottom"/>
          </w:tcPr>
          <w:p>
            <w:pPr>
              <w:spacing w:after="0"/>
              <w:rPr>
                <w:sz w:val="15"/>
                <w:szCs w:val="15"/>
                <w:color w:val="auto"/>
              </w:rPr>
            </w:pPr>
          </w:p>
        </w:tc>
        <w:tc>
          <w:tcPr>
            <w:tcW w:w="118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29,109</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25,119</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production</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18,859</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729 %</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Project development costs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Facility idling costs</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4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49,248</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27,131</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22,117</w:t>
            </w:r>
          </w:p>
        </w:tc>
        <w:tc>
          <w:tcPr>
            <w:tcW w:w="13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(20,139)</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(23,141)</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5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3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9"/>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5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3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Gevo, Inc.</w:t>
            </w:r>
          </w:p>
        </w:tc>
        <w:tc>
          <w:tcPr>
            <w:tcW w:w="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(21,728)</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(18,875)</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Operating revenue. </w:t>
      </w:r>
      <w:r>
        <w:rPr>
          <w:rFonts w:ascii="Times New Roman" w:cs="Times New Roman" w:eastAsia="Times New Roman" w:hAnsi="Times New Roman"/>
          <w:sz w:val="18"/>
          <w:szCs w:val="18"/>
          <w:color w:val="auto"/>
        </w:rPr>
        <w:t>During the three months ended March 31, 2025, operating revenue increased by $25.1 million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2024. This increase was primarily due to $22.8 million in revenue from Gevo North Dakota in the two months we have owned it, $1.7 million in additional revenue from our RNG project driven by an increase in LCFS credits generated due to our improved carbon score for the LCFS program offset by a decline in RIN prices, and $0.5 million from the sale of isooctane. During the three months ended March 31, 2025, we sold 79,963 MMBtu of RNG from our RNG project, resulting in $0.3 million in RNG sales and $5.4 million in environmental attribute sales (see Key Operating Metrics above).</w:t>
      </w:r>
    </w:p>
    <w:p>
      <w:pPr>
        <w:spacing w:after="0" w:line="182" w:lineRule="exact"/>
        <w:rPr>
          <w:sz w:val="20"/>
          <w:szCs w:val="20"/>
          <w:color w:val="auto"/>
        </w:rPr>
      </w:pPr>
    </w:p>
    <w:p>
      <w:pPr>
        <w:ind w:right="2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production. </w:t>
      </w:r>
      <w:r>
        <w:rPr>
          <w:rFonts w:ascii="Times New Roman" w:cs="Times New Roman" w:eastAsia="Times New Roman" w:hAnsi="Times New Roman"/>
          <w:sz w:val="18"/>
          <w:szCs w:val="18"/>
          <w:color w:val="auto"/>
        </w:rPr>
        <w:t>Cost of production increased $18.9 million during the three months ended March 31, 2025,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2024, primarily due to $21.7 million from Gevo North Dakota, partially offset by $3.6 million of future corn basis gains (see Key Operating Metrics above).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$1.2 million during the three months ended</w:t>
      </w:r>
    </w:p>
    <w:p>
      <w:pPr>
        <w:spacing w:after="0" w:line="29"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March 31, 2025, compared to the three months ended March 31, 2024, primarily due to $3.5 million of depreciation related to Gevo North Dakota, partially offset by a $2.6 million reduction of depreciation related to assets fully depreciated at our Luverne Facility.</w:t>
      </w:r>
    </w:p>
    <w:p>
      <w:pPr>
        <w:spacing w:after="0" w:line="179"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expenses decreased $0.5 million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2025, compared to the three months ended March 31, 2024, primarily due to decreased consulting expenses and professional fees.</w:t>
      </w:r>
    </w:p>
    <w:p>
      <w:pPr>
        <w:spacing w:after="0" w:line="173"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General and administrative expense decreased $1.1 million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2025, compared to the three months ended March 31, 2024, primarily due to a $2.3 million decrease in stock-based compensation, partially offset by $0.5 million higher employee costs, $0.2 million increase in insurance costs and $0.2 million increase in computer and software costs.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Project development costs</w:t>
      </w:r>
      <w:r>
        <w:rPr>
          <w:rFonts w:ascii="Times New Roman" w:cs="Times New Roman" w:eastAsia="Times New Roman" w:hAnsi="Times New Roman"/>
          <w:sz w:val="18"/>
          <w:szCs w:val="18"/>
          <w:color w:val="auto"/>
        </w:rPr>
        <w:t>. Project development costs are primarily related to our ATJ projects and Verity, which consist primarily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expenses, preliminary engineering costs, and technical consulting fees. Project development costs decreased $0.3 million during the three months ended March 31, 2025, compared to the three months ended March 31, 2024, primarily due to a $1.8 million wind-down fee incurred in 2024, partially offset by $1.1 million of additional employee related costs.</w:t>
      </w:r>
    </w:p>
    <w:p>
      <w:pPr>
        <w:sectPr>
          <w:pgSz w:w="11900" w:h="16838" w:orient="portrait"/>
          <w:cols w:equalWidth="0" w:num="1">
            <w:col w:w="9880"/>
          </w:cols>
          <w:pgMar w:left="980" w:top="513" w:right="1039" w:bottom="1440" w:gutter="0" w:footer="0" w:header="0"/>
        </w:sectPr>
      </w:pP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Acquisition related costs</w:t>
      </w:r>
      <w:r>
        <w:rPr>
          <w:rFonts w:ascii="Times New Roman" w:cs="Times New Roman" w:eastAsia="Times New Roman" w:hAnsi="Times New Roman"/>
          <w:sz w:val="18"/>
          <w:szCs w:val="18"/>
          <w:color w:val="auto"/>
        </w:rPr>
        <w:t>. Acquisition related costs of $4.4 million are due to our acquisition of Gevo North Dakota.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Facility idling costs. </w:t>
      </w:r>
      <w:r>
        <w:rPr>
          <w:rFonts w:ascii="Times New Roman" w:cs="Times New Roman" w:eastAsia="Times New Roman" w:hAnsi="Times New Roman"/>
          <w:sz w:val="18"/>
          <w:szCs w:val="18"/>
          <w:color w:val="auto"/>
        </w:rPr>
        <w:t>Facility idling costs are related to the care and maintenance of our Luverne Facility and reprocessing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plant. Facility idling costs decreased $0.5 million during the three months ended March 31, 2025, compared to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primarily due to utilizing the reprocessing plant for isooctane production.</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Loss from operations</w:t>
      </w:r>
      <w:r>
        <w:rPr>
          <w:rFonts w:ascii="Times New Roman" w:cs="Times New Roman" w:eastAsia="Times New Roman" w:hAnsi="Times New Roman"/>
          <w:sz w:val="18"/>
          <w:szCs w:val="18"/>
          <w:color w:val="auto"/>
        </w:rPr>
        <w:t>. The Company’s loss from operations decreased by $3.0 million during the three months ended</w:t>
      </w:r>
    </w:p>
    <w:p>
      <w:pPr>
        <w:spacing w:after="0" w:line="2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March 31, 2025, compared to the three months ended March 31, 2024, primarily due to increased revenues from Gevo North Dakota and the reduction of general and administrative expenses, partially offset by the acquisition related costs.</w:t>
      </w:r>
    </w:p>
    <w:p>
      <w:pPr>
        <w:spacing w:after="0" w:line="179"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increased $2.8 million during the three months ended March 31, 2025,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2024, primarily due to the debt used to acquire Gevo North Dakota and a higher interest rate on our Remarketed Bonds.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Interest and investment income. </w:t>
      </w:r>
      <w:r>
        <w:rPr>
          <w:rFonts w:ascii="Times New Roman" w:cs="Times New Roman" w:eastAsia="Times New Roman" w:hAnsi="Times New Roman"/>
          <w:sz w:val="18"/>
          <w:szCs w:val="18"/>
          <w:color w:val="auto"/>
        </w:rPr>
        <w:t>Interest and investment income decreased $2.8 million during the three months ended</w:t>
      </w:r>
    </w:p>
    <w:p>
      <w:pPr>
        <w:spacing w:after="0" w:line="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March 31, 2025, compared to the three months ended March 31, 2024, primarily due to the usage of cash for the acquisition of Gevo North Dakota and to fund our capital projects and operating costs, resulting in a lower balance of cash equivalent investments during the three months ended March 31, 2025.</w:t>
      </w:r>
    </w:p>
    <w:p>
      <w:pPr>
        <w:spacing w:after="0" w:line="184"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income (expense), net remained flat for the three months ended March 31, 2025,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estimates and policies since December 31, 2024. For a description of our other critical accounting policies and estimates that affect our significant judgments and estimates used in the preparation of our condensed consolidated financial statements, refer to “Management’s Discussion and Analysis of Financial Condition and Results of Operations—Critical Accounting Estimates” contained in our 2024 Annual Report.</w:t>
      </w:r>
    </w:p>
    <w:p>
      <w:pPr>
        <w:spacing w:after="0" w:line="18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conformity with GAAP and require our management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may differ from these estimates, and such estimates may change if the underlying conditions or assumptions change.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of March 31, 2025, we had cash and cash equivalents of $65.3 million and current restricted cash of $69.6 million, totaling $134.9 million in cash, cash equivalents, and restricted cash. Our cash equivalents consist of investments in U.S. government money market funds. We expect to use our cash, cash equivalents, and restricted cash for the following purposes: (i) identification, development, engineering, licensing, acquisition and construction of production facilities and the Company’s Alcohol-to-Jet Projects; (ii) potential investment in RNG projects; (iii) operating activities at the Company’s corporate headquarters in Colorado, including research and development work; (iv) exploration of strategic alternatives and additional financing, including project financing; and (v) debt service obligations associated with any future borrowings. We believe that as a result of our cash and cash equivalents balances and the performance of our current and expected operations, we will be able to meet our obligations and other potential cash requirements during the next 12 months from the date of this report.</w:t>
      </w:r>
    </w:p>
    <w:p>
      <w:pPr>
        <w:spacing w:after="0" w:line="188" w:lineRule="exact"/>
        <w:rPr>
          <w:sz w:val="20"/>
          <w:szCs w:val="20"/>
          <w:color w:val="auto"/>
        </w:rPr>
      </w:pPr>
    </w:p>
    <w:p>
      <w:pPr>
        <w:ind w:right="320" w:firstLine="324"/>
        <w:spacing w:after="0" w:line="255" w:lineRule="auto"/>
        <w:rPr>
          <w:sz w:val="20"/>
          <w:szCs w:val="20"/>
          <w:color w:val="auto"/>
        </w:rPr>
      </w:pPr>
      <w:r>
        <w:rPr>
          <w:rFonts w:ascii="Times New Roman" w:cs="Times New Roman" w:eastAsia="Times New Roman" w:hAnsi="Times New Roman"/>
          <w:sz w:val="18"/>
          <w:szCs w:val="18"/>
          <w:color w:val="auto"/>
        </w:rPr>
        <w:t>Since our inception in 2005, we have devoted most of our cash resources to the development and commercialization of routes to efficiently produce fuels and chemicals from carbohydrates, such as renewable feedstock, using alcohols (isobutanol and ethanol) as intermediates. We have incurred losses since inception, have a significant accumulated deficit, and expect to incur losses for the foreseeable future. Historically we have financed our operations primarily with proceeds from the issuance of equity, warrants, borrowings under debt facilities, and interest income. Our current sources of cash include sales of ethanol, distillers grains, RNG, environmental attributes, and licensing fees. We may also fund future operations through additional private and/or public offerings of equity or debt securities. In addition, we may seek additional capital, on acceptable terms, through arrangements with strategic</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partners or from other sources. Notwithstanding, there can be no assurance that we will be able to raise additional funds or achieve or sustain profitability or positive cash flows from operations.</w:t>
      </w:r>
    </w:p>
    <w:p>
      <w:pPr>
        <w:spacing w:after="0" w:line="16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Our transition to profitability is dependent upon, among other things, the successful development and commercialization of our projects, the development, licensing, acquisition and construction of commercial level production facilities to support our offtake agreements, the achievement of a level of revenues adequate to support the Company’s cost structure, and the ability to raise capital to finance the development, licensing, acquisition, and construction of additional production facilities.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for each of the periods set forth below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44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(204,295)</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(17,512)</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104,242</w:t>
            </w:r>
          </w:p>
        </w:tc>
        <w:tc>
          <w:tcPr>
            <w:tcW w:w="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Our primary uses of cash from operating activities are personnel-related expenses, and research and development-related expenses, including costs incurred under development agreements, costs of licensing of technology, legal-related costs, and expenses for the development and commercialization of routes to efficiently produce fuels and chemicals from renewable feedstock carbohydrates using alcohols (isobutanol and ethanol) as an intermediate.</w:t>
      </w:r>
    </w:p>
    <w:p>
      <w:pPr>
        <w:spacing w:after="0" w:line="18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operating activities was $24.0 million compared to $16.1 million for the three months ended March 31, 2024. Non-cash charges primarily consisted of $5.6 million in depreciation and amortization and $1.9 million in stock-based compensation expense. The accounts receivable balance increased significantly, reflecting increased billing activity from Gevo North Dakota as well as higher revenue from our RNG plant due to the approval of the provisional Tier 2 pathway. This resulted in a $4.5 million increase compared to the same period in the prior year. The change in the fair value of derivative instruments, totaling $2.7 million, represents the fair value adjustment of our hedging program implemented following the acquisition of the Gevo North Dakota.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the Company completed the acquisition of Red Trail Energy for consideration of $198.5 million, in addition to $10.0 million which was paid to an escrow account in 2024. This acquisition is reflected as a cash outflow in the period, consistent with the Company’s investing activities. Additionally, the Company made capital investments totaling $5.8 million in the development of its ATJ-60 project, along with other ongoing projects. These investments primarily relate to the acquisition of property, plant, and equipment, and are aimed at advancing the Company’s strategic initiatives in renewable energy and related sectors.</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substantially completed the engineering design on our ATJ-60 project and are proceeding with detailed engineering and modularization design. We are refining the project cost estimates with EPC partners to identify opportunities to reduce and negotiate the cost. We currently expect to finance the construction of ATJ-60 at the subsidiary level using a combination of Company equity and third-party capital, to include non-recourse debt. The Company previously projected a range of $90.0 – $125.0 million to be spent on ATJ-60 between January 2024 and the financial close of ATJ-60. The Company expects the remaining spend until the financial close of ATJ-60 to fall below the previously estimated range. Cash distributions from future ATJ-60 earnings would be proportionate to Gevo’s ownership in ATJ-60 under this expected financing structure. The use of project debt and third-party equity allows us to conserve capital for use on other growth projects. We expect to apply similar development and financing strategies to future Alcohol-to-Jet Projects to grow our SAF production to meet the demand for SAF.</w:t>
      </w:r>
    </w:p>
    <w:p>
      <w:pPr>
        <w:spacing w:after="0" w:line="18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Gevo is in the process of identifying and performing early site development work for additional Alcohol-to-Jet production locations. These potential sites include greenfield and brownfield (i.e., at an existing ethanol plant) locations that are advantageous in terms of potential economics, opportunities to decarbonize, and time to market. Early development work at Gevo North Dakota is currently underway.</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we had $17.5 million in cash used in investing activities, comprised of investments in our capital projects, including $0.5 million in the RNG project, $10.4 million for ATJ-60, and $6.6 million in other projects.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entered into a credit agreement with OIC for $105 million. The proceeds from this credit agreement were partially used to fund the acquisition of Red Trail Energy. Additionally, the lenders made an equity investment of $5 million in Gevo Intermediate HoldCo, LLC on the Closing Date. This equity investment is reflected as a cash inflow within financing activities.</w:t>
      </w:r>
    </w:p>
    <w:p>
      <w:pPr>
        <w:spacing w:after="0" w:line="18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currently expect to finance the construction of ATJ-60 at the subsidiary level using a combination of our own, third-party, and debt capital. The Company expects to retain an equity interest in the project and may invest equity in the project using the proceeds from the reimbursement of the Company’s ATJ-60 development expenditures. Cash distributions from future ATJ-60 earnings would be proportionate to Gevo’s ownership in ATJ-60 under this expected financing structure which would allow us to conserve and redeploy our capital on other growth projects, including our Alcohol-to-Jet 2 project. We expect to apply similar development and financing strategies to future Alcohol-to-Jet Projects to enable growth of SAF production to meet demand for SAF.</w:t>
      </w:r>
    </w:p>
    <w:p>
      <w:pPr>
        <w:spacing w:after="0" w:line="18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we had $1.5 million of net cash used in financing activities, due to payments for repurchases of the Company’s common stock, equipment loans, and finance lease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May 30, 2023, we authorized a stock repurchase program, under which we may repurchase up to $25 million of our common stock. The primary goal of the repurchase program is to allow us to opportunistically repurchase shares, while maintaining our ability to fund our development projects. Under the stock repurchase program, we may repurchase shares from time to time in the open market or through privately negotiated transactions. The timing, volume and nature of stock repurchases, if any, will be at our sole discretion and will be dependent on market conditions, applicable securities laws, and other factors. The stock repurchase program may be suspended or discontinued at any time and does not have an expiration date.</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did not repurchase shares of common stock under the stock repurchase program during the three months ended March 31, 2025. The Company repurchased 2.1 million shares of common stock for $1.4 million under the stock repurchase program during the three months ended March 31, 2024. Shares were repurchased at market value, and were retired immediately upon repurchase. As of March 31, 2025, approximately $20.3 million remained available under the stock repurchase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 However, we note that we are exposed to market risks in the ordinary course of our business. These risks primarily consist of environmental attribute pricing, commodity pricing, interest rate, credit risk with our contract counterparties, and equity price risks. There have been no material changes since our disclosure in “Quantitative and Qualitative Disclosures About Market Risk” included in Part II, Item 7A of our 2024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previously reported in our Annual Report on Form 10-K for the year ended December 31, 2024, we have determined that we did not maintain a sufficient complement of personnel with the necessary technical expertise and accounting knowledge to appropriately address complex and non-routine transactions, which control deficiency constitutes a material weakness.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2025, we have initiated steps toward remediation of the issues. The material weakness cannot be considered completely remediated until the applicable controls have operated for a sufficient period of time and management has concluded, through testing, that these controls are operating effectively. We expect this to take through 2025 and beyond as necessary.</w:t>
      </w:r>
    </w:p>
    <w:p>
      <w:pPr>
        <w:spacing w:after="0" w:line="17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 response to the identified material weakness, we have implemented and will continue to implement additional corrective actions to enhance the effectiveness of our controls and ensure that they are operating as intended.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Such measures include:</w:t>
      </w:r>
    </w:p>
    <w:p>
      <w:pPr>
        <w:spacing w:after="0" w:line="225" w:lineRule="exact"/>
        <w:rPr>
          <w:sz w:val="20"/>
          <w:szCs w:val="20"/>
          <w:color w:val="auto"/>
        </w:rPr>
      </w:pPr>
    </w:p>
    <w:p>
      <w:pPr>
        <w:ind w:left="1000" w:right="800" w:hanging="317"/>
        <w:spacing w:after="0" w:line="26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accounting personnel with the necessary technical accounting expertise and financial reporting knowledge to perform control activities surrounding complex and non-routine transactions.</w:t>
      </w:r>
    </w:p>
    <w:p>
      <w:pPr>
        <w:ind w:left="1000" w:hanging="31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extensive and recurring training of our accounting staff.</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our engagement with an external firm to assist with complex and non-routine transactions.</w:t>
      </w:r>
    </w:p>
    <w:p>
      <w:pPr>
        <w:spacing w:after="0" w:line="9" w:lineRule="exact"/>
        <w:rPr>
          <w:rFonts w:ascii="Times New Roman" w:cs="Times New Roman" w:eastAsia="Times New Roman" w:hAnsi="Times New Roman"/>
          <w:sz w:val="18"/>
          <w:szCs w:val="18"/>
          <w:color w:val="auto"/>
        </w:rPr>
      </w:pPr>
    </w:p>
    <w:p>
      <w:pPr>
        <w:ind w:left="1000" w:right="260" w:hanging="317"/>
        <w:spacing w:after="0" w:line="260"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improving communication channels among departments and teams involved in contract execution and those that handle financial reporting and internal control activities.</w:t>
      </w:r>
    </w:p>
    <w:p>
      <w:pPr>
        <w:spacing w:after="0" w:line="18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During the fiscal period covered by this report, our management, with the participation of our Chief Executive Officer and Chief Financial Officer, carried out an evaluation of the effectiveness of the design and operation of our disclosure controls and procedures (as defined in Rules 13a-15(e) and 15d-15(e) of the Exchange Act). Based on such evaluation, our Chief Executive Officer and Chief Financial Officer have concluded that, as of March 31, 2025, our disclosure controls and procedures were effective to ensure that information required to be disclosed by us in reports that we file or submit under the Exchange Act are recorded, processed, summarized and reported within the required time periods and are designed to ensure that information required to be disclosed in our reports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Except as disclosed above, there were no changes that occurred during the three months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 discussion of legal matters is found in Note 18, Commitments and Contingencies, in the accompanying Notes to the Financial Statements included in Part I - Item 1. Financial Statements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risk factors discussed in Part I, Item 1A. “Risk Factors” in our 2024 Annual Report, which could materially affect our business, financial condition, cash flows or future results. There have been no material changes in our risk factors included in our 2024 Annual Report. The risk factors in our 2024 Annual Report are not the only risks facing our company. Additional risks and uncertainties not currently known to us or that we currently deem to be immaterial also may materially adversely affect our business, financial condition or future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No directors or officers, as defined in Rule 16a-1(f), adopted, modified and/or terminated a “Rule 10b5-1 trading arrangement,” or a “non-Rule 10b5-1 trading arrangement,” each as defined in Item 408 of Regulation S-K, during our last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48" w:name="page49"/>
    <w:bookmarkEnd w:id="48"/>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exhibits listed below are filed or furnished as part of this report.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ind w:left="259"/>
              <w:spacing w:after="0" w:line="173" w:lineRule="exact"/>
              <w:rPr>
                <w:sz w:val="20"/>
                <w:szCs w:val="20"/>
                <w:color w:val="auto"/>
              </w:rPr>
            </w:pPr>
            <w:r>
              <w:rPr>
                <w:rFonts w:ascii="Times New Roman" w:cs="Times New Roman" w:eastAsia="Times New Roman" w:hAnsi="Times New Roman"/>
                <w:sz w:val="16"/>
                <w:szCs w:val="16"/>
                <w:b w:val="1"/>
                <w:bCs w:val="1"/>
                <w:color w:val="auto"/>
                <w:w w:val="92"/>
              </w:rPr>
              <w:t>Filed</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12"/>
          </w:tcPr>
          <w:p>
            <w:pPr>
              <w:ind w:left="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80" w:type="dxa"/>
            <w:vAlign w:val="bottom"/>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60" w:type="dxa"/>
            <w:vAlign w:val="bottom"/>
          </w:tcPr>
          <w:p>
            <w:pPr>
              <w:spacing w:after="0"/>
              <w:rPr>
                <w:sz w:val="18"/>
                <w:szCs w:val="18"/>
                <w:color w:val="auto"/>
              </w:rPr>
            </w:pP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6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160" w:type="dxa"/>
            <w:vAlign w:val="bottom"/>
          </w:tcPr>
          <w:p>
            <w:pPr>
              <w:spacing w:after="0"/>
              <w:rPr>
                <w:sz w:val="18"/>
                <w:szCs w:val="18"/>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80" w:type="dxa"/>
            <w:vAlign w:val="bottom"/>
          </w:tcPr>
          <w:p>
            <w:pPr>
              <w:spacing w:after="0"/>
              <w:rPr>
                <w:sz w:val="18"/>
                <w:szCs w:val="18"/>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Herewith</w:t>
            </w:r>
          </w:p>
        </w:tc>
        <w:tc>
          <w:tcPr>
            <w:tcW w:w="0" w:type="dxa"/>
            <w:vAlign w:val="bottom"/>
          </w:tcPr>
          <w:p>
            <w:pPr>
              <w:spacing w:after="0"/>
              <w:rPr>
                <w:sz w:val="1"/>
                <w:szCs w:val="1"/>
                <w:color w:val="auto"/>
              </w:rPr>
            </w:pPr>
          </w:p>
        </w:tc>
      </w:tr>
      <w:tr>
        <w:trPr>
          <w:trHeight w:val="361"/>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w:t>
            </w:r>
          </w:p>
        </w:tc>
        <w:tc>
          <w:tcPr>
            <w:tcW w:w="200" w:type="dxa"/>
            <w:vAlign w:val="bottom"/>
          </w:tcPr>
          <w:p>
            <w:pPr>
              <w:spacing w:after="0"/>
              <w:rPr>
                <w:sz w:val="24"/>
                <w:szCs w:val="24"/>
                <w:color w:val="auto"/>
              </w:rPr>
            </w:pPr>
          </w:p>
        </w:tc>
        <w:tc>
          <w:tcPr>
            <w:tcW w:w="3600" w:type="dxa"/>
            <w:vAlign w:val="bottom"/>
            <w:gridSpan w:val="17"/>
          </w:tcPr>
          <w:p>
            <w:pPr>
              <w:spacing w:after="0"/>
              <w:rPr>
                <w:rFonts w:ascii="Times New Roman" w:cs="Times New Roman" w:eastAsia="Times New Roman" w:hAnsi="Times New Roman"/>
                <w:sz w:val="16"/>
                <w:szCs w:val="16"/>
                <w:color w:val="0000EE"/>
              </w:rPr>
            </w:pPr>
            <w:hyperlink r:id="rId58">
              <w:r>
                <w:rPr>
                  <w:rFonts w:ascii="Times New Roman" w:cs="Times New Roman" w:eastAsia="Times New Roman" w:hAnsi="Times New Roman"/>
                  <w:sz w:val="16"/>
                  <w:szCs w:val="16"/>
                  <w:color w:val="0000EE"/>
                </w:rPr>
                <w:t>Amended and Restated Certificate of Incorporation</w:t>
              </w:r>
            </w:hyperlink>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top w:val="single" w:sz="8" w:color="0000EE"/>
              <w:bottom w:val="single" w:sz="8" w:color="0000EE"/>
            </w:tcBorders>
            <w:gridSpan w:val="3"/>
          </w:tcPr>
          <w:p>
            <w:pPr>
              <w:spacing w:after="0" w:line="183" w:lineRule="exact"/>
              <w:rPr>
                <w:rFonts w:ascii="Times New Roman" w:cs="Times New Roman" w:eastAsia="Times New Roman" w:hAnsi="Times New Roman"/>
                <w:sz w:val="16"/>
                <w:szCs w:val="16"/>
                <w:color w:val="0000EE"/>
                <w:w w:val="99"/>
              </w:rPr>
            </w:pPr>
            <w:hyperlink r:id="rId58">
              <w:r>
                <w:rPr>
                  <w:rFonts w:ascii="Times New Roman" w:cs="Times New Roman" w:eastAsia="Times New Roman" w:hAnsi="Times New Roman"/>
                  <w:sz w:val="16"/>
                  <w:szCs w:val="16"/>
                  <w:color w:val="0000EE"/>
                  <w:w w:val="99"/>
                </w:rPr>
                <w:t>of Gevo, Inc.</w:t>
              </w:r>
            </w:hyperlink>
          </w:p>
        </w:tc>
        <w:tc>
          <w:tcPr>
            <w:tcW w:w="2460" w:type="dxa"/>
            <w:vAlign w:val="bottom"/>
            <w:tcBorders>
              <w:top w:val="single" w:sz="8" w:color="0000EE"/>
            </w:tcBorders>
            <w:gridSpan w:val="9"/>
          </w:tcPr>
          <w:p>
            <w:pPr>
              <w:spacing w:after="0"/>
              <w:rPr>
                <w:sz w:val="15"/>
                <w:szCs w:val="15"/>
                <w:color w:val="auto"/>
              </w:rPr>
            </w:pPr>
          </w:p>
        </w:tc>
        <w:tc>
          <w:tcPr>
            <w:tcW w:w="280" w:type="dxa"/>
            <w:vAlign w:val="bottom"/>
            <w:gridSpan w:val="5"/>
          </w:tcPr>
          <w:p>
            <w:pPr>
              <w:spacing w:after="0"/>
              <w:rPr>
                <w:sz w:val="15"/>
                <w:szCs w:val="15"/>
                <w:color w:val="auto"/>
              </w:rPr>
            </w:pPr>
          </w:p>
        </w:tc>
        <w:tc>
          <w:tcPr>
            <w:tcW w:w="700" w:type="dxa"/>
            <w:vAlign w:val="bottom"/>
            <w:gridSpan w:val="2"/>
          </w:tcPr>
          <w:p>
            <w:pPr>
              <w:jc w:val="center"/>
              <w:ind w:right="160"/>
              <w:spacing w:after="0" w:line="183" w:lineRule="exact"/>
              <w:rPr>
                <w:sz w:val="20"/>
                <w:szCs w:val="20"/>
                <w:color w:val="auto"/>
              </w:rPr>
            </w:pPr>
            <w:r>
              <w:rPr>
                <w:rFonts w:ascii="Times New Roman" w:cs="Times New Roman" w:eastAsia="Times New Roman" w:hAnsi="Times New Roman"/>
                <w:sz w:val="16"/>
                <w:szCs w:val="16"/>
                <w:color w:val="auto"/>
              </w:rPr>
              <w:t>10-K</w:t>
            </w:r>
          </w:p>
        </w:tc>
        <w:tc>
          <w:tcPr>
            <w:tcW w:w="10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001-35073</w:t>
            </w:r>
          </w:p>
        </w:tc>
        <w:tc>
          <w:tcPr>
            <w:tcW w:w="160" w:type="dxa"/>
            <w:vAlign w:val="bottom"/>
          </w:tcPr>
          <w:p>
            <w:pPr>
              <w:spacing w:after="0"/>
              <w:rPr>
                <w:sz w:val="15"/>
                <w:szCs w:val="15"/>
                <w:color w:val="auto"/>
              </w:rPr>
            </w:pPr>
          </w:p>
        </w:tc>
        <w:tc>
          <w:tcPr>
            <w:tcW w:w="1600" w:type="dxa"/>
            <w:vAlign w:val="bottom"/>
            <w:gridSpan w:val="2"/>
          </w:tcPr>
          <w:p>
            <w:pPr>
              <w:jc w:val="center"/>
              <w:ind w:right="160"/>
              <w:spacing w:after="0" w:line="183" w:lineRule="exact"/>
              <w:rPr>
                <w:sz w:val="20"/>
                <w:szCs w:val="20"/>
                <w:color w:val="auto"/>
              </w:rPr>
            </w:pPr>
            <w:r>
              <w:rPr>
                <w:rFonts w:ascii="Times New Roman" w:cs="Times New Roman" w:eastAsia="Times New Roman" w:hAnsi="Times New Roman"/>
                <w:sz w:val="16"/>
                <w:szCs w:val="16"/>
                <w:color w:val="auto"/>
              </w:rPr>
              <w:t>February 24, 2022</w:t>
            </w:r>
          </w:p>
        </w:tc>
        <w:tc>
          <w:tcPr>
            <w:tcW w:w="6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3.1</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tcBorders>
              <w:bottom w:val="single" w:sz="8" w:color="0000EE"/>
            </w:tcBorders>
            <w:gridSpan w:val="8"/>
          </w:tcPr>
          <w:p>
            <w:pPr>
              <w:spacing w:after="0"/>
              <w:rPr>
                <w:rFonts w:ascii="Times New Roman" w:cs="Times New Roman" w:eastAsia="Times New Roman" w:hAnsi="Times New Roman"/>
                <w:sz w:val="16"/>
                <w:szCs w:val="16"/>
                <w:color w:val="0000EE"/>
              </w:rPr>
            </w:pPr>
            <w:hyperlink r:id="rId59">
              <w:r>
                <w:rPr>
                  <w:rFonts w:ascii="Times New Roman" w:cs="Times New Roman" w:eastAsia="Times New Roman" w:hAnsi="Times New Roman"/>
                  <w:sz w:val="16"/>
                  <w:szCs w:val="16"/>
                  <w:color w:val="0000EE"/>
                </w:rPr>
                <w:t>Second Amended and Restated Bylaws of</w:t>
              </w:r>
            </w:hyperlink>
          </w:p>
        </w:tc>
        <w:tc>
          <w:tcPr>
            <w:tcW w:w="880" w:type="dxa"/>
            <w:vAlign w:val="bottom"/>
            <w:gridSpan w:val="9"/>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3.2</w:t>
            </w:r>
          </w:p>
        </w:tc>
        <w:tc>
          <w:tcPr>
            <w:tcW w:w="200" w:type="dxa"/>
            <w:vAlign w:val="bottom"/>
          </w:tcPr>
          <w:p>
            <w:pPr>
              <w:spacing w:after="0"/>
              <w:rPr>
                <w:sz w:val="15"/>
                <w:szCs w:val="15"/>
                <w:color w:val="auto"/>
              </w:rPr>
            </w:pPr>
          </w:p>
        </w:tc>
        <w:tc>
          <w:tcPr>
            <w:tcW w:w="680" w:type="dxa"/>
            <w:vAlign w:val="bottom"/>
            <w:tcBorders>
              <w:bottom w:val="single" w:sz="8" w:color="0000EE"/>
            </w:tcBorders>
            <w:gridSpan w:val="2"/>
          </w:tcPr>
          <w:p>
            <w:pPr>
              <w:spacing w:after="0" w:line="183" w:lineRule="exact"/>
              <w:rPr>
                <w:rFonts w:ascii="Times New Roman" w:cs="Times New Roman" w:eastAsia="Times New Roman" w:hAnsi="Times New Roman"/>
                <w:sz w:val="16"/>
                <w:szCs w:val="16"/>
                <w:color w:val="0000EE"/>
                <w:w w:val="98"/>
              </w:rPr>
            </w:pPr>
            <w:hyperlink r:id="rId59">
              <w:r>
                <w:rPr>
                  <w:rFonts w:ascii="Times New Roman" w:cs="Times New Roman" w:eastAsia="Times New Roman" w:hAnsi="Times New Roman"/>
                  <w:sz w:val="16"/>
                  <w:szCs w:val="16"/>
                  <w:color w:val="0000EE"/>
                  <w:w w:val="98"/>
                </w:rPr>
                <w:t>Gevo, Inc.</w:t>
              </w:r>
            </w:hyperlink>
          </w:p>
        </w:tc>
        <w:tc>
          <w:tcPr>
            <w:tcW w:w="2920" w:type="dxa"/>
            <w:vAlign w:val="bottom"/>
            <w:gridSpan w:val="15"/>
          </w:tcPr>
          <w:p>
            <w:pPr>
              <w:spacing w:after="0"/>
              <w:rPr>
                <w:sz w:val="15"/>
                <w:szCs w:val="15"/>
                <w:color w:val="auto"/>
              </w:rPr>
            </w:pPr>
          </w:p>
        </w:tc>
        <w:tc>
          <w:tcPr>
            <w:tcW w:w="700" w:type="dxa"/>
            <w:vAlign w:val="bottom"/>
            <w:gridSpan w:val="2"/>
          </w:tcPr>
          <w:p>
            <w:pPr>
              <w:jc w:val="center"/>
              <w:ind w:right="160"/>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001-35073</w:t>
            </w:r>
          </w:p>
        </w:tc>
        <w:tc>
          <w:tcPr>
            <w:tcW w:w="160" w:type="dxa"/>
            <w:vAlign w:val="bottom"/>
          </w:tcPr>
          <w:p>
            <w:pPr>
              <w:spacing w:after="0"/>
              <w:rPr>
                <w:sz w:val="15"/>
                <w:szCs w:val="15"/>
                <w:color w:val="auto"/>
              </w:rPr>
            </w:pPr>
          </w:p>
        </w:tc>
        <w:tc>
          <w:tcPr>
            <w:tcW w:w="1600" w:type="dxa"/>
            <w:vAlign w:val="bottom"/>
            <w:gridSpan w:val="2"/>
          </w:tcPr>
          <w:p>
            <w:pPr>
              <w:jc w:val="center"/>
              <w:ind w:right="160"/>
              <w:spacing w:after="0" w:line="183" w:lineRule="exact"/>
              <w:rPr>
                <w:sz w:val="20"/>
                <w:szCs w:val="20"/>
                <w:color w:val="auto"/>
              </w:rPr>
            </w:pPr>
            <w:r>
              <w:rPr>
                <w:rFonts w:ascii="Times New Roman" w:cs="Times New Roman" w:eastAsia="Times New Roman" w:hAnsi="Times New Roman"/>
                <w:sz w:val="16"/>
                <w:szCs w:val="16"/>
                <w:color w:val="auto"/>
              </w:rPr>
              <w:t>November 24, 2021</w:t>
            </w:r>
          </w:p>
        </w:tc>
        <w:tc>
          <w:tcPr>
            <w:tcW w:w="6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3.1</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w:t>
            </w:r>
          </w:p>
        </w:tc>
        <w:tc>
          <w:tcPr>
            <w:tcW w:w="200" w:type="dxa"/>
            <w:vAlign w:val="bottom"/>
          </w:tcPr>
          <w:p>
            <w:pPr>
              <w:spacing w:after="0"/>
              <w:rPr>
                <w:sz w:val="24"/>
                <w:szCs w:val="24"/>
                <w:color w:val="auto"/>
              </w:rPr>
            </w:pPr>
          </w:p>
        </w:tc>
        <w:tc>
          <w:tcPr>
            <w:tcW w:w="3600" w:type="dxa"/>
            <w:vAlign w:val="bottom"/>
            <w:gridSpan w:val="17"/>
          </w:tcPr>
          <w:p>
            <w:pPr>
              <w:spacing w:after="0"/>
              <w:rPr>
                <w:rFonts w:ascii="Times New Roman" w:cs="Times New Roman" w:eastAsia="Times New Roman" w:hAnsi="Times New Roman"/>
                <w:sz w:val="16"/>
                <w:szCs w:val="16"/>
                <w:color w:val="0000EE"/>
              </w:rPr>
            </w:pPr>
            <w:hyperlink r:id="rId60">
              <w:r>
                <w:rPr>
                  <w:rFonts w:ascii="Times New Roman" w:cs="Times New Roman" w:eastAsia="Times New Roman" w:hAnsi="Times New Roman"/>
                  <w:sz w:val="16"/>
                  <w:szCs w:val="16"/>
                  <w:color w:val="0000EE"/>
                </w:rPr>
                <w:t>Form of Gevo, Inc. Common Stock Certificate</w:t>
              </w:r>
            </w:hyperlink>
            <w:r>
              <w:rPr>
                <w:rFonts w:ascii="Times New Roman" w:cs="Times New Roman" w:eastAsia="Times New Roman" w:hAnsi="Times New Roman"/>
                <w:sz w:val="16"/>
                <w:szCs w:val="16"/>
                <w:color w:val="000000"/>
              </w:rPr>
              <w:t>.</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S-1</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212529"/>
              </w:rPr>
              <w:t>333-168792</w:t>
            </w:r>
          </w:p>
        </w:tc>
        <w:tc>
          <w:tcPr>
            <w:tcW w:w="160" w:type="dxa"/>
            <w:vAlign w:val="bottom"/>
          </w:tcPr>
          <w:p>
            <w:pPr>
              <w:spacing w:after="0"/>
              <w:rPr>
                <w:sz w:val="24"/>
                <w:szCs w:val="24"/>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212529"/>
              </w:rPr>
              <w:t>January 19, 2011</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212529"/>
                <w:w w:val="99"/>
              </w:rPr>
              <w:t>4.1</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17"/>
          </w:tcPr>
          <w:p>
            <w:pPr>
              <w:spacing w:after="0"/>
              <w:rPr>
                <w:rFonts w:ascii="Times New Roman" w:cs="Times New Roman" w:eastAsia="Times New Roman" w:hAnsi="Times New Roman"/>
                <w:sz w:val="16"/>
                <w:szCs w:val="16"/>
                <w:color w:val="0000EE"/>
              </w:rPr>
            </w:pPr>
            <w:hyperlink r:id="rId61">
              <w:r>
                <w:rPr>
                  <w:rFonts w:ascii="Times New Roman" w:cs="Times New Roman" w:eastAsia="Times New Roman" w:hAnsi="Times New Roman"/>
                  <w:sz w:val="16"/>
                  <w:szCs w:val="16"/>
                  <w:color w:val="0000EE"/>
                </w:rPr>
                <w:t>Credit Agreement, dated as of January 31, 2025, by</w:t>
              </w:r>
            </w:hyperlink>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0" w:type="dxa"/>
            <w:vAlign w:val="bottom"/>
            <w:gridSpan w:val="17"/>
          </w:tcPr>
          <w:p>
            <w:pPr>
              <w:spacing w:after="0" w:line="183" w:lineRule="exact"/>
              <w:rPr>
                <w:rFonts w:ascii="Times New Roman" w:cs="Times New Roman" w:eastAsia="Times New Roman" w:hAnsi="Times New Roman"/>
                <w:sz w:val="16"/>
                <w:szCs w:val="16"/>
                <w:color w:val="0000EE"/>
              </w:rPr>
            </w:pPr>
            <w:hyperlink r:id="rId61">
              <w:r>
                <w:rPr>
                  <w:rFonts w:ascii="Times New Roman" w:cs="Times New Roman" w:eastAsia="Times New Roman" w:hAnsi="Times New Roman"/>
                  <w:sz w:val="16"/>
                  <w:szCs w:val="16"/>
                  <w:color w:val="0000EE"/>
                </w:rPr>
                <w:t>and between the Net-Zero North HoldCo, LLC, OIC</w:t>
              </w:r>
            </w:hyperlink>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0" w:type="dxa"/>
            <w:vAlign w:val="bottom"/>
            <w:tcBorders>
              <w:top w:val="single" w:sz="8" w:color="0000EE"/>
            </w:tcBorders>
            <w:gridSpan w:val="15"/>
          </w:tcPr>
          <w:p>
            <w:pPr>
              <w:spacing w:after="0" w:line="183" w:lineRule="exact"/>
              <w:rPr>
                <w:rFonts w:ascii="Times New Roman" w:cs="Times New Roman" w:eastAsia="Times New Roman" w:hAnsi="Times New Roman"/>
                <w:sz w:val="16"/>
                <w:szCs w:val="16"/>
                <w:color w:val="0000EE"/>
              </w:rPr>
            </w:pPr>
            <w:hyperlink r:id="rId61">
              <w:r>
                <w:rPr>
                  <w:rFonts w:ascii="Times New Roman" w:cs="Times New Roman" w:eastAsia="Times New Roman" w:hAnsi="Times New Roman"/>
                  <w:sz w:val="16"/>
                  <w:szCs w:val="16"/>
                  <w:color w:val="0000EE"/>
                </w:rPr>
                <w:t>Investment Agent, LLC, as administrative agent for</w:t>
              </w:r>
            </w:hyperlink>
          </w:p>
        </w:tc>
        <w:tc>
          <w:tcPr>
            <w:tcW w:w="20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200" w:type="dxa"/>
            <w:vAlign w:val="bottom"/>
          </w:tcPr>
          <w:p>
            <w:pPr>
              <w:spacing w:after="0"/>
              <w:rPr>
                <w:sz w:val="17"/>
                <w:szCs w:val="17"/>
                <w:color w:val="auto"/>
              </w:rPr>
            </w:pPr>
          </w:p>
        </w:tc>
        <w:tc>
          <w:tcPr>
            <w:tcW w:w="3340" w:type="dxa"/>
            <w:vAlign w:val="bottom"/>
            <w:tcBorders>
              <w:top w:val="single" w:sz="8" w:color="0000EE"/>
            </w:tcBorders>
            <w:gridSpan w:val="13"/>
          </w:tcPr>
          <w:p>
            <w:pPr>
              <w:spacing w:after="0"/>
              <w:rPr>
                <w:rFonts w:ascii="Times New Roman" w:cs="Times New Roman" w:eastAsia="Times New Roman" w:hAnsi="Times New Roman"/>
                <w:sz w:val="16"/>
                <w:szCs w:val="16"/>
                <w:color w:val="0000EE"/>
              </w:rPr>
            </w:pPr>
            <w:hyperlink r:id="rId61">
              <w:r>
                <w:rPr>
                  <w:rFonts w:ascii="Times New Roman" w:cs="Times New Roman" w:eastAsia="Times New Roman" w:hAnsi="Times New Roman"/>
                  <w:sz w:val="16"/>
                  <w:szCs w:val="16"/>
                  <w:color w:val="0000EE"/>
                </w:rPr>
                <w:t>the Lenders, and the other parties thereto</w:t>
              </w:r>
              <w:r>
                <w:rPr>
                  <w:rFonts w:ascii="Times New Roman" w:cs="Times New Roman" w:eastAsia="Times New Roman" w:hAnsi="Times New Roman"/>
                  <w:sz w:val="17"/>
                  <w:szCs w:val="17"/>
                  <w:color w:val="000000"/>
                </w:rPr>
                <w:t>.</w:t>
              </w:r>
            </w:hyperlink>
          </w:p>
        </w:tc>
        <w:tc>
          <w:tcPr>
            <w:tcW w:w="260" w:type="dxa"/>
            <w:vAlign w:val="bottom"/>
            <w:gridSpan w:val="4"/>
          </w:tcPr>
          <w:p>
            <w:pPr>
              <w:spacing w:after="0"/>
              <w:rPr>
                <w:sz w:val="17"/>
                <w:szCs w:val="17"/>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60" w:type="dxa"/>
            <w:vAlign w:val="bottom"/>
          </w:tcPr>
          <w:p>
            <w:pPr>
              <w:spacing w:after="0"/>
              <w:rPr>
                <w:sz w:val="17"/>
                <w:szCs w:val="17"/>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February 3, 2025</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200" w:type="dxa"/>
            <w:vAlign w:val="bottom"/>
          </w:tcPr>
          <w:p>
            <w:pPr>
              <w:spacing w:after="0"/>
              <w:rPr>
                <w:sz w:val="24"/>
                <w:szCs w:val="24"/>
                <w:color w:val="auto"/>
              </w:rPr>
            </w:pPr>
          </w:p>
        </w:tc>
        <w:tc>
          <w:tcPr>
            <w:tcW w:w="2640" w:type="dxa"/>
            <w:vAlign w:val="bottom"/>
            <w:tcBorders>
              <w:top w:val="single" w:sz="8" w:color="0000EE"/>
            </w:tcBorders>
            <w:gridSpan w:val="7"/>
          </w:tcPr>
          <w:p>
            <w:pPr>
              <w:spacing w:after="0"/>
              <w:rPr>
                <w:rFonts w:ascii="Times New Roman" w:cs="Times New Roman" w:eastAsia="Times New Roman" w:hAnsi="Times New Roman"/>
                <w:sz w:val="16"/>
                <w:szCs w:val="16"/>
                <w:color w:val="0000EE"/>
              </w:rPr>
            </w:pPr>
            <w:hyperlink r:id="rId62">
              <w:r>
                <w:rPr>
                  <w:rFonts w:ascii="Times New Roman" w:cs="Times New Roman" w:eastAsia="Times New Roman" w:hAnsi="Times New Roman"/>
                  <w:sz w:val="16"/>
                  <w:szCs w:val="16"/>
                  <w:color w:val="0000EE"/>
                </w:rPr>
                <w:t>Form of Term Note</w:t>
              </w:r>
            </w:hyperlink>
            <w:r>
              <w:rPr>
                <w:rFonts w:ascii="Times New Roman" w:cs="Times New Roman" w:eastAsia="Times New Roman" w:hAnsi="Times New Roman"/>
                <w:sz w:val="16"/>
                <w:szCs w:val="16"/>
                <w:color w:val="000000"/>
              </w:rPr>
              <w:t>.</w:t>
            </w:r>
          </w:p>
        </w:tc>
        <w:tc>
          <w:tcPr>
            <w:tcW w:w="960" w:type="dxa"/>
            <w:vAlign w:val="bottom"/>
            <w:gridSpan w:val="10"/>
          </w:tcPr>
          <w:p>
            <w:pPr>
              <w:spacing w:after="0"/>
              <w:rPr>
                <w:sz w:val="24"/>
                <w:szCs w:val="24"/>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60" w:type="dxa"/>
            <w:vAlign w:val="bottom"/>
          </w:tcPr>
          <w:p>
            <w:pPr>
              <w:spacing w:after="0"/>
              <w:rPr>
                <w:sz w:val="24"/>
                <w:szCs w:val="24"/>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February 3, 2025</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Offer Letter, dated October 13, 2023, by and</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10.3#</w:t>
            </w:r>
          </w:p>
        </w:tc>
        <w:tc>
          <w:tcPr>
            <w:tcW w:w="200" w:type="dxa"/>
            <w:vAlign w:val="bottom"/>
          </w:tcPr>
          <w:p>
            <w:pPr>
              <w:spacing w:after="0"/>
              <w:rPr>
                <w:sz w:val="15"/>
                <w:szCs w:val="15"/>
                <w:color w:val="auto"/>
              </w:rPr>
            </w:pPr>
          </w:p>
        </w:tc>
        <w:tc>
          <w:tcPr>
            <w:tcW w:w="2880" w:type="dxa"/>
            <w:vAlign w:val="bottom"/>
            <w:tcBorders>
              <w:top w:val="single" w:sz="8" w:color="0000EE"/>
            </w:tcBorders>
            <w:gridSpan w:val="9"/>
          </w:tcPr>
          <w:p>
            <w:pPr>
              <w:spacing w:after="0" w:line="183" w:lineRule="exact"/>
              <w:rPr>
                <w:sz w:val="20"/>
                <w:szCs w:val="20"/>
                <w:color w:val="auto"/>
              </w:rPr>
            </w:pPr>
            <w:r>
              <w:rPr>
                <w:rFonts w:ascii="Times New Roman" w:cs="Times New Roman" w:eastAsia="Times New Roman" w:hAnsi="Times New Roman"/>
                <w:sz w:val="16"/>
                <w:szCs w:val="16"/>
                <w:color w:val="0000EE"/>
              </w:rPr>
              <w:t>between Gevo Inc. and Andrew Shafer</w:t>
            </w:r>
            <w:r>
              <w:rPr>
                <w:rFonts w:ascii="Times New Roman" w:cs="Times New Roman" w:eastAsia="Times New Roman" w:hAnsi="Times New Roman"/>
                <w:sz w:val="16"/>
                <w:szCs w:val="16"/>
                <w:color w:val="000000"/>
              </w:rPr>
              <w:t>.</w:t>
            </w:r>
          </w:p>
        </w:tc>
        <w:tc>
          <w:tcPr>
            <w:tcW w:w="720" w:type="dxa"/>
            <w:vAlign w:val="bottom"/>
            <w:gridSpan w:val="8"/>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6"/>
                <w:szCs w:val="16"/>
                <w:color w:val="0000EE"/>
              </w:rPr>
              <w:t>Section 302 Certification of the Principal Executive</w:t>
            </w:r>
          </w:p>
        </w:tc>
        <w:tc>
          <w:tcPr>
            <w:tcW w:w="240" w:type="dxa"/>
            <w:vAlign w:val="bottom"/>
            <w:gridSpan w:val="3"/>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31.1</w:t>
            </w:r>
          </w:p>
        </w:tc>
        <w:tc>
          <w:tcPr>
            <w:tcW w:w="200" w:type="dxa"/>
            <w:vAlign w:val="bottom"/>
          </w:tcPr>
          <w:p>
            <w:pPr>
              <w:spacing w:after="0"/>
              <w:rPr>
                <w:sz w:val="15"/>
                <w:szCs w:val="15"/>
                <w:color w:val="auto"/>
              </w:rPr>
            </w:pPr>
          </w:p>
        </w:tc>
        <w:tc>
          <w:tcPr>
            <w:tcW w:w="50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16"/>
                <w:szCs w:val="16"/>
                <w:color w:val="0000EE"/>
                <w:w w:val="95"/>
              </w:rPr>
              <w:t>Officer.</w:t>
            </w:r>
          </w:p>
        </w:tc>
        <w:tc>
          <w:tcPr>
            <w:tcW w:w="3100" w:type="dxa"/>
            <w:vAlign w:val="bottom"/>
            <w:gridSpan w:val="16"/>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385"/>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Section 302 Certification of the Principal Financial</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31.2</w:t>
            </w:r>
          </w:p>
        </w:tc>
        <w:tc>
          <w:tcPr>
            <w:tcW w:w="200" w:type="dxa"/>
            <w:vAlign w:val="bottom"/>
          </w:tcPr>
          <w:p>
            <w:pPr>
              <w:spacing w:after="0"/>
              <w:rPr>
                <w:sz w:val="15"/>
                <w:szCs w:val="15"/>
                <w:color w:val="auto"/>
              </w:rPr>
            </w:pPr>
          </w:p>
        </w:tc>
        <w:tc>
          <w:tcPr>
            <w:tcW w:w="500" w:type="dxa"/>
            <w:vAlign w:val="bottom"/>
            <w:tcBorders>
              <w:top w:val="single" w:sz="8" w:color="0000EE"/>
              <w:bottom w:val="single" w:sz="8" w:color="0000EE"/>
            </w:tcBorders>
          </w:tcPr>
          <w:p>
            <w:pPr>
              <w:spacing w:after="0" w:line="183" w:lineRule="exact"/>
              <w:rPr>
                <w:sz w:val="20"/>
                <w:szCs w:val="20"/>
                <w:color w:val="auto"/>
              </w:rPr>
            </w:pPr>
            <w:r>
              <w:rPr>
                <w:rFonts w:ascii="Times New Roman" w:cs="Times New Roman" w:eastAsia="Times New Roman" w:hAnsi="Times New Roman"/>
                <w:sz w:val="16"/>
                <w:szCs w:val="16"/>
                <w:color w:val="0000EE"/>
                <w:w w:val="95"/>
              </w:rPr>
              <w:t>Officer.</w:t>
            </w:r>
          </w:p>
        </w:tc>
        <w:tc>
          <w:tcPr>
            <w:tcW w:w="2800" w:type="dxa"/>
            <w:vAlign w:val="bottom"/>
            <w:tcBorders>
              <w:top w:val="single" w:sz="8" w:color="0000EE"/>
            </w:tcBorders>
            <w:gridSpan w:val="10"/>
          </w:tcPr>
          <w:p>
            <w:pPr>
              <w:spacing w:after="0"/>
              <w:rPr>
                <w:sz w:val="15"/>
                <w:szCs w:val="15"/>
                <w:color w:val="auto"/>
              </w:rPr>
            </w:pPr>
          </w:p>
        </w:tc>
        <w:tc>
          <w:tcPr>
            <w:tcW w:w="300" w:type="dxa"/>
            <w:vAlign w:val="bottom"/>
            <w:gridSpan w:val="6"/>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385"/>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6"/>
                <w:szCs w:val="16"/>
                <w:color w:val="0000EE"/>
              </w:rPr>
              <w:t>Section 906 Certification of the Principal Executive</w:t>
            </w:r>
          </w:p>
        </w:tc>
        <w:tc>
          <w:tcPr>
            <w:tcW w:w="240" w:type="dxa"/>
            <w:vAlign w:val="bottom"/>
            <w:gridSpan w:val="3"/>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32.1</w:t>
            </w:r>
          </w:p>
        </w:tc>
        <w:tc>
          <w:tcPr>
            <w:tcW w:w="200" w:type="dxa"/>
            <w:vAlign w:val="bottom"/>
          </w:tcPr>
          <w:p>
            <w:pPr>
              <w:spacing w:after="0"/>
              <w:rPr>
                <w:sz w:val="15"/>
                <w:szCs w:val="15"/>
                <w:color w:val="auto"/>
              </w:rPr>
            </w:pPr>
          </w:p>
        </w:tc>
        <w:tc>
          <w:tcPr>
            <w:tcW w:w="3600" w:type="dxa"/>
            <w:vAlign w:val="bottom"/>
            <w:gridSpan w:val="17"/>
          </w:tcPr>
          <w:p>
            <w:pPr>
              <w:spacing w:after="0" w:line="183" w:lineRule="exact"/>
              <w:rPr>
                <w:sz w:val="20"/>
                <w:szCs w:val="20"/>
                <w:color w:val="auto"/>
              </w:rPr>
            </w:pPr>
            <w:r>
              <w:rPr>
                <w:rFonts w:ascii="Times New Roman" w:cs="Times New Roman" w:eastAsia="Times New Roman" w:hAnsi="Times New Roman"/>
                <w:sz w:val="16"/>
                <w:szCs w:val="16"/>
                <w:color w:val="0000EE"/>
              </w:rPr>
              <w:t>Officer and Principal Financial Officer.</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ind w:left="25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106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Instance Document (the Instance</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Document does not appear in the Interactive Data</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File because its XBRL tags are embedded within the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101.INS</w:t>
            </w:r>
          </w:p>
        </w:tc>
        <w:tc>
          <w:tcPr>
            <w:tcW w:w="200" w:type="dxa"/>
            <w:vAlign w:val="bottom"/>
          </w:tcPr>
          <w:p>
            <w:pPr>
              <w:spacing w:after="0"/>
              <w:rPr>
                <w:sz w:val="18"/>
                <w:szCs w:val="18"/>
                <w:color w:val="auto"/>
              </w:rPr>
            </w:pPr>
          </w:p>
        </w:tc>
        <w:tc>
          <w:tcPr>
            <w:tcW w:w="36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405"/>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101.SCH</w:t>
            </w:r>
          </w:p>
        </w:tc>
        <w:tc>
          <w:tcPr>
            <w:tcW w:w="200" w:type="dxa"/>
            <w:vAlign w:val="bottom"/>
          </w:tcPr>
          <w:p>
            <w:pPr>
              <w:spacing w:after="0"/>
              <w:rPr>
                <w:sz w:val="24"/>
                <w:szCs w:val="24"/>
                <w:color w:val="auto"/>
              </w:rPr>
            </w:pPr>
          </w:p>
        </w:tc>
        <w:tc>
          <w:tcPr>
            <w:tcW w:w="36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397"/>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101.CAL</w:t>
            </w:r>
          </w:p>
        </w:tc>
        <w:tc>
          <w:tcPr>
            <w:tcW w:w="200" w:type="dxa"/>
            <w:vAlign w:val="bottom"/>
          </w:tcPr>
          <w:p>
            <w:pPr>
              <w:spacing w:after="0"/>
              <w:rPr>
                <w:sz w:val="18"/>
                <w:szCs w:val="18"/>
                <w:color w:val="auto"/>
              </w:rPr>
            </w:pPr>
          </w:p>
        </w:tc>
        <w:tc>
          <w:tcPr>
            <w:tcW w:w="36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Linkbase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397"/>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Definition</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101.DEF</w:t>
            </w:r>
          </w:p>
        </w:tc>
        <w:tc>
          <w:tcPr>
            <w:tcW w:w="200" w:type="dxa"/>
            <w:vAlign w:val="bottom"/>
          </w:tcPr>
          <w:p>
            <w:pPr>
              <w:spacing w:after="0"/>
              <w:rPr>
                <w:sz w:val="18"/>
                <w:szCs w:val="18"/>
                <w:color w:val="auto"/>
              </w:rPr>
            </w:pPr>
          </w:p>
        </w:tc>
        <w:tc>
          <w:tcPr>
            <w:tcW w:w="36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Linkbase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405"/>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101.LAB</w:t>
            </w:r>
          </w:p>
        </w:tc>
        <w:tc>
          <w:tcPr>
            <w:tcW w:w="200" w:type="dxa"/>
            <w:vAlign w:val="bottom"/>
          </w:tcPr>
          <w:p>
            <w:pPr>
              <w:spacing w:after="0"/>
              <w:rPr>
                <w:sz w:val="24"/>
                <w:szCs w:val="24"/>
                <w:color w:val="auto"/>
              </w:rPr>
            </w:pPr>
          </w:p>
        </w:tc>
        <w:tc>
          <w:tcPr>
            <w:tcW w:w="36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397"/>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101.PRE</w:t>
            </w:r>
          </w:p>
        </w:tc>
        <w:tc>
          <w:tcPr>
            <w:tcW w:w="200" w:type="dxa"/>
            <w:vAlign w:val="bottom"/>
          </w:tcPr>
          <w:p>
            <w:pPr>
              <w:spacing w:after="0"/>
              <w:rPr>
                <w:sz w:val="18"/>
                <w:szCs w:val="18"/>
                <w:color w:val="auto"/>
              </w:rPr>
            </w:pPr>
          </w:p>
        </w:tc>
        <w:tc>
          <w:tcPr>
            <w:tcW w:w="36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Linkbase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397"/>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the Inline XBRL document and contained in</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104</w:t>
            </w:r>
          </w:p>
        </w:tc>
        <w:tc>
          <w:tcPr>
            <w:tcW w:w="200" w:type="dxa"/>
            <w:vAlign w:val="bottom"/>
          </w:tcPr>
          <w:p>
            <w:pPr>
              <w:spacing w:after="0"/>
              <w:rPr>
                <w:sz w:val="18"/>
                <w:szCs w:val="18"/>
                <w:color w:val="auto"/>
              </w:rPr>
            </w:pPr>
          </w:p>
        </w:tc>
        <w:tc>
          <w:tcPr>
            <w:tcW w:w="36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Exhibit 101)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81280</wp:posOffset>
            </wp:positionV>
            <wp:extent cx="15684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24" w:lineRule="exact"/>
        <w:rPr>
          <w:sz w:val="20"/>
          <w:szCs w:val="20"/>
          <w:color w:val="auto"/>
        </w:rPr>
      </w:pPr>
    </w:p>
    <w:p>
      <w:pPr>
        <w:ind w:left="740" w:hanging="652"/>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7" w:lineRule="exact"/>
        <w:rPr>
          <w:rFonts w:ascii="Times New Roman" w:cs="Times New Roman" w:eastAsia="Times New Roman" w:hAnsi="Times New Roman"/>
          <w:sz w:val="18"/>
          <w:szCs w:val="18"/>
          <w:color w:val="auto"/>
        </w:rPr>
      </w:pP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herewith.</w:t>
      </w:r>
    </w:p>
    <w:p>
      <w:pPr>
        <w:sectPr>
          <w:pgSz w:w="11900" w:h="16838" w:orient="portrait"/>
          <w:cols w:equalWidth="0" w:num="1">
            <w:col w:w="9880"/>
          </w:cols>
          <w:pgMar w:left="900" w:top="513" w:right="111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00" w:top="513" w:right="111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7"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Sylvia Gendenjamts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31203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7"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Sylvia Gendenjamts, CPA</w:t>
      </w:r>
    </w:p>
    <w:p>
      <w:pPr>
        <w:spacing w:after="0" w:line="23"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Vice President Accounting and Treasurer</w:t>
      </w:r>
    </w:p>
    <w:p>
      <w:pPr>
        <w:spacing w:after="0" w:line="9"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May 13,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20"/>
          </w:cols>
          <w:pgMar w:left="980" w:top="513" w:right="1299" w:bottom="1440" w:gutter="0" w:footer="0" w:header="0"/>
        </w:sectPr>
      </w:pPr>
    </w:p>
    <w:bookmarkStart w:id="50" w:name="page51"/>
    <w:bookmarkEnd w:id="50"/>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13335</wp:posOffset>
            </wp:positionV>
            <wp:extent cx="6986270" cy="14833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6986270"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Via Email to: [*****]</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ANDREW L. SHAFER</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t>
      </w:r>
    </w:p>
    <w:p>
      <w:pPr>
        <w:spacing w:after="0" w:line="32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October 13, 2023</w:t>
      </w:r>
    </w:p>
    <w:p>
      <w:pPr>
        <w:spacing w:after="0" w:line="362"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9"/>
          <w:szCs w:val="19"/>
          <w:color w:val="auto"/>
        </w:rPr>
        <w:t>Re:</w:t>
      </w:r>
      <w:r>
        <w:rPr>
          <w:sz w:val="20"/>
          <w:szCs w:val="20"/>
          <w:color w:val="auto"/>
        </w:rPr>
        <w:tab/>
      </w:r>
      <w:r>
        <w:rPr>
          <w:rFonts w:ascii="Arial" w:cs="Arial" w:eastAsia="Arial" w:hAnsi="Arial"/>
          <w:sz w:val="19"/>
          <w:szCs w:val="19"/>
          <w:color w:val="auto"/>
        </w:rPr>
        <w:t>Offer of Employment with Gevo,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-16510</wp:posOffset>
            </wp:positionV>
            <wp:extent cx="20332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2033270" cy="8890"/>
                    </a:xfrm>
                    <a:prstGeom prst="rect">
                      <a:avLst/>
                    </a:prstGeom>
                    <a:noFill/>
                  </pic:spPr>
                </pic:pic>
              </a:graphicData>
            </a:graphic>
          </wp:anchor>
        </w:drawing>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9"/>
          <w:szCs w:val="19"/>
          <w:color w:val="auto"/>
        </w:rPr>
        <w:t>Dear Andy:</w:t>
      </w:r>
    </w:p>
    <w:p>
      <w:pPr>
        <w:spacing w:after="0" w:line="387" w:lineRule="exact"/>
        <w:rPr>
          <w:sz w:val="20"/>
          <w:szCs w:val="20"/>
          <w:color w:val="auto"/>
        </w:rPr>
      </w:pPr>
    </w:p>
    <w:p>
      <w:pPr>
        <w:jc w:val="both"/>
        <w:ind w:left="200" w:right="219"/>
        <w:spacing w:after="0" w:line="283" w:lineRule="auto"/>
        <w:rPr>
          <w:sz w:val="20"/>
          <w:szCs w:val="20"/>
          <w:color w:val="auto"/>
        </w:rPr>
      </w:pPr>
      <w:r>
        <w:rPr>
          <w:rFonts w:ascii="Arial" w:cs="Arial" w:eastAsia="Arial" w:hAnsi="Arial"/>
          <w:sz w:val="19"/>
          <w:szCs w:val="19"/>
          <w:color w:val="auto"/>
        </w:rPr>
        <w:t>We are very pleased to extend an offer of employment with Gevo, Inc. (the “Company”), estimated to begin on November 1, 2023. The terms of our offer are as follows:</w:t>
      </w:r>
    </w:p>
    <w:p>
      <w:pPr>
        <w:spacing w:after="0" w:line="323" w:lineRule="exact"/>
        <w:rPr>
          <w:sz w:val="20"/>
          <w:szCs w:val="20"/>
          <w:color w:val="auto"/>
        </w:rPr>
      </w:pPr>
    </w:p>
    <w:p>
      <w:pPr>
        <w:ind w:left="520"/>
        <w:spacing w:after="0"/>
        <w:tabs>
          <w:tab w:leader="none" w:pos="820" w:val="left"/>
        </w:tabs>
        <w:rPr>
          <w:sz w:val="20"/>
          <w:szCs w:val="20"/>
          <w:color w:val="auto"/>
        </w:rPr>
      </w:pPr>
      <w:r>
        <w:rPr>
          <w:rFonts w:ascii="Arial" w:cs="Arial" w:eastAsia="Arial" w:hAnsi="Arial"/>
          <w:sz w:val="19"/>
          <w:szCs w:val="19"/>
          <w:color w:val="auto"/>
        </w:rPr>
        <w:t>1.</w:t>
        <w:tab/>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-16510</wp:posOffset>
            </wp:positionV>
            <wp:extent cx="4286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24" w:lineRule="exact"/>
        <w:rPr>
          <w:sz w:val="20"/>
          <w:szCs w:val="20"/>
          <w:color w:val="auto"/>
        </w:rPr>
      </w:pPr>
    </w:p>
    <w:p>
      <w:pPr>
        <w:jc w:val="both"/>
        <w:ind w:left="200" w:right="219"/>
        <w:spacing w:after="0" w:line="313" w:lineRule="auto"/>
        <w:rPr>
          <w:sz w:val="20"/>
          <w:szCs w:val="20"/>
          <w:color w:val="auto"/>
        </w:rPr>
      </w:pPr>
      <w:r>
        <w:rPr>
          <w:rFonts w:ascii="Arial" w:cs="Arial" w:eastAsia="Arial" w:hAnsi="Arial"/>
          <w:sz w:val="19"/>
          <w:szCs w:val="19"/>
          <w:color w:val="auto"/>
        </w:rPr>
        <w:t>You will be employed by the Company in a regular, full-time position as the Chief Marketing, Customer, and Brand Officer, reporting to the Chief Executive Officer. Beginning on the date you join the Company, you will be expected to devote your full working time and attention to the business of the Company and not to work for any other business without the Company’s approval; provided, however, you may continue your service on (i) the board of directors for each of Pyran, Inc., Lakril Technologies, Sironix Renewables, Kalion, Inc. and the Northeastern Illinois University Business Innovation and Growth Center, and (ii) the Northeastern Illinois University College of Business and Technology Dean's Advisory Council. For each of the listed obligations that are non-Company related, you will confer with the Company’s Chief Executive Officer to determine how much time is expected to be spent on those obligations. During the period that you render services to the Company, you agree to not engage in any employment, business or activity that is in any way competitive with the business or proposed business of the Company. You will also be expected to comply with and be bound by the Company’s operating policies, procedures and practices that are from time to time in effect during the term of your employment.</w:t>
      </w:r>
    </w:p>
    <w:p>
      <w:pPr>
        <w:spacing w:after="0" w:line="305" w:lineRule="exact"/>
        <w:rPr>
          <w:sz w:val="20"/>
          <w:szCs w:val="20"/>
          <w:color w:val="auto"/>
        </w:rPr>
      </w:pPr>
    </w:p>
    <w:p>
      <w:pPr>
        <w:ind w:left="520"/>
        <w:spacing w:after="0"/>
        <w:tabs>
          <w:tab w:leader="none" w:pos="820" w:val="left"/>
        </w:tabs>
        <w:rPr>
          <w:sz w:val="20"/>
          <w:szCs w:val="20"/>
          <w:color w:val="auto"/>
        </w:rPr>
      </w:pPr>
      <w:r>
        <w:rPr>
          <w:rFonts w:ascii="Arial" w:cs="Arial" w:eastAsia="Arial" w:hAnsi="Arial"/>
          <w:sz w:val="19"/>
          <w:szCs w:val="19"/>
          <w:color w:val="auto"/>
        </w:rPr>
        <w:t>2.</w:t>
        <w:tab/>
        <w:t>Salary, Annual Cash Bonus, Annual Equity,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-16510</wp:posOffset>
            </wp:positionV>
            <wp:extent cx="30638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3063875" cy="8890"/>
                    </a:xfrm>
                    <a:prstGeom prst="rect">
                      <a:avLst/>
                    </a:prstGeom>
                    <a:noFill/>
                  </pic:spPr>
                </pic:pic>
              </a:graphicData>
            </a:graphic>
          </wp:anchor>
        </w:drawing>
      </w:r>
    </w:p>
    <w:p>
      <w:pPr>
        <w:spacing w:after="0" w:line="70" w:lineRule="exact"/>
        <w:rPr>
          <w:sz w:val="20"/>
          <w:szCs w:val="20"/>
          <w:color w:val="auto"/>
        </w:rPr>
      </w:pPr>
    </w:p>
    <w:p>
      <w:pPr>
        <w:jc w:val="both"/>
        <w:ind w:left="200" w:right="219"/>
        <w:spacing w:after="0" w:line="297" w:lineRule="auto"/>
        <w:rPr>
          <w:sz w:val="20"/>
          <w:szCs w:val="20"/>
          <w:color w:val="auto"/>
        </w:rPr>
      </w:pPr>
      <w:r>
        <w:rPr>
          <w:rFonts w:ascii="Arial" w:cs="Arial" w:eastAsia="Arial" w:hAnsi="Arial"/>
          <w:sz w:val="19"/>
          <w:szCs w:val="19"/>
          <w:color w:val="auto"/>
        </w:rPr>
        <w:t>Your annual salary shall be $400,000, payable in accordance with the Company’s normal payroll practices, with such payroll deductions and withholdings as are required by law. You will be eligible for an annual incentive payout in cash targeted at 65% of your base salary. This cash</w:t>
      </w:r>
    </w:p>
    <w:p>
      <w:pPr>
        <w:sectPr>
          <w:pgSz w:w="11900" w:h="16838" w:orient="portrait"/>
          <w:cols w:equalWidth="0" w:num="1">
            <w:col w:w="9019"/>
          </w:cols>
          <w:pgMar w:left="1440" w:top="5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344805</wp:posOffset>
            </wp:positionV>
            <wp:extent cx="58718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5871845" cy="17145"/>
                    </a:xfrm>
                    <a:prstGeom prst="rect">
                      <a:avLst/>
                    </a:prstGeom>
                    <a:noFill/>
                  </pic:spPr>
                </pic:pic>
              </a:graphicData>
            </a:graphic>
          </wp:anchor>
        </w:drawing>
      </w:r>
    </w:p>
    <w:p>
      <w:pPr>
        <w:sectPr>
          <w:pgSz w:w="11900" w:h="16838" w:orient="portrait"/>
          <w:cols w:equalWidth="0" w:num="1">
            <w:col w:w="9019"/>
          </w:cols>
          <w:pgMar w:left="1440" w:top="594" w:right="1440" w:bottom="1440" w:gutter="0" w:footer="0" w:header="0"/>
          <w:type w:val="continuous"/>
        </w:sectPr>
      </w:pPr>
    </w:p>
    <w:bookmarkStart w:id="51" w:name="page52"/>
    <w:bookmarkEnd w:id="51"/>
    <w:p>
      <w:pPr>
        <w:jc w:val="both"/>
        <w:ind w:left="200" w:right="219"/>
        <w:spacing w:after="0" w:line="313" w:lineRule="auto"/>
        <w:rPr>
          <w:sz w:val="20"/>
          <w:szCs w:val="20"/>
          <w:color w:val="auto"/>
        </w:rPr>
      </w:pPr>
      <w:r>
        <w:rPr>
          <w:rFonts w:ascii="Arial" w:cs="Arial" w:eastAsia="Arial" w:hAnsi="Arial"/>
          <w:sz w:val="19"/>
          <w:szCs w:val="19"/>
          <w:color w:val="auto"/>
        </w:rPr>
        <w:t>bonus is payable at the discretion of the Compensation Committee of the Board of Directors based on pre-determined annual goals. In addition, you will be eligible to receive an annual incentive payout in equity (stock options, RSUs etc.) which may or may not be granted at the sole discretion of the Compensation Committee of the Board of Directors, and could be increased or decreased depending on the circumstances of the Company (size of pool available for grants, or increased allocation for a reason that the Compensation Committee or Board of Directors determines). To the extent that the Company provides life, health, dental, disability or other insurance programs; pension, profit-sharing, 401(k) or other retirement programs; paid time off periods, or other fringe benefits, and subject to the satisfaction of any general eligibility criteria, you will receive such benefits to the same extent as other similarly situated Company employees. You will receive 160 hours of vacation annually.</w:t>
      </w:r>
    </w:p>
    <w:p>
      <w:pPr>
        <w:spacing w:after="0" w:line="200" w:lineRule="exact"/>
        <w:rPr>
          <w:sz w:val="20"/>
          <w:szCs w:val="20"/>
          <w:color w:val="auto"/>
        </w:rPr>
      </w:pPr>
    </w:p>
    <w:p>
      <w:pPr>
        <w:spacing w:after="0" w:line="381" w:lineRule="exact"/>
        <w:rPr>
          <w:sz w:val="20"/>
          <w:szCs w:val="20"/>
          <w:color w:val="auto"/>
        </w:rPr>
      </w:pPr>
    </w:p>
    <w:p>
      <w:pPr>
        <w:ind w:left="520"/>
        <w:spacing w:after="0"/>
        <w:tabs>
          <w:tab w:leader="none" w:pos="820" w:val="left"/>
        </w:tabs>
        <w:rPr>
          <w:sz w:val="20"/>
          <w:szCs w:val="20"/>
          <w:color w:val="auto"/>
        </w:rPr>
      </w:pPr>
      <w:r>
        <w:rPr>
          <w:rFonts w:ascii="Arial" w:cs="Arial" w:eastAsia="Arial" w:hAnsi="Arial"/>
          <w:sz w:val="19"/>
          <w:szCs w:val="19"/>
          <w:color w:val="auto"/>
        </w:rPr>
        <w:t>3.</w:t>
        <w:tab/>
        <w:t>Initial Equity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-16510</wp:posOffset>
            </wp:positionV>
            <wp:extent cx="10782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spacing w:after="0" w:line="70" w:lineRule="exact"/>
        <w:rPr>
          <w:sz w:val="20"/>
          <w:szCs w:val="20"/>
          <w:color w:val="auto"/>
        </w:rPr>
      </w:pPr>
    </w:p>
    <w:p>
      <w:pPr>
        <w:jc w:val="both"/>
        <w:ind w:left="200" w:right="219"/>
        <w:spacing w:after="0" w:line="314" w:lineRule="auto"/>
        <w:rPr>
          <w:sz w:val="20"/>
          <w:szCs w:val="20"/>
          <w:color w:val="auto"/>
        </w:rPr>
      </w:pPr>
      <w:r>
        <w:rPr>
          <w:rFonts w:ascii="Arial" w:cs="Arial" w:eastAsia="Arial" w:hAnsi="Arial"/>
          <w:sz w:val="19"/>
          <w:szCs w:val="19"/>
          <w:color w:val="auto"/>
        </w:rPr>
        <w:t>Subject to formal approval by the Compensation Committee of the Board of Directors, the Company will grant you an equity award of Restricted Common Stock and Stock Options, pursuant to the terms and subject to the conditions of the Company’s Amended and Restated 2010 Stock Incentive Plan, and the Company’s standard equity award agreements. The initial equity award will be $ 400,000 (with half the value in Restricted Common Stock; and half the value in Stock Options with a strike price per share set at the greater of (i) $1.75 or (ii) a 10% premium to the closing price of the Company’s common stock on Nasdaq on your first day of employment with the Company) and will be granted as soon as practical in the normal course of business for the Compensation Committee. Your initial equity award would vest 1/3 upon your first day of employment, 1/3 on your first anniversary of employment with the Company, and 1/3 upon your second anniversary of employment with the Company. All of the equity award terms will be defined more precisely in the definitive equity award agreements.</w:t>
      </w:r>
    </w:p>
    <w:p>
      <w:pPr>
        <w:spacing w:after="0" w:line="284" w:lineRule="exact"/>
        <w:rPr>
          <w:sz w:val="20"/>
          <w:szCs w:val="20"/>
          <w:color w:val="auto"/>
        </w:rPr>
      </w:pPr>
    </w:p>
    <w:p>
      <w:pPr>
        <w:ind w:left="520"/>
        <w:spacing w:after="0"/>
        <w:tabs>
          <w:tab w:leader="none" w:pos="820" w:val="left"/>
        </w:tabs>
        <w:rPr>
          <w:sz w:val="20"/>
          <w:szCs w:val="20"/>
          <w:color w:val="auto"/>
        </w:rPr>
      </w:pPr>
      <w:r>
        <w:rPr>
          <w:rFonts w:ascii="Arial" w:cs="Arial" w:eastAsia="Arial" w:hAnsi="Arial"/>
          <w:sz w:val="19"/>
          <w:szCs w:val="19"/>
          <w:color w:val="auto"/>
        </w:rPr>
        <w:t>4.</w:t>
        <w:tab/>
        <w:t>At Will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-16510</wp:posOffset>
            </wp:positionV>
            <wp:extent cx="10826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1082675" cy="8255"/>
                    </a:xfrm>
                    <a:prstGeom prst="rect">
                      <a:avLst/>
                    </a:prstGeom>
                    <a:noFill/>
                  </pic:spPr>
                </pic:pic>
              </a:graphicData>
            </a:graphic>
          </wp:anchor>
        </w:drawing>
      </w:r>
    </w:p>
    <w:p>
      <w:pPr>
        <w:spacing w:after="0" w:line="70" w:lineRule="exact"/>
        <w:rPr>
          <w:sz w:val="20"/>
          <w:szCs w:val="20"/>
          <w:color w:val="auto"/>
        </w:rPr>
      </w:pPr>
    </w:p>
    <w:p>
      <w:pPr>
        <w:jc w:val="both"/>
        <w:ind w:left="200" w:right="219"/>
        <w:spacing w:after="0" w:line="311" w:lineRule="auto"/>
        <w:rPr>
          <w:sz w:val="20"/>
          <w:szCs w:val="20"/>
          <w:color w:val="auto"/>
        </w:rPr>
      </w:pPr>
      <w:r>
        <w:rPr>
          <w:rFonts w:ascii="Arial" w:cs="Arial" w:eastAsia="Arial" w:hAnsi="Arial"/>
          <w:sz w:val="19"/>
          <w:szCs w:val="19"/>
          <w:color w:val="auto"/>
        </w:rPr>
        <w:t>While we look forward to a long and productive relationship, should you decide to accept our offer, you will be an at-will employee of the Company, which means the employment relationship can be terminated by either of us for any reason, at any time, with or without notice and with or without cause. Any statements or representations to the contrary (including any statements contradicting any provision in this offer letter) should be regarded by you as ineffective.</w:t>
      </w:r>
    </w:p>
    <w:p>
      <w:pPr>
        <w:spacing w:after="0" w:line="287" w:lineRule="exact"/>
        <w:rPr>
          <w:sz w:val="20"/>
          <w:szCs w:val="20"/>
          <w:color w:val="auto"/>
        </w:rPr>
      </w:pPr>
    </w:p>
    <w:p>
      <w:pPr>
        <w:ind w:left="520"/>
        <w:spacing w:after="0"/>
        <w:tabs>
          <w:tab w:leader="none" w:pos="820" w:val="left"/>
        </w:tabs>
        <w:rPr>
          <w:sz w:val="20"/>
          <w:szCs w:val="20"/>
          <w:color w:val="auto"/>
        </w:rPr>
      </w:pPr>
      <w:r>
        <w:rPr>
          <w:rFonts w:ascii="Arial" w:cs="Arial" w:eastAsia="Arial" w:hAnsi="Arial"/>
          <w:sz w:val="19"/>
          <w:szCs w:val="19"/>
          <w:color w:val="auto"/>
        </w:rPr>
        <w:t>5.</w:t>
        <w:tab/>
        <w:t>Change of Control Plan and Separation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-16510</wp:posOffset>
            </wp:positionV>
            <wp:extent cx="26314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70" w:lineRule="exact"/>
        <w:rPr>
          <w:sz w:val="20"/>
          <w:szCs w:val="20"/>
          <w:color w:val="auto"/>
        </w:rPr>
      </w:pPr>
    </w:p>
    <w:p>
      <w:pPr>
        <w:jc w:val="both"/>
        <w:ind w:left="200" w:right="219"/>
        <w:spacing w:after="0" w:line="308" w:lineRule="auto"/>
        <w:rPr>
          <w:sz w:val="20"/>
          <w:szCs w:val="20"/>
          <w:color w:val="auto"/>
        </w:rPr>
      </w:pPr>
      <w:r>
        <w:rPr>
          <w:rFonts w:ascii="Arial" w:cs="Arial" w:eastAsia="Arial" w:hAnsi="Arial"/>
          <w:sz w:val="19"/>
          <w:szCs w:val="19"/>
          <w:color w:val="auto"/>
        </w:rPr>
        <w:t>Subject to formal approval by the Compensation Committee of the Board of Directors, you would be eligible to participate in the Company’s Change in Control Severance Plan (the “Plan”) pursuant to the terms and subject to the conditions of the Plan and the Company’s standard participation agreement. The Plan would provide you with certain severance benefits (12 months of salary continuation, an amount equal to your Annual Bonus (as defined in the Plan), vesting of any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344805</wp:posOffset>
            </wp:positionV>
            <wp:extent cx="587184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5871845" cy="17145"/>
                    </a:xfrm>
                    <a:prstGeom prst="rect">
                      <a:avLst/>
                    </a:prstGeom>
                    <a:noFill/>
                  </pic:spPr>
                </pic:pic>
              </a:graphicData>
            </a:graphic>
          </wp:anchor>
        </w:drawing>
      </w:r>
    </w:p>
    <w:p>
      <w:pPr>
        <w:sectPr>
          <w:pgSz w:w="11900" w:h="16838" w:orient="portrait"/>
          <w:cols w:equalWidth="0" w:num="1">
            <w:col w:w="9019"/>
          </w:cols>
          <w:pgMar w:left="1440" w:top="203" w:right="1440" w:bottom="1440" w:gutter="0" w:footer="0" w:header="0"/>
        </w:sectPr>
      </w:pPr>
    </w:p>
    <w:bookmarkStart w:id="52" w:name="page53"/>
    <w:bookmarkEnd w:id="52"/>
    <w:p>
      <w:pPr>
        <w:jc w:val="both"/>
        <w:ind w:left="200" w:right="219"/>
        <w:spacing w:after="0" w:line="239" w:lineRule="auto"/>
        <w:rPr>
          <w:sz w:val="20"/>
          <w:szCs w:val="20"/>
          <w:color w:val="auto"/>
        </w:rPr>
      </w:pPr>
      <w:r>
        <w:rPr>
          <w:rFonts w:ascii="Arial" w:cs="Arial" w:eastAsia="Arial" w:hAnsi="Arial"/>
          <w:sz w:val="19"/>
          <w:szCs w:val="19"/>
          <w:color w:val="auto"/>
        </w:rPr>
        <w:t>unvested equity-based awards of the Company, and reimbursement of COBRA premiums for up 12 months) in connection with a double-trigger change in control (i.e., termination of your</w:t>
      </w:r>
    </w:p>
    <w:p>
      <w:pPr>
        <w:spacing w:after="0" w:line="159" w:lineRule="exact"/>
        <w:rPr>
          <w:sz w:val="20"/>
          <w:szCs w:val="20"/>
          <w:color w:val="auto"/>
        </w:rPr>
      </w:pPr>
    </w:p>
    <w:p>
      <w:pPr>
        <w:jc w:val="both"/>
        <w:ind w:left="200" w:right="219"/>
        <w:spacing w:after="0" w:line="314" w:lineRule="auto"/>
        <w:rPr>
          <w:sz w:val="20"/>
          <w:szCs w:val="20"/>
          <w:color w:val="auto"/>
        </w:rPr>
      </w:pPr>
      <w:r>
        <w:rPr>
          <w:rFonts w:ascii="Arial" w:cs="Arial" w:eastAsia="Arial" w:hAnsi="Arial"/>
          <w:sz w:val="19"/>
          <w:szCs w:val="19"/>
          <w:color w:val="auto"/>
        </w:rPr>
        <w:t>employment by the Company without Cause (as defined in the Plan) or your resignation from the Company for Good Reason (as defined in the Plan) within 30 days prior to or 12 months following a Change in Control (as defined in the Plan)). All of the terms of participation in the Plan will be defined more precisely in the definitive participation agreement. Additionally, in the event of a termination of your employment with the Company by the Company without Cause (as defined in the Plan), which does not occur in conjunction with a Change in Control (as defined in the Plan), you will be entitled to receive severance in the amount of twelve (12) month’s salary (the “Severance Payment”); provided that (i) you have complied with Paragraph 6 of this offer letter and (ii) within 60 days of such termination, you sign and return to the Company a separation and release agreement in the form that will be provided to you, and you do not thereafter revoke the separation and release agreement. Upon termination of your employment with the Company for any other reason, you will receive payment for all unpaid salary and paid time off accrued &amp; earned as of the date of your termination of employment, and your benefits will be continued under the Company’s then existing benefit plans and policies for so long as provided under the terms of such plans and policies and as required by applicable law. You will not be entitled to any other compensation, award or damages with respect to your employment or termination.</w:t>
      </w:r>
    </w:p>
    <w:p>
      <w:pPr>
        <w:spacing w:after="0" w:line="288" w:lineRule="exact"/>
        <w:rPr>
          <w:sz w:val="20"/>
          <w:szCs w:val="20"/>
          <w:color w:val="auto"/>
        </w:rPr>
      </w:pPr>
    </w:p>
    <w:p>
      <w:pPr>
        <w:ind w:left="520"/>
        <w:spacing w:after="0"/>
        <w:tabs>
          <w:tab w:leader="none" w:pos="820" w:val="left"/>
        </w:tabs>
        <w:rPr>
          <w:sz w:val="20"/>
          <w:szCs w:val="20"/>
          <w:color w:val="auto"/>
        </w:rPr>
      </w:pPr>
      <w:r>
        <w:rPr>
          <w:rFonts w:ascii="Arial" w:cs="Arial" w:eastAsia="Arial" w:hAnsi="Arial"/>
          <w:sz w:val="19"/>
          <w:szCs w:val="19"/>
          <w:color w:val="auto"/>
        </w:rPr>
        <w:t>6.</w:t>
        <w:tab/>
        <w:t>Non-Competition and Non-Solicitation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-16510</wp:posOffset>
            </wp:positionV>
            <wp:extent cx="27285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2728595" cy="8255"/>
                    </a:xfrm>
                    <a:prstGeom prst="rect">
                      <a:avLst/>
                    </a:prstGeom>
                    <a:noFill/>
                  </pic:spPr>
                </pic:pic>
              </a:graphicData>
            </a:graphic>
          </wp:anchor>
        </w:drawing>
      </w:r>
    </w:p>
    <w:p>
      <w:pPr>
        <w:spacing w:after="0" w:line="70" w:lineRule="exact"/>
        <w:rPr>
          <w:sz w:val="20"/>
          <w:szCs w:val="20"/>
          <w:color w:val="auto"/>
        </w:rPr>
      </w:pPr>
    </w:p>
    <w:p>
      <w:pPr>
        <w:jc w:val="both"/>
        <w:ind w:left="200" w:right="219"/>
        <w:spacing w:after="0" w:line="311" w:lineRule="auto"/>
        <w:rPr>
          <w:sz w:val="20"/>
          <w:szCs w:val="20"/>
          <w:color w:val="auto"/>
        </w:rPr>
      </w:pPr>
      <w:r>
        <w:rPr>
          <w:rFonts w:ascii="Arial" w:cs="Arial" w:eastAsia="Arial" w:hAnsi="Arial"/>
          <w:sz w:val="19"/>
          <w:szCs w:val="19"/>
          <w:color w:val="auto"/>
        </w:rPr>
        <w:t>As a condition of your employment, you will be required to execute a Non-Competition and Non-Solicitation Agreement in the form attached as Exhibit A. You acknowledge that your eligibility for the Severance Payment described in Paragraph 5 of this offer letter is contingent upon your agreement to the non-competition and non-solicitation provisions set forth in the Non-Competition and Non-Solicitation Agreement. You further acknowledge that such consideration was mutually agreed upon by you and the Company, is fair and reasonable, and is in exchange for your compliance with such obligations.</w:t>
      </w:r>
    </w:p>
    <w:p>
      <w:pPr>
        <w:spacing w:after="0" w:line="301" w:lineRule="exact"/>
        <w:rPr>
          <w:sz w:val="20"/>
          <w:szCs w:val="20"/>
          <w:color w:val="auto"/>
        </w:rPr>
      </w:pPr>
    </w:p>
    <w:p>
      <w:pPr>
        <w:ind w:left="520"/>
        <w:spacing w:after="0"/>
        <w:tabs>
          <w:tab w:leader="none" w:pos="820" w:val="left"/>
        </w:tabs>
        <w:rPr>
          <w:sz w:val="20"/>
          <w:szCs w:val="20"/>
          <w:color w:val="auto"/>
        </w:rPr>
      </w:pPr>
      <w:r>
        <w:rPr>
          <w:rFonts w:ascii="Arial" w:cs="Arial" w:eastAsia="Arial" w:hAnsi="Arial"/>
          <w:sz w:val="19"/>
          <w:szCs w:val="19"/>
          <w:color w:val="auto"/>
        </w:rPr>
        <w:t>7.</w:t>
        <w:tab/>
        <w:t>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-16510</wp:posOffset>
            </wp:positionV>
            <wp:extent cx="7861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86130" cy="8255"/>
                    </a:xfrm>
                    <a:prstGeom prst="rect">
                      <a:avLst/>
                    </a:prstGeom>
                    <a:noFill/>
                  </pic:spPr>
                </pic:pic>
              </a:graphicData>
            </a:graphic>
          </wp:anchor>
        </w:drawing>
      </w:r>
    </w:p>
    <w:p>
      <w:pPr>
        <w:spacing w:after="0" w:line="70" w:lineRule="exact"/>
        <w:rPr>
          <w:sz w:val="20"/>
          <w:szCs w:val="20"/>
          <w:color w:val="auto"/>
        </w:rPr>
      </w:pPr>
    </w:p>
    <w:p>
      <w:pPr>
        <w:jc w:val="both"/>
        <w:ind w:left="200" w:right="219"/>
        <w:spacing w:after="0" w:line="313" w:lineRule="auto"/>
        <w:rPr>
          <w:sz w:val="20"/>
          <w:szCs w:val="20"/>
          <w:color w:val="auto"/>
        </w:rPr>
      </w:pPr>
      <w:r>
        <w:rPr>
          <w:rFonts w:ascii="Arial" w:cs="Arial" w:eastAsia="Arial" w:hAnsi="Arial"/>
          <w:sz w:val="19"/>
          <w:szCs w:val="19"/>
          <w:color w:val="auto"/>
        </w:rPr>
        <w:t>As an employee of the Company, you will have access to certain confidential information of the Company and you may, during the course of your employment, develop certain information or inventions that will be the property of the Company. To protect the interests of the Company, you will need to sign the Company's standard "Employee Proprietary Information and Inventions Agreement" as a condition of your employment. We wish to impress upon you that we do not want you to, and we hereby direct you not to, bring with you any confidential or proprietary material of any former employer, or to violate any other obligations you may have to any former employer. You represent by your signature on this offer letter and the Company's Employee Proprietary Information and Inventions Agreement and your employment with the Company will not violate any agreement in place between yourself and current or past employers.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344805</wp:posOffset>
            </wp:positionV>
            <wp:extent cx="587184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5871845" cy="25400"/>
                    </a:xfrm>
                    <a:prstGeom prst="rect">
                      <a:avLst/>
                    </a:prstGeom>
                    <a:noFill/>
                  </pic:spPr>
                </pic:pic>
              </a:graphicData>
            </a:graphic>
          </wp:anchor>
        </w:drawing>
      </w:r>
    </w:p>
    <w:p>
      <w:pPr>
        <w:sectPr>
          <w:pgSz w:w="11900" w:h="16838" w:orient="portrait"/>
          <w:cols w:equalWidth="0" w:num="1">
            <w:col w:w="9019"/>
          </w:cols>
          <w:pgMar w:left="1440" w:top="203" w:right="1440" w:bottom="1440" w:gutter="0" w:footer="0" w:header="0"/>
        </w:sectPr>
      </w:pPr>
    </w:p>
    <w:bookmarkStart w:id="53" w:name="page54"/>
    <w:bookmarkEnd w:id="53"/>
    <w:p>
      <w:pPr>
        <w:ind w:left="520"/>
        <w:spacing w:after="0"/>
        <w:tabs>
          <w:tab w:leader="none" w:pos="820" w:val="left"/>
        </w:tabs>
        <w:rPr>
          <w:sz w:val="20"/>
          <w:szCs w:val="20"/>
          <w:color w:val="auto"/>
        </w:rPr>
      </w:pPr>
      <w:r>
        <w:rPr>
          <w:rFonts w:ascii="Arial" w:cs="Arial" w:eastAsia="Arial" w:hAnsi="Arial"/>
          <w:sz w:val="19"/>
          <w:szCs w:val="19"/>
          <w:color w:val="auto"/>
        </w:rPr>
        <w:t>8.</w:t>
        <w:tab/>
        <w:t>Authorization to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-16510</wp:posOffset>
            </wp:positionV>
            <wp:extent cx="1203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spacing w:after="0" w:line="70" w:lineRule="exact"/>
        <w:rPr>
          <w:sz w:val="20"/>
          <w:szCs w:val="20"/>
          <w:color w:val="auto"/>
        </w:rPr>
      </w:pPr>
    </w:p>
    <w:p>
      <w:pPr>
        <w:jc w:val="both"/>
        <w:ind w:left="200" w:right="219"/>
        <w:spacing w:after="0" w:line="308" w:lineRule="auto"/>
        <w:rPr>
          <w:sz w:val="20"/>
          <w:szCs w:val="20"/>
          <w:color w:val="auto"/>
        </w:rPr>
      </w:pPr>
      <w:r>
        <w:rPr>
          <w:rFonts w:ascii="Arial" w:cs="Arial" w:eastAsia="Arial" w:hAnsi="Arial"/>
          <w:sz w:val="19"/>
          <w:szCs w:val="19"/>
          <w:color w:val="auto"/>
        </w:rPr>
        <w:t>Please note that because of employer regulations adopted in the Immigration Reform and Control Act of 1986, within three (3) business days of starting your new position you will need to present documentation demonstrating that you have authorization to work in the United States. For additional information, please go to this website: https://www.uscis.gov/green-card/green-card-processes-and-procedures/employment-authorization-document</w:t>
      </w:r>
    </w:p>
    <w:p>
      <w:pPr>
        <w:spacing w:after="0" w:line="301" w:lineRule="exact"/>
        <w:rPr>
          <w:sz w:val="20"/>
          <w:szCs w:val="20"/>
          <w:color w:val="auto"/>
        </w:rPr>
      </w:pPr>
    </w:p>
    <w:p>
      <w:pPr>
        <w:ind w:left="520"/>
        <w:spacing w:after="0"/>
        <w:tabs>
          <w:tab w:leader="none" w:pos="820" w:val="left"/>
        </w:tabs>
        <w:rPr>
          <w:sz w:val="20"/>
          <w:szCs w:val="20"/>
          <w:color w:val="auto"/>
        </w:rPr>
      </w:pPr>
      <w:r>
        <w:rPr>
          <w:rFonts w:ascii="Arial" w:cs="Arial" w:eastAsia="Arial" w:hAnsi="Arial"/>
          <w:sz w:val="19"/>
          <w:szCs w:val="19"/>
          <w:color w:val="auto"/>
        </w:rPr>
        <w:t>9.</w:t>
        <w:tab/>
        <w:t>Arbitration.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-16510</wp:posOffset>
            </wp:positionV>
            <wp:extent cx="5791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579120" cy="8255"/>
                    </a:xfrm>
                    <a:prstGeom prst="rect">
                      <a:avLst/>
                    </a:prstGeom>
                    <a:noFill/>
                  </pic:spPr>
                </pic:pic>
              </a:graphicData>
            </a:graphic>
          </wp:anchor>
        </w:drawing>
      </w:r>
    </w:p>
    <w:p>
      <w:pPr>
        <w:spacing w:after="0" w:line="70" w:lineRule="exact"/>
        <w:rPr>
          <w:sz w:val="20"/>
          <w:szCs w:val="20"/>
          <w:color w:val="auto"/>
        </w:rPr>
      </w:pPr>
    </w:p>
    <w:p>
      <w:pPr>
        <w:jc w:val="both"/>
        <w:ind w:left="200" w:right="219"/>
        <w:spacing w:after="0" w:line="313" w:lineRule="auto"/>
        <w:rPr>
          <w:sz w:val="20"/>
          <w:szCs w:val="20"/>
          <w:color w:val="auto"/>
        </w:rPr>
      </w:pPr>
      <w:r>
        <w:rPr>
          <w:rFonts w:ascii="Arial" w:cs="Arial" w:eastAsia="Arial" w:hAnsi="Arial"/>
          <w:sz w:val="19"/>
          <w:szCs w:val="19"/>
          <w:color w:val="auto"/>
        </w:rPr>
        <w:t>You and the Company agree to submit to mandatory and exclusive binding arbitration any controversy or claim arising out of, or relating to, this offer letter or any breach hereof or your employment relationship, provided, however, that the parties retain their right to, and shall not be prohibited, limited or in any other way restricted from, seeking or obtaining equitable relief from a court having jurisdiction over the parties. Any such arbitration shall be conducted through the American Arbitration Association in the State of Colorado, Denver County, before a single arbitrator, in accordance with the National Rules for the Resolution of Employment Disputes of the American Arbitration Association in effect at that time, and judgment upon the determination or award rendered by the arbitrator may be entered in any court having jurisdiction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1561465</wp:posOffset>
            </wp:positionH>
            <wp:positionV relativeFrom="paragraph">
              <wp:posOffset>-1153795</wp:posOffset>
            </wp:positionV>
            <wp:extent cx="10255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9"/>
          <w:szCs w:val="19"/>
          <w:color w:val="auto"/>
        </w:rPr>
        <w:t>10. 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-16510</wp:posOffset>
            </wp:positionV>
            <wp:extent cx="7600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60095" cy="8255"/>
                    </a:xfrm>
                    <a:prstGeom prst="rect">
                      <a:avLst/>
                    </a:prstGeom>
                    <a:noFill/>
                  </pic:spPr>
                </pic:pic>
              </a:graphicData>
            </a:graphic>
          </wp:anchor>
        </w:drawing>
      </w:r>
    </w:p>
    <w:p>
      <w:pPr>
        <w:spacing w:after="0" w:line="70" w:lineRule="exact"/>
        <w:rPr>
          <w:sz w:val="20"/>
          <w:szCs w:val="20"/>
          <w:color w:val="auto"/>
        </w:rPr>
      </w:pPr>
    </w:p>
    <w:p>
      <w:pPr>
        <w:jc w:val="both"/>
        <w:ind w:left="200" w:right="219"/>
        <w:spacing w:after="0" w:line="314" w:lineRule="auto"/>
        <w:rPr>
          <w:sz w:val="20"/>
          <w:szCs w:val="20"/>
          <w:color w:val="auto"/>
        </w:rPr>
      </w:pPr>
      <w:r>
        <w:rPr>
          <w:rFonts w:ascii="Arial" w:cs="Arial" w:eastAsia="Arial" w:hAnsi="Arial"/>
          <w:sz w:val="19"/>
          <w:szCs w:val="19"/>
          <w:color w:val="auto"/>
        </w:rPr>
        <w:t>This offer letter, together with the Non-Competition and Non-Solicitation Agreement and the Employee Proprietary Information and Inventions Agreement represents the entire agreement between the parties concerning the subject matter of your employment by the Company. This offer is conditioned on the results of your background check being satisfactory to the Company as determined by the Company in its sole discretion. This offer letter will be governed by the laws of the State of Colorado without reference to conflict of legal provisions. This offer will remain open until seven days from the date of this letter. If you decide to accept our offer, and we hope you will, please sign the enclosed copy of this letter in the space indicated and return it to Human Resources at the Company. Your signature will acknowledge that you have read and understood and agreed to the terms and conditions of this offer letter and the attached documents, if any. Should you have anything else that you wish to discuss, please do not hesitate to call me.</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We look forward to the opportunity to work with you.</w:t>
      </w:r>
    </w:p>
    <w:p>
      <w:pPr>
        <w:spacing w:after="0" w:line="33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Best regards,</w:t>
      </w:r>
    </w:p>
    <w:p>
      <w:pPr>
        <w:spacing w:after="0" w:line="349" w:lineRule="exact"/>
        <w:rPr>
          <w:sz w:val="20"/>
          <w:szCs w:val="20"/>
          <w:color w:val="auto"/>
        </w:rPr>
      </w:pPr>
    </w:p>
    <w:p>
      <w:pPr>
        <w:ind w:left="200"/>
        <w:spacing w:after="0"/>
        <w:rPr>
          <w:sz w:val="20"/>
          <w:szCs w:val="20"/>
          <w:color w:val="auto"/>
        </w:rPr>
      </w:pPr>
      <w:r>
        <w:rPr>
          <w:rFonts w:ascii="Arial" w:cs="Arial" w:eastAsia="Arial" w:hAnsi="Arial"/>
          <w:sz w:val="19"/>
          <w:szCs w:val="19"/>
          <w:color w:val="auto"/>
        </w:rPr>
        <w:t>/s/ 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25400</wp:posOffset>
            </wp:positionV>
            <wp:extent cx="20574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9"/>
          <w:szCs w:val="19"/>
          <w:color w:val="auto"/>
        </w:rPr>
        <w:t>Patrick R Gruber</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344805</wp:posOffset>
            </wp:positionV>
            <wp:extent cx="587184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5871845" cy="26035"/>
                    </a:xfrm>
                    <a:prstGeom prst="rect">
                      <a:avLst/>
                    </a:prstGeom>
                    <a:noFill/>
                  </pic:spPr>
                </pic:pic>
              </a:graphicData>
            </a:graphic>
          </wp:anchor>
        </w:drawing>
      </w:r>
    </w:p>
    <w:p>
      <w:pPr>
        <w:sectPr>
          <w:pgSz w:w="11900" w:h="16838" w:orient="portrait"/>
          <w:cols w:equalWidth="0" w:num="1">
            <w:col w:w="9019"/>
          </w:cols>
          <w:pgMar w:left="1440" w:top="178" w:right="1440" w:bottom="1440" w:gutter="0" w:footer="0" w:header="0"/>
        </w:sectPr>
      </w:pPr>
    </w:p>
    <w:bookmarkStart w:id="54" w:name="page55"/>
    <w:bookmarkEnd w:id="54"/>
    <w:p>
      <w:pPr>
        <w:ind w:left="200"/>
        <w:spacing w:after="0"/>
        <w:rPr>
          <w:sz w:val="20"/>
          <w:szCs w:val="20"/>
          <w:color w:val="auto"/>
        </w:rPr>
      </w:pPr>
      <w:r>
        <w:rPr>
          <w:rFonts w:ascii="Arial" w:cs="Arial" w:eastAsia="Arial" w:hAnsi="Arial"/>
          <w:sz w:val="19"/>
          <w:szCs w:val="19"/>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0"/>
        <w:spacing w:after="0"/>
        <w:rPr>
          <w:sz w:val="20"/>
          <w:szCs w:val="20"/>
          <w:color w:val="auto"/>
        </w:rPr>
      </w:pPr>
      <w:r>
        <w:rPr>
          <w:rFonts w:ascii="Arial" w:cs="Arial" w:eastAsia="Arial" w:hAnsi="Arial"/>
          <w:sz w:val="19"/>
          <w:szCs w:val="19"/>
          <w:color w:val="auto"/>
        </w:rPr>
        <w:t>/s/ Andy Shafer_________________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-16510</wp:posOffset>
            </wp:positionV>
            <wp:extent cx="20300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2030095" cy="8255"/>
                    </a:xfrm>
                    <a:prstGeom prst="rect">
                      <a:avLst/>
                    </a:prstGeom>
                    <a:noFill/>
                  </pic:spPr>
                </pic:pic>
              </a:graphicData>
            </a:graphic>
          </wp:anchor>
        </w:drawing>
      </w:r>
    </w:p>
    <w:p>
      <w:pPr>
        <w:spacing w:after="0" w:line="4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Andy Shafer</w:t>
      </w:r>
    </w:p>
    <w:p>
      <w:pPr>
        <w:spacing w:after="0" w:line="36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10/14/2023​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-16510</wp:posOffset>
            </wp:positionV>
            <wp:extent cx="14090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1409065" cy="8890"/>
                    </a:xfrm>
                    <a:prstGeom prst="rect">
                      <a:avLst/>
                    </a:prstGeom>
                    <a:noFill/>
                  </pic:spPr>
                </pic:pic>
              </a:graphicData>
            </a:graphic>
          </wp:anchor>
        </w:drawing>
      </w:r>
    </w:p>
    <w:p>
      <w:pPr>
        <w:spacing w:after="0" w:line="4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47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344805</wp:posOffset>
            </wp:positionV>
            <wp:extent cx="587184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5871845" cy="17145"/>
                    </a:xfrm>
                    <a:prstGeom prst="rect">
                      <a:avLst/>
                    </a:prstGeom>
                    <a:noFill/>
                  </pic:spPr>
                </pic:pic>
              </a:graphicData>
            </a:graphic>
          </wp:anchor>
        </w:drawing>
      </w:r>
    </w:p>
    <w:p>
      <w:pPr>
        <w:sectPr>
          <w:pgSz w:w="11900" w:h="16838" w:orient="portrait"/>
          <w:cols w:equalWidth="0" w:num="1">
            <w:col w:w="9019"/>
          </w:cols>
          <w:pgMar w:left="1440" w:top="461" w:right="1440" w:bottom="1440" w:gutter="0" w:footer="0" w:header="0"/>
        </w:sectPr>
      </w:pPr>
    </w:p>
    <w:bookmarkStart w:id="55" w:name="page56"/>
    <w:bookmarkEnd w:id="55"/>
    <w:p>
      <w:pPr>
        <w:ind w:left="3440"/>
        <w:spacing w:after="0"/>
        <w:rPr>
          <w:sz w:val="20"/>
          <w:szCs w:val="20"/>
          <w:color w:val="auto"/>
        </w:rPr>
      </w:pPr>
      <w:r>
        <w:rPr>
          <w:rFonts w:ascii="Arial" w:cs="Arial" w:eastAsia="Arial" w:hAnsi="Arial"/>
          <w:sz w:val="21"/>
          <w:szCs w:val="21"/>
          <w:color w:val="auto"/>
        </w:rPr>
        <w:t>Exhibit A</w:t>
      </w:r>
    </w:p>
    <w:p>
      <w:pPr>
        <w:spacing w:after="0" w:line="200" w:lineRule="exact"/>
        <w:rPr>
          <w:sz w:val="20"/>
          <w:szCs w:val="20"/>
          <w:color w:val="auto"/>
        </w:rPr>
      </w:pPr>
    </w:p>
    <w:p>
      <w:pPr>
        <w:spacing w:after="0" w:line="355" w:lineRule="exact"/>
        <w:rPr>
          <w:sz w:val="20"/>
          <w:szCs w:val="20"/>
          <w:color w:val="auto"/>
        </w:rPr>
      </w:pPr>
    </w:p>
    <w:p>
      <w:pPr>
        <w:jc w:val="center"/>
        <w:ind w:right="1319"/>
        <w:spacing w:after="0"/>
        <w:rPr>
          <w:sz w:val="20"/>
          <w:szCs w:val="20"/>
          <w:color w:val="auto"/>
        </w:rPr>
      </w:pPr>
      <w:r>
        <w:rPr>
          <w:rFonts w:ascii="Arial" w:cs="Arial" w:eastAsia="Arial" w:hAnsi="Arial"/>
          <w:sz w:val="21"/>
          <w:szCs w:val="21"/>
          <w:color w:val="auto"/>
        </w:rPr>
        <w:t>Non-Competition and Non-Solicitation Agreement</w:t>
      </w:r>
    </w:p>
    <w:p>
      <w:pPr>
        <w:spacing w:after="0" w:line="258" w:lineRule="exact"/>
        <w:rPr>
          <w:sz w:val="20"/>
          <w:szCs w:val="20"/>
          <w:color w:val="auto"/>
        </w:rPr>
      </w:pPr>
    </w:p>
    <w:p>
      <w:pPr>
        <w:jc w:val="center"/>
        <w:ind w:right="1319"/>
        <w:spacing w:after="0"/>
        <w:rPr>
          <w:sz w:val="20"/>
          <w:szCs w:val="20"/>
          <w:color w:val="auto"/>
        </w:rPr>
      </w:pPr>
      <w:r>
        <w:rPr>
          <w:rFonts w:ascii="Arial" w:cs="Arial" w:eastAsia="Arial" w:hAnsi="Arial"/>
          <w:sz w:val="21"/>
          <w:szCs w:val="2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587184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5871845" cy="25400"/>
                    </a:xfrm>
                    <a:prstGeom prst="rect">
                      <a:avLst/>
                    </a:prstGeom>
                    <a:noFill/>
                  </pic:spPr>
                </pic:pic>
              </a:graphicData>
            </a:graphic>
          </wp:anchor>
        </w:drawing>
      </w:r>
    </w:p>
    <w:p>
      <w:pPr>
        <w:sectPr>
          <w:pgSz w:w="11900" w:h="16838" w:orient="portrait"/>
          <w:cols w:equalWidth="0" w:num="1">
            <w:col w:w="9019"/>
          </w:cols>
          <w:pgMar w:left="1440" w:top="415" w:right="1440"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22"/>
          <w:szCs w:val="22"/>
          <w:color w:val="auto"/>
        </w:rPr>
        <w:t>NON-COMPETITION AND NON-SOLICITATION AGREEMENT</w:t>
      </w:r>
    </w:p>
    <w:p>
      <w:pPr>
        <w:spacing w:after="0" w:line="206" w:lineRule="exact"/>
        <w:rPr>
          <w:sz w:val="20"/>
          <w:szCs w:val="20"/>
          <w:color w:val="auto"/>
        </w:rPr>
      </w:pPr>
    </w:p>
    <w:p>
      <w:pPr>
        <w:ind w:left="200" w:right="499" w:firstLine="324"/>
        <w:spacing w:after="0" w:line="258" w:lineRule="auto"/>
        <w:rPr>
          <w:sz w:val="20"/>
          <w:szCs w:val="20"/>
          <w:color w:val="auto"/>
        </w:rPr>
      </w:pPr>
      <w:r>
        <w:rPr>
          <w:rFonts w:ascii="Times New Roman" w:cs="Times New Roman" w:eastAsia="Times New Roman" w:hAnsi="Times New Roman"/>
          <w:sz w:val="22"/>
          <w:szCs w:val="22"/>
          <w:color w:val="auto"/>
        </w:rPr>
        <w:t>This Non-Competition and Non-Solicitation Agreement (the “Agreement”) is made between Gevo, Inc. (the “Company”), and the undersigned employee (the “Employee”).</w:t>
      </w:r>
    </w:p>
    <w:p>
      <w:pPr>
        <w:spacing w:after="0" w:line="185" w:lineRule="exact"/>
        <w:rPr>
          <w:sz w:val="20"/>
          <w:szCs w:val="20"/>
          <w:color w:val="auto"/>
        </w:rPr>
      </w:pPr>
    </w:p>
    <w:p>
      <w:pPr>
        <w:ind w:left="200" w:right="319" w:firstLine="324"/>
        <w:spacing w:after="0" w:line="239" w:lineRule="auto"/>
        <w:rPr>
          <w:sz w:val="20"/>
          <w:szCs w:val="20"/>
          <w:color w:val="auto"/>
        </w:rPr>
      </w:pPr>
      <w:r>
        <w:rPr>
          <w:rFonts w:ascii="Times New Roman" w:cs="Times New Roman" w:eastAsia="Times New Roman" w:hAnsi="Times New Roman"/>
          <w:sz w:val="22"/>
          <w:szCs w:val="22"/>
          <w:color w:val="auto"/>
        </w:rPr>
        <w:t>For good consideration, including, without limitation, the employment of the Employee by the Company and, as more fully set forth in the Employee’s offer letter to which this Agreement is attached, the Employee’s eligibility for certain severance payments, the Employee and the Company agree as follows:</w:t>
      </w:r>
    </w:p>
    <w:p>
      <w:pPr>
        <w:spacing w:after="0" w:line="207" w:lineRule="exact"/>
        <w:rPr>
          <w:sz w:val="20"/>
          <w:szCs w:val="20"/>
          <w:color w:val="auto"/>
        </w:rPr>
      </w:pPr>
    </w:p>
    <w:p>
      <w:pPr>
        <w:jc w:val="both"/>
        <w:ind w:left="200" w:right="499" w:firstLine="657"/>
        <w:spacing w:after="0" w:line="244" w:lineRule="auto"/>
        <w:tabs>
          <w:tab w:leader="none" w:pos="14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and Non-Solicitation</w:t>
      </w:r>
      <w:r>
        <w:rPr>
          <w:rFonts w:ascii="Times New Roman" w:cs="Times New Roman" w:eastAsia="Times New Roman" w:hAnsi="Times New Roman"/>
          <w:sz w:val="22"/>
          <w:szCs w:val="22"/>
          <w:color w:val="auto"/>
        </w:rPr>
        <w:t>. While the Employee is employed by the Company and for a period of one year after the termination or cessation of such employment for any reason, the Employee will not directly or indirectly:</w:t>
      </w:r>
    </w:p>
    <w:p>
      <w:pPr>
        <w:spacing w:after="0" w:line="173" w:lineRule="exact"/>
        <w:rPr>
          <w:rFonts w:ascii="Times New Roman" w:cs="Times New Roman" w:eastAsia="Times New Roman" w:hAnsi="Times New Roman"/>
          <w:sz w:val="22"/>
          <w:szCs w:val="22"/>
          <w:color w:val="auto"/>
        </w:rPr>
      </w:pPr>
    </w:p>
    <w:p>
      <w:pPr>
        <w:ind w:left="200" w:right="259" w:firstLine="1305"/>
        <w:spacing w:after="0" w:line="246" w:lineRule="auto"/>
        <w:tabs>
          <w:tab w:leader="none" w:pos="2144"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geographic areas and locations where the Company offers its services or has customers, each during the Employee’s employment with the Company, including, without limitation, anywhere in the United States of America, engage or assist others in engaging in any business or enterprise (whether as owner, partner, officer, director, employee, consultant, investor, lender or otherwise, except as the holder of not more than 1% of the outstanding stock of a publicly-held company) that is competitive with the Company’s business, including but not limited to any business or enterprise that (A) sells renewable hydrocarbon products, such as (i) sustainable aviation fuel (ii) renewable natural gas, (iii) hydrocarbons for gasoline blendstocks and diesel fuel, or (iv) plastics, materials and other chemicals; or (B) provides the measurement, reporting, and/or verification of sustainability attributes (e.g., carbon intensity levels); or</w:t>
      </w:r>
    </w:p>
    <w:p>
      <w:pPr>
        <w:spacing w:after="0" w:line="170" w:lineRule="exact"/>
        <w:rPr>
          <w:rFonts w:ascii="Times New Roman" w:cs="Times New Roman" w:eastAsia="Times New Roman" w:hAnsi="Times New Roman"/>
          <w:sz w:val="21"/>
          <w:szCs w:val="21"/>
          <w:color w:val="auto"/>
        </w:rPr>
      </w:pPr>
    </w:p>
    <w:p>
      <w:pPr>
        <w:ind w:left="200" w:right="259" w:firstLine="1305"/>
        <w:spacing w:after="0" w:line="239" w:lineRule="auto"/>
        <w:tabs>
          <w:tab w:leader="none" w:pos="2144"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alone or in association with others, solicit, divert or take away, or attempt to divert or take away, the business or patronage of any of the actual or prospective clients, customers, accounts or business partners of the Company which were contacted, solicited, or served by the Company during the Employee’s employment with the Company; or</w:t>
      </w:r>
    </w:p>
    <w:p>
      <w:pPr>
        <w:spacing w:after="0" w:line="180" w:lineRule="exact"/>
        <w:rPr>
          <w:rFonts w:ascii="Times New Roman" w:cs="Times New Roman" w:eastAsia="Times New Roman" w:hAnsi="Times New Roman"/>
          <w:sz w:val="22"/>
          <w:szCs w:val="22"/>
          <w:color w:val="auto"/>
        </w:rPr>
      </w:pPr>
    </w:p>
    <w:p>
      <w:pPr>
        <w:ind w:left="200" w:right="339" w:firstLine="1305"/>
        <w:spacing w:after="0" w:line="235" w:lineRule="auto"/>
        <w:tabs>
          <w:tab w:leader="none" w:pos="2144"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Either alone or in association with others (i) solicit, induce or attempt to induce, any employee or independent contractor of the Company to terminate his or her employment or other engagement with the Company, or (ii) hire or recruit, or attempt to hire or recruit, or engage or attempt to engage as an independent contractor, any person who was employed or otherwise engaged by the Company at any time during the term of the Employee’s employment with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this clause (ii) shall not apply to the recruitment or hiring or other engagement of any individual whose employment or other engagement with the Company has been terminated for a period of six months or longer.</w:t>
      </w:r>
    </w:p>
    <w:p>
      <w:pPr>
        <w:spacing w:after="0" w:line="178" w:lineRule="exact"/>
        <w:rPr>
          <w:rFonts w:ascii="Times New Roman" w:cs="Times New Roman" w:eastAsia="Times New Roman" w:hAnsi="Times New Roman"/>
          <w:sz w:val="22"/>
          <w:szCs w:val="22"/>
          <w:color w:val="auto"/>
        </w:rPr>
      </w:pPr>
    </w:p>
    <w:p>
      <w:pPr>
        <w:ind w:left="200" w:right="419" w:firstLine="1305"/>
        <w:spacing w:after="0" w:line="261" w:lineRule="auto"/>
        <w:tabs>
          <w:tab w:leader="none" w:pos="2144"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Employee violates the provisions of any of the preceding paragraphs of this Section 1, the Employee shall continue to be bound by the restrictions set forth in such paragraph until a period of two years have expired without any violation of such provisions.</w:t>
      </w:r>
    </w:p>
    <w:p>
      <w:pPr>
        <w:spacing w:after="0" w:line="157" w:lineRule="exact"/>
        <w:rPr>
          <w:rFonts w:ascii="Times New Roman" w:cs="Times New Roman" w:eastAsia="Times New Roman" w:hAnsi="Times New Roman"/>
          <w:sz w:val="21"/>
          <w:szCs w:val="21"/>
          <w:color w:val="auto"/>
        </w:rPr>
      </w:pPr>
    </w:p>
    <w:p>
      <w:pPr>
        <w:ind w:left="200" w:right="419" w:firstLine="1305"/>
        <w:spacing w:after="0" w:line="282" w:lineRule="auto"/>
        <w:tabs>
          <w:tab w:leader="none" w:pos="2144"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Employee agrees that during the non-competition and non-solicitation period, the Employee will give notice to the Company of each new business activity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1062990</wp:posOffset>
            </wp:positionV>
            <wp:extent cx="545211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7" w:name="page58"/>
    <w:bookmarkEnd w:id="57"/>
    <w:p>
      <w:pPr>
        <w:ind w:left="200" w:right="219"/>
        <w:spacing w:after="0" w:line="234" w:lineRule="auto"/>
        <w:rPr>
          <w:sz w:val="20"/>
          <w:szCs w:val="20"/>
          <w:color w:val="auto"/>
        </w:rPr>
      </w:pPr>
      <w:r>
        <w:rPr>
          <w:rFonts w:ascii="Times New Roman" w:cs="Times New Roman" w:eastAsia="Times New Roman" w:hAnsi="Times New Roman"/>
          <w:sz w:val="22"/>
          <w:szCs w:val="22"/>
          <w:color w:val="auto"/>
        </w:rPr>
        <w:t>Employee plans to undertake, at least (10) business days prior to beginning any such activity. The notice shall state the name and address of the individual, corporation, association or other entity or organization (“Entity”) for whom such activity is undertaken and the name of the Employee’s business relationship or position with the entity. The Employee further agrees to provide the Company with other pertinent information concerning such business activity as the Company may reasonably request in order to determine the Employee’s continued compliance with his obligations under this Agreement. The Employee agrees to provide a copy of this Agreement to all person and Entities with whom the Employee seeks to be hired or do business before accepting employment or engagement with any of them.</w:t>
      </w:r>
    </w:p>
    <w:p>
      <w:pPr>
        <w:spacing w:after="0" w:line="183" w:lineRule="exact"/>
        <w:rPr>
          <w:sz w:val="20"/>
          <w:szCs w:val="20"/>
          <w:color w:val="auto"/>
        </w:rPr>
      </w:pPr>
    </w:p>
    <w:p>
      <w:pPr>
        <w:ind w:left="1500" w:hanging="643"/>
        <w:spacing w:after="0"/>
        <w:tabs>
          <w:tab w:leader="none" w:pos="15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00" w:right="359" w:firstLine="1305"/>
        <w:spacing w:after="0" w:line="258" w:lineRule="auto"/>
        <w:tabs>
          <w:tab w:leader="none" w:pos="214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Earnings</w:t>
      </w:r>
      <w:r>
        <w:rPr>
          <w:rFonts w:ascii="Times New Roman" w:cs="Times New Roman" w:eastAsia="Times New Roman" w:hAnsi="Times New Roman"/>
          <w:sz w:val="22"/>
          <w:szCs w:val="22"/>
          <w:color w:val="auto"/>
        </w:rPr>
        <w:t>. The Employee acknowledges that the Employee’s actual or expected earnings from the Company, when annualized, exceed $75,000.</w:t>
      </w:r>
    </w:p>
    <w:p>
      <w:pPr>
        <w:spacing w:after="0" w:line="158" w:lineRule="exact"/>
        <w:rPr>
          <w:rFonts w:ascii="Times New Roman" w:cs="Times New Roman" w:eastAsia="Times New Roman" w:hAnsi="Times New Roman"/>
          <w:sz w:val="22"/>
          <w:szCs w:val="22"/>
          <w:color w:val="auto"/>
        </w:rPr>
      </w:pPr>
    </w:p>
    <w:p>
      <w:pPr>
        <w:ind w:left="200" w:right="259" w:firstLine="1305"/>
        <w:spacing w:after="0" w:line="233" w:lineRule="auto"/>
        <w:tabs>
          <w:tab w:leader="none" w:pos="214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Equitable Remedies</w:t>
      </w:r>
      <w:r>
        <w:rPr>
          <w:rFonts w:ascii="Times New Roman" w:cs="Times New Roman" w:eastAsia="Times New Roman" w:hAnsi="Times New Roman"/>
          <w:sz w:val="22"/>
          <w:szCs w:val="22"/>
          <w:color w:val="auto"/>
        </w:rPr>
        <w:t>. The Employee acknowledges that the restrictions contained in this Agreement are necessary for the protection of the business and goodwill of the Company and are considered by the Employee to be reasonable for such purpose. The Employee agrees that any breach or threatened breach of this Agreement is likely to cause the Company substantial and irrevocable damage which is difficult to measure. Therefore, in the event of any such breach or threatened breach, the Employee agrees that the Company, in addition to such other remedies which may be available, shall have the right to obtain an injunction from a court restraining such a breach or threatened breach without posting a bond and the right to specific performance of the provisions of this Agreement and the Employee hereby waives the adequacy of a remedy at law as a defense to such relief. Additionally, the Employee acknowledges and agrees that, while the non-solicitation obligations herein are essential to the protection of the Company’s legitimate business interests, such interests cannot be adequately protected without the non-competition obligations set forth in Section 1(a).</w:t>
      </w:r>
    </w:p>
    <w:p>
      <w:pPr>
        <w:spacing w:after="0" w:line="182" w:lineRule="exact"/>
        <w:rPr>
          <w:rFonts w:ascii="Times New Roman" w:cs="Times New Roman" w:eastAsia="Times New Roman" w:hAnsi="Times New Roman"/>
          <w:sz w:val="22"/>
          <w:szCs w:val="22"/>
          <w:color w:val="auto"/>
        </w:rPr>
      </w:pPr>
    </w:p>
    <w:p>
      <w:pPr>
        <w:ind w:left="200" w:right="279" w:firstLine="1305"/>
        <w:spacing w:after="0" w:line="234" w:lineRule="auto"/>
        <w:tabs>
          <w:tab w:leader="none" w:pos="214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to Third Parties</w:t>
      </w:r>
      <w:r>
        <w:rPr>
          <w:rFonts w:ascii="Times New Roman" w:cs="Times New Roman" w:eastAsia="Times New Roman" w:hAnsi="Times New Roman"/>
          <w:sz w:val="22"/>
          <w:szCs w:val="22"/>
          <w:color w:val="auto"/>
        </w:rPr>
        <w:t>. The Employee represents that, except as the Employee has disclosed in writing to the Company, the Employee is not bound by the terms of any agreement with any previous employer or other party to refrain from competing, directly or indirectly, with the business of such previous employer or any other party, or to refrain from soliciting employees, customers or suppliers of such previous employer or other party. The Employee further represents that his/her performance of all the terms of this Agreement and the performance of his/her duties as an employee of the Company does not and will not conflict with or breach any agreement with any prior employer or other party (including, without limitation, any non-competition agreement).</w:t>
      </w:r>
    </w:p>
    <w:p>
      <w:pPr>
        <w:spacing w:after="0" w:line="183" w:lineRule="exact"/>
        <w:rPr>
          <w:rFonts w:ascii="Times New Roman" w:cs="Times New Roman" w:eastAsia="Times New Roman" w:hAnsi="Times New Roman"/>
          <w:sz w:val="22"/>
          <w:szCs w:val="22"/>
          <w:color w:val="auto"/>
        </w:rPr>
      </w:pPr>
    </w:p>
    <w:p>
      <w:pPr>
        <w:ind w:left="200" w:right="259" w:firstLine="1305"/>
        <w:spacing w:after="0" w:line="255" w:lineRule="auto"/>
        <w:tabs>
          <w:tab w:leader="none" w:pos="2144"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Disclosure of this Agreement</w:t>
      </w:r>
      <w:r>
        <w:rPr>
          <w:rFonts w:ascii="Times New Roman" w:cs="Times New Roman" w:eastAsia="Times New Roman" w:hAnsi="Times New Roman"/>
          <w:sz w:val="21"/>
          <w:szCs w:val="21"/>
          <w:color w:val="auto"/>
        </w:rPr>
        <w:t>. For a period of two years after the termination or cessation of the Employee’s employment for any reason, the Employee agrees to notify any potential, prospective employer or prospective business associate, of the terms and existence of this Agreement and the Employee’s continuing obligations to the Company hereunder.</w:t>
      </w:r>
    </w:p>
    <w:p>
      <w:pPr>
        <w:spacing w:after="0" w:line="161" w:lineRule="exact"/>
        <w:rPr>
          <w:rFonts w:ascii="Times New Roman" w:cs="Times New Roman" w:eastAsia="Times New Roman" w:hAnsi="Times New Roman"/>
          <w:sz w:val="21"/>
          <w:szCs w:val="21"/>
          <w:color w:val="auto"/>
        </w:rPr>
      </w:pPr>
    </w:p>
    <w:p>
      <w:pPr>
        <w:ind w:left="200" w:right="539" w:firstLine="1305"/>
        <w:spacing w:after="0" w:line="282" w:lineRule="auto"/>
        <w:tabs>
          <w:tab w:leader="none" w:pos="2144"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 Employment Contract</w:t>
      </w:r>
      <w:r>
        <w:rPr>
          <w:rFonts w:ascii="Times New Roman" w:cs="Times New Roman" w:eastAsia="Times New Roman" w:hAnsi="Times New Roman"/>
          <w:sz w:val="21"/>
          <w:szCs w:val="21"/>
          <w:color w:val="auto"/>
        </w:rPr>
        <w:t>. The Employee acknowledges that this Agreement does not constitute a contract of employment, does not imply that the Company will</w:t>
      </w:r>
    </w:p>
    <w:p>
      <w:pPr>
        <w:spacing w:after="0" w:line="139" w:lineRule="exact"/>
        <w:rPr>
          <w:rFonts w:ascii="Times New Roman" w:cs="Times New Roman" w:eastAsia="Times New Roman" w:hAnsi="Times New Roman"/>
          <w:sz w:val="21"/>
          <w:szCs w:val="21"/>
          <w:color w:val="auto"/>
        </w:rPr>
      </w:pPr>
    </w:p>
    <w:p>
      <w:pPr>
        <w:ind w:left="4040" w:hanging="105"/>
        <w:spacing w:after="0"/>
        <w:tabs>
          <w:tab w:leader="none" w:pos="4040" w:val="left"/>
        </w:tabs>
        <w:numPr>
          <w:ilvl w:val="2"/>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 </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665480</wp:posOffset>
            </wp:positionV>
            <wp:extent cx="545211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58" w:name="page59"/>
    <w:bookmarkEnd w:id="58"/>
    <w:p>
      <w:pPr>
        <w:ind w:left="200" w:right="719"/>
        <w:spacing w:after="0" w:line="258" w:lineRule="auto"/>
        <w:rPr>
          <w:sz w:val="20"/>
          <w:szCs w:val="20"/>
          <w:color w:val="auto"/>
        </w:rPr>
      </w:pPr>
      <w:r>
        <w:rPr>
          <w:rFonts w:ascii="Times New Roman" w:cs="Times New Roman" w:eastAsia="Times New Roman" w:hAnsi="Times New Roman"/>
          <w:sz w:val="22"/>
          <w:szCs w:val="22"/>
          <w:color w:val="auto"/>
        </w:rPr>
        <w:t>continue his/her employment for any period of time, and does not change the at-will nature of his/her employment.</w:t>
      </w:r>
    </w:p>
    <w:p>
      <w:pPr>
        <w:spacing w:after="0" w:line="158" w:lineRule="exact"/>
        <w:rPr>
          <w:sz w:val="20"/>
          <w:szCs w:val="20"/>
          <w:color w:val="auto"/>
        </w:rPr>
      </w:pPr>
    </w:p>
    <w:p>
      <w:pPr>
        <w:ind w:left="200" w:right="239" w:firstLine="1305"/>
        <w:spacing w:after="0" w:line="247" w:lineRule="auto"/>
        <w:tabs>
          <w:tab w:leader="none" w:pos="2144"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Acknowledgments</w:t>
      </w:r>
      <w:r>
        <w:rPr>
          <w:rFonts w:ascii="Times New Roman" w:cs="Times New Roman" w:eastAsia="Times New Roman" w:hAnsi="Times New Roman"/>
          <w:sz w:val="21"/>
          <w:szCs w:val="21"/>
          <w:color w:val="auto"/>
        </w:rPr>
        <w:t>. The Employee acknowledges that Company has advised the Employee to consult with an attorney prior to signing this Agreement. The Employee further acknowledges that the Employee was provided this Agreement fourteen (14) calendar days prior to his/her commencement of employment or that the Employee was provided at least fourteen</w:t>
      </w:r>
    </w:p>
    <w:p>
      <w:pPr>
        <w:spacing w:after="0" w:line="1" w:lineRule="exact"/>
        <w:rPr>
          <w:rFonts w:ascii="Times New Roman" w:cs="Times New Roman" w:eastAsia="Times New Roman" w:hAnsi="Times New Roman"/>
          <w:sz w:val="21"/>
          <w:szCs w:val="21"/>
          <w:color w:val="auto"/>
        </w:rPr>
      </w:pPr>
    </w:p>
    <w:p>
      <w:pPr>
        <w:ind w:left="620" w:hanging="411"/>
        <w:spacing w:after="0"/>
        <w:tabs>
          <w:tab w:leader="none" w:pos="6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calendar days to review this Agreement.</w:t>
      </w:r>
    </w:p>
    <w:p>
      <w:pPr>
        <w:spacing w:after="0" w:line="182" w:lineRule="exact"/>
        <w:rPr>
          <w:rFonts w:ascii="Times New Roman" w:cs="Times New Roman" w:eastAsia="Times New Roman" w:hAnsi="Times New Roman"/>
          <w:sz w:val="22"/>
          <w:szCs w:val="22"/>
          <w:color w:val="auto"/>
        </w:rPr>
      </w:pPr>
    </w:p>
    <w:p>
      <w:pPr>
        <w:ind w:left="200" w:right="239" w:firstLine="1305"/>
        <w:spacing w:after="0" w:line="235" w:lineRule="auto"/>
        <w:tabs>
          <w:tab w:leader="none" w:pos="214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Employee’s obligations under this Agreement are personal and shall not be assigned by the Employee. This Agreement shall, however, be binding upon and inure to the benefit of the Company and its successors and assigns, including any corporation or entity with which or into which the Company may be merged or that may succeed to all or substantially all of its assets or business. The Employee expressly consents to be bound by the provisions of this Agreement for the benefit of any successor or assign of the Company without the necessity that this Agreement be re-signed, in which event “Company” shall be interpreted to include any successor or assign of the Company.</w:t>
      </w:r>
    </w:p>
    <w:p>
      <w:pPr>
        <w:spacing w:after="0" w:line="178" w:lineRule="exact"/>
        <w:rPr>
          <w:rFonts w:ascii="Times New Roman" w:cs="Times New Roman" w:eastAsia="Times New Roman" w:hAnsi="Times New Roman"/>
          <w:sz w:val="22"/>
          <w:szCs w:val="22"/>
          <w:color w:val="auto"/>
        </w:rPr>
      </w:pPr>
    </w:p>
    <w:p>
      <w:pPr>
        <w:jc w:val="both"/>
        <w:ind w:left="200" w:right="259" w:firstLine="1305"/>
        <w:spacing w:after="0" w:line="238" w:lineRule="auto"/>
        <w:tabs>
          <w:tab w:leader="none" w:pos="214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If any restriction or definition set forth in Section 1 is found by any court of competent jurisdiction to be unenforceable because it extends for too long a period of time or over too great a range of conduct, activities, or geographic area, it shall be interpreted to extend only over the maximum period of time, range of conduct, activities or geographic area as to which it may be enforceable.</w:t>
      </w:r>
    </w:p>
    <w:p>
      <w:pPr>
        <w:spacing w:after="0" w:line="176" w:lineRule="exact"/>
        <w:rPr>
          <w:rFonts w:ascii="Times New Roman" w:cs="Times New Roman" w:eastAsia="Times New Roman" w:hAnsi="Times New Roman"/>
          <w:sz w:val="22"/>
          <w:szCs w:val="22"/>
          <w:color w:val="auto"/>
        </w:rPr>
      </w:pPr>
    </w:p>
    <w:p>
      <w:pPr>
        <w:ind w:left="200" w:right="779" w:firstLine="1305"/>
        <w:spacing w:after="0" w:line="244" w:lineRule="auto"/>
        <w:tabs>
          <w:tab w:leader="none" w:pos="214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case any provision of this Agreement shall be invalid, illegal or otherwise unenforceable, the validity, legality and enforceability of the remaining provisions shall in no way be affected or impaired thereby.</w:t>
      </w:r>
    </w:p>
    <w:p>
      <w:pPr>
        <w:spacing w:after="0" w:line="173" w:lineRule="exact"/>
        <w:rPr>
          <w:rFonts w:ascii="Times New Roman" w:cs="Times New Roman" w:eastAsia="Times New Roman" w:hAnsi="Times New Roman"/>
          <w:sz w:val="22"/>
          <w:szCs w:val="22"/>
          <w:color w:val="auto"/>
        </w:rPr>
      </w:pPr>
    </w:p>
    <w:p>
      <w:pPr>
        <w:ind w:left="200" w:right="219" w:firstLine="1305"/>
        <w:spacing w:after="0" w:line="239" w:lineRule="auto"/>
        <w:tabs>
          <w:tab w:leader="none" w:pos="214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No delay or omission by the Company in exercising any right under this Agreement will operate as a waiver of that or any other right. A waiver or consent given by the Company on any one occasion is effective only in that instance and will not be construed as a bar to or waiver of any right on any other occasion.</w:t>
      </w:r>
    </w:p>
    <w:p>
      <w:pPr>
        <w:spacing w:after="0" w:line="180" w:lineRule="exact"/>
        <w:rPr>
          <w:rFonts w:ascii="Times New Roman" w:cs="Times New Roman" w:eastAsia="Times New Roman" w:hAnsi="Times New Roman"/>
          <w:sz w:val="22"/>
          <w:szCs w:val="22"/>
          <w:color w:val="auto"/>
        </w:rPr>
      </w:pPr>
    </w:p>
    <w:p>
      <w:pPr>
        <w:ind w:left="200" w:right="219" w:firstLine="1305"/>
        <w:spacing w:after="0" w:line="234" w:lineRule="auto"/>
        <w:tabs>
          <w:tab w:leader="none" w:pos="214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Consent To Jurisdiction</w:t>
      </w:r>
      <w:r>
        <w:rPr>
          <w:rFonts w:ascii="Times New Roman" w:cs="Times New Roman" w:eastAsia="Times New Roman" w:hAnsi="Times New Roman"/>
          <w:sz w:val="22"/>
          <w:szCs w:val="22"/>
          <w:color w:val="auto"/>
        </w:rPr>
        <w:t>. This Agreement shall be governed by and construed in accordance with the laws of the State of Illinois (without reference to the conflicts of laws provisions thereof). Any action, suit, or other legal proceeding which is commenced to resolve any matter arising under or relating to any provision of this Agreement shall be commenced only in a court of the State of Illinois (or, if appropriate, a federal court located within Illinois), and the Company and the Employee each consents to the jurisdiction of such a court. The Company and the Employee each hereby irrevocably waives any right to a trial by jury in any action, suit or other legal proceeding arising under or relating to any provision of this Agreement.</w:t>
      </w:r>
    </w:p>
    <w:p>
      <w:pPr>
        <w:spacing w:after="0" w:line="183" w:lineRule="exact"/>
        <w:rPr>
          <w:rFonts w:ascii="Times New Roman" w:cs="Times New Roman" w:eastAsia="Times New Roman" w:hAnsi="Times New Roman"/>
          <w:sz w:val="22"/>
          <w:szCs w:val="22"/>
          <w:color w:val="auto"/>
        </w:rPr>
      </w:pPr>
    </w:p>
    <w:p>
      <w:pPr>
        <w:ind w:left="200" w:right="299" w:firstLine="1305"/>
        <w:spacing w:after="0" w:line="239" w:lineRule="auto"/>
        <w:tabs>
          <w:tab w:leader="none" w:pos="214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Amendment</w:t>
      </w:r>
      <w:r>
        <w:rPr>
          <w:rFonts w:ascii="Times New Roman" w:cs="Times New Roman" w:eastAsia="Times New Roman" w:hAnsi="Times New Roman"/>
          <w:sz w:val="22"/>
          <w:szCs w:val="22"/>
          <w:color w:val="auto"/>
        </w:rPr>
        <w:t>. This Agreement supersedes all prior agreements, written or oral, between the Employee and the Company relating to the subject matter of this Agreement. This Agreement may not be modified, changed or discharged in whole or in part, except by an agreement in writing signed by the Employee and the Company.</w:t>
      </w:r>
    </w:p>
    <w:p>
      <w:pPr>
        <w:spacing w:after="0" w:line="184" w:lineRule="exact"/>
        <w:rPr>
          <w:rFonts w:ascii="Times New Roman" w:cs="Times New Roman" w:eastAsia="Times New Roman" w:hAnsi="Times New Roman"/>
          <w:sz w:val="22"/>
          <w:szCs w:val="22"/>
          <w:color w:val="auto"/>
        </w:rPr>
      </w:pPr>
    </w:p>
    <w:p>
      <w:pPr>
        <w:ind w:left="4040" w:hanging="105"/>
        <w:spacing w:after="0"/>
        <w:tabs>
          <w:tab w:leader="none" w:pos="4040"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3 </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665480</wp:posOffset>
            </wp:positionV>
            <wp:extent cx="545211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59" w:name="page60"/>
    <w:bookmarkEnd w:id="59"/>
    <w:p>
      <w:pPr>
        <w:ind w:left="200" w:right="479"/>
        <w:spacing w:after="0" w:line="244" w:lineRule="auto"/>
        <w:rPr>
          <w:sz w:val="20"/>
          <w:szCs w:val="20"/>
          <w:color w:val="auto"/>
        </w:rPr>
      </w:pPr>
      <w:r>
        <w:rPr>
          <w:rFonts w:ascii="Times New Roman" w:cs="Times New Roman" w:eastAsia="Times New Roman" w:hAnsi="Times New Roman"/>
          <w:sz w:val="22"/>
          <w:szCs w:val="22"/>
          <w:color w:val="auto"/>
        </w:rPr>
        <w:t>The Employee agrees that any change or changes in his/her duties, authority, title, reporting relationship, territory, salary or compensation after the signing of this Agreement shall not affect the validity or scope of this Agreement.</w:t>
      </w:r>
    </w:p>
    <w:p>
      <w:pPr>
        <w:spacing w:after="0" w:line="173" w:lineRule="exact"/>
        <w:rPr>
          <w:sz w:val="20"/>
          <w:szCs w:val="20"/>
          <w:color w:val="auto"/>
        </w:rPr>
      </w:pPr>
    </w:p>
    <w:p>
      <w:pPr>
        <w:ind w:left="200" w:right="459" w:firstLine="1305"/>
        <w:spacing w:after="0" w:line="244" w:lineRule="auto"/>
        <w:tabs>
          <w:tab w:leader="none" w:pos="21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The captions of the sections of this Agreement are for convenience of reference only and in no way define, limit or affect the scope or substance of any section of this Agreement.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 xml:space="preserve">- 4 </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665480</wp:posOffset>
            </wp:positionV>
            <wp:extent cx="545211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60" w:name="page61"/>
    <w:bookmarkEnd w:id="60"/>
    <w:p>
      <w:pPr>
        <w:ind w:left="200" w:right="599" w:firstLine="648"/>
        <w:spacing w:after="0" w:line="244" w:lineRule="auto"/>
        <w:rPr>
          <w:sz w:val="20"/>
          <w:szCs w:val="20"/>
          <w:color w:val="auto"/>
        </w:rPr>
      </w:pPr>
      <w:r>
        <w:rPr>
          <w:rFonts w:ascii="Times New Roman" w:cs="Times New Roman" w:eastAsia="Times New Roman" w:hAnsi="Times New Roman"/>
          <w:sz w:val="22"/>
          <w:szCs w:val="22"/>
          <w:color w:val="auto"/>
        </w:rPr>
        <w:t>THE EMPLOYEE ACKNOWLEDGES THAT THE EMPLOYEE HAS CAREFULLY READ THIS AGREEMENT AND UNDERSTANDS AND AGREES TO ALL OF THE PROVISIONS IN THIS AGREEMENT.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EMPLOYEE</w:t>
      </w:r>
    </w:p>
    <w:p>
      <w:pPr>
        <w:sectPr>
          <w:pgSz w:w="11900" w:h="16838" w:orient="portrait"/>
          <w:cols w:equalWidth="0" w:num="1">
            <w:col w:w="9019"/>
          </w:cols>
          <w:pgMar w:left="1440" w:top="895" w:right="1440" w:bottom="1440" w:gutter="0" w:footer="0" w:header="0"/>
        </w:sectPr>
      </w:pP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Date:_______________________</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ectPr>
          <w:pgSz w:w="11900" w:h="16838" w:orient="portrait"/>
          <w:cols w:equalWidth="0" w:num="2">
            <w:col w:w="3980" w:space="720"/>
            <w:col w:w="4319"/>
          </w:cols>
          <w:pgMar w:left="1440" w:top="895" w:right="1440" w:bottom="1440" w:gutter="0" w:footer="0" w:header="0"/>
          <w:type w:val="continuous"/>
        </w:sectPr>
      </w:pPr>
    </w:p>
    <w:p>
      <w:pPr>
        <w:spacing w:after="0" w:line="22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color w:val="auto"/>
        </w:rPr>
        <w:t>GEVO, INC.</w:t>
      </w:r>
    </w:p>
    <w:p>
      <w:pPr>
        <w:sectPr>
          <w:pgSz w:w="11900" w:h="16838" w:orient="portrait"/>
          <w:cols w:equalWidth="0" w:num="1">
            <w:col w:w="9019"/>
          </w:cols>
          <w:pgMar w:left="1440" w:top="895" w:right="1440" w:bottom="1440" w:gutter="0" w:footer="0" w:header="0"/>
          <w:type w:val="continuous"/>
        </w:sectPr>
      </w:pP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Date: ______________________</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By:____________________________</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ectPr>
          <w:pgSz w:w="11900" w:h="16838" w:orient="portrait"/>
          <w:cols w:equalWidth="0" w:num="2">
            <w:col w:w="3980" w:space="720"/>
            <w:col w:w="4319"/>
          </w:cols>
          <w:pgMar w:left="1440" w:top="895" w:right="1440" w:bottom="1440" w:gutter="0" w:footer="0" w:header="0"/>
          <w:type w:val="continuous"/>
        </w:sect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Non-Competition and Non-Solicitation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981710</wp:posOffset>
            </wp:positionV>
            <wp:extent cx="545211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61" w:name="page62"/>
    <w:bookmarkEnd w:id="6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Patrick R. Gruber, certify that:</w:t>
      </w:r>
    </w:p>
    <w:p>
      <w:pPr>
        <w:spacing w:after="0" w:line="117" w:lineRule="exact"/>
        <w:rPr>
          <w:sz w:val="20"/>
          <w:szCs w:val="20"/>
          <w:color w:val="auto"/>
        </w:rPr>
      </w:pPr>
    </w:p>
    <w:p>
      <w:pPr>
        <w:ind w:left="480" w:hanging="430"/>
        <w:spacing w:after="0"/>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Gevo, Inc. (the “Registrant”);</w:t>
      </w:r>
    </w:p>
    <w:p>
      <w:pPr>
        <w:spacing w:after="0" w:line="117" w:lineRule="exact"/>
        <w:rPr>
          <w:rFonts w:ascii="Times New Roman" w:cs="Times New Roman" w:eastAsia="Times New Roman" w:hAnsi="Times New Roman"/>
          <w:sz w:val="18"/>
          <w:szCs w:val="18"/>
          <w:color w:val="auto"/>
        </w:rPr>
      </w:pPr>
    </w:p>
    <w:p>
      <w:pPr>
        <w:ind w:left="480" w:right="119" w:hanging="430"/>
        <w:spacing w:after="0" w:line="266" w:lineRule="auto"/>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80" w:right="339" w:hanging="430"/>
        <w:spacing w:after="0" w:line="266" w:lineRule="auto"/>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80" w:right="79" w:hanging="430"/>
        <w:spacing w:after="0" w:line="266" w:lineRule="auto"/>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20" w:right="139" w:hanging="438"/>
        <w:spacing w:after="0" w:line="261" w:lineRule="auto"/>
        <w:tabs>
          <w:tab w:leader="none" w:pos="9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920" w:right="119" w:hanging="438"/>
        <w:spacing w:after="0" w:line="261" w:lineRule="auto"/>
        <w:tabs>
          <w:tab w:leader="none" w:pos="9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920" w:right="259" w:hanging="438"/>
        <w:spacing w:after="0" w:line="266" w:lineRule="auto"/>
        <w:tabs>
          <w:tab w:leader="none" w:pos="9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20" w:right="179" w:hanging="438"/>
        <w:spacing w:after="0" w:line="261" w:lineRule="auto"/>
        <w:tabs>
          <w:tab w:leader="none" w:pos="9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480" w:right="119" w:hanging="430"/>
        <w:spacing w:after="0" w:line="266" w:lineRule="auto"/>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20" w:right="79" w:hanging="438"/>
        <w:spacing w:after="0" w:line="266" w:lineRule="auto"/>
        <w:tabs>
          <w:tab w:leader="none" w:pos="9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20" w:right="199" w:hanging="438"/>
        <w:spacing w:after="0" w:line="282" w:lineRule="auto"/>
        <w:tabs>
          <w:tab w:leader="none" w:pos="9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13, 2025</w:t>
      </w:r>
    </w:p>
    <w:p>
      <w:pPr>
        <w:spacing w:after="0" w:line="200" w:lineRule="exact"/>
        <w:rPr>
          <w:sz w:val="20"/>
          <w:szCs w:val="20"/>
          <w:color w:val="auto"/>
        </w:rPr>
      </w:pPr>
    </w:p>
    <w:p>
      <w:pPr>
        <w:spacing w:after="0" w:line="309" w:lineRule="exact"/>
        <w:rPr>
          <w:sz w:val="20"/>
          <w:szCs w:val="20"/>
          <w:color w:val="auto"/>
        </w:rPr>
      </w:pPr>
    </w:p>
    <w:p>
      <w:pPr>
        <w:jc w:val="center"/>
        <w:ind w:right="4739"/>
        <w:spacing w:after="0"/>
        <w:rPr>
          <w:sz w:val="20"/>
          <w:szCs w:val="20"/>
          <w:color w:val="auto"/>
        </w:rPr>
      </w:pPr>
      <w:r>
        <w:rPr>
          <w:rFonts w:ascii="Times New Roman" w:cs="Times New Roman" w:eastAsia="Times New Roman" w:hAnsi="Times New Roman"/>
          <w:sz w:val="18"/>
          <w:szCs w:val="18"/>
          <w:color w:val="auto"/>
        </w:rPr>
        <w:t>/s/ Patrick R. Gruber</w:t>
      </w:r>
    </w:p>
    <w:p>
      <w:pPr>
        <w:spacing w:after="0" w:line="55" w:lineRule="exact"/>
        <w:rPr>
          <w:sz w:val="20"/>
          <w:szCs w:val="20"/>
          <w:color w:val="auto"/>
        </w:rPr>
      </w:pPr>
    </w:p>
    <w:p>
      <w:pPr>
        <w:jc w:val="center"/>
        <w:ind w:right="4739"/>
        <w:spacing w:after="0"/>
        <w:rPr>
          <w:sz w:val="20"/>
          <w:szCs w:val="20"/>
          <w:color w:val="auto"/>
        </w:rPr>
      </w:pPr>
      <w:r>
        <w:rPr>
          <w:rFonts w:ascii="Times New Roman" w:cs="Times New Roman" w:eastAsia="Times New Roman" w:hAnsi="Times New Roman"/>
          <w:sz w:val="14"/>
          <w:szCs w:val="14"/>
          <w:b w:val="1"/>
          <w:bCs w:val="1"/>
          <w:color w:val="auto"/>
        </w:rPr>
        <w:t>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-93345</wp:posOffset>
            </wp:positionV>
            <wp:extent cx="26485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jc w:val="center"/>
        <w:ind w:right="4739"/>
        <w:spacing w:after="0" w:line="231"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ind w:right="4739"/>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510540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2" w:name="page63"/>
    <w:bookmarkEnd w:id="6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L. Lynn Smull, certify that:</w:t>
      </w:r>
    </w:p>
    <w:p>
      <w:pPr>
        <w:spacing w:after="0" w:line="117" w:lineRule="exact"/>
        <w:rPr>
          <w:sz w:val="20"/>
          <w:szCs w:val="20"/>
          <w:color w:val="auto"/>
        </w:rPr>
      </w:pPr>
    </w:p>
    <w:p>
      <w:pPr>
        <w:ind w:left="480" w:hanging="430"/>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Gevo, Inc. (the “Registrant”);</w:t>
      </w:r>
    </w:p>
    <w:p>
      <w:pPr>
        <w:spacing w:after="0" w:line="117" w:lineRule="exact"/>
        <w:rPr>
          <w:rFonts w:ascii="Times New Roman" w:cs="Times New Roman" w:eastAsia="Times New Roman" w:hAnsi="Times New Roman"/>
          <w:sz w:val="18"/>
          <w:szCs w:val="18"/>
          <w:color w:val="auto"/>
        </w:rPr>
      </w:pPr>
    </w:p>
    <w:p>
      <w:pPr>
        <w:ind w:left="480" w:right="119" w:hanging="430"/>
        <w:spacing w:after="0" w:line="266" w:lineRule="auto"/>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80" w:right="339" w:hanging="430"/>
        <w:spacing w:after="0" w:line="266" w:lineRule="auto"/>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80" w:right="79" w:hanging="430"/>
        <w:spacing w:after="0" w:line="266" w:lineRule="auto"/>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20" w:right="139" w:hanging="438"/>
        <w:spacing w:after="0" w:line="261" w:lineRule="auto"/>
        <w:tabs>
          <w:tab w:leader="none" w:pos="9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920" w:right="119" w:hanging="438"/>
        <w:spacing w:after="0" w:line="261" w:lineRule="auto"/>
        <w:tabs>
          <w:tab w:leader="none" w:pos="9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920" w:right="259" w:hanging="438"/>
        <w:spacing w:after="0" w:line="266" w:lineRule="auto"/>
        <w:tabs>
          <w:tab w:leader="none" w:pos="9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20" w:right="179" w:hanging="438"/>
        <w:spacing w:after="0" w:line="261" w:lineRule="auto"/>
        <w:tabs>
          <w:tab w:leader="none" w:pos="9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480" w:right="119" w:hanging="430"/>
        <w:spacing w:after="0" w:line="266" w:lineRule="auto"/>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20" w:right="79" w:hanging="438"/>
        <w:spacing w:after="0" w:line="266" w:lineRule="auto"/>
        <w:tabs>
          <w:tab w:leader="none" w:pos="9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20" w:right="199" w:hanging="438"/>
        <w:spacing w:after="0" w:line="282" w:lineRule="auto"/>
        <w:tabs>
          <w:tab w:leader="none" w:pos="9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13, 2025</w:t>
      </w:r>
    </w:p>
    <w:p>
      <w:pPr>
        <w:spacing w:after="0" w:line="200" w:lineRule="exact"/>
        <w:rPr>
          <w:sz w:val="20"/>
          <w:szCs w:val="20"/>
          <w:color w:val="auto"/>
        </w:rPr>
      </w:pPr>
    </w:p>
    <w:p>
      <w:pPr>
        <w:spacing w:after="0" w:line="295" w:lineRule="exact"/>
        <w:rPr>
          <w:sz w:val="20"/>
          <w:szCs w:val="20"/>
          <w:color w:val="auto"/>
        </w:rPr>
      </w:pPr>
    </w:p>
    <w:p>
      <w:pPr>
        <w:jc w:val="center"/>
        <w:ind w:right="4739"/>
        <w:spacing w:after="0"/>
        <w:rPr>
          <w:sz w:val="20"/>
          <w:szCs w:val="20"/>
          <w:color w:val="auto"/>
        </w:rPr>
      </w:pPr>
      <w:r>
        <w:rPr>
          <w:rFonts w:ascii="Times New Roman" w:cs="Times New Roman" w:eastAsia="Times New Roman" w:hAnsi="Times New Roman"/>
          <w:sz w:val="18"/>
          <w:szCs w:val="18"/>
          <w:color w:val="auto"/>
        </w:rPr>
        <w:t>/s/ L. Lynn Smull</w:t>
      </w:r>
    </w:p>
    <w:p>
      <w:pPr>
        <w:spacing w:after="0" w:line="55" w:lineRule="exact"/>
        <w:rPr>
          <w:sz w:val="20"/>
          <w:szCs w:val="20"/>
          <w:color w:val="auto"/>
        </w:rPr>
      </w:pPr>
    </w:p>
    <w:p>
      <w:pPr>
        <w:jc w:val="center"/>
        <w:ind w:right="4739"/>
        <w:spacing w:after="0"/>
        <w:rPr>
          <w:sz w:val="20"/>
          <w:szCs w:val="20"/>
          <w:color w:val="auto"/>
        </w:rPr>
      </w:pPr>
      <w:r>
        <w:rPr>
          <w:rFonts w:ascii="Times New Roman" w:cs="Times New Roman" w:eastAsia="Times New Roman" w:hAnsi="Times New Roman"/>
          <w:sz w:val="14"/>
          <w:szCs w:val="14"/>
          <w:b w:val="1"/>
          <w:bCs w:val="1"/>
          <w:color w:val="auto"/>
        </w:rPr>
        <w:t>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-93345</wp:posOffset>
            </wp:positionV>
            <wp:extent cx="26485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jc w:val="center"/>
        <w:ind w:right="4739"/>
        <w:spacing w:after="0" w:line="231"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jc w:val="center"/>
        <w:ind w:right="4739"/>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570865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3" w:name="page64"/>
    <w:bookmarkEnd w:id="6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CERTIFICATIONS 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 Patrick R. Gruber, Chief Executive Officer of Gevo, Inc. (the "Company"), and I, L. Lynn Smull, Chief Financial Officer of the Company, certify, pursuant to 18 U.S.C. Section 1350, as adopted pursuant to Section 906 of the Sarbanes-Oxley Act of 2002, that:</w:t>
      </w:r>
    </w:p>
    <w:p>
      <w:pPr>
        <w:spacing w:after="0" w:line="68" w:lineRule="exact"/>
        <w:rPr>
          <w:sz w:val="20"/>
          <w:szCs w:val="20"/>
          <w:color w:val="auto"/>
        </w:rPr>
      </w:pPr>
    </w:p>
    <w:p>
      <w:pPr>
        <w:ind w:left="60" w:right="359" w:hanging="10"/>
        <w:spacing w:after="0" w:line="312" w:lineRule="auto"/>
        <w:tabs>
          <w:tab w:leader="none" w:pos="31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Company for the quarter ended September 30, 2024 (the "Report"), fully complies with the requirements of Section 13(a) or 15(d) of the Securities Exchange Act of 1934, as amended; and</w:t>
      </w:r>
    </w:p>
    <w:p>
      <w:pPr>
        <w:spacing w:after="0" w:line="31" w:lineRule="exact"/>
        <w:rPr>
          <w:rFonts w:ascii="Times New Roman" w:cs="Times New Roman" w:eastAsia="Times New Roman" w:hAnsi="Times New Roman"/>
          <w:sz w:val="17"/>
          <w:szCs w:val="17"/>
          <w:color w:val="auto"/>
        </w:rPr>
      </w:pPr>
    </w:p>
    <w:p>
      <w:pPr>
        <w:ind w:left="60" w:right="299" w:hanging="10"/>
        <w:spacing w:after="0" w:line="282" w:lineRule="auto"/>
        <w:tabs>
          <w:tab w:leader="none" w:pos="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 covered by the Report.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May 13,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739"/>
        <w:spacing w:after="0"/>
        <w:rPr>
          <w:sz w:val="20"/>
          <w:szCs w:val="20"/>
          <w:color w:val="auto"/>
        </w:rPr>
      </w:pPr>
      <w:r>
        <w:rPr>
          <w:rFonts w:ascii="Times New Roman" w:cs="Times New Roman" w:eastAsia="Times New Roman" w:hAnsi="Times New Roman"/>
          <w:sz w:val="18"/>
          <w:szCs w:val="18"/>
          <w:color w:val="auto"/>
        </w:rPr>
        <w:t>/s/ Patrick R. Gruber</w:t>
      </w:r>
    </w:p>
    <w:p>
      <w:pPr>
        <w:spacing w:after="0" w:line="55" w:lineRule="exact"/>
        <w:rPr>
          <w:sz w:val="20"/>
          <w:szCs w:val="20"/>
          <w:color w:val="auto"/>
        </w:rPr>
      </w:pPr>
    </w:p>
    <w:p>
      <w:pPr>
        <w:jc w:val="center"/>
        <w:ind w:right="4739"/>
        <w:spacing w:after="0"/>
        <w:rPr>
          <w:sz w:val="20"/>
          <w:szCs w:val="20"/>
          <w:color w:val="auto"/>
        </w:rPr>
      </w:pPr>
      <w:r>
        <w:rPr>
          <w:rFonts w:ascii="Times New Roman" w:cs="Times New Roman" w:eastAsia="Times New Roman" w:hAnsi="Times New Roman"/>
          <w:sz w:val="14"/>
          <w:szCs w:val="14"/>
          <w:b w:val="1"/>
          <w:bCs w:val="1"/>
          <w:color w:val="auto"/>
        </w:rPr>
        <w:t>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-93345</wp:posOffset>
            </wp:positionV>
            <wp:extent cx="264858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jc w:val="center"/>
        <w:ind w:right="4739"/>
        <w:spacing w:after="0" w:line="231"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ind w:right="4739"/>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739"/>
        <w:spacing w:after="0"/>
        <w:rPr>
          <w:sz w:val="20"/>
          <w:szCs w:val="20"/>
          <w:color w:val="auto"/>
        </w:rPr>
      </w:pPr>
      <w:r>
        <w:rPr>
          <w:rFonts w:ascii="Times New Roman" w:cs="Times New Roman" w:eastAsia="Times New Roman" w:hAnsi="Times New Roman"/>
          <w:sz w:val="18"/>
          <w:szCs w:val="18"/>
          <w:color w:val="auto"/>
        </w:rPr>
        <w:t>/s/ L. Lynn Smull</w:t>
      </w:r>
    </w:p>
    <w:p>
      <w:pPr>
        <w:spacing w:after="0" w:line="55" w:lineRule="exact"/>
        <w:rPr>
          <w:sz w:val="20"/>
          <w:szCs w:val="20"/>
          <w:color w:val="auto"/>
        </w:rPr>
      </w:pPr>
    </w:p>
    <w:p>
      <w:pPr>
        <w:jc w:val="center"/>
        <w:ind w:right="4739"/>
        <w:spacing w:after="0"/>
        <w:rPr>
          <w:sz w:val="20"/>
          <w:szCs w:val="20"/>
          <w:color w:val="auto"/>
        </w:rPr>
      </w:pPr>
      <w:r>
        <w:rPr>
          <w:rFonts w:ascii="Times New Roman" w:cs="Times New Roman" w:eastAsia="Times New Roman" w:hAnsi="Times New Roman"/>
          <w:sz w:val="14"/>
          <w:szCs w:val="14"/>
          <w:b w:val="1"/>
          <w:bCs w:val="1"/>
          <w:color w:val="auto"/>
        </w:rPr>
        <w:t>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-93345</wp:posOffset>
            </wp:positionV>
            <wp:extent cx="26485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jc w:val="center"/>
        <w:ind w:right="4739"/>
        <w:spacing w:after="0" w:line="231"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jc w:val="center"/>
        <w:ind w:right="4739"/>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570865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lowerRoman"/>
      <w:start w:val="2"/>
    </w:lvl>
  </w:abstractNum>
  <w:abstractNum w:abstractNumId="4">
    <w:nsid w:val="333AB105"/>
    <w:multiLevelType w:val="hybridMultilevel"/>
    <w:lvl w:ilvl="0">
      <w:lvlJc w:val="left"/>
      <w:lvlText w:val="(%1)"/>
      <w:numFmt w:val="lowerLetter"/>
      <w:start w:val="3"/>
    </w:lvl>
  </w:abstractNum>
  <w:abstractNum w:abstractNumId="5">
    <w:nsid w:val="721DA317"/>
    <w:multiLevelType w:val="hybridMultilevel"/>
    <w:lvl w:ilvl="0">
      <w:lvlJc w:val="left"/>
      <w:lvlText w:val="%1."/>
      <w:numFmt w:val="decimal"/>
      <w:start w:val="2"/>
    </w:lvl>
  </w:abstractNum>
  <w:abstractNum w:abstractNumId="6">
    <w:nsid w:val="2443A858"/>
    <w:multiLevelType w:val="hybridMultilevel"/>
    <w:lvl w:ilvl="0">
      <w:lvlJc w:val="left"/>
      <w:lvlText w:val="%1."/>
      <w:numFmt w:val="decimal"/>
      <w:start w:val="3"/>
    </w:lvl>
  </w:abstractNum>
  <w:abstractNum w:abstractNumId="7">
    <w:nsid w:val="2D1D5AE9"/>
    <w:multiLevelType w:val="hybridMultilevel"/>
    <w:lvl w:ilvl="0">
      <w:lvlJc w:val="left"/>
      <w:lvlText w:val="%1."/>
      <w:numFmt w:val="decimal"/>
      <w:start w:val="4"/>
    </w:lvl>
  </w:abstractNum>
  <w:abstractNum w:abstractNumId="8">
    <w:nsid w:val="6763845E"/>
    <w:multiLevelType w:val="hybridMultilevel"/>
    <w:lvl w:ilvl="0">
      <w:lvlJc w:val="left"/>
      <w:lvlText w:val="%1."/>
      <w:numFmt w:val="decimal"/>
      <w:start w:val="5"/>
    </w:lvl>
  </w:abstractNum>
  <w:abstractNum w:abstractNumId="9">
    <w:nsid w:val="75A2A8D4"/>
    <w:multiLevelType w:val="hybridMultilevel"/>
    <w:lvl w:ilvl="0">
      <w:lvlJc w:val="left"/>
      <w:lvlText w:val="%1."/>
      <w:numFmt w:val="decimal"/>
      <w:start w:val="6"/>
    </w:lvl>
  </w:abstractNum>
  <w:abstractNum w:abstractNumId="10">
    <w:nsid w:val="8EDBDAB"/>
    <w:multiLevelType w:val="hybridMultilevel"/>
    <w:lvl w:ilvl="0">
      <w:lvlJc w:val="left"/>
      <w:lvlText w:val="%1."/>
      <w:numFmt w:val="decimal"/>
      <w:start w:val="7"/>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8"/>
    </w:lvl>
  </w:abstractNum>
  <w:abstractNum w:abstractNumId="13">
    <w:nsid w:val="B03E0C6"/>
    <w:multiLevelType w:val="hybridMultilevel"/>
    <w:lvl w:ilvl="0">
      <w:lvlJc w:val="left"/>
      <w:lvlText w:val="%1."/>
      <w:numFmt w:val="decimal"/>
      <w:start w:val="9"/>
    </w:lvl>
  </w:abstractNum>
  <w:abstractNum w:abstractNumId="14">
    <w:nsid w:val="189A769B"/>
    <w:multiLevelType w:val="hybridMultilevel"/>
    <w:lvl w:ilvl="0">
      <w:lvlJc w:val="left"/>
      <w:lvlText w:val="%1."/>
      <w:numFmt w:val="decimal"/>
      <w:start w:val="10"/>
    </w:lvl>
  </w:abstractNum>
  <w:abstractNum w:abstractNumId="15">
    <w:nsid w:val="54E49EB4"/>
    <w:multiLevelType w:val="hybridMultilevel"/>
    <w:lvl w:ilvl="0">
      <w:lvlJc w:val="left"/>
      <w:lvlText w:val="%1."/>
      <w:numFmt w:val="decimal"/>
      <w:start w:val="12"/>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3"/>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20"/>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lowerRoman"/>
      <w:start w:val="2"/>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1"/>
    </w:lvl>
    <w:lvl w:ilvl="1">
      <w:lvlJc w:val="left"/>
      <w:lvlText w:val="(%2)"/>
      <w:numFmt w:val="lowerLetter"/>
      <w:start w:val="1"/>
    </w:lvl>
  </w:abstractNum>
  <w:abstractNum w:abstractNumId="31">
    <w:nsid w:val="5577F8E1"/>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32">
    <w:nsid w:val="440BADFC"/>
    <w:multiLevelType w:val="hybridMultilevel"/>
    <w:lvl w:ilvl="0">
      <w:lvlJc w:val="left"/>
      <w:lvlText w:val="%1"/>
      <w:numFmt w:val="decimal"/>
      <w:start w:val="1"/>
    </w:lvl>
    <w:lvl w:ilvl="1">
      <w:lvlJc w:val="left"/>
      <w:lvlText w:val="(%2)"/>
      <w:numFmt w:val="lowerLetter"/>
      <w:start w:val="6"/>
    </w:lvl>
    <w:lvl w:ilvl="2">
      <w:lvlJc w:val="left"/>
      <w:lvlText w:val="-"/>
      <w:numFmt w:val="bullet"/>
      <w:start w:val="1"/>
    </w:lvl>
  </w:abstractNum>
  <w:abstractNum w:abstractNumId="33">
    <w:nsid w:val="5072367"/>
    <w:multiLevelType w:val="hybridMultilevel"/>
    <w:lvl w:ilvl="0">
      <w:lvlJc w:val="left"/>
      <w:lvlText w:val="(%1)"/>
      <w:numFmt w:val="decimal"/>
      <w:start w:val="14"/>
    </w:lvl>
    <w:lvl w:ilvl="1">
      <w:lvlJc w:val="left"/>
      <w:lvlText w:val="(%2)"/>
      <w:numFmt w:val="lowerLetter"/>
      <w:start w:val="7"/>
    </w:lvl>
    <w:lvl w:ilvl="2">
      <w:lvlJc w:val="left"/>
      <w:lvlText w:val="-"/>
      <w:numFmt w:val="bullet"/>
      <w:start w:val="1"/>
    </w:lvl>
  </w:abstractNum>
  <w:abstractNum w:abstractNumId="34">
    <w:nsid w:val="3804823E"/>
    <w:multiLevelType w:val="hybridMultilevel"/>
    <w:lvl w:ilvl="0">
      <w:lvlJc w:val="left"/>
      <w:lvlText w:val="(%1)"/>
      <w:numFmt w:val="lowerLetter"/>
      <w:start w:val="13"/>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jpe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58" Type="http://schemas.openxmlformats.org/officeDocument/2006/relationships/hyperlink" Target="https://www.sec.gov/Archives/edgar/data/1392380/000143774922004346/ex_337695.htm" TargetMode="External"/><Relationship Id="rId59" Type="http://schemas.openxmlformats.org/officeDocument/2006/relationships/hyperlink" Target="https://www.sec.gov/Archives/edgar/data/1392380/000143774921027382/ex_310252.htm" TargetMode="External"/><Relationship Id="rId60" Type="http://schemas.openxmlformats.org/officeDocument/2006/relationships/hyperlink" Target="https://www.sec.gov/Archives/edgar/data/1392380/000119312511009935/dex41.htm" TargetMode="External"/><Relationship Id="rId61" Type="http://schemas.openxmlformats.org/officeDocument/2006/relationships/hyperlink" Target="https://www.sec.gov/Archives/edgar/data/1392380/000110465925008435/tm254998d1_ex10-1.htm" TargetMode="External"/><Relationship Id="rId62" Type="http://schemas.openxmlformats.org/officeDocument/2006/relationships/hyperlink" Target="https://www.sec.gov/Archives/edgar/data/1392380/000110465925008435/tm254998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2025-05-13T15:22:30Z</dcterms:created>
  <dcterms:modified xsi:type="dcterms:W3CDTF">2025-05-13T15:22:30Z</dcterms:modified>
</cp:coreProperties>
</file>