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240"/>
        <w:ind w:left="0" w:right="0" w:hanging="0"/>
        <w:jc w:val="left"/>
        <w:rPr/>
      </w:pPr>
      <w:hyperlink w:anchor="TOC">
        <w:bookmarkStart w:id="0" w:name="gevo-20251231x10k.htm"/>
        <w:bookmarkStart w:id="1" w:name="ksgevo20251231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center"/>
        <w:rPr>
          <w:rFonts w:ascii="Times New Roman;Times;serif" w:hAnsi="Times New Roman;Times;serif"/>
          <w:b/>
          <w:sz w:val="2"/>
        </w:rPr>
      </w:pPr>
      <w:r>
        <w:rPr>
          <w:rFonts w:ascii="Times New Roman;Times;serif" w:hAnsi="Times New Roman;Times;serif"/>
          <w:b/>
          <w:sz w:val="2"/>
        </w:rPr>
        <w:t>Clean fuel</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b/>
          <w:sz w:val="30"/>
        </w:rPr>
      </w:pPr>
      <w:bookmarkStart w:id="2" w:name="_e3aed74b_0dc7_4d37_afed_45e929a6517c"/>
      <w:bookmarkEnd w:id="2"/>
      <w:r>
        <w:rPr>
          <w:rFonts w:ascii="Times New Roman;Times;serif" w:hAnsi="Times New Roman;Times;serif"/>
          <w:b/>
          <w:sz w:val="30"/>
        </w:rPr>
        <w:t>UNITED STATES</w:t>
      </w:r>
    </w:p>
    <w:p>
      <w:pPr>
        <w:pStyle w:val="TextBody"/>
        <w:bidi w:val="0"/>
        <w:spacing w:before="0" w:after="0"/>
        <w:ind w:left="0" w:right="0" w:hanging="0"/>
        <w:jc w:val="center"/>
        <w:rPr>
          <w:rFonts w:ascii="Times New Roman;Times;serif" w:hAnsi="Times New Roman;Times;serif"/>
          <w:b/>
          <w:sz w:val="30"/>
        </w:rPr>
      </w:pPr>
      <w:r>
        <w:rPr>
          <w:rFonts w:ascii="Times New Roman;Times;serif" w:hAnsi="Times New Roman;Times;serif"/>
          <w:b/>
          <w:sz w:val="30"/>
        </w:rPr>
        <w:t>SECURITIES AND EXCHANGE COMMISSION</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Washington, D.C. 20549</w:t>
      </w:r>
    </w:p>
    <w:p>
      <w:pPr>
        <w:pStyle w:val="TextBody"/>
        <w:bidi w:val="0"/>
        <w:spacing w:before="0" w:after="0"/>
        <w:ind w:left="0" w:right="0" w:hanging="0"/>
        <w:jc w:val="center"/>
        <w:rPr>
          <w:rFonts w:ascii="Times New Roman;Times;serif" w:hAnsi="Times New Roman;Times;serif"/>
          <w:b/>
          <w:sz w:val="26"/>
        </w:rPr>
      </w:pPr>
      <w:r>
        <w:rPr>
          <w:rFonts w:ascii="Times New Roman;Times;serif" w:hAnsi="Times New Roman;Times;serif"/>
          <w:b/>
          <w:sz w:val="26"/>
        </w:rPr>
        <w:t>FORM 10-K</w:t>
      </w:r>
    </w:p>
    <w:p>
      <w:pPr>
        <w:pStyle w:val="TextBody"/>
        <w:bidi w:val="0"/>
        <w:spacing w:before="0" w:after="0"/>
        <w:ind w:left="0" w:right="0" w:hanging="0"/>
        <w:jc w:val="left"/>
        <w:rPr/>
      </w:pPr>
      <w:r>
        <w:rPr/>
        <w:t>​</w:t>
      </w:r>
    </w:p>
    <w:p>
      <w:pPr>
        <w:pStyle w:val="TextBody"/>
        <w:bidi w:val="0"/>
        <w:spacing w:before="0" w:after="0"/>
        <w:ind w:left="0" w:right="0" w:hanging="0"/>
        <w:jc w:val="left"/>
        <w:rPr/>
      </w:pPr>
      <w:r>
        <w:rPr/>
        <w:t xml:space="preserve">☒ </w:t>
      </w:r>
      <w:r>
        <w:rPr>
          <w:rFonts w:ascii="Times New Roman;Times;serif" w:hAnsi="Times New Roman;Times;serif"/>
          <w:b/>
          <w:sz w:val="14"/>
        </w:rPr>
        <w:t>ANNUAL REPORT PURSUANT TO SECTION 13 OR 15(d) OF THE SECURITIES EXCHANGE ACT OF 1934</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fiscal year ended December 31, 2025</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OR</w:t>
      </w:r>
    </w:p>
    <w:p>
      <w:pPr>
        <w:pStyle w:val="TextBody"/>
        <w:bidi w:val="0"/>
        <w:spacing w:before="0" w:after="0"/>
        <w:ind w:left="0" w:right="0" w:hanging="0"/>
        <w:jc w:val="left"/>
        <w:rPr/>
      </w:pPr>
      <w:r>
        <w:rPr/>
        <w:t xml:space="preserve">☐ </w:t>
      </w:r>
      <w:r>
        <w:rPr>
          <w:rFonts w:ascii="Times New Roman;Times;serif" w:hAnsi="Times New Roman;Times;serif"/>
          <w:b/>
          <w:sz w:val="14"/>
        </w:rPr>
        <w:t>TRANSITION REPORT PURSUANT TO SECTION 13 OR 15(d) OF THE SECURITIES EXCHANGE ACT OF 1934</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b/>
          <w:sz w:val="14"/>
        </w:rPr>
        <w:t xml:space="preserve">For the transition period from </w:t>
      </w:r>
      <w:r>
        <w:rPr>
          <w:rFonts w:ascii="Times New Roman;Times;serif" w:hAnsi="Times New Roman;Times;serif"/>
          <w:sz w:val="14"/>
        </w:rPr>
        <w:t xml:space="preserve">                     </w:t>
      </w:r>
      <w:r>
        <w:rPr>
          <w:rFonts w:ascii="Times New Roman;Times;serif" w:hAnsi="Times New Roman;Times;serif"/>
          <w:b/>
          <w:sz w:val="14"/>
        </w:rPr>
        <w:t xml:space="preserve">to </w:t>
      </w:r>
      <w:r>
        <w:rPr>
          <w:rFonts w:ascii="Times New Roman;Times;serif" w:hAnsi="Times New Roman;Times;serif"/>
          <w:sz w:val="14"/>
        </w:rPr>
        <w:t>                    </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Commission file number: 001-35073</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38"/>
        </w:rPr>
      </w:pPr>
      <w:r>
        <w:rPr>
          <w:rFonts w:ascii="Times New Roman;Times;serif" w:hAnsi="Times New Roman;Times;serif"/>
          <w:b/>
          <w:sz w:val="38"/>
        </w:rPr>
        <w:t>GEVO, INC.</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bhTqsor4xE6lq4vQiMUxUw_2_1"/>
      <w:bookmarkStart w:id="4" w:name="Tc_YKs1feHjlk2T7dTifAB4EA_2_0"/>
      <w:bookmarkStart w:id="5" w:name="_62adfb3e_d05c_4f53_bdce_3b25b975d099"/>
      <w:bookmarkStart w:id="6" w:name="Tc_bhTqsor4xE6lq4vQiMUxUw_2_1"/>
      <w:bookmarkStart w:id="7" w:name="Tc_YKs1feHjlk2T7dTifAB4EA_2_0"/>
      <w:bookmarkStart w:id="8" w:name="_62adfb3e_d05c_4f53_bdce_3b25b975d099"/>
      <w:bookmarkEnd w:id="6"/>
      <w:bookmarkEnd w:id="7"/>
      <w:bookmarkEnd w:id="8"/>
    </w:p>
    <w:tbl>
      <w:tblPr>
        <w:tblW w:w="3227" w:type="dxa"/>
        <w:jc w:val="left"/>
        <w:tblInd w:w="0" w:type="dxa"/>
        <w:tblLayout w:type="fixed"/>
        <w:tblCellMar>
          <w:top w:w="0" w:type="dxa"/>
          <w:left w:w="0" w:type="dxa"/>
          <w:bottom w:w="0" w:type="dxa"/>
          <w:right w:w="0" w:type="dxa"/>
        </w:tblCellMar>
      </w:tblPr>
      <w:tblGrid>
        <w:gridCol w:w="1981"/>
        <w:gridCol w:w="1246"/>
      </w:tblGrid>
      <w:tr>
        <w:trPr/>
        <w:tc>
          <w:tcPr>
            <w:tcW w:w="1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257935" cy="175260"/>
                      <wp:effectExtent l="0" t="0" r="0" b="0"/>
                      <wp:wrapNone/>
                      <wp:docPr id="1" name="Frame1"/>
                      <a:graphic xmlns:a="http://schemas.openxmlformats.org/drawingml/2006/main">
                        <a:graphicData uri="http://schemas.microsoft.com/office/word/2010/wordprocessingShape">
                          <wps:wsp>
                            <wps:cNvSpPr txBox="1"/>
                            <wps:spPr>
                              <a:xfrm>
                                <a:off x="0" y="0"/>
                                <a:ext cx="1257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791210" cy="175260"/>
                      <wp:effectExtent l="0" t="0" r="0" b="0"/>
                      <wp:wrapNone/>
                      <wp:docPr id="2" name="Frame2"/>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8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Delaware</w:t>
            </w:r>
          </w:p>
        </w:tc>
        <w:tc>
          <w:tcPr>
            <w:tcW w:w="124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87-0747704</w:t>
            </w:r>
          </w:p>
        </w:tc>
      </w:tr>
      <w:tr>
        <w:trPr/>
        <w:tc>
          <w:tcPr>
            <w:tcW w:w="198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(State or other jurisdiction of</w:t>
            </w:r>
          </w:p>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incorporation or organization)</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(I.R.S. Employer</w:t>
            </w:r>
          </w:p>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9" w:name="Tc_TQYYaOxrG0KZdbhqzAL9ew_1_1"/>
      <w:bookmarkStart w:id="10" w:name="Tc_ltRK27rQ8Uqjjh33zAyzTg_1_0"/>
      <w:bookmarkStart w:id="11" w:name="Tc_hK6hwGYezUWkdlndkinVDw_0_0"/>
      <w:bookmarkStart w:id="12" w:name="_7ede26a7_f8e7_4e47_9842_2f8fca2f4856"/>
      <w:bookmarkStart w:id="13" w:name="Tc_TQYYaOxrG0KZdbhqzAL9ew_1_1"/>
      <w:bookmarkStart w:id="14" w:name="Tc_ltRK27rQ8Uqjjh33zAyzTg_1_0"/>
      <w:bookmarkStart w:id="15" w:name="Tc_hK6hwGYezUWkdlndkinVDw_0_0"/>
      <w:bookmarkStart w:id="16" w:name="_7ede26a7_f8e7_4e47_9842_2f8fca2f4856"/>
      <w:bookmarkEnd w:id="13"/>
      <w:bookmarkEnd w:id="14"/>
      <w:bookmarkEnd w:id="15"/>
      <w:bookmarkEnd w:id="16"/>
    </w:p>
    <w:tbl>
      <w:tblPr>
        <w:tblW w:w="3212" w:type="dxa"/>
        <w:jc w:val="left"/>
        <w:tblInd w:w="0" w:type="dxa"/>
        <w:tblLayout w:type="fixed"/>
        <w:tblCellMar>
          <w:top w:w="0" w:type="dxa"/>
          <w:left w:w="0" w:type="dxa"/>
          <w:bottom w:w="0" w:type="dxa"/>
          <w:right w:w="0" w:type="dxa"/>
        </w:tblCellMar>
      </w:tblPr>
      <w:tblGrid>
        <w:gridCol w:w="2431"/>
        <w:gridCol w:w="781"/>
      </w:tblGrid>
      <w:tr>
        <w:trPr/>
        <w:tc>
          <w:tcPr>
            <w:tcW w:w="243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345 Inverness Drive South,</w:t>
            </w:r>
          </w:p>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Building C, Suite 310</w:t>
            </w:r>
          </w:p>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Englewood, CO</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80112</w:t>
            </w:r>
          </w:p>
        </w:tc>
      </w:tr>
      <w:tr>
        <w:trPr/>
        <w:tc>
          <w:tcPr>
            <w:tcW w:w="243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(Address of principal executive offices)</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(303) 858-8358</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(Registrant’s telephone number, including area code)</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7" w:name="Tc_KYv1gQKXm0m1UsvOFFyD_A_1_4"/>
      <w:bookmarkStart w:id="18" w:name="Tc_eE5dwE1h4UObpCDciK6Zmg_1_2"/>
      <w:bookmarkStart w:id="19" w:name="Tc_7sum0b53tECEHF9978yJhw_1_0"/>
      <w:bookmarkStart w:id="20" w:name="_7f684992_a6f5_4be5_bec8_404a1518e633"/>
      <w:bookmarkStart w:id="21" w:name="Tc_KYv1gQKXm0m1UsvOFFyD_A_1_4"/>
      <w:bookmarkStart w:id="22" w:name="Tc_eE5dwE1h4UObpCDciK6Zmg_1_2"/>
      <w:bookmarkStart w:id="23" w:name="Tc_7sum0b53tECEHF9978yJhw_1_0"/>
      <w:bookmarkStart w:id="24" w:name="_7f684992_a6f5_4be5_bec8_404a1518e633"/>
      <w:bookmarkEnd w:id="21"/>
      <w:bookmarkEnd w:id="22"/>
      <w:bookmarkEnd w:id="23"/>
      <w:bookmarkEnd w:id="24"/>
    </w:p>
    <w:tbl>
      <w:tblPr>
        <w:tblW w:w="7190" w:type="dxa"/>
        <w:jc w:val="left"/>
        <w:tblInd w:w="0" w:type="dxa"/>
        <w:tblLayout w:type="fixed"/>
        <w:tblCellMar>
          <w:top w:w="0" w:type="dxa"/>
          <w:left w:w="0" w:type="dxa"/>
          <w:bottom w:w="0" w:type="dxa"/>
          <w:right w:w="0" w:type="dxa"/>
        </w:tblCellMar>
      </w:tblPr>
      <w:tblGrid>
        <w:gridCol w:w="2581"/>
        <w:gridCol w:w="346"/>
        <w:gridCol w:w="1081"/>
        <w:gridCol w:w="346"/>
        <w:gridCol w:w="2836"/>
      </w:tblGrid>
      <w:tr>
        <w:trPr/>
        <w:tc>
          <w:tcPr>
            <w:tcW w:w="25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36" w:type="dxa"/>
            <w:tcBorders/>
            <w:vAlign w:val="center"/>
          </w:tcPr>
          <w:p>
            <w:pPr>
              <w:pStyle w:val="TableContents"/>
              <w:bidi w:val="0"/>
              <w:spacing w:before="0" w:after="0"/>
              <w:ind w:left="0" w:right="0" w:hanging="0"/>
              <w:jc w:val="left"/>
              <w:rPr/>
            </w:pPr>
            <w:r>
              <w:rPr/>
              <w:t>​</w:t>
            </w:r>
          </w:p>
        </w:tc>
      </w:tr>
      <w:tr>
        <w:trPr/>
        <w:tc>
          <w:tcPr>
            <w:tcW w:w="25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Title of Each Class</w:t>
            </w:r>
          </w:p>
        </w:tc>
        <w:tc>
          <w:tcPr>
            <w:tcW w:w="346" w:type="dxa"/>
            <w:tcBorders/>
            <w:vAlign w:val="center"/>
          </w:tcPr>
          <w:p>
            <w:pPr>
              <w:pStyle w:val="TableContents"/>
              <w:bidi w:val="0"/>
              <w:spacing w:before="0" w:after="0"/>
              <w:ind w:left="0" w:right="0" w:hanging="0"/>
              <w:jc w:val="left"/>
              <w:rPr/>
            </w:pPr>
            <w:r>
              <w:rPr/>
              <w:t>  ​ ​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Trading Symbol</w:t>
            </w:r>
          </w:p>
        </w:tc>
        <w:tc>
          <w:tcPr>
            <w:tcW w:w="346" w:type="dxa"/>
            <w:tcBorders/>
            <w:vAlign w:val="center"/>
          </w:tcPr>
          <w:p>
            <w:pPr>
              <w:pStyle w:val="TableContents"/>
              <w:bidi w:val="0"/>
              <w:spacing w:before="0" w:after="0"/>
              <w:ind w:left="0" w:right="0" w:hanging="0"/>
              <w:jc w:val="left"/>
              <w:rPr/>
            </w:pPr>
            <w:r>
              <w:rPr/>
              <w:t>  ​ ​ ​</w:t>
            </w:r>
          </w:p>
        </w:tc>
        <w:tc>
          <w:tcPr>
            <w:tcW w:w="28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Name of Each Exchange on Which Registered</w:t>
            </w:r>
          </w:p>
        </w:tc>
      </w:tr>
      <w:tr>
        <w:trPr/>
        <w:tc>
          <w:tcPr>
            <w:tcW w:w="25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 par value $0.01 per share</w:t>
            </w:r>
          </w:p>
        </w:tc>
        <w:tc>
          <w:tcPr>
            <w:tcW w:w="346" w:type="dxa"/>
            <w:tcBorders/>
            <w:vAlign w:val="center"/>
          </w:tcPr>
          <w:p>
            <w:pPr>
              <w:pStyle w:val="TableContents"/>
              <w:bidi w:val="0"/>
              <w:spacing w:before="0" w:after="200"/>
              <w:ind w:left="0" w:right="0" w:hanging="0"/>
              <w:jc w:val="left"/>
              <w:rPr/>
            </w:pPr>
            <w:r>
              <w:rPr/>
              <w:t>​</w:t>
            </w:r>
          </w:p>
        </w:tc>
        <w:tc>
          <w:tcPr>
            <w:tcW w:w="10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GEVO</w:t>
            </w:r>
          </w:p>
        </w:tc>
        <w:tc>
          <w:tcPr>
            <w:tcW w:w="346" w:type="dxa"/>
            <w:tcBorders/>
            <w:vAlign w:val="center"/>
          </w:tcPr>
          <w:p>
            <w:pPr>
              <w:pStyle w:val="TableContents"/>
              <w:bidi w:val="0"/>
              <w:spacing w:before="0" w:after="200"/>
              <w:ind w:left="0" w:right="0" w:hanging="0"/>
              <w:jc w:val="left"/>
              <w:rPr/>
            </w:pPr>
            <w:r>
              <w:rPr/>
              <w:t>​</w:t>
            </w:r>
          </w:p>
        </w:tc>
        <w:tc>
          <w:tcPr>
            <w:tcW w:w="283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The Nasdaq Stock Market LLC</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Securities registered pursuant to Section 12(g) of the Act: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None</w:t>
      </w:r>
    </w:p>
    <w:p>
      <w:pPr>
        <w:pStyle w:val="TextBody"/>
        <w:bidi w:val="0"/>
        <w:spacing w:before="0" w:after="200"/>
        <w:ind w:left="0" w:right="0" w:hanging="0"/>
        <w:jc w:val="center"/>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14"/>
        </w:rPr>
        <w:t xml:space="preserve">Indicate by check mark if the registrant is a well-known seasoned issuer, as defined in Rule 405 of the Securities Act. Yes </w:t>
      </w:r>
      <w:r>
        <w:rPr>
          <w:rFonts w:ascii="Times New Roman;Times;serif" w:hAnsi="Times New Roman;Times;serif"/>
          <w:sz w:val="20"/>
        </w:rPr>
        <w:t xml:space="preserve">☐ </w:t>
      </w:r>
      <w:r>
        <w:rPr>
          <w:rFonts w:ascii="Times New Roman;Times;serif" w:hAnsi="Times New Roman;Times;serif"/>
          <w:sz w:val="14"/>
        </w:rPr>
        <w:t>No</w:t>
      </w:r>
      <w:r>
        <w:rPr>
          <w:rFonts w:ascii="Times New Roman;Times;serif" w:hAnsi="Times New Roman;Times;serif"/>
          <w:sz w:val="20"/>
        </w:rPr>
        <w:t xml:space="preserve"> ☒</w:t>
      </w:r>
    </w:p>
    <w:p>
      <w:pPr>
        <w:pStyle w:val="TextBody"/>
        <w:bidi w:val="0"/>
        <w:spacing w:before="0" w:after="2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14"/>
        </w:rPr>
        <w:t xml:space="preserve">Indicate by check mark if the registrant is not required to file reports pursuant to Section 13 or Section 15(d) of the Act. Yes </w:t>
      </w:r>
      <w:r>
        <w:rPr>
          <w:rFonts w:ascii="Times New Roman;Times;serif" w:hAnsi="Times New Roman;Times;serif"/>
          <w:sz w:val="20"/>
        </w:rPr>
        <w:t xml:space="preserve">☐ </w:t>
      </w:r>
      <w:r>
        <w:rPr>
          <w:rFonts w:ascii="Times New Roman;Times;serif" w:hAnsi="Times New Roman;Times;serif"/>
          <w:sz w:val="14"/>
        </w:rPr>
        <w:t>No</w:t>
      </w:r>
      <w:r>
        <w:rPr>
          <w:rFonts w:ascii="Times New Roman;Times;serif" w:hAnsi="Times New Roman;Times;serif"/>
          <w:sz w:val="20"/>
        </w:rPr>
        <w:t xml:space="preserve"> ☒</w:t>
      </w:r>
    </w:p>
    <w:p>
      <w:pPr>
        <w:pStyle w:val="TextBody"/>
        <w:bidi w:val="0"/>
        <w:spacing w:before="0" w:after="2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4"/>
        </w:rPr>
        <w:t xml:space="preserve">No </w:t>
      </w:r>
      <w:r>
        <w:rPr>
          <w:rFonts w:ascii="Times New Roman;Times;serif" w:hAnsi="Times New Roman;Times;serif"/>
          <w:sz w:val="20"/>
        </w:rPr>
        <w:t>☐</w:t>
      </w:r>
    </w:p>
    <w:p>
      <w:pPr>
        <w:pStyle w:val="TextBody"/>
        <w:bidi w:val="0"/>
        <w:spacing w:before="0" w:after="2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14"/>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4"/>
        </w:rPr>
        <w:t xml:space="preserve">No </w:t>
      </w:r>
      <w:r>
        <w:rPr>
          <w:rFonts w:ascii="Times New Roman;Times;serif" w:hAnsi="Times New Roman;Times;serif"/>
          <w:sz w:val="20"/>
        </w:rPr>
        <w:t>☐</w:t>
      </w:r>
    </w:p>
    <w:p>
      <w:pPr>
        <w:pStyle w:val="TextBody"/>
        <w:bidi w:val="0"/>
        <w:spacing w:before="0" w:after="200"/>
        <w:ind w:left="0" w:right="0" w:firstLine="720"/>
        <w:jc w:val="left"/>
        <w:rPr/>
      </w:pPr>
      <w:r>
        <w:rPr/>
        <w:t>​</w:t>
      </w:r>
    </w:p>
    <w:p>
      <w:pPr>
        <w:pStyle w:val="TextBody"/>
        <w:bidi w:val="0"/>
        <w:spacing w:before="0" w:after="0"/>
        <w:ind w:left="0" w:right="0" w:firstLine="720"/>
        <w:jc w:val="left"/>
        <w:rPr>
          <w:rFonts w:ascii="Times New Roman;Times;serif" w:hAnsi="Times New Roman;Times;serif"/>
          <w:sz w:val="14"/>
        </w:rPr>
      </w:pPr>
      <w:r>
        <w:rPr>
          <w:rFonts w:ascii="Times New Roman;Times;serif" w:hAnsi="Times New Roman;Times;serif"/>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spacing w:before="0" w:after="200"/>
        <w:ind w:left="0" w:right="0" w:hanging="0"/>
        <w:jc w:val="left"/>
        <w:rPr/>
      </w:pPr>
      <w:r>
        <w:rPr/>
        <w:t>​</w:t>
      </w:r>
    </w:p>
    <w:p>
      <w:pPr>
        <w:pStyle w:val="Normal"/>
        <w:bidi w:val="0"/>
        <w:spacing w:before="0" w:after="0"/>
        <w:jc w:val="left"/>
        <w:rPr>
          <w:sz w:val="4"/>
          <w:szCs w:val="4"/>
        </w:rPr>
      </w:pPr>
      <w:r>
        <w:rPr>
          <w:sz w:val="4"/>
          <w:szCs w:val="4"/>
        </w:rPr>
      </w:r>
      <w:bookmarkStart w:id="25" w:name="Tc_zobeFJrIhkGITgHM3XRYnw_3_2"/>
      <w:bookmarkStart w:id="26" w:name="Tc_rRTJJn10gEW-dz_0Wesaug_2_2"/>
      <w:bookmarkStart w:id="27" w:name="Tc_9yM-gw2c9UqpIpQEW_Abfg_2_1"/>
      <w:bookmarkStart w:id="28" w:name="Tc_TT2OtFvEIUKKrFGmwBDBMw_1_3"/>
      <w:bookmarkStart w:id="29" w:name="Tc_dq4lFKUTfUKRiSQ2EGxsYg_1_2"/>
      <w:bookmarkStart w:id="30" w:name="Tc_4uF8NaUfy0WJeajwTR0DJQ_1_1"/>
      <w:bookmarkStart w:id="31" w:name="Tc_yveMGuFMakmqSuJsyNCGqg_1_0"/>
      <w:bookmarkStart w:id="32" w:name="_1644b76f_8e8f_427b_98de_15e6cfa76ac9"/>
      <w:bookmarkStart w:id="33" w:name="Tc_zobeFJrIhkGITgHM3XRYnw_3_2"/>
      <w:bookmarkStart w:id="34" w:name="Tc_rRTJJn10gEW-dz_0Wesaug_2_2"/>
      <w:bookmarkStart w:id="35" w:name="Tc_9yM-gw2c9UqpIpQEW_Abfg_2_1"/>
      <w:bookmarkStart w:id="36" w:name="Tc_TT2OtFvEIUKKrFGmwBDBMw_1_3"/>
      <w:bookmarkStart w:id="37" w:name="Tc_dq4lFKUTfUKRiSQ2EGxsYg_1_2"/>
      <w:bookmarkStart w:id="38" w:name="Tc_4uF8NaUfy0WJeajwTR0DJQ_1_1"/>
      <w:bookmarkStart w:id="39" w:name="Tc_yveMGuFMakmqSuJsyNCGqg_1_0"/>
      <w:bookmarkStart w:id="40" w:name="_1644b76f_8e8f_427b_98de_15e6cfa76ac9"/>
      <w:bookmarkEnd w:id="33"/>
      <w:bookmarkEnd w:id="34"/>
      <w:bookmarkEnd w:id="35"/>
      <w:bookmarkEnd w:id="36"/>
      <w:bookmarkEnd w:id="37"/>
      <w:bookmarkEnd w:id="38"/>
      <w:bookmarkEnd w:id="39"/>
      <w:bookmarkEnd w:id="40"/>
    </w:p>
    <w:tbl>
      <w:tblPr>
        <w:tblW w:w="3709" w:type="dxa"/>
        <w:jc w:val="left"/>
        <w:tblInd w:w="0" w:type="dxa"/>
        <w:tblLayout w:type="fixed"/>
        <w:tblCellMar>
          <w:top w:w="0" w:type="dxa"/>
          <w:left w:w="0" w:type="dxa"/>
          <w:bottom w:w="0" w:type="dxa"/>
          <w:right w:w="0" w:type="dxa"/>
        </w:tblCellMar>
      </w:tblPr>
      <w:tblGrid>
        <w:gridCol w:w="1366"/>
        <w:gridCol w:w="316"/>
        <w:gridCol w:w="1666"/>
        <w:gridCol w:w="361"/>
      </w:tblGrid>
      <w:tr>
        <w:trPr/>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867410" cy="175260"/>
                      <wp:effectExtent l="0" t="0" r="0" b="0"/>
                      <wp:wrapNone/>
                      <wp:docPr id="3" name="Frame3"/>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0660" cy="175260"/>
                      <wp:effectExtent l="0" t="0" r="0" b="0"/>
                      <wp:wrapNone/>
                      <wp:docPr id="4" name="Frame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057910" cy="175260"/>
                      <wp:effectExtent l="0" t="0" r="0" b="0"/>
                      <wp:wrapNone/>
                      <wp:docPr id="5" name="Frame5"/>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29235" cy="175260"/>
                      <wp:effectExtent l="0" t="0" r="0" b="0"/>
                      <wp:wrapNone/>
                      <wp:docPr id="6" name="Frame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Large accelerated filer</w:t>
            </w:r>
          </w:p>
        </w:tc>
        <w:tc>
          <w:tcPr>
            <w:tcW w:w="316"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3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Non-accelerated filer</w:t>
            </w:r>
          </w:p>
        </w:tc>
        <w:tc>
          <w:tcPr>
            <w:tcW w:w="316"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366" w:type="dxa"/>
            <w:tcBorders/>
            <w:vAlign w:val="center"/>
          </w:tcPr>
          <w:p>
            <w:pPr>
              <w:pStyle w:val="TableContents"/>
              <w:bidi w:val="0"/>
              <w:spacing w:before="0" w:after="200"/>
              <w:ind w:left="0" w:right="0" w:hanging="0"/>
              <w:jc w:val="left"/>
              <w:rPr/>
            </w:pPr>
            <w:r>
              <w:rPr/>
              <w:t>​</w:t>
            </w:r>
          </w:p>
        </w:tc>
        <w:tc>
          <w:tcPr>
            <w:tcW w:w="316" w:type="dxa"/>
            <w:tcBorders/>
            <w:vAlign w:val="center"/>
          </w:tcPr>
          <w:p>
            <w:pPr>
              <w:pStyle w:val="TableContents"/>
              <w:bidi w:val="0"/>
              <w:spacing w:before="0" w:after="20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14"/>
        </w:rPr>
      </w:pPr>
      <w:r>
        <w:rPr>
          <w:rFonts w:ascii="Times New Roman;Times;serif" w:hAnsi="Times New Roman;Times;serif"/>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1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bidi w:val="0"/>
        <w:spacing w:before="0" w:after="2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14"/>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w:t>
      </w:r>
    </w:p>
    <w:p>
      <w:pPr>
        <w:pStyle w:val="TextBody"/>
        <w:bidi w:val="0"/>
        <w:spacing w:before="0" w:after="200"/>
        <w:ind w:left="0" w:right="0" w:firstLine="720"/>
        <w:jc w:val="left"/>
        <w:rPr/>
      </w:pPr>
      <w:r>
        <w:rPr/>
        <w:t>​</w:t>
      </w:r>
    </w:p>
    <w:p>
      <w:pPr>
        <w:pStyle w:val="TextBody"/>
        <w:bidi w:val="0"/>
        <w:spacing w:before="0" w:after="0"/>
        <w:ind w:left="0" w:right="0" w:firstLine="720"/>
        <w:jc w:val="left"/>
        <w:rPr>
          <w:rFonts w:ascii="Times New Roman;Times;serif" w:hAnsi="Times New Roman;Times;serif"/>
          <w:sz w:val="14"/>
        </w:rPr>
      </w:pPr>
      <w:r>
        <w:rPr>
          <w:rFonts w:ascii="Times New Roman;Times;serif" w:hAnsi="Times New Roman;Times;serif"/>
          <w:sz w:val="14"/>
        </w:rPr>
        <w:t>Indicate by check mark whether any of those error corrections are restatements that required a recovery analysis of incentive-based compensation received by any of the registrant’s executive officers during the relevant recovery period pursuant to § 240.10D-1(b). ☐</w:t>
      </w:r>
    </w:p>
    <w:p>
      <w:pPr>
        <w:pStyle w:val="TextBody"/>
        <w:bidi w:val="0"/>
        <w:spacing w:before="0" w:after="2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14"/>
        </w:rPr>
        <w:t xml:space="preserve">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4"/>
        </w:rPr>
        <w:t xml:space="preserve">No </w:t>
      </w:r>
      <w:r>
        <w:rPr>
          <w:rFonts w:ascii="Times New Roman;Times;serif" w:hAnsi="Times New Roman;Times;serif"/>
          <w:sz w:val="20"/>
        </w:rPr>
        <w:t>☒</w:t>
      </w:r>
    </w:p>
    <w:p>
      <w:pPr>
        <w:pStyle w:val="TextBody"/>
        <w:bidi w:val="0"/>
        <w:spacing w:before="0" w:after="200"/>
        <w:ind w:left="0" w:right="0" w:firstLine="720"/>
        <w:jc w:val="left"/>
        <w:rPr/>
      </w:pPr>
      <w:r>
        <w:rPr/>
        <w:t>​</w:t>
      </w:r>
    </w:p>
    <w:p>
      <w:pPr>
        <w:pStyle w:val="TextBody"/>
        <w:bidi w:val="0"/>
        <w:spacing w:before="0" w:after="0"/>
        <w:ind w:left="0" w:right="0" w:firstLine="720"/>
        <w:jc w:val="left"/>
        <w:rPr>
          <w:rFonts w:ascii="Times New Roman;Times;serif" w:hAnsi="Times New Roman;Times;serif"/>
          <w:sz w:val="14"/>
        </w:rPr>
      </w:pPr>
      <w:r>
        <w:rPr>
          <w:rFonts w:ascii="Times New Roman;Times;serif" w:hAnsi="Times New Roman;Times;serif"/>
          <w:sz w:val="14"/>
        </w:rPr>
        <w:t>The aggregate market value of common equity held by non-affiliates of the registrant was approximately $306.5 million as of June 30, 2025, the last trading day of the registrant’s most recently completed second fiscal quarter, based on the closing price of the common stock as reported on the Nasdaq Capital Market on June 30, 2025. Shares of common stock held by each officer, director and holder of 10% or more of the outstanding common stock have been excluded in that such persons may be deemed to be affiliates. This determination of affiliate status is not necessarily a conclusive determination for other purposes.</w:t>
      </w:r>
    </w:p>
    <w:p>
      <w:pPr>
        <w:pStyle w:val="TextBody"/>
        <w:bidi w:val="0"/>
        <w:spacing w:before="0" w:after="200"/>
        <w:ind w:left="0" w:right="0" w:firstLine="720"/>
        <w:jc w:val="left"/>
        <w:rPr/>
      </w:pPr>
      <w:r>
        <w:rPr/>
        <w:t>​</w:t>
      </w:r>
    </w:p>
    <w:p>
      <w:pPr>
        <w:pStyle w:val="TextBody"/>
        <w:bidi w:val="0"/>
        <w:spacing w:before="0" w:after="0"/>
        <w:ind w:left="0" w:right="0" w:firstLine="720"/>
        <w:jc w:val="left"/>
        <w:rPr>
          <w:rFonts w:ascii="Times New Roman;Times;serif" w:hAnsi="Times New Roman;Times;serif"/>
          <w:sz w:val="14"/>
        </w:rPr>
      </w:pPr>
      <w:r>
        <w:rPr>
          <w:rFonts w:ascii="Times New Roman;Times;serif" w:hAnsi="Times New Roman;Times;serif"/>
          <w:sz w:val="14"/>
        </w:rPr>
        <w:t>As of March 3, 2026, the number of outstanding shares of the registrant’s common stock, par value $0.01 per share, was 242,820,602.</w:t>
      </w:r>
    </w:p>
    <w:p>
      <w:pPr>
        <w:pStyle w:val="TextBody"/>
        <w:bidi w:val="0"/>
        <w:spacing w:before="0" w:after="200"/>
        <w:ind w:left="0" w:right="0" w:firstLine="720"/>
        <w:jc w:val="left"/>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DOCUMENTS INCORPORATED BY REFERENCE</w:t>
      </w:r>
    </w:p>
    <w:p>
      <w:pPr>
        <w:pStyle w:val="TextBody"/>
        <w:bidi w:val="0"/>
        <w:spacing w:before="0" w:after="200"/>
        <w:ind w:left="0" w:right="0" w:hanging="0"/>
        <w:jc w:val="center"/>
        <w:rPr/>
      </w:pPr>
      <w:r>
        <w:rPr/>
        <w:t>​</w:t>
      </w:r>
    </w:p>
    <w:p>
      <w:pPr>
        <w:pStyle w:val="TextBody"/>
        <w:bidi w:val="0"/>
        <w:spacing w:before="0" w:after="0"/>
        <w:ind w:left="0" w:right="0" w:firstLine="720"/>
        <w:jc w:val="left"/>
        <w:rPr>
          <w:rFonts w:ascii="Times New Roman;Times;serif" w:hAnsi="Times New Roman;Times;serif"/>
          <w:sz w:val="14"/>
        </w:rPr>
      </w:pPr>
      <w:r>
        <w:rPr>
          <w:rFonts w:ascii="Times New Roman;Times;serif" w:hAnsi="Times New Roman;Times;serif"/>
          <w:sz w:val="14"/>
        </w:rPr>
        <w:t>Part III of this Annual Report on Form 10-K incorporates certain information by reference from the registrant’s proxy statement for the 2026 annual meeting of stockholders to be filed no later than 120 days after the end of the registrant’s fiscal year ended December 31, 2025.</w:t>
      </w:r>
    </w:p>
    <w:p>
      <w:pPr>
        <w:pStyle w:val="TextBody"/>
        <w:bidi w:val="0"/>
        <w:spacing w:before="0" w:after="200"/>
        <w:ind w:left="0" w:right="0" w:firstLine="720"/>
        <w:jc w:val="left"/>
        <w:rPr/>
      </w:pPr>
      <w:r>
        <w:rPr/>
        <w:t>​</w:t>
      </w:r>
    </w:p>
    <w:p>
      <w:pPr>
        <w:pStyle w:val="TextBody"/>
        <w:pBdr>
          <w:top w:val="single" w:sz="8" w:space="1" w:color="000000"/>
          <w:bottom w:val="single" w:sz="24" w:space="1" w:color="000000"/>
        </w:pBdr>
        <w:bidi w:val="0"/>
        <w:spacing w:before="0" w:after="200"/>
        <w:ind w:left="0" w:right="0" w:firstLine="720"/>
        <w:jc w:val="left"/>
        <w:rPr/>
      </w:pPr>
      <w:r>
        <w:rPr/>
        <w:t>​</w:t>
      </w:r>
    </w:p>
    <w:p>
      <w:pPr>
        <w:pStyle w:val="TextBody"/>
        <w:bidi w:val="0"/>
        <w:spacing w:before="0" w:after="20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41" w:name="_4341be02_6e0f_4dd0_8646_44e0a7f6d7f3"/>
      <w:bookmarkEnd w:id="41"/>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10-K—ANNUAL REPORT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FISCAL YEAR ENDED DECEMBER 31, 2025</w:t>
      </w:r>
    </w:p>
    <w:p>
      <w:pPr>
        <w:pStyle w:val="TextBody"/>
        <w:bidi w:val="0"/>
        <w:spacing w:before="0" w:after="0"/>
        <w:ind w:left="0" w:right="0" w:hanging="0"/>
        <w:jc w:val="center"/>
        <w:rPr>
          <w:rFonts w:ascii="Times New Roman;Times;serif" w:hAnsi="Times New Roman;Times;serif"/>
          <w:b/>
          <w:sz w:val="20"/>
        </w:rPr>
      </w:pPr>
      <w:bookmarkStart w:id="42" w:name="TOC"/>
      <w:bookmarkEnd w:id="42"/>
      <w:r>
        <w:rPr>
          <w:rFonts w:ascii="Times New Roman;Times;serif" w:hAnsi="Times New Roman;Times;serif"/>
          <w:b/>
          <w:sz w:val="20"/>
        </w:rPr>
        <w:t>TABLE OF CONTENTS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366"/>
        <w:gridCol w:w="7982"/>
        <w:gridCol w:w="346"/>
        <w:gridCol w:w="511"/>
      </w:tblGrid>
      <w:tr>
        <w:trPr/>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867410" cy="175260"/>
                      <wp:effectExtent l="0" t="0" r="0" b="0"/>
                      <wp:wrapNone/>
                      <wp:docPr id="7" name="Frame7"/>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5068570" cy="175260"/>
                      <wp:effectExtent l="0" t="0" r="0" b="0"/>
                      <wp:wrapNone/>
                      <wp:docPr id="8" name="Frame8"/>
                      <a:graphic xmlns:a="http://schemas.openxmlformats.org/drawingml/2006/main">
                        <a:graphicData uri="http://schemas.microsoft.com/office/word/2010/wordprocessingShape">
                          <wps:wsp>
                            <wps:cNvSpPr txBox="1"/>
                            <wps:spPr>
                              <a:xfrm>
                                <a:off x="0" y="0"/>
                                <a:ext cx="5068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324485" cy="175260"/>
                      <wp:effectExtent l="0" t="0" r="0" b="0"/>
                      <wp:wrapNone/>
                      <wp:docPr id="9" name="Frame9"/>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66" w:type="dxa"/>
            <w:tcBorders/>
            <w:vAlign w:val="center"/>
          </w:tcPr>
          <w:p>
            <w:pPr>
              <w:pStyle w:val="TableContents"/>
              <w:bidi w:val="0"/>
              <w:spacing w:before="0" w:after="0"/>
              <w:ind w:left="0" w:right="0" w:hanging="0"/>
              <w:jc w:val="left"/>
              <w:rPr/>
            </w:pPr>
            <w:r>
              <w:rPr/>
              <w:t>​</w:t>
            </w:r>
          </w:p>
        </w:tc>
        <w:tc>
          <w:tcPr>
            <w:tcW w:w="79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1366" w:type="dxa"/>
            <w:tcBorders/>
            <w:vAlign w:val="center"/>
          </w:tcPr>
          <w:p>
            <w:pPr>
              <w:pStyle w:val="TableContents"/>
              <w:bidi w:val="0"/>
              <w:spacing w:before="0" w:after="0"/>
              <w:ind w:left="0" w:right="0" w:hanging="0"/>
              <w:jc w:val="left"/>
              <w:rPr/>
            </w:pPr>
            <w:hyperlink w:anchor="PARTI_833782">
              <w:r>
                <w:rPr>
                  <w:rStyle w:val="InternetLink"/>
                  <w:rFonts w:ascii="Times New Roman;Times;serif" w:hAnsi="Times New Roman;Times;serif"/>
                  <w:b/>
                  <w:i w:val="false"/>
                  <w:caps w:val="false"/>
                  <w:smallCaps w:val="false"/>
                  <w:sz w:val="20"/>
                </w:rPr>
                <w:t>PART I</w:t>
              </w:r>
            </w:hyperlink>
          </w:p>
        </w:tc>
        <w:tc>
          <w:tcPr>
            <w:tcW w:w="79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1366" w:type="dxa"/>
            <w:tcBorders/>
            <w:vAlign w:val="center"/>
          </w:tcPr>
          <w:p>
            <w:pPr>
              <w:pStyle w:val="TableContents"/>
              <w:bidi w:val="0"/>
              <w:spacing w:before="0" w:after="0"/>
              <w:ind w:left="0" w:right="0" w:hanging="0"/>
              <w:jc w:val="left"/>
              <w:rPr/>
            </w:pPr>
            <w:hyperlink w:anchor="Item1Business">
              <w:r>
                <w:rPr>
                  <w:rStyle w:val="InternetLink"/>
                  <w:rFonts w:ascii="Times New Roman;Times;serif" w:hAnsi="Times New Roman;Times;serif"/>
                  <w:b w:val="false"/>
                  <w:i w:val="false"/>
                  <w:caps w:val="false"/>
                  <w:smallCaps w:val="false"/>
                  <w:sz w:val="20"/>
                </w:rPr>
                <w:t>Item 1.</w:t>
              </w:r>
            </w:hyperlink>
          </w:p>
        </w:tc>
        <w:tc>
          <w:tcPr>
            <w:tcW w:w="7982" w:type="dxa"/>
            <w:tcBorders/>
            <w:vAlign w:val="center"/>
          </w:tcPr>
          <w:p>
            <w:pPr>
              <w:pStyle w:val="TableContents"/>
              <w:bidi w:val="0"/>
              <w:spacing w:before="0" w:after="0"/>
              <w:ind w:left="0" w:right="0" w:hanging="0"/>
              <w:jc w:val="left"/>
              <w:rPr/>
            </w:pPr>
            <w:hyperlink w:anchor="_Items_1._">
              <w:r>
                <w:rPr>
                  <w:rStyle w:val="InternetLink"/>
                  <w:rFonts w:ascii="Times New Roman;Times;serif" w:hAnsi="Times New Roman;Times;serif"/>
                  <w:b w:val="false"/>
                  <w:i w:val="false"/>
                  <w:caps w:val="false"/>
                  <w:smallCaps w:val="false"/>
                  <w:sz w:val="20"/>
                </w:rPr>
                <w:t xml:space="preserve">Business </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366" w:type="dxa"/>
            <w:tcBorders/>
            <w:vAlign w:val="center"/>
          </w:tcPr>
          <w:p>
            <w:pPr>
              <w:pStyle w:val="TableContents"/>
              <w:bidi w:val="0"/>
              <w:spacing w:before="0" w:after="0"/>
              <w:ind w:left="0" w:right="0" w:hanging="0"/>
              <w:jc w:val="left"/>
              <w:rPr/>
            </w:pPr>
            <w:hyperlink w:anchor="Item1ARiskFactors_267735">
              <w:r>
                <w:rPr>
                  <w:rStyle w:val="InternetLink"/>
                  <w:rFonts w:ascii="Times New Roman;Times;serif" w:hAnsi="Times New Roman;Times;serif"/>
                  <w:b w:val="false"/>
                  <w:i w:val="false"/>
                  <w:caps w:val="false"/>
                  <w:smallCaps w:val="false"/>
                  <w:sz w:val="20"/>
                </w:rPr>
                <w:t>Item 1A.</w:t>
              </w:r>
            </w:hyperlink>
          </w:p>
        </w:tc>
        <w:tc>
          <w:tcPr>
            <w:tcW w:w="7982" w:type="dxa"/>
            <w:tcBorders/>
            <w:vAlign w:val="center"/>
          </w:tcPr>
          <w:p>
            <w:pPr>
              <w:pStyle w:val="TableContents"/>
              <w:bidi w:val="0"/>
              <w:spacing w:before="0" w:after="0"/>
              <w:ind w:left="0" w:right="0" w:hanging="0"/>
              <w:jc w:val="left"/>
              <w:rPr/>
            </w:pPr>
            <w:hyperlink w:anchor="Item1ARiskFactors_267735">
              <w:r>
                <w:rPr>
                  <w:rStyle w:val="InternetLink"/>
                  <w:rFonts w:ascii="Times New Roman;Times;serif" w:hAnsi="Times New Roman;Times;serif"/>
                  <w:b w:val="false"/>
                  <w:i w:val="false"/>
                  <w:caps w:val="false"/>
                  <w:smallCaps w:val="false"/>
                  <w:sz w:val="20"/>
                </w:rPr>
                <w:t>Risk Factors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1366" w:type="dxa"/>
            <w:tcBorders/>
            <w:vAlign w:val="center"/>
          </w:tcPr>
          <w:p>
            <w:pPr>
              <w:pStyle w:val="TableContents"/>
              <w:bidi w:val="0"/>
              <w:spacing w:before="0" w:after="0"/>
              <w:ind w:left="0" w:right="0" w:hanging="0"/>
              <w:jc w:val="left"/>
              <w:rPr/>
            </w:pPr>
            <w:hyperlink w:anchor="Item1BUnresolvedStaffComments_701030">
              <w:r>
                <w:rPr>
                  <w:rStyle w:val="InternetLink"/>
                  <w:rFonts w:ascii="Times New Roman;Times;serif" w:hAnsi="Times New Roman;Times;serif"/>
                  <w:b w:val="false"/>
                  <w:i w:val="false"/>
                  <w:caps w:val="false"/>
                  <w:smallCaps w:val="false"/>
                  <w:sz w:val="20"/>
                </w:rPr>
                <w:t>Item 1B.</w:t>
              </w:r>
            </w:hyperlink>
          </w:p>
        </w:tc>
        <w:tc>
          <w:tcPr>
            <w:tcW w:w="7982" w:type="dxa"/>
            <w:tcBorders/>
            <w:vAlign w:val="center"/>
          </w:tcPr>
          <w:p>
            <w:pPr>
              <w:pStyle w:val="TableContents"/>
              <w:bidi w:val="0"/>
              <w:spacing w:before="0" w:after="0"/>
              <w:ind w:left="0" w:right="0" w:hanging="0"/>
              <w:jc w:val="left"/>
              <w:rPr/>
            </w:pPr>
            <w:hyperlink w:anchor="Item1BUnresolvedStaffComments_701030">
              <w:r>
                <w:rPr>
                  <w:rStyle w:val="InternetLink"/>
                  <w:rFonts w:ascii="Times New Roman;Times;serif" w:hAnsi="Times New Roman;Times;serif"/>
                  <w:b w:val="false"/>
                  <w:i w:val="false"/>
                  <w:caps w:val="false"/>
                  <w:smallCaps w:val="false"/>
                  <w:sz w:val="20"/>
                </w:rPr>
                <w:t>Unresolved Staff Comments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1366" w:type="dxa"/>
            <w:tcBorders/>
            <w:vAlign w:val="center"/>
          </w:tcPr>
          <w:p>
            <w:pPr>
              <w:pStyle w:val="TableContents"/>
              <w:bidi w:val="0"/>
              <w:spacing w:before="0" w:after="0"/>
              <w:ind w:left="0" w:right="0" w:hanging="0"/>
              <w:jc w:val="left"/>
              <w:rPr/>
            </w:pPr>
            <w:hyperlink w:anchor="Item1CCybersecurity_129857">
              <w:r>
                <w:rPr>
                  <w:rStyle w:val="InternetLink"/>
                  <w:rFonts w:ascii="Times New Roman;Times;serif" w:hAnsi="Times New Roman;Times;serif"/>
                  <w:b w:val="false"/>
                  <w:i w:val="false"/>
                  <w:caps w:val="false"/>
                  <w:smallCaps w:val="false"/>
                  <w:sz w:val="20"/>
                </w:rPr>
                <w:t>Item 1C.</w:t>
              </w:r>
            </w:hyperlink>
          </w:p>
        </w:tc>
        <w:tc>
          <w:tcPr>
            <w:tcW w:w="7982" w:type="dxa"/>
            <w:tcBorders/>
            <w:vAlign w:val="center"/>
          </w:tcPr>
          <w:p>
            <w:pPr>
              <w:pStyle w:val="TableContents"/>
              <w:bidi w:val="0"/>
              <w:spacing w:before="0" w:after="0"/>
              <w:ind w:left="0" w:right="0" w:hanging="0"/>
              <w:jc w:val="left"/>
              <w:rPr/>
            </w:pPr>
            <w:hyperlink w:anchor="Item1CCybersecurity_129857">
              <w:r>
                <w:rPr>
                  <w:rStyle w:val="InternetLink"/>
                  <w:rFonts w:ascii="Times New Roman;Times;serif" w:hAnsi="Times New Roman;Times;serif"/>
                  <w:b w:val="false"/>
                  <w:i w:val="false"/>
                  <w:caps w:val="false"/>
                  <w:smallCaps w:val="false"/>
                  <w:sz w:val="20"/>
                </w:rPr>
                <w:t>Cybersecurity</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1366" w:type="dxa"/>
            <w:tcBorders/>
            <w:vAlign w:val="center"/>
          </w:tcPr>
          <w:p>
            <w:pPr>
              <w:pStyle w:val="TableContents"/>
              <w:bidi w:val="0"/>
              <w:spacing w:before="0" w:after="0"/>
              <w:ind w:left="0" w:right="0" w:hanging="0"/>
              <w:jc w:val="left"/>
              <w:rPr/>
            </w:pPr>
            <w:hyperlink w:anchor="Item2Properties">
              <w:r>
                <w:rPr>
                  <w:rStyle w:val="InternetLink"/>
                  <w:rFonts w:ascii="Times New Roman;Times;serif" w:hAnsi="Times New Roman;Times;serif"/>
                  <w:b w:val="false"/>
                  <w:i w:val="false"/>
                  <w:caps w:val="false"/>
                  <w:smallCaps w:val="false"/>
                  <w:sz w:val="20"/>
                </w:rPr>
                <w:t>Item 2.</w:t>
              </w:r>
            </w:hyperlink>
            <w:r>
              <w:rPr>
                <w:rFonts w:ascii="Times New Roman;Times;serif" w:hAnsi="Times New Roman;Times;serif"/>
                <w:sz w:val="20"/>
              </w:rPr>
              <w:t xml:space="preserve"> </w:t>
            </w:r>
          </w:p>
        </w:tc>
        <w:tc>
          <w:tcPr>
            <w:tcW w:w="7982" w:type="dxa"/>
            <w:tcBorders/>
            <w:vAlign w:val="center"/>
          </w:tcPr>
          <w:p>
            <w:pPr>
              <w:pStyle w:val="TableContents"/>
              <w:bidi w:val="0"/>
              <w:spacing w:before="0" w:after="0"/>
              <w:ind w:left="0" w:right="0" w:hanging="0"/>
              <w:jc w:val="left"/>
              <w:rPr/>
            </w:pPr>
            <w:hyperlink w:anchor="Item2Properties">
              <w:r>
                <w:rPr>
                  <w:rStyle w:val="InternetLink"/>
                  <w:rFonts w:ascii="Times New Roman;Times;serif" w:hAnsi="Times New Roman;Times;serif"/>
                  <w:b w:val="false"/>
                  <w:i w:val="false"/>
                  <w:caps w:val="false"/>
                  <w:smallCaps w:val="false"/>
                  <w:sz w:val="20"/>
                </w:rPr>
                <w:t>Properties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1366" w:type="dxa"/>
            <w:tcBorders/>
            <w:vAlign w:val="center"/>
          </w:tcPr>
          <w:p>
            <w:pPr>
              <w:pStyle w:val="TableContents"/>
              <w:bidi w:val="0"/>
              <w:spacing w:before="0" w:after="0"/>
              <w:ind w:left="0" w:right="0" w:hanging="0"/>
              <w:jc w:val="left"/>
              <w:rPr/>
            </w:pPr>
            <w:hyperlink w:anchor="Item3LegalProceedings_288627">
              <w:r>
                <w:rPr>
                  <w:rStyle w:val="InternetLink"/>
                  <w:rFonts w:ascii="Times New Roman;Times;serif" w:hAnsi="Times New Roman;Times;serif"/>
                  <w:b w:val="false"/>
                  <w:i w:val="false"/>
                  <w:caps w:val="false"/>
                  <w:smallCaps w:val="false"/>
                  <w:sz w:val="20"/>
                </w:rPr>
                <w:t>Item 3.</w:t>
              </w:r>
            </w:hyperlink>
          </w:p>
        </w:tc>
        <w:tc>
          <w:tcPr>
            <w:tcW w:w="7982" w:type="dxa"/>
            <w:tcBorders/>
            <w:vAlign w:val="center"/>
          </w:tcPr>
          <w:p>
            <w:pPr>
              <w:pStyle w:val="TableContents"/>
              <w:bidi w:val="0"/>
              <w:spacing w:before="0" w:after="0"/>
              <w:ind w:left="0" w:right="0" w:hanging="0"/>
              <w:jc w:val="left"/>
              <w:rPr/>
            </w:pPr>
            <w:hyperlink w:anchor="Item3LegalProceedings_288627">
              <w:r>
                <w:rPr>
                  <w:rStyle w:val="InternetLink"/>
                  <w:rFonts w:ascii="Times New Roman;Times;serif" w:hAnsi="Times New Roman;Times;serif"/>
                  <w:b w:val="false"/>
                  <w:i w:val="false"/>
                  <w:caps w:val="false"/>
                  <w:smallCaps w:val="false"/>
                  <w:sz w:val="20"/>
                </w:rPr>
                <w:t>Legal Proceedings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1366" w:type="dxa"/>
            <w:tcBorders/>
            <w:vAlign w:val="center"/>
          </w:tcPr>
          <w:p>
            <w:pPr>
              <w:pStyle w:val="TableContents"/>
              <w:bidi w:val="0"/>
              <w:spacing w:before="0" w:after="0"/>
              <w:ind w:left="0" w:right="0" w:hanging="0"/>
              <w:jc w:val="left"/>
              <w:rPr/>
            </w:pPr>
            <w:hyperlink w:anchor="Item4MineSafetyDisclosures_717153">
              <w:r>
                <w:rPr>
                  <w:rStyle w:val="InternetLink"/>
                  <w:rFonts w:ascii="Times New Roman;Times;serif" w:hAnsi="Times New Roman;Times;serif"/>
                  <w:b w:val="false"/>
                  <w:i w:val="false"/>
                  <w:caps w:val="false"/>
                  <w:smallCaps w:val="false"/>
                  <w:sz w:val="20"/>
                </w:rPr>
                <w:t>Item 4.</w:t>
              </w:r>
            </w:hyperlink>
          </w:p>
        </w:tc>
        <w:tc>
          <w:tcPr>
            <w:tcW w:w="7982" w:type="dxa"/>
            <w:tcBorders/>
            <w:vAlign w:val="center"/>
          </w:tcPr>
          <w:p>
            <w:pPr>
              <w:pStyle w:val="TableContents"/>
              <w:bidi w:val="0"/>
              <w:spacing w:before="0" w:after="0"/>
              <w:ind w:left="0" w:right="0" w:hanging="0"/>
              <w:jc w:val="left"/>
              <w:rPr/>
            </w:pPr>
            <w:hyperlink w:anchor="Item4MineSafetyDisclosures_717153">
              <w:r>
                <w:rPr>
                  <w:rStyle w:val="InternetLink"/>
                  <w:rFonts w:ascii="Times New Roman;Times;serif" w:hAnsi="Times New Roman;Times;serif"/>
                  <w:b w:val="false"/>
                  <w:i w:val="false"/>
                  <w:caps w:val="false"/>
                  <w:smallCaps w:val="false"/>
                  <w:sz w:val="20"/>
                </w:rPr>
                <w:t>Mine Safety Disclosures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1366" w:type="dxa"/>
            <w:tcBorders/>
            <w:vAlign w:val="center"/>
          </w:tcPr>
          <w:p>
            <w:pPr>
              <w:pStyle w:val="TableContents"/>
              <w:bidi w:val="0"/>
              <w:spacing w:before="0" w:after="0"/>
              <w:ind w:left="0" w:right="0" w:hanging="0"/>
              <w:jc w:val="left"/>
              <w:rPr/>
            </w:pPr>
            <w:hyperlink w:anchor="PARTII_112070">
              <w:r>
                <w:rPr>
                  <w:rStyle w:val="InternetLink"/>
                  <w:rFonts w:ascii="Times New Roman;Times;serif" w:hAnsi="Times New Roman;Times;serif"/>
                  <w:b/>
                  <w:i w:val="false"/>
                  <w:caps w:val="false"/>
                  <w:smallCaps w:val="false"/>
                  <w:sz w:val="20"/>
                </w:rPr>
                <w:t>PART II</w:t>
              </w:r>
            </w:hyperlink>
          </w:p>
        </w:tc>
        <w:tc>
          <w:tcPr>
            <w:tcW w:w="79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1366" w:type="dxa"/>
            <w:tcBorders/>
            <w:vAlign w:val="center"/>
          </w:tcPr>
          <w:p>
            <w:pPr>
              <w:pStyle w:val="TableContents"/>
              <w:bidi w:val="0"/>
              <w:spacing w:before="0" w:after="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20"/>
                </w:rPr>
                <w:t>Item 5.</w:t>
              </w:r>
            </w:hyperlink>
          </w:p>
        </w:tc>
        <w:tc>
          <w:tcPr>
            <w:tcW w:w="7982" w:type="dxa"/>
            <w:tcBorders/>
            <w:vAlign w:val="center"/>
          </w:tcPr>
          <w:p>
            <w:pPr>
              <w:pStyle w:val="TableContents"/>
              <w:bidi w:val="0"/>
              <w:spacing w:before="0" w:after="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20"/>
                </w:rPr>
                <w:t>Market for Registrant’s Common Equity, Related Stockholder Matters and Issuer Purchases of Equity Securities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1366" w:type="dxa"/>
            <w:tcBorders/>
            <w:vAlign w:val="center"/>
          </w:tcPr>
          <w:p>
            <w:pPr>
              <w:pStyle w:val="TableContents"/>
              <w:bidi w:val="0"/>
              <w:spacing w:before="0" w:after="0"/>
              <w:ind w:left="0" w:right="0" w:hanging="0"/>
              <w:jc w:val="left"/>
              <w:rPr/>
            </w:pPr>
            <w:hyperlink w:anchor="Item6Reserved_691229">
              <w:r>
                <w:rPr>
                  <w:rStyle w:val="InternetLink"/>
                  <w:rFonts w:ascii="Times New Roman;Times;serif" w:hAnsi="Times New Roman;Times;serif"/>
                  <w:b w:val="false"/>
                  <w:i w:val="false"/>
                  <w:caps w:val="false"/>
                  <w:smallCaps w:val="false"/>
                  <w:sz w:val="20"/>
                </w:rPr>
                <w:t>Item 6.</w:t>
              </w:r>
            </w:hyperlink>
          </w:p>
        </w:tc>
        <w:tc>
          <w:tcPr>
            <w:tcW w:w="7982" w:type="dxa"/>
            <w:tcBorders/>
            <w:vAlign w:val="center"/>
          </w:tcPr>
          <w:p>
            <w:pPr>
              <w:pStyle w:val="TableContents"/>
              <w:bidi w:val="0"/>
              <w:spacing w:before="0" w:after="0"/>
              <w:ind w:left="0" w:right="0" w:hanging="0"/>
              <w:jc w:val="left"/>
              <w:rPr/>
            </w:pPr>
            <w:hyperlink w:anchor="Item6Reserved_691229">
              <w:r>
                <w:rPr>
                  <w:rStyle w:val="InternetLink"/>
                  <w:rFonts w:ascii="Times New Roman;Times;serif" w:hAnsi="Times New Roman;Times;serif"/>
                  <w:b w:val="false"/>
                  <w:i w:val="false"/>
                  <w:caps w:val="false"/>
                  <w:smallCaps w:val="false"/>
                  <w:sz w:val="20"/>
                </w:rPr>
                <w:t>[Reserved]</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1366" w:type="dxa"/>
            <w:tcBorders/>
            <w:vAlign w:val="center"/>
          </w:tcPr>
          <w:p>
            <w:pPr>
              <w:pStyle w:val="TableContents"/>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Item 7.</w:t>
              </w:r>
            </w:hyperlink>
          </w:p>
        </w:tc>
        <w:tc>
          <w:tcPr>
            <w:tcW w:w="7982" w:type="dxa"/>
            <w:tcBorders/>
            <w:vAlign w:val="center"/>
          </w:tcPr>
          <w:p>
            <w:pPr>
              <w:pStyle w:val="TableContents"/>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1366"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Item 7A.</w:t>
              </w:r>
            </w:hyperlink>
          </w:p>
        </w:tc>
        <w:tc>
          <w:tcPr>
            <w:tcW w:w="7982"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1366" w:type="dxa"/>
            <w:tcBorders/>
            <w:vAlign w:val="center"/>
          </w:tcPr>
          <w:p>
            <w:pPr>
              <w:pStyle w:val="TableContents"/>
              <w:bidi w:val="0"/>
              <w:spacing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Item 8.</w:t>
              </w:r>
            </w:hyperlink>
          </w:p>
        </w:tc>
        <w:tc>
          <w:tcPr>
            <w:tcW w:w="7982" w:type="dxa"/>
            <w:tcBorders/>
            <w:vAlign w:val="center"/>
          </w:tcPr>
          <w:p>
            <w:pPr>
              <w:pStyle w:val="TableContents"/>
              <w:bidi w:val="0"/>
              <w:spacing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Financial Statements and Supplementary Data</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1366"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Item 9.</w:t>
              </w:r>
            </w:hyperlink>
          </w:p>
        </w:tc>
        <w:tc>
          <w:tcPr>
            <w:tcW w:w="7982"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1366" w:type="dxa"/>
            <w:tcBorders/>
            <w:vAlign w:val="center"/>
          </w:tcPr>
          <w:p>
            <w:pPr>
              <w:pStyle w:val="TableContents"/>
              <w:bidi w:val="0"/>
              <w:spacing w:before="0" w:after="0"/>
              <w:ind w:left="0" w:right="0" w:hanging="0"/>
              <w:jc w:val="left"/>
              <w:rPr/>
            </w:pPr>
            <w:hyperlink w:anchor="Item9AControlsandProcedures_896406">
              <w:r>
                <w:rPr>
                  <w:rStyle w:val="InternetLink"/>
                  <w:rFonts w:ascii="Times New Roman;Times;serif" w:hAnsi="Times New Roman;Times;serif"/>
                  <w:b w:val="false"/>
                  <w:i w:val="false"/>
                  <w:caps w:val="false"/>
                  <w:smallCaps w:val="false"/>
                  <w:sz w:val="20"/>
                </w:rPr>
                <w:t>Item 9A.</w:t>
              </w:r>
            </w:hyperlink>
          </w:p>
        </w:tc>
        <w:tc>
          <w:tcPr>
            <w:tcW w:w="7982" w:type="dxa"/>
            <w:tcBorders/>
            <w:vAlign w:val="center"/>
          </w:tcPr>
          <w:p>
            <w:pPr>
              <w:pStyle w:val="TableContents"/>
              <w:bidi w:val="0"/>
              <w:spacing w:before="0" w:after="0"/>
              <w:ind w:left="0" w:right="0" w:hanging="0"/>
              <w:jc w:val="left"/>
              <w:rPr/>
            </w:pPr>
            <w:hyperlink w:anchor="Item9AControlsandProcedures_896406">
              <w:r>
                <w:rPr>
                  <w:rStyle w:val="InternetLink"/>
                  <w:rFonts w:ascii="Times New Roman;Times;serif" w:hAnsi="Times New Roman;Times;serif"/>
                  <w:b w:val="false"/>
                  <w:i w:val="false"/>
                  <w:caps w:val="false"/>
                  <w:smallCaps w:val="false"/>
                  <w:sz w:val="20"/>
                </w:rPr>
                <w:t>Controls and Procedures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1366" w:type="dxa"/>
            <w:tcBorders/>
            <w:vAlign w:val="center"/>
          </w:tcPr>
          <w:p>
            <w:pPr>
              <w:pStyle w:val="TableContents"/>
              <w:bidi w:val="0"/>
              <w:spacing w:before="0" w:after="0"/>
              <w:ind w:left="0" w:right="0" w:hanging="0"/>
              <w:jc w:val="left"/>
              <w:rPr/>
            </w:pPr>
            <w:hyperlink w:anchor="Item9BOtherInformation_450740">
              <w:r>
                <w:rPr>
                  <w:rStyle w:val="InternetLink"/>
                  <w:rFonts w:ascii="Times New Roman;Times;serif" w:hAnsi="Times New Roman;Times;serif"/>
                  <w:b w:val="false"/>
                  <w:i w:val="false"/>
                  <w:caps w:val="false"/>
                  <w:smallCaps w:val="false"/>
                  <w:sz w:val="20"/>
                </w:rPr>
                <w:t>Item 9B.</w:t>
              </w:r>
            </w:hyperlink>
          </w:p>
        </w:tc>
        <w:tc>
          <w:tcPr>
            <w:tcW w:w="7982" w:type="dxa"/>
            <w:tcBorders/>
            <w:vAlign w:val="center"/>
          </w:tcPr>
          <w:p>
            <w:pPr>
              <w:pStyle w:val="TableContents"/>
              <w:bidi w:val="0"/>
              <w:spacing w:before="0" w:after="0"/>
              <w:ind w:left="0" w:right="0" w:hanging="0"/>
              <w:jc w:val="left"/>
              <w:rPr/>
            </w:pPr>
            <w:hyperlink w:anchor="Item9BOtherInformation_450740">
              <w:r>
                <w:rPr>
                  <w:rStyle w:val="InternetLink"/>
                  <w:rFonts w:ascii="Times New Roman;Times;serif" w:hAnsi="Times New Roman;Times;serif"/>
                  <w:b w:val="false"/>
                  <w:i w:val="false"/>
                  <w:caps w:val="false"/>
                  <w:smallCaps w:val="false"/>
                  <w:sz w:val="20"/>
                </w:rPr>
                <w:t>Other Information</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r>
      <w:tr>
        <w:trPr/>
        <w:tc>
          <w:tcPr>
            <w:tcW w:w="1366" w:type="dxa"/>
            <w:tcBorders/>
            <w:vAlign w:val="center"/>
          </w:tcPr>
          <w:p>
            <w:pPr>
              <w:pStyle w:val="TableContents"/>
              <w:bidi w:val="0"/>
              <w:spacing w:before="0" w:after="0"/>
              <w:ind w:left="0" w:right="0" w:hanging="0"/>
              <w:jc w:val="left"/>
              <w:rPr/>
            </w:pPr>
            <w:hyperlink w:anchor="Item9CDisclosureRegardingForeignJurisdic">
              <w:r>
                <w:rPr>
                  <w:rStyle w:val="InternetLink"/>
                  <w:rFonts w:ascii="Times New Roman;Times;serif" w:hAnsi="Times New Roman;Times;serif"/>
                  <w:b w:val="false"/>
                  <w:i w:val="false"/>
                  <w:caps w:val="false"/>
                  <w:smallCaps w:val="false"/>
                  <w:sz w:val="20"/>
                </w:rPr>
                <w:t>Item 9C.</w:t>
              </w:r>
            </w:hyperlink>
          </w:p>
        </w:tc>
        <w:tc>
          <w:tcPr>
            <w:tcW w:w="7982" w:type="dxa"/>
            <w:tcBorders/>
            <w:vAlign w:val="center"/>
          </w:tcPr>
          <w:p>
            <w:pPr>
              <w:pStyle w:val="TableContents"/>
              <w:bidi w:val="0"/>
              <w:spacing w:before="0" w:after="0"/>
              <w:ind w:left="0" w:right="0" w:hanging="0"/>
              <w:jc w:val="left"/>
              <w:rPr/>
            </w:pPr>
            <w:hyperlink w:anchor="Item9CDisclosureRegardingForeignJurisdic">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r>
      <w:tr>
        <w:trPr/>
        <w:tc>
          <w:tcPr>
            <w:tcW w:w="1366" w:type="dxa"/>
            <w:tcBorders/>
            <w:vAlign w:val="center"/>
          </w:tcPr>
          <w:p>
            <w:pPr>
              <w:pStyle w:val="TableContents"/>
              <w:bidi w:val="0"/>
              <w:spacing w:before="0" w:after="0"/>
              <w:ind w:left="0" w:right="0" w:hanging="0"/>
              <w:jc w:val="left"/>
              <w:rPr/>
            </w:pPr>
            <w:hyperlink w:anchor="PARTIII_490044">
              <w:r>
                <w:rPr>
                  <w:rStyle w:val="InternetLink"/>
                  <w:rFonts w:ascii="Times New Roman;Times;serif" w:hAnsi="Times New Roman;Times;serif"/>
                  <w:b/>
                  <w:i w:val="false"/>
                  <w:caps w:val="false"/>
                  <w:smallCaps w:val="false"/>
                  <w:sz w:val="20"/>
                </w:rPr>
                <w:t>PART III</w:t>
              </w:r>
            </w:hyperlink>
          </w:p>
        </w:tc>
        <w:tc>
          <w:tcPr>
            <w:tcW w:w="79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1366" w:type="dxa"/>
            <w:tcBorders/>
            <w:vAlign w:val="center"/>
          </w:tcPr>
          <w:p>
            <w:pPr>
              <w:pStyle w:val="TableContents"/>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Item 10.</w:t>
              </w:r>
            </w:hyperlink>
          </w:p>
        </w:tc>
        <w:tc>
          <w:tcPr>
            <w:tcW w:w="7982" w:type="dxa"/>
            <w:tcBorders/>
            <w:vAlign w:val="center"/>
          </w:tcPr>
          <w:p>
            <w:pPr>
              <w:pStyle w:val="TableContents"/>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r>
      <w:tr>
        <w:trPr/>
        <w:tc>
          <w:tcPr>
            <w:tcW w:w="1366" w:type="dxa"/>
            <w:tcBorders/>
            <w:vAlign w:val="center"/>
          </w:tcPr>
          <w:p>
            <w:pPr>
              <w:pStyle w:val="TableContents"/>
              <w:bidi w:val="0"/>
              <w:spacing w:before="0" w:after="0"/>
              <w:ind w:left="0" w:right="0" w:hanging="0"/>
              <w:jc w:val="left"/>
              <w:rPr/>
            </w:pPr>
            <w:hyperlink w:anchor="Item11ExecutiveCompensation_81322">
              <w:r>
                <w:rPr>
                  <w:rStyle w:val="InternetLink"/>
                  <w:rFonts w:ascii="Times New Roman;Times;serif" w:hAnsi="Times New Roman;Times;serif"/>
                  <w:b w:val="false"/>
                  <w:i w:val="false"/>
                  <w:caps w:val="false"/>
                  <w:smallCaps w:val="false"/>
                  <w:sz w:val="20"/>
                </w:rPr>
                <w:t>Item 11.</w:t>
              </w:r>
            </w:hyperlink>
          </w:p>
        </w:tc>
        <w:tc>
          <w:tcPr>
            <w:tcW w:w="7982" w:type="dxa"/>
            <w:tcBorders/>
            <w:vAlign w:val="center"/>
          </w:tcPr>
          <w:p>
            <w:pPr>
              <w:pStyle w:val="TableContents"/>
              <w:bidi w:val="0"/>
              <w:spacing w:before="0" w:after="0"/>
              <w:ind w:left="0" w:right="0" w:hanging="0"/>
              <w:jc w:val="left"/>
              <w:rPr/>
            </w:pPr>
            <w:hyperlink w:anchor="Item11ExecutiveCompensation_81322">
              <w:r>
                <w:rPr>
                  <w:rStyle w:val="InternetLink"/>
                  <w:rFonts w:ascii="Times New Roman;Times;serif" w:hAnsi="Times New Roman;Times;serif"/>
                  <w:b w:val="false"/>
                  <w:i w:val="false"/>
                  <w:caps w:val="false"/>
                  <w:smallCaps w:val="false"/>
                  <w:sz w:val="20"/>
                </w:rPr>
                <w:t>Executive Compensation</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r>
      <w:tr>
        <w:trPr/>
        <w:tc>
          <w:tcPr>
            <w:tcW w:w="1366" w:type="dxa"/>
            <w:tcBorders/>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Item 12.</w:t>
              </w:r>
            </w:hyperlink>
          </w:p>
        </w:tc>
        <w:tc>
          <w:tcPr>
            <w:tcW w:w="7982" w:type="dxa"/>
            <w:tcBorders/>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r>
      <w:tr>
        <w:trPr/>
        <w:tc>
          <w:tcPr>
            <w:tcW w:w="1366" w:type="dxa"/>
            <w:tcBorders/>
            <w:vAlign w:val="center"/>
          </w:tcPr>
          <w:p>
            <w:pPr>
              <w:pStyle w:val="TableContents"/>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Item 13.</w:t>
              </w:r>
            </w:hyperlink>
          </w:p>
        </w:tc>
        <w:tc>
          <w:tcPr>
            <w:tcW w:w="7982" w:type="dxa"/>
            <w:tcBorders/>
            <w:vAlign w:val="center"/>
          </w:tcPr>
          <w:p>
            <w:pPr>
              <w:pStyle w:val="TableContents"/>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r>
      <w:tr>
        <w:trPr/>
        <w:tc>
          <w:tcPr>
            <w:tcW w:w="1366" w:type="dxa"/>
            <w:tcBorders/>
            <w:vAlign w:val="center"/>
          </w:tcPr>
          <w:p>
            <w:pPr>
              <w:pStyle w:val="TableContents"/>
              <w:bidi w:val="0"/>
              <w:spacing w:before="0" w:after="0"/>
              <w:ind w:left="0" w:right="0" w:hanging="0"/>
              <w:jc w:val="left"/>
              <w:rPr/>
            </w:pPr>
            <w:hyperlink w:anchor="Item14PrincipalAccountantFeesandServices">
              <w:r>
                <w:rPr>
                  <w:rStyle w:val="InternetLink"/>
                  <w:rFonts w:ascii="Times New Roman;Times;serif" w:hAnsi="Times New Roman;Times;serif"/>
                  <w:b w:val="false"/>
                  <w:i w:val="false"/>
                  <w:caps w:val="false"/>
                  <w:smallCaps w:val="false"/>
                  <w:sz w:val="20"/>
                </w:rPr>
                <w:t>Item 14.</w:t>
              </w:r>
            </w:hyperlink>
          </w:p>
        </w:tc>
        <w:tc>
          <w:tcPr>
            <w:tcW w:w="7982" w:type="dxa"/>
            <w:tcBorders/>
            <w:vAlign w:val="center"/>
          </w:tcPr>
          <w:p>
            <w:pPr>
              <w:pStyle w:val="TableContents"/>
              <w:bidi w:val="0"/>
              <w:spacing w:before="0" w:after="0"/>
              <w:ind w:left="0" w:right="0" w:hanging="0"/>
              <w:jc w:val="left"/>
              <w:rPr/>
            </w:pPr>
            <w:hyperlink w:anchor="Item14PrincipalAccountantFeesandServices">
              <w:r>
                <w:rPr>
                  <w:rStyle w:val="InternetLink"/>
                  <w:rFonts w:ascii="Times New Roman;Times;serif" w:hAnsi="Times New Roman;Times;serif"/>
                  <w:b w:val="false"/>
                  <w:i w:val="false"/>
                  <w:caps w:val="false"/>
                  <w:smallCaps w:val="false"/>
                  <w:sz w:val="20"/>
                </w:rPr>
                <w:t>Principal Accountant Fees and Services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r>
      <w:tr>
        <w:trPr/>
        <w:tc>
          <w:tcPr>
            <w:tcW w:w="1366" w:type="dxa"/>
            <w:tcBorders/>
            <w:vAlign w:val="center"/>
          </w:tcPr>
          <w:p>
            <w:pPr>
              <w:pStyle w:val="TableContents"/>
              <w:bidi w:val="0"/>
              <w:spacing w:before="0" w:after="0"/>
              <w:ind w:left="0" w:right="0" w:hanging="0"/>
              <w:jc w:val="left"/>
              <w:rPr/>
            </w:pPr>
            <w:hyperlink w:anchor="PARTIV_491888">
              <w:r>
                <w:rPr>
                  <w:rStyle w:val="InternetLink"/>
                  <w:rFonts w:ascii="Times New Roman;Times;serif" w:hAnsi="Times New Roman;Times;serif"/>
                  <w:b/>
                  <w:i w:val="false"/>
                  <w:caps w:val="false"/>
                  <w:smallCaps w:val="false"/>
                  <w:sz w:val="20"/>
                </w:rPr>
                <w:t>PART IV</w:t>
              </w:r>
            </w:hyperlink>
          </w:p>
        </w:tc>
        <w:tc>
          <w:tcPr>
            <w:tcW w:w="79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1366" w:type="dxa"/>
            <w:tcBorders/>
            <w:vAlign w:val="center"/>
          </w:tcPr>
          <w:p>
            <w:pPr>
              <w:pStyle w:val="TableContents"/>
              <w:bidi w:val="0"/>
              <w:spacing w:before="0" w:after="0"/>
              <w:ind w:left="0" w:right="0" w:hanging="0"/>
              <w:jc w:val="left"/>
              <w:rPr/>
            </w:pPr>
            <w:hyperlink w:anchor="Item15ExhibitsFinancialStatementSchedule">
              <w:r>
                <w:rPr>
                  <w:rStyle w:val="InternetLink"/>
                  <w:rFonts w:ascii="Times New Roman;Times;serif" w:hAnsi="Times New Roman;Times;serif"/>
                  <w:b w:val="false"/>
                  <w:i w:val="false"/>
                  <w:caps w:val="false"/>
                  <w:smallCaps w:val="false"/>
                  <w:sz w:val="20"/>
                </w:rPr>
                <w:t>Item 15.</w:t>
              </w:r>
            </w:hyperlink>
          </w:p>
        </w:tc>
        <w:tc>
          <w:tcPr>
            <w:tcW w:w="7982" w:type="dxa"/>
            <w:tcBorders/>
            <w:vAlign w:val="center"/>
          </w:tcPr>
          <w:p>
            <w:pPr>
              <w:pStyle w:val="TableContents"/>
              <w:bidi w:val="0"/>
              <w:spacing w:before="0" w:after="0"/>
              <w:ind w:left="0" w:right="0" w:hanging="0"/>
              <w:jc w:val="left"/>
              <w:rPr/>
            </w:pPr>
            <w:hyperlink w:anchor="Item15ExhibitsFinancialStatementSchedule">
              <w:r>
                <w:rPr>
                  <w:rStyle w:val="InternetLink"/>
                  <w:rFonts w:ascii="Times New Roman;Times;serif" w:hAnsi="Times New Roman;Times;serif"/>
                  <w:b w:val="false"/>
                  <w:i w:val="false"/>
                  <w:caps w:val="false"/>
                  <w:smallCaps w:val="false"/>
                  <w:sz w:val="20"/>
                </w:rPr>
                <w:t>Exhibits, Financial Statement Schedules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r>
      <w:tr>
        <w:trPr/>
        <w:tc>
          <w:tcPr>
            <w:tcW w:w="1366" w:type="dxa"/>
            <w:tcBorders/>
            <w:vAlign w:val="center"/>
          </w:tcPr>
          <w:p>
            <w:pPr>
              <w:pStyle w:val="TableContents"/>
              <w:bidi w:val="0"/>
              <w:spacing w:before="0" w:after="0"/>
              <w:ind w:left="0" w:right="0" w:hanging="0"/>
              <w:jc w:val="left"/>
              <w:rPr/>
            </w:pPr>
            <w:hyperlink w:anchor="Item16Form10KSummary_323491">
              <w:r>
                <w:rPr>
                  <w:rStyle w:val="InternetLink"/>
                  <w:rFonts w:ascii="Times New Roman;Times;serif" w:hAnsi="Times New Roman;Times;serif"/>
                  <w:b w:val="false"/>
                  <w:i w:val="false"/>
                  <w:caps w:val="false"/>
                  <w:smallCaps w:val="false"/>
                  <w:sz w:val="20"/>
                </w:rPr>
                <w:t>Item 16.</w:t>
              </w:r>
            </w:hyperlink>
          </w:p>
        </w:tc>
        <w:tc>
          <w:tcPr>
            <w:tcW w:w="7982" w:type="dxa"/>
            <w:tcBorders/>
            <w:vAlign w:val="center"/>
          </w:tcPr>
          <w:p>
            <w:pPr>
              <w:pStyle w:val="TableContents"/>
              <w:bidi w:val="0"/>
              <w:spacing w:before="0" w:after="0"/>
              <w:ind w:left="0" w:right="0" w:hanging="0"/>
              <w:jc w:val="left"/>
              <w:rPr/>
            </w:pPr>
            <w:hyperlink w:anchor="Item16Form10KSummary_323491">
              <w:r>
                <w:rPr>
                  <w:rStyle w:val="InternetLink"/>
                  <w:rFonts w:ascii="Times New Roman;Times;serif" w:hAnsi="Times New Roman;Times;serif"/>
                  <w:b w:val="false"/>
                  <w:i w:val="false"/>
                  <w:caps w:val="false"/>
                  <w:smallCaps w:val="false"/>
                  <w:sz w:val="20"/>
                </w:rPr>
                <w:t>Form 10-K Summary</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1366" w:type="dxa"/>
            <w:tcBorders/>
            <w:vAlign w:val="center"/>
          </w:tcPr>
          <w:p>
            <w:pPr>
              <w:pStyle w:val="TableContents"/>
              <w:bidi w:val="0"/>
              <w:spacing w:before="0" w:after="0"/>
              <w:ind w:left="0" w:right="0" w:hanging="0"/>
              <w:jc w:val="left"/>
              <w:rPr/>
            </w:pPr>
            <w:r>
              <w:rPr/>
              <w:t>​</w:t>
            </w:r>
          </w:p>
        </w:tc>
        <w:tc>
          <w:tcPr>
            <w:tcW w:w="79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1366" w:type="dxa"/>
            <w:tcBorders/>
            <w:vAlign w:val="center"/>
          </w:tcPr>
          <w:p>
            <w:pPr>
              <w:pStyle w:val="TableContents"/>
              <w:bidi w:val="0"/>
              <w:spacing w:before="0" w:after="0"/>
              <w:ind w:left="0" w:right="0" w:hanging="0"/>
              <w:jc w:val="left"/>
              <w:rPr/>
            </w:pPr>
            <w:hyperlink w:anchor="SIGNATURES_915660">
              <w:r>
                <w:rPr>
                  <w:rStyle w:val="InternetLink"/>
                  <w:rFonts w:ascii="Times New Roman;Times;serif" w:hAnsi="Times New Roman;Times;serif"/>
                  <w:b/>
                  <w:i w:val="false"/>
                  <w:caps w:val="false"/>
                  <w:smallCaps w:val="false"/>
                  <w:sz w:val="20"/>
                </w:rPr>
                <w:t>SIGNATURES</w:t>
              </w:r>
            </w:hyperlink>
          </w:p>
        </w:tc>
        <w:tc>
          <w:tcPr>
            <w:tcW w:w="79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43" w:name="_57f4e9f7_775e_44b7_9722_98272d2f34d0"/>
      <w:bookmarkEnd w:id="43"/>
      <w:r>
        <w:rPr>
          <w:rFonts w:ascii="Times New Roman;Times;serif" w:hAnsi="Times New Roman;Times;serif"/>
          <w:b/>
          <w:sz w:val="20"/>
        </w:rPr>
        <w:t>Forward-Looking Statements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This Annual Report on Form 10-K (this “Report”) contains forward-looking statements within the meaning of Section 21 E of the Securities Exchange Act of 1934, as amended (the “Exchange Act”). When used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achievements to differ materially from those expressed or implied by these forward-looking statements. These statements reflect our current views with respect to future events and are based on assumptions and subject to risks and uncertainties. These forward-looking statements include, among other things, statements about: our financial condition, our revenues, results of operation and liquidity, our expectations regarding the financing, development, and construction of our projects, and the associated costs, our ability to produce our products, our expectations regarding the demand for our products and our ability to meet such demand, our ability to meet production, financial and operational guidance, our strategy to pursue low-carbon renewable fuels, our ability to replace our fossil-based energy sources with renewable energy sources at our Alcohol-to-Jet (“ATJ”) projects and elsewhere, our expectations regarding fuel consumption, our expectations regarding the location, start-up date and production results for our ATJ projects, our expectations regarding the anticipated benefits of our acquisition of the majority of the assets of Red Trail Energy, LLC (“Red Trail Energy”) and the impact thereof on our financial results and operations, our expectations regarding the benefits of ETO (as defined below) technology, our expectations regarding our ability to produce and the anticipated benefits of renewable liquid hydrocarbons, our expectations regarding our ability to produce and resell protein and other products for use in the food chain, our ability and plans to construct greenfield commercial hydrocarbon facilities to produce synthetic (or sustainable) aviation fuel (“SAF”) and other products, our ability to raise additional funds to finance our business and the sources of those funds, our ability to successfully operate our renewable natural gas (“RNG”) facilities in Iowa and our expectations regarding levels of RNG production, the availability of, and market prices for, government economic incentives to the renewable energy market, achievement of advances in our technology platform, the availability of suitable and cost-competitive feedstocks, our ability to gain market acceptance for our products, our expectations regarding the demand for and revenue to be generated from the sale of carbon credits, the expected cost-competitiveness and relative performance attributes of our products, our strategy to pursue alcohol-to-jet development and production, additional competition, and changes in economic conditions. Important factors could cause actual results to differ materially from those indicated or implied by forward-looking statements such as those contained in documents we have filed with the United States (“U.S.”) Securities and Exchange Commission (the “SEC”), including this Report in Item 7. “Management’s Discussion and Analysis of Financial Condition and Results of Operations,” Item 1A. “Risk Factors” and subsequent reports on Form 10-Q. All forward-looking statements in this Report are qualified entirely by the cautionary statements included in this Report and such other filings. These risks and uncertainties or other important factors could cause actual results to differ materially from results expressed or implied by forward-looking statements contained in this Report. These forward-looking statements speak only as of the date of this Report. We undertake no intention or obligation to update or revise any forward-looking statements, whether as a result of new information, future events or otherwise, and readers should not rely on the forward-looking statements as representing the Company’s views as of any date subsequent to the date of the filing of this Report.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Unless the context requires otherwise, in this Report the terms “Gevo,” “we,” “us,” “our” and “Company” refer to Gevo, Inc. and its wholly owned, direct and indirect subsidiaries.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44" w:name="_4a43c267_5be8_4a8b_8d29_abc2c19f0ef6"/>
      <w:bookmarkEnd w:id="44"/>
      <w:r>
        <w:rPr>
          <w:rFonts w:ascii="Times New Roman;Times;serif" w:hAnsi="Times New Roman;Times;serif"/>
          <w:b/>
          <w:sz w:val="20"/>
        </w:rPr>
        <w:t>Risk Factors Summary</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business is subject to a number of risks and uncertainties, many of which are beyond our control, including those described in Part I, Item 1A. Risk Factors of this annual report. These risks include, but are not limited to, the following:</w:t>
      </w:r>
    </w:p>
    <w:tbl>
      <w:tblPr>
        <w:tblW w:w="7007" w:type="dxa"/>
        <w:jc w:val="left"/>
        <w:tblInd w:w="0" w:type="dxa"/>
        <w:tblLayout w:type="fixed"/>
        <w:tblCellMar>
          <w:top w:w="0" w:type="dxa"/>
          <w:left w:w="0" w:type="dxa"/>
          <w:bottom w:w="0" w:type="dxa"/>
          <w:right w:w="0" w:type="dxa"/>
        </w:tblCellMar>
      </w:tblPr>
      <w:tblGrid>
        <w:gridCol w:w="271"/>
        <w:gridCol w:w="6736"/>
      </w:tblGrid>
      <w:tr>
        <w:trPr/>
        <w:tc>
          <w:tcPr>
            <w:tcW w:w="271" w:type="dxa"/>
            <w:tcBorders/>
            <w:vAlign w:val="center"/>
          </w:tcPr>
          <w:p>
            <w:pPr>
              <w:pStyle w:val="TableContents"/>
              <w:bidi w:val="0"/>
              <w:spacing w:before="0" w:after="283"/>
              <w:jc w:val="left"/>
              <w:rPr/>
            </w:pPr>
            <w:r>
              <w:rPr/>
              <w:t>●</w:t>
            </w:r>
          </w:p>
        </w:tc>
        <w:tc>
          <w:tcPr>
            <w:tcW w:w="67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history of net losses, and we may not achieve or maintain profitability.</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require substantial additional financing to achieve our goals, and a failure to obtain this capital when needed or on acceptable terms could force us to delay, limit, reduce or terminate our development and commercialization efforts.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proposed growth projects may not be completed or, if completed, may not achieve profitability or perform as expected. Our project development activities may consume a significant portion of our management’s focus, and if not successful, reduce our profitability.</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successfully perform under current or future offtake and sales agreements to provide our products, and we may need to renegotiate some of our offtake agreements.</w:t>
            </w:r>
          </w:p>
        </w:tc>
      </w:tr>
    </w:tbl>
    <w:tbl>
      <w:tblPr>
        <w:tblW w:w="7097" w:type="dxa"/>
        <w:jc w:val="left"/>
        <w:tblInd w:w="0" w:type="dxa"/>
        <w:tblLayout w:type="fixed"/>
        <w:tblCellMar>
          <w:top w:w="0" w:type="dxa"/>
          <w:left w:w="0" w:type="dxa"/>
          <w:bottom w:w="0" w:type="dxa"/>
          <w:right w:w="0" w:type="dxa"/>
        </w:tblCellMar>
      </w:tblPr>
      <w:tblGrid>
        <w:gridCol w:w="271"/>
        <w:gridCol w:w="6826"/>
      </w:tblGrid>
      <w:tr>
        <w:trPr/>
        <w:tc>
          <w:tcPr>
            <w:tcW w:w="271" w:type="dxa"/>
            <w:tcBorders/>
            <w:vAlign w:val="center"/>
          </w:tcPr>
          <w:p>
            <w:pPr>
              <w:pStyle w:val="TableContents"/>
              <w:bidi w:val="0"/>
              <w:spacing w:before="0" w:after="283"/>
              <w:jc w:val="left"/>
              <w:rPr/>
            </w:pPr>
            <w:r>
              <w:rPr/>
              <w:t>●</w:t>
            </w:r>
          </w:p>
        </w:tc>
        <w:tc>
          <w:tcPr>
            <w:tcW w:w="68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the price of corn and other feedstocks may affect our cost structure.</w:t>
            </w:r>
          </w:p>
        </w:tc>
      </w:tr>
    </w:tbl>
    <w:tbl>
      <w:tblPr>
        <w:tblW w:w="8837" w:type="dxa"/>
        <w:jc w:val="left"/>
        <w:tblInd w:w="0" w:type="dxa"/>
        <w:tblLayout w:type="fixed"/>
        <w:tblCellMar>
          <w:top w:w="0" w:type="dxa"/>
          <w:left w:w="0" w:type="dxa"/>
          <w:bottom w:w="0" w:type="dxa"/>
          <w:right w:w="0" w:type="dxa"/>
        </w:tblCellMar>
      </w:tblPr>
      <w:tblGrid>
        <w:gridCol w:w="271"/>
        <w:gridCol w:w="8566"/>
      </w:tblGrid>
      <w:tr>
        <w:trPr/>
        <w:tc>
          <w:tcPr>
            <w:tcW w:w="271" w:type="dxa"/>
            <w:tcBorders/>
            <w:vAlign w:val="center"/>
          </w:tcPr>
          <w:p>
            <w:pPr>
              <w:pStyle w:val="TableContents"/>
              <w:bidi w:val="0"/>
              <w:spacing w:before="0" w:after="283"/>
              <w:jc w:val="left"/>
              <w:rPr/>
            </w:pPr>
            <w:r>
              <w:rPr/>
              <w:t>●</w:t>
            </w:r>
          </w:p>
        </w:tc>
        <w:tc>
          <w:tcPr>
            <w:tcW w:w="85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petroleum prices and customer demand patterns may reduce demand for renewable fuels.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decline in the value of environmental attributes associated with our products could have a material adverse effect on our results of operations cash flow and financial condition.</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actual costs may be greater than expected in developing our growth projects, causing us to realize significantly lower profits or greater losses on our projects.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impairment of our long-lived assets or goodwill could reduce our earnings or negatively impact our financial condition and results of operations.</w:t>
            </w:r>
          </w:p>
        </w:tc>
      </w:tr>
    </w:tbl>
    <w:tbl>
      <w:tblPr>
        <w:tblW w:w="6977" w:type="dxa"/>
        <w:jc w:val="left"/>
        <w:tblInd w:w="0" w:type="dxa"/>
        <w:tblLayout w:type="fixed"/>
        <w:tblCellMar>
          <w:top w:w="0" w:type="dxa"/>
          <w:left w:w="0" w:type="dxa"/>
          <w:bottom w:w="0" w:type="dxa"/>
          <w:right w:w="0" w:type="dxa"/>
        </w:tblCellMar>
      </w:tblPr>
      <w:tblGrid>
        <w:gridCol w:w="271"/>
        <w:gridCol w:w="6706"/>
      </w:tblGrid>
      <w:tr>
        <w:trPr/>
        <w:tc>
          <w:tcPr>
            <w:tcW w:w="271" w:type="dxa"/>
            <w:tcBorders/>
            <w:vAlign w:val="center"/>
          </w:tcPr>
          <w:p>
            <w:pPr>
              <w:pStyle w:val="TableContents"/>
              <w:bidi w:val="0"/>
              <w:spacing w:before="0" w:after="283"/>
              <w:jc w:val="left"/>
              <w:rPr/>
            </w:pPr>
            <w:r>
              <w:rPr/>
              <w:t>●</w:t>
            </w:r>
          </w:p>
        </w:tc>
        <w:tc>
          <w:tcPr>
            <w:tcW w:w="67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liabilities and losses that may not be covered by insurance.</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experience may not be sufficient to operate commercial-scale facilities, and we may encounter substantial difficulties operating commercial plants or expanding our business.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Mergers, acquisitions and other strategic investments may not be successful in achieving intended benefits, cost savings and synergies and may disrupt current operations.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lose key personnel, including key management personnel, or are unable to attract and retain additional personnel, it could delay our product development programs and harm our research and development efforts, make it more difficult to pursue partnerships or develop our own products or otherwise have a material adverse effect on our business.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face substantial competition from companies with greater resources and financial strength, which could adversely affect our performance and growth.</w:t>
            </w:r>
          </w:p>
        </w:tc>
      </w:tr>
    </w:tbl>
    <w:tbl>
      <w:tblPr>
        <w:tblW w:w="7877" w:type="dxa"/>
        <w:jc w:val="left"/>
        <w:tblInd w:w="0" w:type="dxa"/>
        <w:tblLayout w:type="fixed"/>
        <w:tblCellMar>
          <w:top w:w="0" w:type="dxa"/>
          <w:left w:w="0" w:type="dxa"/>
          <w:bottom w:w="0" w:type="dxa"/>
          <w:right w:w="0" w:type="dxa"/>
        </w:tblCellMar>
      </w:tblPr>
      <w:tblGrid>
        <w:gridCol w:w="271"/>
        <w:gridCol w:w="7606"/>
      </w:tblGrid>
      <w:tr>
        <w:trPr/>
        <w:tc>
          <w:tcPr>
            <w:tcW w:w="271" w:type="dxa"/>
            <w:tcBorders/>
            <w:vAlign w:val="center"/>
          </w:tcPr>
          <w:p>
            <w:pPr>
              <w:pStyle w:val="TableContents"/>
              <w:bidi w:val="0"/>
              <w:spacing w:before="0" w:after="283"/>
              <w:jc w:val="left"/>
              <w:rPr/>
            </w:pPr>
            <w:r>
              <w:rPr/>
              <w:t>●</w:t>
            </w:r>
          </w:p>
        </w:tc>
        <w:tc>
          <w:tcPr>
            <w:tcW w:w="76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operations would suffer in the event of IT system failures or a cyber-attack.</w:t>
            </w:r>
          </w:p>
        </w:tc>
      </w:tr>
    </w:tbl>
    <w:tbl>
      <w:tblPr>
        <w:tblW w:w="7277" w:type="dxa"/>
        <w:jc w:val="left"/>
        <w:tblInd w:w="0" w:type="dxa"/>
        <w:tblLayout w:type="fixed"/>
        <w:tblCellMar>
          <w:top w:w="0" w:type="dxa"/>
          <w:left w:w="0" w:type="dxa"/>
          <w:bottom w:w="0" w:type="dxa"/>
          <w:right w:w="0" w:type="dxa"/>
        </w:tblCellMar>
      </w:tblPr>
      <w:tblGrid>
        <w:gridCol w:w="271"/>
        <w:gridCol w:w="7006"/>
      </w:tblGrid>
      <w:tr>
        <w:trPr/>
        <w:tc>
          <w:tcPr>
            <w:tcW w:w="271" w:type="dxa"/>
            <w:tcBorders/>
            <w:vAlign w:val="center"/>
          </w:tcPr>
          <w:p>
            <w:pPr>
              <w:pStyle w:val="TableContents"/>
              <w:bidi w:val="0"/>
              <w:spacing w:before="0" w:after="283"/>
              <w:jc w:val="left"/>
              <w:rPr/>
            </w:pPr>
            <w:r>
              <w:rPr/>
              <w:t>●</w:t>
            </w:r>
          </w:p>
        </w:tc>
        <w:tc>
          <w:tcPr>
            <w:tcW w:w="70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engage in hedging transactions, which could adversely impact our business.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our SAF has not previously been used as a commercial fuel in significant amounts, its use exposes us to product liability risks.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Competitiveness of our products for fuel use (including RNG) depends in part on government economic incentives for renewable energy projects or other related policies that could change.</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maintain an effective system of internal controls, we might not be able to report our financial results accurately or prevent fraud; in that case, our stockholders could lose confidence in our financial reporting, which would harm our business and could negatively impact the price of our stock.</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compete may be adversely affected if we do not adequately protect our proprietary technologies or if we lose some of our intellectual property rights through costly litigation or proceedings.</w:t>
            </w:r>
          </w:p>
        </w:tc>
      </w:tr>
    </w:tbl>
    <w:tbl>
      <w:tblPr>
        <w:tblW w:w="7232" w:type="dxa"/>
        <w:jc w:val="left"/>
        <w:tblInd w:w="0" w:type="dxa"/>
        <w:tblLayout w:type="fixed"/>
        <w:tblCellMar>
          <w:top w:w="0" w:type="dxa"/>
          <w:left w:w="0" w:type="dxa"/>
          <w:bottom w:w="0" w:type="dxa"/>
          <w:right w:w="0" w:type="dxa"/>
        </w:tblCellMar>
      </w:tblPr>
      <w:tblGrid>
        <w:gridCol w:w="271"/>
        <w:gridCol w:w="6961"/>
      </w:tblGrid>
      <w:tr>
        <w:trPr/>
        <w:tc>
          <w:tcPr>
            <w:tcW w:w="271" w:type="dxa"/>
            <w:tcBorders/>
            <w:vAlign w:val="center"/>
          </w:tcPr>
          <w:p>
            <w:pPr>
              <w:pStyle w:val="TableContents"/>
              <w:bidi w:val="0"/>
              <w:spacing w:before="0" w:after="283"/>
              <w:jc w:val="left"/>
              <w:rPr/>
            </w:pPr>
            <w:r>
              <w:rPr/>
              <w:t>●</w:t>
            </w:r>
          </w:p>
        </w:tc>
        <w:tc>
          <w:tcPr>
            <w:tcW w:w="69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enforce our intellectual property rights throughout the world.</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Confidentiality agreements with employees and others may not adequately prevent disclosures of trade secrets and other proprietary information.</w:t>
            </w:r>
          </w:p>
        </w:tc>
      </w:tr>
    </w:tbl>
    <w:tbl>
      <w:tblPr>
        <w:tblW w:w="8702" w:type="dxa"/>
        <w:jc w:val="left"/>
        <w:tblInd w:w="0" w:type="dxa"/>
        <w:tblLayout w:type="fixed"/>
        <w:tblCellMar>
          <w:top w:w="0" w:type="dxa"/>
          <w:left w:w="0" w:type="dxa"/>
          <w:bottom w:w="0" w:type="dxa"/>
          <w:right w:w="0" w:type="dxa"/>
        </w:tblCellMar>
      </w:tblPr>
      <w:tblGrid>
        <w:gridCol w:w="271"/>
        <w:gridCol w:w="8431"/>
      </w:tblGrid>
      <w:tr>
        <w:trPr/>
        <w:tc>
          <w:tcPr>
            <w:tcW w:w="271" w:type="dxa"/>
            <w:tcBorders/>
            <w:vAlign w:val="center"/>
          </w:tcPr>
          <w:p>
            <w:pPr>
              <w:pStyle w:val="TableContents"/>
              <w:bidi w:val="0"/>
              <w:spacing w:before="0" w:after="283"/>
              <w:jc w:val="left"/>
              <w:rPr/>
            </w:pPr>
            <w:r>
              <w:rPr/>
              <w:t>●</w:t>
            </w:r>
          </w:p>
        </w:tc>
        <w:tc>
          <w:tcPr>
            <w:tcW w:w="84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received funding from U.S. government agencies, which could negatively affect our IP rights.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renewable fuels industry is highly dependent upon certain federal and state legislation and regulation and any changes in legislation or regulation could have a material adverse effect on our results of operations, cash flows and financial condition.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Reductions or changes to existing regulations and policies may present technical, regulatory and economic barriers, which may significantly reduce demand for renewable fuels or our ability to supply our products.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attitudes toward renewable energy projects from the U.S. government, other lawmakers and regulators, activists and others could adversely affect our business, financial condition and results of operations.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claims relating to improper handling, storage or disposal of hazardous materials or noncompliance with applicable laws and regulations could be time consuming and costly and could adversely affect our business and results of operations.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comply with all applicable listing requirements or standards of The Nasdaq Capital Market and Nasdaq could delist our common stock.</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issuances of our common stock or instruments convertible or exercisable into our common stock may materially and adversely affect the price of our common stock and cause dilution to our existing stockholders.</w:t>
            </w:r>
          </w:p>
        </w:tc>
      </w:tr>
    </w:tbl>
    <w:tbl>
      <w:tblPr>
        <w:tblW w:w="8657" w:type="dxa"/>
        <w:jc w:val="left"/>
        <w:tblInd w:w="0" w:type="dxa"/>
        <w:tblLayout w:type="fixed"/>
        <w:tblCellMar>
          <w:top w:w="0" w:type="dxa"/>
          <w:left w:w="0" w:type="dxa"/>
          <w:bottom w:w="0" w:type="dxa"/>
          <w:right w:w="0" w:type="dxa"/>
        </w:tblCellMar>
      </w:tblPr>
      <w:tblGrid>
        <w:gridCol w:w="271"/>
        <w:gridCol w:w="8386"/>
      </w:tblGrid>
      <w:tr>
        <w:trPr/>
        <w:tc>
          <w:tcPr>
            <w:tcW w:w="271" w:type="dxa"/>
            <w:tcBorders/>
            <w:vAlign w:val="center"/>
          </w:tcPr>
          <w:p>
            <w:pPr>
              <w:pStyle w:val="TableContents"/>
              <w:bidi w:val="0"/>
              <w:spacing w:before="0" w:after="283"/>
              <w:jc w:val="left"/>
              <w:rPr/>
            </w:pPr>
            <w:r>
              <w:rPr/>
              <w:t>●</w:t>
            </w:r>
          </w:p>
        </w:tc>
        <w:tc>
          <w:tcPr>
            <w:tcW w:w="83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Raising capital at a subsidiary, or project, level would result in lower revenues attributable back to us.</w:t>
            </w:r>
          </w:p>
        </w:tc>
      </w:tr>
    </w:tbl>
    <w:tbl>
      <w:tblPr>
        <w:tblW w:w="8837" w:type="dxa"/>
        <w:jc w:val="left"/>
        <w:tblInd w:w="0" w:type="dxa"/>
        <w:tblLayout w:type="fixed"/>
        <w:tblCellMar>
          <w:top w:w="0" w:type="dxa"/>
          <w:left w:w="0" w:type="dxa"/>
          <w:bottom w:w="0" w:type="dxa"/>
          <w:right w:w="0" w:type="dxa"/>
        </w:tblCellMar>
      </w:tblPr>
      <w:tblGrid>
        <w:gridCol w:w="271"/>
        <w:gridCol w:w="8566"/>
      </w:tblGrid>
      <w:tr>
        <w:trPr/>
        <w:tc>
          <w:tcPr>
            <w:tcW w:w="271" w:type="dxa"/>
            <w:tcBorders/>
            <w:vAlign w:val="center"/>
          </w:tcPr>
          <w:p>
            <w:pPr>
              <w:pStyle w:val="TableContents"/>
              <w:bidi w:val="0"/>
              <w:spacing w:before="0" w:after="283"/>
              <w:jc w:val="left"/>
              <w:rPr/>
            </w:pPr>
            <w:r>
              <w:rPr/>
              <w:t>●</w:t>
            </w:r>
          </w:p>
        </w:tc>
        <w:tc>
          <w:tcPr>
            <w:tcW w:w="85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estimates and assumptions on which our financial projections are based may prove to be inaccurate.</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Raising additional capital may cause dilution to our existing stockholders, restrict our operations or require us to relinquish rights to our technologies.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anticipate paying cash dividends, and accordingly, stockholders must rely on stock appreciation for any return on their investment.</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or industry analysts do not publish research or reports about our business, or publish negative reports about our business, our stock price and trading volume could decline. The trading market for our common stock may be influenced by the research and reports that securities or industry analysts publish about us or our business.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anti-takeover provisions in our certificate of incorporation, our bylaws and under Delaware law that could delay or prevent an acquisition of the Company, even if the acquisition would be beneficial to our stockholders.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provides that, unless we consent in writing to the selection of an alternative forum,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5" w:name="PARTI_833782"/>
      <w:bookmarkStart w:id="46" w:name="_94f83f8d_c503_42dc_9e47_a4e00c9f3c8f"/>
      <w:bookmarkEnd w:id="45"/>
      <w:bookmarkEnd w:id="46"/>
      <w:r>
        <w:rPr>
          <w:rFonts w:ascii="Times New Roman;Times;serif" w:hAnsi="Times New Roman;Times;serif"/>
          <w:b/>
          <w:sz w:val="20"/>
        </w:rPr>
        <w:t>PART I</w:t>
      </w:r>
    </w:p>
    <w:p>
      <w:pPr>
        <w:pStyle w:val="TextBody"/>
        <w:bidi w:val="0"/>
        <w:spacing w:before="0" w:after="200"/>
        <w:ind w:left="0" w:right="0" w:hanging="0"/>
        <w:jc w:val="left"/>
        <w:rPr>
          <w:rFonts w:ascii="Times New Roman;Times;serif" w:hAnsi="Times New Roman;Times;serif"/>
          <w:b/>
          <w:sz w:val="20"/>
        </w:rPr>
      </w:pPr>
      <w:bookmarkStart w:id="47" w:name="Item1Business"/>
      <w:bookmarkStart w:id="48" w:name="_Items_1._"/>
      <w:bookmarkEnd w:id="47"/>
      <w:bookmarkEnd w:id="48"/>
      <w:r>
        <w:rPr>
          <w:rFonts w:ascii="Times New Roman;Times;serif" w:hAnsi="Times New Roman;Times;serif"/>
          <w:b/>
          <w:i w:val="false"/>
          <w:caps w:val="false"/>
          <w:smallCaps w:val="false"/>
          <w:sz w:val="20"/>
        </w:rPr>
        <w:t>Items 1.</w:t>
      </w:r>
      <w:r>
        <w:rPr>
          <w:rFonts w:ascii="Times New Roman;Times;serif" w:hAnsi="Times New Roman;Times;serif"/>
          <w:b/>
          <w:sz w:val="20"/>
        </w:rPr>
        <w:t>Business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Company Overview</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Gevo, Inc. (Nasdaq: GEVO), a Delaware corporation founded in 2005, is a growth-oriented company that focuses on hard to decarbonize market sectors such as jet fuel, certain specialty fuels, on-road fuels, chemicals and materials, and certain products for the food chain such as protein and feeds made as co-products from our processes. Each of the market areas that Gevo focuses on has the common need for carbon-based products and is not conducive to full electrification or hydrogen. We produce and sell competitively priced, renewable, drop-in products for these sectors, and generate carbon abatement value through our plant design and business systems.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addition to generating value from physical products such as fuels, chemicals, protein, feed and oil, our business model is designed to generate carbon abatement value through our production processes, plant design, and operating systems. This carbon abatement value may be monetized through mechanisms such as direct sales of certified carbon credits, Renewable Identification Numbers (“RINs”), state-level clean fuel credits, federal tax credits enacted under the Inflation Reduction Act (“IRA”), Canada’s Clean Fuel Regulations (“CFR”), state level clean fuel regulations, and, in certain cases, through the value attributed to reduced Scope 3 greenhouse gas (“GHG”) emissions by end customers, particularly related to fuel products. Gevo owns certain operating assets that generate cash flow and expects growth by developing markets, pursuing project development, investing in capital assets, and licensing certain technologies.</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primary market focus, given the large demand and growing customer interest, is carbon abated hydrocarbon fuels, including jet fuel. We believe that jet fuel produced from an Alcohol-to-Jet (“ATJ”) process is the most economically viable approach to meet growing jet fuel demand and to generate value from carbon abatement. We also have commercial opportunities for other renewable hydrocarbon products, such as renewable natural gas (“RNG”); hydrocarbons for gasoline and racing fuel blendstocks and diesel fuel; ingredients for the chemical industry, such as ethylene and butenes for plastics and materials; and other chemicals.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order to build out an ATJ platform, we need to have low cost, low carbon alcohol available as a feedstock. We also believe carbon sequestration is a critical component of producing a low carbon footprint alcohol. In 2025, we took the strategic step to bring these critical components of the business system under our control with the acquisition of substantially all of the assets and assumption of certain liabilities of Red Trail Energy in Richardton, North Dakota on January 31, 2025. We believe this facility (“Gevo North Dakota” or “GevoND”) de-risks a portion of the ATJ platform buildout because it already is operating, producing ethanol, protein and feed, and corn oil, sequestering carbon and generating profit for Gevo.</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Gevo is developing a business system than not only benefits Gevo but is also expected to be attractive to other companies seeking to produce sustainable aviation fuel (“SAF”). Gevo has the plant designs and technologies, as well as the carbon accounting, carbon tax credit marketing, carbon sales, and fuel sales capabilities that can benefit other companies looking to license Gevo’s ATJ platform.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Gevo has an intellectual property portfolio consisting of hundreds of patents, many of which center around our ATJ platforms, as well as proprietary know-how. In addition, we have partnered with other leading global technology companies to develop this system focused on three standard sizes, 30, 60 and 150 million gallons per year (“MMGPY”) of SAF, referred to as ATJ-30, ATJ-60 and ATJ-150, respectively. It is our intent to deploy ATJ-30 at our GevoND site. ATJ-30 would upgrade the low-carbon ethanol already produced onsite to SAF. </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Gevo North Dakota</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Gevo, through certain of its subsidiaries, acquired substantially all of the assets and assumed certain liabilities of Red Trail Energy on January 31, 2025, for a purchase price of $210 million, subject to customary adjustments, including a working capital adjustment. The transaction was funded through a combination of Gevo cash, and a $105 million senior secured term loan facility. Simultaneous with the closing of the transaction, Orion Infrastructure Capital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(“OIC”), a U.S.-based private investment firm made a $5 million investment in the form of a redeemable non-controlling interest (“NCI”) in GevoND. This NCI is subject to a Put/Call option feature, which grants Gevo the right to call (purchase) the units held by OIC, and OIC the right to put (sell) the units to Gevo under certain conditions. These options are exercisable for a period of three years following the repayment of all outstanding debt under the credit agreement the Company and certain of its subsidiaries entered into with an affiliate of OIC. As a result of the redeemable nature of this non-controlling interest, it has been classified as temporary equity on the Company’s Consolidated Balance Sheets. </w:t>
      </w:r>
    </w:p>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acquired assets include an ethanol production plant, a carbon capture and storage well, and leases that give us rights to use additional pore space for carbon capture. The operational personnel of Red Trail Energy joined Gevo upon the closing of the acquisition. The acquired ethanol production facility converts corn into ethanol and distillers grains, a high-protein animal feed containing essential amino acid nutrients, and corn oil. The included carbon capture and sequestration (“CCS”) assets support Gevo’s broader carbon abatement goals, particularly in relation to its ATJ platform. We believe the acquisition strengthens Gevo’s growth trajectory by adding ethanol production, distillers grains, corn oil, and carbon dioxide removal (“CDR”) credit sales to our revenue stream, while also enhancing our capabilities in CCS and supporting our broader strategic efforts in SAF production which use low-carbon alcohol as a feedstock.</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Gevo Fuels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ATJ platform currently consists of two designs: ATJ-30 and ATJ-60, which are described below:</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b/>
          <w:i/>
          <w:sz w:val="20"/>
        </w:rPr>
        <w:t>ATJ-30</w:t>
      </w:r>
      <w:r>
        <w:rPr>
          <w:rFonts w:ascii="Times New Roman;Times;serif" w:hAnsi="Times New Roman;Times;serif"/>
          <w:sz w:val="20"/>
        </w:rPr>
        <w:t>. We have duplicated and modified the ATJ-60 design into an ATJ-30 design which is being designed to produce approximately 30 MMGPY of total hydrocarbon volumes, the majority of which would be SAF. We expect that we will deploy the ATJ 30 platform at our GevoND site, which would allow us to upgrade the low-carbon ethanol already being produced onsite into SAF. We expect to continue engineering and development through 2026 before completing the front-end engineering design (“FEED”) phase of the project. At the end of FEED, we expect to have a capital estimate and schedule for the project. Because we began with the designs and know-how from the ATJ-60 project, we are able to shorten the time and costs to complete the development phase of the project. An ATJ-30 plant located at and integrated into our existing ethanol plant and carbon sequestration is our current primary focus for SAF commercialization.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b/>
          <w:i/>
          <w:sz w:val="20"/>
        </w:rPr>
        <w:t>ATJ-60.</w:t>
      </w:r>
      <w:r>
        <w:rPr>
          <w:rFonts w:ascii="Times New Roman;Times;serif" w:hAnsi="Times New Roman;Times;serif"/>
          <w:sz w:val="20"/>
        </w:rPr>
        <w:t xml:space="preserve"> ATJ-60 is designed to produce approximately 65 MMGPY of total hydrocarbon volumes, including 60 MMGPY of SAF. We anticipate deploying the ATJ-60 platform on a site we own in Lake Preston, South Dakota in the future. </w:t>
      </w:r>
      <w:r>
        <w:rPr>
          <w:rFonts w:ascii="Times New Roman;Times;serif" w:hAnsi="Times New Roman;Times;serif"/>
          <w:sz w:val="20"/>
          <w:shd w:fill="FFFFFF" w:val="clear"/>
        </w:rPr>
        <w:t>However, given the uncertainty associated with the construction of a third-party pipeline for carbon sequestration, this project is currently on hold.</w:t>
      </w:r>
    </w:p>
    <w:p>
      <w:pPr>
        <w:pStyle w:val="TextBody"/>
        <w:bidi w:val="0"/>
        <w:spacing w:before="0" w:after="20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Company has also conducted preliminary engineering and design work for an ATJ-150 configuration which remains in the development stage. ATJ-150 is being designed to produce approximately 150 MMGPY of SAF and related hydrocarbon products. Advancement of ATJ-150 will depend on market conditions, customer demand, availability of financing, regulatory support, and access to suitable infrastructure.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We currently expect to finance the construction of ATJ plants at the subsidiary level using a combination of Company equity (through in-kind and/or cash contributions), and capital from project level equity and debt financing. Cash distributions from future ATJ plant earnings would be proportionate to Gevo’s ownership in such plants under this expected financing structure. The use of project debt and third-party equity allows us to conserve capital for use on other growth projects.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order to achieve full construction financing for an ATJ plant, we intend to secure debt and possibly third-party equity. On October 16, 2024, we received a conditional commitment from the U.S. Department of Energy (“DOE”) Energy Dominance Financing Program (“EDF”) (formerly known as the Loan Programs Office) for a loan guarantee facility with a capacity of approximately $1.6 billion (including capitalized interest during construction). Funding under the DOE loan is subject to the satisfaction of customary conditions precedent, including completion of legal documentation, satisfaction of financing and equity contribution requirements, completion of environmental and regulatory reviews, and confirmation of project readiness. Any funding related to the DOE loan guarantee facility would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 subject to the completion of due diligence and environmental and regulatory reviews, execution of definitive financing documents, and satisfaction of customary conditions precedent, including required equity contributions. The receipt of a conditional commitment was significant as it helped to validate the ATJ plant design integrity, which is underpinned by the DOE EDF’s diligence process. On October 8, 2025, the Company received a letter from the DOE EDF granting an extension of the Conditional Commitment until April 16, 2026 (the “Extension”). The Extension allows the Company and DOE EDF to evaluate certain potential modifications to the project scope under the conditional commitment in order to address energy policies and priorities. The discussions between the DOE EDF and the Company continue and the Conditional Commitment will remain effective during the extension period to allow for modifications which satisfy DOE EDF. The potential scope modifications include the construction of a lower cost ATJ-30 facility at GevoND and the optimal use of captured carbon dioxide for enhanced oil recovery. We are in discussion with the DOE EDF around a further extension of the Conditional Commitment beyond April 16, 2026, which we believe is necessary to allow sufficient time for the negotiation and execution of the definitive financing agreement and to achieve financial close.</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evaluating and performing early site development work at several sites in the U.S. for other greenfield sites. These sites include several locations that are particularly advantageous in terms of potential economics, opportunities to decarbonize, and time to market. In addition, we are pursuing potential ATJ projects with several existing ethanol plant sites. Existing ethanol plants can be decarbonized with renewable energy or de-fossilized energy and/or carbon sequestration. Gevo has developed a preferred list of potential partners and sites with decarbonization in mind and is engaged in preliminary feasibility and development discussions with several of these potential partners. We plan to give priority to existing industrial plant sites that have attractive potential economics and high predictability of timeline for decarbonization.</w:t>
      </w:r>
    </w:p>
    <w:p>
      <w:pPr>
        <w:pStyle w:val="TextBody"/>
        <w:shd w:fill="FFFFFF" w:val="clear"/>
        <w:bidi w:val="0"/>
        <w:spacing w:before="0" w:after="240"/>
        <w:ind w:left="0" w:right="0" w:hanging="0"/>
        <w:jc w:val="left"/>
        <w:rPr>
          <w:rFonts w:ascii="Times New Roman;Times;serif" w:hAnsi="Times New Roman;Times;serif"/>
          <w:color w:val="212529"/>
          <w:sz w:val="20"/>
        </w:rPr>
      </w:pPr>
      <w:r>
        <w:rPr>
          <w:rFonts w:ascii="Times New Roman;Times;serif" w:hAnsi="Times New Roman;Times;serif"/>
          <w:color w:val="212529"/>
          <w:sz w:val="20"/>
        </w:rPr>
        <w:t>Renewable Natural Gas Business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Our RNG business was originally developed to provide the option of supplying energy for our ATJ plant designs. At this time, we do not expect that an RNG facility will be required to support the ATJ-30 plant planned to be located at Gevo North Dakota. We intend to continue operating the RNG business as a standalone operation and currently have no plans to invest significant additional capital in the business. </w:t>
      </w:r>
      <w:r>
        <w:rPr>
          <w:rFonts w:ascii="Times New Roman;Times;serif" w:hAnsi="Times New Roman;Times;serif"/>
          <w:sz w:val="20"/>
          <w:shd w:fill="FFFFFF" w:val="clear"/>
        </w:rPr>
        <w:t xml:space="preserve">The RNG </w:t>
      </w:r>
      <w:r>
        <w:rPr>
          <w:rFonts w:ascii="Times New Roman;Times;serif" w:hAnsi="Times New Roman;Times;serif"/>
          <w:color w:val="212529"/>
          <w:sz w:val="20"/>
          <w:shd w:fill="FFFFFF" w:val="clear"/>
        </w:rPr>
        <w:t xml:space="preserve">business </w:t>
      </w:r>
      <w:r>
        <w:rPr>
          <w:rFonts w:ascii="Times New Roman;Times;serif" w:hAnsi="Times New Roman;Times;serif"/>
          <w:sz w:val="20"/>
          <w:shd w:fill="FFFFFF" w:val="clear"/>
        </w:rPr>
        <w:t>in Northwest Iowa started up and began producing and</w:t>
      </w:r>
      <w:r>
        <w:rPr>
          <w:rFonts w:ascii="Times New Roman;Times;serif" w:hAnsi="Times New Roman;Times;serif"/>
          <w:sz w:val="20"/>
        </w:rPr>
        <w:t xml:space="preserve"> injecting initial volumes of biogas in 2022, during the project’s testing and ramp-up period. In 2023, the project achieved stable production levels and surpassed our annual production target of 310,000 million British thermal units (“MMBtu”). In addition, in 2024 we completed an expansion of the RNG </w:t>
      </w:r>
      <w:r>
        <w:rPr>
          <w:rFonts w:ascii="Times New Roman;Times;serif" w:hAnsi="Times New Roman;Times;serif"/>
          <w:color w:val="212529"/>
          <w:sz w:val="20"/>
          <w:shd w:fill="FFFFFF" w:val="clear"/>
        </w:rPr>
        <w:t xml:space="preserve">business </w:t>
      </w:r>
      <w:r>
        <w:rPr>
          <w:rFonts w:ascii="Times New Roman;Times;serif" w:hAnsi="Times New Roman;Times;serif"/>
          <w:sz w:val="20"/>
        </w:rPr>
        <w:t>to increase its annual expected output from 355,000 MMBtu to about 400,000 MMBtu.</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RNG </w:t>
      </w:r>
      <w:r>
        <w:rPr>
          <w:rFonts w:ascii="Times New Roman;Times;serif" w:hAnsi="Times New Roman;Times;serif"/>
          <w:color w:val="212529"/>
          <w:sz w:val="20"/>
          <w:shd w:fill="FFFFFF" w:val="clear"/>
        </w:rPr>
        <w:t xml:space="preserve">business </w:t>
      </w:r>
      <w:r>
        <w:rPr>
          <w:rFonts w:ascii="Times New Roman;Times;serif" w:hAnsi="Times New Roman;Times;serif"/>
          <w:sz w:val="20"/>
        </w:rPr>
        <w:t xml:space="preserve">generates revenue through the sale of RNG and environmental attributes associated with RNG produced at the facility. These environmental attributes include credits under California’s Low Carbon Fuel Standard (“LCFS”) program and the U.S. Environmental Protection Agency (“EPA”) Renewable Fuels Standard (“RFS”) program (“RFS Program”), which allow us to earn renewable identification numbers (“RINs”). </w:t>
      </w:r>
      <w:r>
        <w:rPr>
          <w:rFonts w:ascii="Times New Roman;Times;serif" w:hAnsi="Times New Roman;Times;serif"/>
          <w:sz w:val="20"/>
          <w:shd w:fill="FFFFFF" w:val="clear"/>
        </w:rPr>
        <w:t xml:space="preserve">Gevo was granted registration approval by the EPA in 2022, allowing us to participate in the RFS Program to receive RINs.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In March of 2025, the California Air Resources Board (“CARB”) approved our application for a provisional Tier 2 pathway, representing the significantly lower carbon intensity of our RNG than was reflected under our previous temporary pathway. </w:t>
      </w:r>
    </w:p>
    <w:p>
      <w:pPr>
        <w:pStyle w:val="TextBody"/>
        <w:bidi w:val="0"/>
        <w:spacing w:lineRule="auto" w:line="304"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Our provisional pathway, which is effective for reporting beginning with the fourth quarter of 2024, has a weighted average carbon intensity (“CI”) score of approximately -339 gCO2e/MJ, which represents approximately 160,000 LCFS credits in the California LCFS Reporting Tool (“LRT”) system assuming our RNG operation produces 400,000 MMBTU in 2025. This is an increase of LCFS credits from approximately 90,000 credits under our old temporary pathway of -150 g CO2e/MJ. The increase of carbon credit generation of approximately 70,000 credits represents a significant increase in revenue for the RNG business. The LCFS pathways are required to be updated and verified annually, using the most recent 24 months of operational data. The provisional pathway was updated and approved in 2025, effective beginning in the first quarter of 2026, and has a weighted average CI score (including a margin of safety) of approximately -314 gCO2e/MJ.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Verity</w:t>
      </w:r>
    </w:p>
    <w:p>
      <w:pPr>
        <w:pStyle w:val="TextBody"/>
        <w:bidi w:val="0"/>
        <w:spacing w:before="240" w:after="240"/>
        <w:ind w:left="0" w:right="0" w:firstLine="360"/>
        <w:jc w:val="left"/>
        <w:rPr>
          <w:rFonts w:ascii="Times New Roman;Times;serif" w:hAnsi="Times New Roman;Times;serif"/>
          <w:sz w:val="20"/>
        </w:rPr>
      </w:pPr>
      <w:r>
        <w:rPr>
          <w:rFonts w:ascii="Times New Roman;Times;serif" w:hAnsi="Times New Roman;Times;serif"/>
          <w:sz w:val="20"/>
        </w:rPr>
        <w:t>Verity Holdings, LLC (“Verity”), a wholly owned subsidiary of Gevo, is developing a data and software platform designed to support traceability, compliance reporting, and the potential monetization of carbon intensity (“CI”) reductions across the renewable fuels supply chain. The Verity platform currently enables the collection, aggregation and end-to-end tracking of data from agricultural production and processing partners to support reporting under federal and state regulatory programs, including Section 45Z and LCFS programs in California, Oregon, Washington, British Columbia and other Canadian provinces. In 2025, Verity began onboarding customers across multiple segments of the supply chain, including grain elevators, biofuel producers, and supply chain partners, with the goal of enabling full lifecycle CI tracking and audit support. While still in the early stages of commercialization, Verity is actively building capabilities to support measurement, reporting, and verification (“MRV”) of Scope 1 and Scope 3 carbon insets and other environmental attributes. The platform is intended to support Gevo’s ATJ and is expected to evolve into a core infrastructure asset for CI tracking and facilitate potential carbon monetization across the broader low-carbon fuels and agriculture ecosystem.</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Ethanol-to-Olefins</w:t>
      </w:r>
      <w:r>
        <w:rPr>
          <w:rFonts w:ascii="Times New Roman;Times;serif" w:hAnsi="Times New Roman;Times;serif"/>
          <w:sz w:val="20"/>
          <w:shd w:fill="FFFFFF" w:val="clear"/>
        </w:rPr>
        <w:t xml:space="preserve"> Technology</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In April 2023, we entered into a joint development agreement with LG Chem, Ltd. (“LG Chem”), a leading global chemical company, to develop bio-propylene for renewable chemicals using our Ethanol-to-Olefins (“ETO”) technology. Gevo’s proprietary ETO technology can target carbon neutral or carbon negative drop-in replacements for traditional petroleum-based building blocks called olefins, including bio-propylene, which can be used for renewable chemicals or fuels including SAF. These plant-based, renewable olefins would be derived from atmospheric CO2 captured through photosynthesis and are expected to deliver the same performance in final products on the market today. </w:t>
      </w:r>
      <w:r>
        <w:rPr>
          <w:rFonts w:ascii="Times New Roman;Times;serif" w:hAnsi="Times New Roman;Times;serif"/>
          <w:sz w:val="20"/>
        </w:rPr>
        <w:t>We also believe ETO will reduce the capital and operating costs of future ATJ SAF production facilities.</w:t>
      </w:r>
    </w:p>
    <w:p>
      <w:pPr>
        <w:pStyle w:val="TextBody"/>
        <w:bidi w:val="0"/>
        <w:spacing w:before="0" w:after="20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Under the terms of the agreement with LG Chem, we will provide the core enabling technology we have developed for renewable olefins to be produced from low-carbon ethanol and will collaborate with LG Chem to accelerate the pilot research, technical scale-up, and commercialization of bio-propylene.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Additionally, Axens North America, Inc. (“Axens”) and Gevo are working together to ensure they remain leaders in the ethanol-to-jet space by partnering with IFP Energies Nouvelles (“IFPEN”) on the final development and commercial deployment of Gevo’s patented ETO process for fuel applications. This collaboration is expected to significantly reduce capital and operating costs while lowering the carbon intensity of the process. </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Luverne Facility</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On October 31, 2025, </w:t>
      </w:r>
      <w:r>
        <w:rPr>
          <w:rFonts w:ascii="Times New Roman;Times;serif" w:hAnsi="Times New Roman;Times;serif"/>
          <w:sz w:val="20"/>
          <w:shd w:fill="FFFFFF" w:val="clear"/>
        </w:rPr>
        <w:t>we sold our subsidiary Agri-Energy, LLC, which owned an 18 million gallon-per-year ethanol production facility located in Luverne, Minnesota (the “Luverne Facility”) to A.E. Innovation LLC. The sales price was $7.0 million, which was made up of a $2 million cash payment, paid on the transaction closing date and a $5.0 million note receivable. As part of the transaction we retained certain assets at the Luverne Facility including certain isobutanol production assets and associated infrastructure.</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Competitive Advantages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We believe that our vertically integrated set of technologies and business systems (including our extensive portfolio of several hundred patents and patent applications, trade-secrets, and proprietary production technologies) creates competitive advantage through (i) access to multiple opportunities to drive the CI score of our products down, (ii) opportunities to address needs in the chemicals, food, feed, plastics and materials markets, (iii) opportunities to reduce production costs to maximize margins, (iv) the deployment of production technology that is readily scalable and robust from an operating point of view, (v) the use of the Verity platform, and (vi) the modular design of production facilities, which can help to facilitate rapid deployment of production assets.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Carbohydrates as Feedstocks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Carbohydrate feedstocks exceed all other potential renewable carbon feedstock sources by several orders of magnitude on a worldwide basis. In the Midwest region of the U.S. corn is an ideal feedstock for multiple reasons. On a per acre basis, field corn (not food corn) is one of the most productive crops to produce protein and oil, as well as carbohydrates. The non-carbohydrate co-products from the field corn kernel represent the majority of the nutritional value of the kernel and could be delivered into the food chain. By selling the protein, oil and animal feed into the food chain markets, it would offset a portion of the cost of acquiring the corn. We believe up to 50% of the cost of corn can be offset by manufacturing valuable products for the food chain. The remaining carbohydrates are used as a feedstock for fermentation.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believe that in the U.S. carbohydrates produced from corn can be the most sustainable and lowest cost renewable carbon source that can be used as feedstock for alcohol to hydrocarbon processes to produce hydrocarbon fuels. In the future, we expect to evaluate the commercial use of carbohydrates from sources other than corn (</w:t>
      </w:r>
      <w:r>
        <w:rPr>
          <w:rFonts w:ascii="Times New Roman;Times;serif" w:hAnsi="Times New Roman;Times;serif"/>
          <w:i/>
          <w:sz w:val="20"/>
        </w:rPr>
        <w:t>e.g.</w:t>
      </w:r>
      <w:r>
        <w:rPr>
          <w:rFonts w:ascii="Times New Roman;Times;serif" w:hAnsi="Times New Roman;Times;serif"/>
          <w:sz w:val="20"/>
        </w:rPr>
        <w:t>, of sugar cane, molasses, or cellulosic sugars derived from wood, agricultural residues and waste) as the cost to acquire those carbohydrates becomes competitive, and the sustainability profile (and related CI scores) become acceptable. We expect our future feedstocks to be chosen on the collective basis of (i) cost, (ii) carbon and/or sustainability footprint with associated value, (iii) positive contribution to food chain where possible, and (iv) availability of the feedstock at a practical scale.</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Proprietary Carbohydrate Conversion Technologies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Three technologies are required to convert carbohydrates to SAF and other renewable hydrocarbons: (i) the fermentation process to convert carbohydrates to alcohols; (ii) the chemical processing technology to make the hydrocarbon fuel products; and (iii) the technology and know-how to mitigate the fossil based GHG emissions from the integrated fermentation and fuel production plants.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have two ways of producing alcohols via fermentation from carbohydrates: (i) ethanol, which has two carbons, and (ii) isobutanol, which has four carbons. Ethanol can be a building block for SAF, diesel fuel, naptha and chemical products. Isobutanol can be a building block for gasoline hydrocarbons, SAF and chemical products. Ethanol technology is well known and readily available. Isobutanol technology is relatively new and has yet to be scaled to the size of current ethanol production, but it offers long-term potential in enabling lower CI scores and allowing for the production of chemical products and high value gasoline hydrocarbons.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believe that we possess proprietary know-how to integrate alcohol production and chemical processing to make SAF and other renewable hydrocarbons that should lower the CI score of our renewable hydrocarbon products, and have filed patents on the overall process.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Alcohols can be converted to hydrocarbon products with catalytic chemical processing techniques analogous to those used in the petrochemical industry. We have been working with Axens to use their technology on this process since they have already scaled it up and they have licensed to many commercial production facilities. Axens brings technologies with over 60 related patents, engineering packages, proprietary catalysts and certain proprietary equipment required to convert alcohols into SAF and they will provide certain process guarantees to us.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Integration of the production systems with various renewable or de-fossilized energy sources will be essential. Our ATJ plant concept depends upon a variety of decarbonization methods to ensure the operability of the plant while also reducing and eliminating the need for fossil-based energy. We have partnered with companies such as Zero6 Energy, formerly Juhl Energy, to develop the technology suite for this decarbonization.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Verity</w:t>
      </w:r>
    </w:p>
    <w:p>
      <w:pPr>
        <w:pStyle w:val="TextBody"/>
        <w:bidi w:val="0"/>
        <w:spacing w:before="240" w:after="240"/>
        <w:ind w:left="0" w:right="0" w:firstLine="360"/>
        <w:jc w:val="left"/>
        <w:rPr>
          <w:rFonts w:ascii="Times New Roman;Times;serif" w:hAnsi="Times New Roman;Times;serif"/>
          <w:sz w:val="20"/>
        </w:rPr>
      </w:pPr>
      <w:r>
        <w:rPr>
          <w:rFonts w:ascii="Times New Roman;Times;serif" w:hAnsi="Times New Roman;Times;serif"/>
          <w:sz w:val="20"/>
        </w:rPr>
        <w:t xml:space="preserve">The Verity platform is designed to enable the collection, aggregation and end-to-end tracking of environmental and operational data from agricultural production, biofuel producers and processing partners to support reporting under federal and state regulatory programs, including Section 45Z of the Internal Revenue Code and LCFS programs in California, Oregon, Washington, British Columbia and other Canadian provinces.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Verity's services may include regulatory analysis, life cycle assessment support, compliance documentation management, audit readiness support and carbon attribute tracking for Scope 1, 2, and 3 emissions. Where applicable, Verity may assist customers with environmental attribute registration, transfer, utilization or retirement; however, the extent of such services depends on the applicable program requirements and customer engagement. By integrating data management and reporting capabilities, Verity supports Gevo's mission of converting renewable energy and biogenic carbon into sustainable fuels and chemicals with a low carbon footprint.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Competition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face competitors in each market that we participate in, some of which are limited to individual markets, and some of which will compete with us across all of our target markets. Many of our competitors have greater financial resources, more comprehensive product lines, broader market presence, longer standing relationships with customers, longer operating histories, greater production capabilities, stronger brand recognition and greater marketing resources than we do which could make it difficult for us to compete.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renewable hydrocarbons, including SAF, compete with the incumbent petroleum-based fuels industry, as well as renewable fuels companies. The incumbent petroleum-based fuels industry makes the vast majority of the world’s gasoline, jet and diesel fuels and blendstocks. The petroleum-based fuels industry is mature and includes a substantial base of infrastructure for the production and distribution of petroleum-derived products, however, the industry faces challenges from its dependence on petroleum. High and volatile oil prices should provide an opportunity for renewable producers relying on biobased feedstocks like corn, which in recent years have had lower price volatility than oil, to compete.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Renewable fuels companies may provide substantial competition in the hydrocarbon fuels markets. These renewable fuel competitors are numerous and include both large established companies and startups. Government tax incentives for renewable fuel producers and regulations such as the Inflation Reduction Act clean fuel production credits, RFS Program, California LCFS program, and programs emerging in other states such as Illinois help provide opportunities for renewable fuels producers to compete. We believe that we have the advantage of being able to target conversion of alcohols into specific high-value molecules such as SAF, other renewable hydrocarbons and various chemical products.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Intellectual Property and Technologies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seek protection for our intellectual property under patent, copyright, trademark and trade secret laws.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Since the Company was founded, we have submitted hundreds of patent applications in the U.S. and in various foreign jurisdictions. These patent applications are for our technologies and specific methods and products that support our business. We continue to file new patent applications, for which terms extend up to 20 years from the filing date in the U.S. and for various terms in international jurisdictions. We expect to continue to develop and build our intellectual property portfolio to address unmet technology and market needs going forward.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We currently have a strong proprietary technology position with more than 350 patents, as well as proprietary processes and know-how. </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Government Regulation - Environmental Compliance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Regulation by governmental authorities in the U.S. and other countries is a significant factor in the development, manufacture and marketing of second-generation renewable fuels. In particular, renewable fuels are subject to rigorous testing and premarket approval requirements by the EPA’s Office of Transportation and Air Quality and regulatory authorities in other countries. In the U.S., various federal and, in some cases, state statutes and regulations also govern or impact the manufacturing, safety, storage and use of renewable fuels. The process of seeking required approvals and the continuing need for compliance with applicable statutes and regulations requires the expenditure of substantial resources.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are subject to various federal, state and local environmental laws and regulations, including those relating to the discharge of materials into the air, water and ground, the generation, storage, handling, use, transportation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disposal of hazardous materials and the health and safety of our employees. These laws and regulations require us to obtain environmental permits and comply with numerous environmental restrictions as we construct and operate isobutanol assets. They may require expensive pollution control equipment or operational changes to limit actual or potential impacts to the environment. A violation of these laws, regulations or permit conditions can result in substantial fines, natural resource damage, criminal sanctions, permit revocations or facility shutdowns.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products benefit from the RFS Program in that our RNG and ethanol are currently eligible for RINs that have value based on the current RFS Program. The RFS Program could change, impacting our products, positively or negatively.</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Various systems are being put in place around the world to measure CI and the reduction of GHGs, with the intent of creating a system to monetize the value of the reduction of carbon. In order to benefit from such systems, companies need to have their products qualified through a regulatory process. There is no guarantee that any benefit could be gained. </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People and Culture</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Higher Purpose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employees strive to make environmental and social impacts in the world. Our employees are also guided by our code of business conduct and ethics, which helps them to uphold and strengthen our standards of integrity and innovation while continuously improving our environment, health, safety and sustainability. Our world and business may change, but our core values are a constant in everything we do.</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Employees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December 31, 2025, we had 151 employees in North America. We also retain consultants, independent contractors, and temporary workers. None of our facilities in the U.S. are covered by collective bargaining agreements. The Gevo team is made up of scientists, research and development experts, software developers, data engineers, operations, administrative and business development professionals, skilled trades and energy technicians.</w:t>
      </w:r>
    </w:p>
    <w:p>
      <w:pPr>
        <w:pStyle w:val="TextBody"/>
        <w:bidi w:val="0"/>
        <w:spacing w:before="0" w:after="0"/>
        <w:ind w:left="0" w:right="0" w:hanging="0"/>
        <w:jc w:val="left"/>
        <w:rPr/>
      </w:pPr>
      <w:r>
        <w:rPr/>
        <w:t>​</w:t>
      </w:r>
    </w:p>
    <w:tbl>
      <w:tblPr>
        <w:tblW w:w="5088" w:type="dxa"/>
        <w:jc w:val="left"/>
        <w:tblInd w:w="0" w:type="dxa"/>
        <w:tblLayout w:type="fixed"/>
        <w:tblCellMar>
          <w:top w:w="0" w:type="dxa"/>
          <w:left w:w="0" w:type="dxa"/>
          <w:bottom w:w="0" w:type="dxa"/>
          <w:right w:w="0" w:type="dxa"/>
        </w:tblCellMar>
      </w:tblPr>
      <w:tblGrid>
        <w:gridCol w:w="4201"/>
        <w:gridCol w:w="346"/>
        <w:gridCol w:w="541"/>
      </w:tblGrid>
      <w:tr>
        <w:trPr/>
        <w:tc>
          <w:tcPr>
            <w:tcW w:w="4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667635" cy="175260"/>
                      <wp:effectExtent l="0" t="0" r="0" b="0"/>
                      <wp:wrapNone/>
                      <wp:docPr id="10" name="Frame10"/>
                      <a:graphic xmlns:a="http://schemas.openxmlformats.org/drawingml/2006/main">
                        <a:graphicData uri="http://schemas.microsoft.com/office/word/2010/wordprocessingShape">
                          <wps:wsp>
                            <wps:cNvSpPr txBox="1"/>
                            <wps:spPr>
                              <a:xfrm>
                                <a:off x="0" y="0"/>
                                <a:ext cx="266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19710" cy="175260"/>
                      <wp:effectExtent l="0" t="0" r="0" b="0"/>
                      <wp:wrapNone/>
                      <wp:docPr id="11"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343535" cy="175260"/>
                      <wp:effectExtent l="0" t="0" r="0" b="0"/>
                      <wp:wrapNone/>
                      <wp:docPr id="12" name="Frame12"/>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Employment</w:t>
            </w:r>
          </w:p>
        </w:tc>
        <w:tc>
          <w:tcPr>
            <w:tcW w:w="34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pPr>
            <w:r>
              <w:rPr/>
              <w:t>  ​</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Full-time</w:t>
            </w:r>
          </w:p>
        </w:tc>
        <w:tc>
          <w:tcPr>
            <w:tcW w:w="3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Part-time</w:t>
            </w:r>
          </w:p>
        </w:tc>
        <w:tc>
          <w:tcPr>
            <w:tcW w:w="346" w:type="dxa"/>
            <w:tcBorders/>
            <w:shd w:fill="CCEEFF" w:val="cle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 </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r>
      <w:tr>
        <w:trPr/>
        <w:tc>
          <w:tcPr>
            <w:tcW w:w="42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Department</w:t>
            </w:r>
          </w:p>
        </w:tc>
        <w:tc>
          <w:tcPr>
            <w:tcW w:w="3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pPr>
            <w:r>
              <w:rPr/>
              <w:t>  ​</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Project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Production</w:t>
            </w:r>
          </w:p>
        </w:tc>
        <w:tc>
          <w:tcPr>
            <w:tcW w:w="34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Maintenance</w:t>
            </w:r>
          </w:p>
        </w:tc>
        <w:tc>
          <w:tcPr>
            <w:tcW w:w="3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administrative and business development</w:t>
            </w:r>
          </w:p>
        </w:tc>
        <w:tc>
          <w:tcPr>
            <w:tcW w:w="346" w:type="dxa"/>
            <w:tcBorders/>
            <w:shd w:fill="CCEEFF" w:val="cle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 </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r>
      <w:tr>
        <w:trPr/>
        <w:tc>
          <w:tcPr>
            <w:tcW w:w="42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Location</w:t>
            </w:r>
          </w:p>
        </w:tc>
        <w:tc>
          <w:tcPr>
            <w:tcW w:w="3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pPr>
            <w:r>
              <w:rPr/>
              <w:t>  ​</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North Dakota</w:t>
            </w:r>
          </w:p>
        </w:tc>
        <w:tc>
          <w:tcPr>
            <w:tcW w:w="34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Colorado</w:t>
            </w:r>
          </w:p>
        </w:tc>
        <w:tc>
          <w:tcPr>
            <w:tcW w:w="3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Texas</w:t>
            </w:r>
          </w:p>
        </w:tc>
        <w:tc>
          <w:tcPr>
            <w:tcW w:w="34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Iowa</w:t>
            </w:r>
          </w:p>
        </w:tc>
        <w:tc>
          <w:tcPr>
            <w:tcW w:w="3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Illinois</w:t>
            </w:r>
          </w:p>
        </w:tc>
        <w:tc>
          <w:tcPr>
            <w:tcW w:w="34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Minnesota</w:t>
            </w:r>
          </w:p>
        </w:tc>
        <w:tc>
          <w:tcPr>
            <w:tcW w:w="3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Mexico</w:t>
            </w:r>
          </w:p>
        </w:tc>
        <w:tc>
          <w:tcPr>
            <w:tcW w:w="34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South Dakota</w:t>
            </w:r>
          </w:p>
        </w:tc>
        <w:tc>
          <w:tcPr>
            <w:tcW w:w="3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Washington</w:t>
            </w:r>
          </w:p>
        </w:tc>
        <w:tc>
          <w:tcPr>
            <w:tcW w:w="34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States</w:t>
            </w:r>
          </w:p>
        </w:tc>
        <w:tc>
          <w:tcPr>
            <w:tcW w:w="346" w:type="dxa"/>
            <w:tcBorders/>
            <w:vAlign w:val="center"/>
          </w:tcPr>
          <w:p>
            <w:pPr>
              <w:pStyle w:val="TableContents"/>
              <w:bidi w:val="0"/>
              <w:spacing w:before="0" w:after="0"/>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151</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Health and Safety</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strive to achieve safety excellence through increased focus on leading indicators, risk reduction, health and safety management systems, and prevention to protect the public health and environmental quality in our communities, as well as the health and safety of our employees, customers and neighbors. We strive to comply with all health and safety laws and regulations that apply to our business. We provide site safety orientation for all employees and guests as well as periodic refresher training for employees at a level appropriate for their role. We have received no violations and are proud that we have never had a fatality at a Gevo facility. During 2025, we had no reportable injuries and no lost time incidents.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are serious about maintaining the well-being of our employees and families, paying 100% of the premiums for health, dental and vision insurance for whole families. Despite the significant increases in premium costs, we continue to pay the premiums for disability and life insurance to assist in maintaining living standards when issues arise. We continue to be agile in addressing employee needs in the quickly evolving environment while being transparent across the workforce.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Available Information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Annual Reports on Form 10-K, Quarterly Reports on Form 10</w:t>
        <w:noBreakHyphen/>
        <w:t xml:space="preserve">Q, Current Reports on Form 8-K and any amendments to those reports (including related exhibits and supplemental schedules) filed or furnished pursuant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Section 13(a) or 15(d) of the Securities Exchange Act of 1934, as amended, are made available, free of charge, through our website, as soon as reasonably practicable after such reports have been filed with, or furnished to, the SEC. Our website address is www.gevo.com. Information on our website is not incorporated by reference into, and does not constitute a part of, this report.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49" w:name="Item1ARiskFactors_267735"/>
      <w:bookmarkStart w:id="50" w:name="_4b8223a8_1576_4e7f_902e_2dc513d69ed3"/>
      <w:bookmarkEnd w:id="49"/>
      <w:bookmarkEnd w:id="50"/>
      <w:r>
        <w:rPr>
          <w:rFonts w:ascii="Times New Roman;Times;serif" w:hAnsi="Times New Roman;Times;serif"/>
          <w:b/>
          <w:i w:val="false"/>
          <w:caps w:val="false"/>
          <w:smallCaps w:val="false"/>
          <w:sz w:val="20"/>
        </w:rPr>
        <w:t>Item 1A.</w:t>
      </w:r>
      <w:r>
        <w:rPr>
          <w:rFonts w:ascii="Times New Roman;Times;serif" w:hAnsi="Times New Roman;Times;serif"/>
          <w:b/>
          <w:sz w:val="20"/>
        </w:rPr>
        <w:t xml:space="preserve">Risk Factors </w:t>
      </w:r>
    </w:p>
    <w:p>
      <w:pPr>
        <w:pStyle w:val="TextBody"/>
        <w:bidi w:val="0"/>
        <w:spacing w:before="0" w:after="200"/>
        <w:ind w:left="0" w:right="0" w:firstLine="720"/>
        <w:jc w:val="left"/>
        <w:rPr>
          <w:rFonts w:ascii="Times New Roman;Times;serif" w:hAnsi="Times New Roman;Times;serif"/>
          <w:i/>
          <w:sz w:val="20"/>
        </w:rPr>
      </w:pPr>
      <w:r>
        <w:rPr>
          <w:rFonts w:ascii="Times New Roman;Times;serif" w:hAnsi="Times New Roman;Times;serif"/>
          <w:i/>
          <w:sz w:val="20"/>
        </w:rPr>
        <w:t>You should carefully consider the risk factors described below before you decide to invest in our securities. The risks described below are not the only ones facing us. Our business is also subject to the risks that affect many other companies, such as competition, technological obsolescence, labor relations, general economic conditions, geopolitical changes and international operations. Additional risks and uncertainties not presently known to us or that we currently believe are immaterial may also impair our business operations and our liquidity. The risks described below could cause our actual results to differ materially from those contained in the forward-looking statements we have made in this Report, the information incorporated herein by reference and those forward-looking statements we may make from time to time.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Risk Related to our Business and Strategy</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have a history of net losses, and we may not achieve or maintain profitability.</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incurred net losses attributable to Gevo of $33.8 million and $78.6 million during the years ended December 31, 2025 and 2024, respectively. As of December 31, 2025, we had an accumulated deficit of $834.2 million. We expect to incur losses for the foreseeable future. We currently derive revenue primarily from the sale of ethanol, RNG and related environmental attributes produced at GevoND and GevoRNG.</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also expect to spend significant amounts on (i) developing and financing our Alcohol-to-Jet projects and other similar growth projects, (ii) marketing, general and administrative expenses associated with our planned growth, and (iii) management of operations as a public company. As a result, we expect to continue to incur new losses for the foreseeable future. We may not achieve profitability during the foreseeable future and may never achieve it. If we fail to achieve profitability, or if the time required to achieve profitability is longer than we anticipate, we may not be able to continue our business operations. Even if we do achieve profitability, we may not be able to sustain or increase profitability on a quarterly or annual basis.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will require substantial additional financings to achieve our goals, and a failure to obtain this capital when needed or on acceptable terms could force us to delay, limit, reduce or terminate our development and commercialization efforts.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operate in a capital-intensive industry and will continue to need substantial amounts of capital to execute on our business plans. We believe that we will continue to expend substantial resources for the foreseeable future on further growth of our business, including developing, constructing, financing and acquiring facilities necessary for the production of our products on a commercial scale. These expenditures may, among other things, include costs associated with our ATJ Projects, research and development, developing biogas processing projects and wind projects, obtaining government and regulatory approvals, and negotiating offtake agreements for our products. In addition, other unanticipated costs may arise.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To date, we have funded our operations primarily through equity offerings and issuances of debt. Based on our current plans and expectations, we will require additional funding at the corporate and/or project level to achieve our goals. We currently expect to finance the construction of ATJ-30 and any other ATJ Projects at the subsidiary level using third party capital. In addition, our plans and expectations may change as a result of factors currently unknown to us, and we may need additional funds sooner than expected and may seek to raise additional funds through public or private debt or equity financings. We may also choose to seek additional capital sooner than required due to favorable market conditions or strategic considerations.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future capital requirements will depend on many factors, including:</w:t>
      </w:r>
    </w:p>
    <w:tbl>
      <w:tblPr>
        <w:tblW w:w="8571" w:type="dxa"/>
        <w:jc w:val="left"/>
        <w:tblInd w:w="0" w:type="dxa"/>
        <w:tblLayout w:type="fixed"/>
        <w:tblCellMar>
          <w:top w:w="28" w:type="dxa"/>
          <w:left w:w="28" w:type="dxa"/>
          <w:bottom w:w="28" w:type="dxa"/>
          <w:right w:w="28" w:type="dxa"/>
        </w:tblCellMar>
      </w:tblPr>
      <w:tblGrid>
        <w:gridCol w:w="124"/>
        <w:gridCol w:w="256"/>
        <w:gridCol w:w="8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and costs involved in financing and constructing our ATJ Projects, including ATJ-30;</w:t>
            </w:r>
          </w:p>
        </w:tc>
      </w:tr>
    </w:tbl>
    <w:tbl>
      <w:tblPr>
        <w:tblW w:w="8511" w:type="dxa"/>
        <w:jc w:val="left"/>
        <w:tblInd w:w="0" w:type="dxa"/>
        <w:tblLayout w:type="fixed"/>
        <w:tblCellMar>
          <w:top w:w="28" w:type="dxa"/>
          <w:left w:w="28" w:type="dxa"/>
          <w:bottom w:w="28" w:type="dxa"/>
          <w:right w:w="28" w:type="dxa"/>
        </w:tblCellMar>
      </w:tblPr>
      <w:tblGrid>
        <w:gridCol w:w="124"/>
        <w:gridCol w:w="256"/>
        <w:gridCol w:w="81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and costs involved in obtaining permits and compliance with applicable regulations;</w:t>
            </w:r>
          </w:p>
        </w:tc>
      </w:tr>
    </w:tbl>
    <w:tbl>
      <w:tblPr>
        <w:tblW w:w="6846" w:type="dxa"/>
        <w:jc w:val="left"/>
        <w:tblInd w:w="0" w:type="dxa"/>
        <w:tblLayout w:type="fixed"/>
        <w:tblCellMar>
          <w:top w:w="28" w:type="dxa"/>
          <w:left w:w="28" w:type="dxa"/>
          <w:bottom w:w="28" w:type="dxa"/>
          <w:right w:w="28" w:type="dxa"/>
        </w:tblCellMar>
      </w:tblPr>
      <w:tblGrid>
        <w:gridCol w:w="124"/>
        <w:gridCol w:w="256"/>
        <w:gridCol w:w="6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costs associated with any future capital projects or expansions;</w:t>
            </w:r>
          </w:p>
        </w:tc>
      </w:tr>
    </w:tbl>
    <w:tbl>
      <w:tblPr>
        <w:tblW w:w="4941" w:type="dxa"/>
        <w:jc w:val="left"/>
        <w:tblInd w:w="0" w:type="dxa"/>
        <w:tblLayout w:type="fixed"/>
        <w:tblCellMar>
          <w:top w:w="28" w:type="dxa"/>
          <w:left w:w="28" w:type="dxa"/>
          <w:bottom w:w="28" w:type="dxa"/>
          <w:right w:w="28" w:type="dxa"/>
        </w:tblCellMar>
      </w:tblPr>
      <w:tblGrid>
        <w:gridCol w:w="124"/>
        <w:gridCol w:w="256"/>
        <w:gridCol w:w="4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gain market acceptance for our products;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negotiate financeable offtake agreements for the products we produce, and the timing and terms of those agreements, including terms related to sales price;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negotiate sales of our products and the timing and terms of those sales, including terms related to sales price;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maintain strategic partnerships, licensing or other arrangements and the timing and terms of those arrangements;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preparing, filing, prosecuting, maintaining, defending and enforcing patent, trademark and other intellectual property claims, including litigation costs and the outcome of such litigation.</w:t>
            </w:r>
          </w:p>
        </w:tc>
      </w:tr>
    </w:tbl>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Additional funds may not be available when we need them, on terms that are acceptable to us, or at all. If needed funds are not available to us on a timely basis, we may be required to delay, limit, reduce or terminate:</w:t>
      </w:r>
    </w:p>
    <w:tbl>
      <w:tblPr>
        <w:tblW w:w="3456" w:type="dxa"/>
        <w:jc w:val="left"/>
        <w:tblInd w:w="0" w:type="dxa"/>
        <w:tblLayout w:type="fixed"/>
        <w:tblCellMar>
          <w:top w:w="28" w:type="dxa"/>
          <w:left w:w="28" w:type="dxa"/>
          <w:bottom w:w="28" w:type="dxa"/>
          <w:right w:w="28" w:type="dxa"/>
        </w:tblCellMar>
      </w:tblPr>
      <w:tblGrid>
        <w:gridCol w:w="124"/>
        <w:gridCol w:w="256"/>
        <w:gridCol w:w="3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ATJ Projects, including ATJ-30;</w:t>
            </w:r>
          </w:p>
        </w:tc>
      </w:tr>
    </w:tbl>
    <w:tbl>
      <w:tblPr>
        <w:tblW w:w="5166" w:type="dxa"/>
        <w:jc w:val="left"/>
        <w:tblInd w:w="0" w:type="dxa"/>
        <w:tblLayout w:type="fixed"/>
        <w:tblCellMar>
          <w:top w:w="28" w:type="dxa"/>
          <w:left w:w="28" w:type="dxa"/>
          <w:bottom w:w="28" w:type="dxa"/>
          <w:right w:w="28" w:type="dxa"/>
        </w:tblCellMar>
      </w:tblPr>
      <w:tblGrid>
        <w:gridCol w:w="124"/>
        <w:gridCol w:w="256"/>
        <w:gridCol w:w="4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to enter into agreements with strategic partners;</w:t>
            </w:r>
          </w:p>
        </w:tc>
      </w:tr>
    </w:tbl>
    <w:tbl>
      <w:tblPr>
        <w:tblW w:w="5166" w:type="dxa"/>
        <w:jc w:val="left"/>
        <w:tblInd w:w="0" w:type="dxa"/>
        <w:tblLayout w:type="fixed"/>
        <w:tblCellMar>
          <w:top w:w="28" w:type="dxa"/>
          <w:left w:w="28" w:type="dxa"/>
          <w:bottom w:w="28" w:type="dxa"/>
          <w:right w:w="28" w:type="dxa"/>
        </w:tblCellMar>
      </w:tblPr>
      <w:tblGrid>
        <w:gridCol w:w="124"/>
        <w:gridCol w:w="256"/>
        <w:gridCol w:w="4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development of future capital projects or expansions;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efforts to prepare, file, prosecute, maintain and enforce patent, trademark and other intellectual property rights and defend against claims by others that we may be violating their intellectual property rights; and/or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activities in negotiating and performing under offtake agreements that may be necessary for the commercialization of our products.</w:t>
            </w:r>
          </w:p>
        </w:tc>
      </w:tr>
    </w:tbl>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Our proposed growth projects may not be completed or, if completed, may not perform as expected or achieve profitability. Our project development activities may consume a significant portion of our management’s focus, and if not successful, reduce our profitability.</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plan to grow our business by building multiple production facilities, including greenfield and brownfield projects. Development projects may require us to spend significant sums for engineering, permitting, legal, financial advisory and other expenses before we determine whether a development project is feasible, economically attractive or capable of being financed.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development projects are typically planned to be large and complex, and we may not be able to complete them. There can be no assurance that we will be able to negotiate the required agreements, overcome any local opposition, or obtain the necessary licenses, permits and financing. Failure to achieve any of these elements may prevent the development and construction of a project. If that were to occur, we could lose all of our investment in development expenditures and may be required to write off project development assets.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may be unable to successfully perform under current or future offtake agreements to provide our products, and we may need to renegotiate some of our offtake agreements.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have entered into several offtake agreements pursuant to which we agreed to sell our products. Under certain of these offtake agreements, the purchasers agreed to pay for and receive, or cause to be received by a third party, or pay for even if not taken, the renewable hydrocarbon products under contract (a “take-or-pay” arrangement). The timing and volume commitment of certain of these agreements are conditioned upon, and subject to, our ability to complete the construction of a new or expanded production facility. However, in order to commence construction of and complete such facility, we must secure third-party financing. We cannot assure you that with the current offtake agreements we will be able to obtain adequate financing on favorable terms, or at all, and may need to enter into additional offtake agreements or renegotiate the terms of current offtake agreements. Furthermore, we have not demonstrated that we can meet the production levels and specifications contemplated in certain of our current offtake agreements, or future offtake agreements. If our production is slower than we expect or, we experience production delays, or if demand decreases or we encounter difficulties in successfully completing a production facility or producing our renewable hydrocarbon products to specification, our counterparties may terminate our existing offtake agreements and potential customers may be less willing to negotiate definitive offtake agreements with us, which would adversely impact our performance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Fluctuations in the price of corn and other feedstocks may affect our cost structure.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approach to the renewable fuels and chemicals markets depends on the price of corn and other feedstocks used to produce our products. A decrease in the availability of plant feedstocks or an increase in price may have a material adverse effect on our financial condition and operating results. At certain levels, prices may make these products uneconomical to use and produce and we may be unable to pass the full amount of feedstock cost increases on to our customers, which would make it unprofitable for us to operate in these markets. In addition, passing along increased pricing to our customers could result in fewer or reduced orders or customer loss altogether. No assurance can be given that we will be able to purchase corn and other feedstocks at or near prices which would provide us with positive margins.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price and availability of corn and other plant feedstocks may be influenced by general economic, market and regulatory factors. These factors include weather conditions, pests, global or regional growing conditions, including plant disease, farming decisions, government policies and subsidies with respect to agriculture and international trade, increasing input costs, prices for alternative crops, global political or economic issues and conflicts and shifts in global demand and supply. For example, corn prices may increase significantly in response to drought conditions in the midwestern region of the U.S. and any resulting decrease in the supply of corn could lead to the restriction of corn supplies, which in turn could cause further increases in the price of corn. The significance and relative impact of these factors on the price of plant feedstocks is difficult to predict.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Fluctuations in petroleum prices and customer demand patterns may reduce demand for renewable fuels.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renewable fuels may be considered an alternative to petroleum-based fuels. Therefore, if the price of oil falls, any revenues that we generate from renewable fuel products could decline and we may be unable to produce products that are a commercially viable alternative to petroleum-based fuels. In such cases, we may not be able to offer our customers an attractive price for our fuels, market adoption of our fuels could be slowed or limited and/or we may be forced to reduce the prices at which we sell our fuels in order to try to attract new customers or prevent the loss of demand from existing customers. Additionally, demand for liquid transportation fuels, including renewable fuels, may decrease due to economic conditions or other factors outside of our control, which could have a material adverse impact on our business and results of operations.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Any decline in the value of environmental attributes associated with our products could have a material adverse effect on our results of operations, cash flow and financial condition.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sale of our products is often dependent on the value of environmental attributes, including credits under the RFS Program, LCFS and other similar regulatory regimes. The value of these credits fluctuates based on market forces outside of our control. There is a risk that the supply of low-carbon alternative fuels outstrips demand, resulting in the value of carbon credits declining. Any decline in the value of environmental attributes associated with our products could have a material adverse effect on our results of operations, cash flow and financial condition.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Our actual costs may be greater than expected in developing our growth projects, causing us to realize significantly lower profits or greater losses on our projects.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generally must estimate the costs of completing a specific project to prior to the construction of the project. The actual cost of labor and materials and other important costs may vary from the costs we originally estimated. These variations may cause the gross profit of a project to materially differ from what we originally estimated. Cost overruns on our growth projects could occur due to changes in a variety of factors such as:</w:t>
      </w:r>
    </w:p>
    <w:tbl>
      <w:tblPr>
        <w:tblW w:w="7791" w:type="dxa"/>
        <w:jc w:val="left"/>
        <w:tblInd w:w="0" w:type="dxa"/>
        <w:tblLayout w:type="fixed"/>
        <w:tblCellMar>
          <w:top w:w="28" w:type="dxa"/>
          <w:left w:w="28" w:type="dxa"/>
          <w:bottom w:w="28" w:type="dxa"/>
          <w:right w:w="28" w:type="dxa"/>
        </w:tblCellMar>
      </w:tblPr>
      <w:tblGrid>
        <w:gridCol w:w="124"/>
        <w:gridCol w:w="256"/>
        <w:gridCol w:w="7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properly estimate costs of engineering, materials, equipment, labor or financing;</w:t>
            </w:r>
          </w:p>
        </w:tc>
      </w:tr>
    </w:tbl>
    <w:tbl>
      <w:tblPr>
        <w:tblW w:w="6561" w:type="dxa"/>
        <w:jc w:val="left"/>
        <w:tblInd w:w="0" w:type="dxa"/>
        <w:tblLayout w:type="fixed"/>
        <w:tblCellMar>
          <w:top w:w="28" w:type="dxa"/>
          <w:left w:w="28" w:type="dxa"/>
          <w:bottom w:w="28" w:type="dxa"/>
          <w:right w:w="28" w:type="dxa"/>
        </w:tblCellMar>
      </w:tblPr>
      <w:tblGrid>
        <w:gridCol w:w="124"/>
        <w:gridCol w:w="256"/>
        <w:gridCol w:w="61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unanticipated technical problems with the structures, materials or services;</w:t>
            </w:r>
          </w:p>
        </w:tc>
      </w:tr>
    </w:tbl>
    <w:tbl>
      <w:tblPr>
        <w:tblW w:w="3501" w:type="dxa"/>
        <w:jc w:val="left"/>
        <w:tblInd w:w="0" w:type="dxa"/>
        <w:tblLayout w:type="fixed"/>
        <w:tblCellMar>
          <w:top w:w="28" w:type="dxa"/>
          <w:left w:w="28" w:type="dxa"/>
          <w:bottom w:w="28" w:type="dxa"/>
          <w:right w:w="28" w:type="dxa"/>
        </w:tblCellMar>
      </w:tblPr>
      <w:tblGrid>
        <w:gridCol w:w="124"/>
        <w:gridCol w:w="256"/>
        <w:gridCol w:w="3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unanticipated project modifications;</w:t>
            </w:r>
          </w:p>
        </w:tc>
      </w:tr>
    </w:tbl>
    <w:tbl>
      <w:tblPr>
        <w:tblW w:w="5826" w:type="dxa"/>
        <w:jc w:val="left"/>
        <w:tblInd w:w="0" w:type="dxa"/>
        <w:tblLayout w:type="fixed"/>
        <w:tblCellMar>
          <w:top w:w="28" w:type="dxa"/>
          <w:left w:w="28" w:type="dxa"/>
          <w:bottom w:w="28" w:type="dxa"/>
          <w:right w:w="28" w:type="dxa"/>
        </w:tblCellMar>
      </w:tblPr>
      <w:tblGrid>
        <w:gridCol w:w="124"/>
        <w:gridCol w:w="256"/>
        <w:gridCol w:w="5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costs of equipment, materials, labor or contractors;</w:t>
            </w:r>
          </w:p>
        </w:tc>
      </w:tr>
    </w:tbl>
    <w:tbl>
      <w:tblPr>
        <w:tblW w:w="4371" w:type="dxa"/>
        <w:jc w:val="left"/>
        <w:tblInd w:w="0" w:type="dxa"/>
        <w:tblLayout w:type="fixed"/>
        <w:tblCellMar>
          <w:top w:w="28" w:type="dxa"/>
          <w:left w:w="28" w:type="dxa"/>
          <w:bottom w:w="28" w:type="dxa"/>
          <w:right w:w="28" w:type="dxa"/>
        </w:tblCellMar>
      </w:tblPr>
      <w:tblGrid>
        <w:gridCol w:w="124"/>
        <w:gridCol w:w="256"/>
        <w:gridCol w:w="39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suppliers’ or contractors’ failure to perform;</w:t>
            </w:r>
          </w:p>
        </w:tc>
      </w:tr>
    </w:tbl>
    <w:tbl>
      <w:tblPr>
        <w:tblW w:w="3516" w:type="dxa"/>
        <w:jc w:val="left"/>
        <w:tblInd w:w="0" w:type="dxa"/>
        <w:tblLayout w:type="fixed"/>
        <w:tblCellMar>
          <w:top w:w="28" w:type="dxa"/>
          <w:left w:w="28" w:type="dxa"/>
          <w:bottom w:w="28" w:type="dxa"/>
          <w:right w:w="28" w:type="dxa"/>
        </w:tblCellMar>
      </w:tblPr>
      <w:tblGrid>
        <w:gridCol w:w="124"/>
        <w:gridCol w:w="256"/>
        <w:gridCol w:w="3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laws and regulations; and</w:t>
            </w:r>
          </w:p>
        </w:tc>
      </w:tr>
    </w:tbl>
    <w:tbl>
      <w:tblPr>
        <w:tblW w:w="3546" w:type="dxa"/>
        <w:jc w:val="left"/>
        <w:tblInd w:w="0" w:type="dxa"/>
        <w:tblLayout w:type="fixed"/>
        <w:tblCellMar>
          <w:top w:w="28" w:type="dxa"/>
          <w:left w:w="28" w:type="dxa"/>
          <w:bottom w:w="28" w:type="dxa"/>
          <w:right w:w="28" w:type="dxa"/>
        </w:tblCellMar>
      </w:tblPr>
      <w:tblGrid>
        <w:gridCol w:w="124"/>
        <w:gridCol w:w="256"/>
        <w:gridCol w:w="3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caused by weather conditions.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As projects grow in size and complexity, multiple factors may contribute to reduced profit or greater losses, and depending on the size of the particular project, variations from the estimated project costs could have a material adverse effect on our business. For example, if project costs exceed our estimates, it could cause us to realize significantly lower profits or greater losses on our projects.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An impairment of our long-lived assets or goodwill could reduce our earnings or negatively impact our financial condition and results of operations.</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continually monitor our business, the business environment and the performance of our operations to determine if an event has occurred that indicates that a long-lived asset or goodwill may be impaired. If an event occurs, which is a determination that involves judgment, we may be required to utilize cash flow projections to assess our ability to recover the carrying value based on the ability to generate future cash flows. Our long-lived assets and goodwill impairment analyses are sensitive to changes in key assumptions used in our analysis, such as expected future cash flows, the degree of volatility in equity and debt markets and our unit price. If the assumptions used in our analysis are not realized, it is possible a material impairment charge may need to be recorded in the future.</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accurately predict the amount and timing of any impairment of long-lived assets or goodwill. Further, as we continue to develop our strategy regarding certain of our non-core assets, we will need to continue to evaluate the carrying value of those assets. Any additional impairment charges that we may take in the future could be material to our results of operations and financial condition.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may be subject to liabilities and losses that may not be covered by insurance.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employees and facilities are subject to the hazards associated with producing ethanol, RNG and other products. Operating hazards can cause personal injury and loss of life, damage to, or destruction of, property, plant and equipment and environmental damage. We maintain insurance coverage in amounts, against the risks that we believe are consistent with industry practice and maintain an active safety program. However, we could sustain losses for uninsurable or uninsured risks, or in amounts in excess of existing insurance coverage. Events that result in significant personal injury or damage to our property or to property owned by third parties or other losses that are not fully covered by insurance could have a material adverse effect on our results of operations and financial position.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Insurance liabilities are difficult to assess and quantify due to unknown factors, including the severity of an injury, the determination of our liability in proportion to other parties, the number of incidents not reported and the effectiveness of our safety program. If we were to experience insurance claims or costs above our coverage limits or that are not covered by our insurance, we might be required to use working capital to satisfy these claims rather than to maintain or expand our operations. To the extent that we experience a material increase in the frequency or severity of accidents or workers’ compensation claims, our operating results and financial condition could be materially and adversely affected.</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Our experience may not be sufficient to operate commercial-scale facilities and we may encounter substantial difficulties operating commercial plants or expanding our business.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have limited experience operating commercial-scale ethanol, RNG and renewable hydrocarbon facilities concurrently. Accordingly, we may encounter significant difficulties operating at a commercial scale once we expand our production capabilities, including at our ATJ Projects. The skills and knowledge gained in operating our current facilities may not be sufficient to support the successful operation of a large-scale ATJ Project and we may be required to expend significant time and money to develop our capabilities in large-scale facility operation. We may also need to hire new employees or contract with third parties to help manage our operations, and our performance will suffer if we are unable to hire qualified parties or if they perform poorly. Any production delays or volume or other issues resulting from our inability to operate any of our various projects at a commercial scale, or if any of our projects are unable to produce products for an extended period of time, it could result in additional capital expenditures and investment, reduced sales volumes, loss of customers, and harm to our reputation and could have a material adverse impact on our financial condition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addition, integrating new facilities with our existing operations may prove difficult. Rapid growth, resulting from our operation of, or other involvement with, renewable hydrocarbon facilities or otherwise, may impose a significant burden on our administrative and operational resources. To effectively manage our growth and execute our expansion plans, we will need to expand our administrative and operational resources substantially and attract, train, manage and retain qualified management, technicians and other personnel. We may be unable to do so. Failure to meet the operational challenges of developing and managing increased production, or failure to otherwise manage our growth, may have a material adverse effect on our business, financial condition and results of operations.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Mergers, acquisitions and other strategic investments may not be successful in achieving intended benefits, cost savings and synergies and may disrupt current operations.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From time to time, we may complete acquisitions of companies and certain businesses or assets of companies, and we may not realize the expected benefits from such acquisitions because of integration difficulties or other challenges. For example, on January 31, 2025, we closed the previously announced acquisition of substantially all of the assets of Red Trail Energy and assumed certain liabilities. The integration process of any newly acquired business may be complex, costly and time-consuming. The potential difficulties of integrating the operations of an acquired business and realizing our expectations for an acquisition, including the benefits that may be realized, include, among other things: </w:t>
      </w:r>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0"/>
              <w:jc w:val="left"/>
              <w:rPr/>
            </w:pPr>
            <w:r>
              <w:rPr/>
              <w:t>●</w:t>
            </w:r>
          </w:p>
        </w:tc>
        <w:tc>
          <w:tcPr>
            <w:tcW w:w="98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failure of the business to perform as planned following the acquisition or achieve anticipated revenue, cash flow or profitability targets; </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0"/>
              <w:jc w:val="left"/>
              <w:rPr/>
            </w:pPr>
            <w:r>
              <w:rPr/>
              <w:t>●</w:t>
            </w:r>
          </w:p>
        </w:tc>
        <w:tc>
          <w:tcPr>
            <w:tcW w:w="98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unexpected costs or difficulties in completing the acquisition or integration of acquired companies or assets, including as a result of regulatory challenges; </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0"/>
              <w:jc w:val="left"/>
              <w:rPr/>
            </w:pPr>
            <w:r>
              <w:rPr/>
              <w:t>●</w:t>
            </w:r>
          </w:p>
        </w:tc>
        <w:tc>
          <w:tcPr>
            <w:tcW w:w="98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higher than expected costs, lower than expected cost savings or synergies and/or a need to allocate resources to manage unexpected operating difficulties; </w:t>
            </w:r>
          </w:p>
        </w:tc>
      </w:tr>
    </w:tbl>
    <w:tbl>
      <w:tblPr>
        <w:tblW w:w="8406" w:type="dxa"/>
        <w:jc w:val="left"/>
        <w:tblInd w:w="0" w:type="dxa"/>
        <w:tblLayout w:type="fixed"/>
        <w:tblCellMar>
          <w:top w:w="0" w:type="dxa"/>
          <w:left w:w="0" w:type="dxa"/>
          <w:bottom w:w="0" w:type="dxa"/>
          <w:right w:w="0" w:type="dxa"/>
        </w:tblCellMar>
      </w:tblPr>
      <w:tblGrid>
        <w:gridCol w:w="124"/>
        <w:gridCol w:w="256"/>
        <w:gridCol w:w="8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0"/>
              <w:jc w:val="left"/>
              <w:rPr/>
            </w:pPr>
            <w:r>
              <w:rPr/>
              <w:t>●</w:t>
            </w:r>
          </w:p>
        </w:tc>
        <w:tc>
          <w:tcPr>
            <w:tcW w:w="80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difficulties assimilating the operations and personnel of acquired companies into our operations; </w:t>
            </w:r>
          </w:p>
        </w:tc>
      </w:tr>
    </w:tbl>
    <w:tbl>
      <w:tblPr>
        <w:tblW w:w="8481" w:type="dxa"/>
        <w:jc w:val="left"/>
        <w:tblInd w:w="0" w:type="dxa"/>
        <w:tblLayout w:type="fixed"/>
        <w:tblCellMar>
          <w:top w:w="0" w:type="dxa"/>
          <w:left w:w="0" w:type="dxa"/>
          <w:bottom w:w="0" w:type="dxa"/>
          <w:right w:w="0" w:type="dxa"/>
        </w:tblCellMar>
      </w:tblPr>
      <w:tblGrid>
        <w:gridCol w:w="124"/>
        <w:gridCol w:w="256"/>
        <w:gridCol w:w="81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0"/>
              <w:jc w:val="left"/>
              <w:rPr/>
            </w:pPr>
            <w:r>
              <w:rPr/>
              <w:t>●</w:t>
            </w:r>
          </w:p>
        </w:tc>
        <w:tc>
          <w:tcPr>
            <w:tcW w:w="810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diversion of the attention and resources of management or other disruptions to current operations; </w:t>
            </w:r>
          </w:p>
        </w:tc>
      </w:tr>
    </w:tbl>
    <w:tbl>
      <w:tblPr>
        <w:tblW w:w="5286" w:type="dxa"/>
        <w:jc w:val="left"/>
        <w:tblInd w:w="0" w:type="dxa"/>
        <w:tblLayout w:type="fixed"/>
        <w:tblCellMar>
          <w:top w:w="0" w:type="dxa"/>
          <w:left w:w="0" w:type="dxa"/>
          <w:bottom w:w="0" w:type="dxa"/>
          <w:right w:w="0"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0"/>
              <w:jc w:val="left"/>
              <w:rPr/>
            </w:pPr>
            <w:r>
              <w:rPr/>
              <w:t>●</w:t>
            </w:r>
          </w:p>
        </w:tc>
        <w:tc>
          <w:tcPr>
            <w:tcW w:w="490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unanticipated changes in applicable laws and regulations; </w:t>
            </w:r>
          </w:p>
        </w:tc>
      </w:tr>
    </w:tbl>
    <w:tbl>
      <w:tblPr>
        <w:tblW w:w="7251" w:type="dxa"/>
        <w:jc w:val="left"/>
        <w:tblInd w:w="0" w:type="dxa"/>
        <w:tblLayout w:type="fixed"/>
        <w:tblCellMar>
          <w:top w:w="0" w:type="dxa"/>
          <w:left w:w="0" w:type="dxa"/>
          <w:bottom w:w="0" w:type="dxa"/>
          <w:right w:w="0" w:type="dxa"/>
        </w:tblCellMar>
      </w:tblPr>
      <w:tblGrid>
        <w:gridCol w:w="124"/>
        <w:gridCol w:w="256"/>
        <w:gridCol w:w="6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0"/>
              <w:jc w:val="left"/>
              <w:rPr/>
            </w:pPr>
            <w:r>
              <w:rPr/>
              <w:t>●</w:t>
            </w:r>
          </w:p>
        </w:tc>
        <w:tc>
          <w:tcPr>
            <w:tcW w:w="687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risks inherent in our acquired companies’ and businesses’ industry and operations; </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0"/>
              <w:jc w:val="left"/>
              <w:rPr/>
            </w:pPr>
            <w:r>
              <w:rPr/>
              <w:t>●</w:t>
            </w:r>
          </w:p>
        </w:tc>
        <w:tc>
          <w:tcPr>
            <w:tcW w:w="98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unanticipated issues in conforming our acquired companies’ and businesses’ standards, processes, procedures and internal controls with our operations; </w:t>
            </w:r>
          </w:p>
        </w:tc>
      </w:tr>
    </w:tbl>
    <w:tbl>
      <w:tblPr>
        <w:tblW w:w="8376" w:type="dxa"/>
        <w:jc w:val="left"/>
        <w:tblInd w:w="0" w:type="dxa"/>
        <w:tblLayout w:type="fixed"/>
        <w:tblCellMar>
          <w:top w:w="0" w:type="dxa"/>
          <w:left w:w="0" w:type="dxa"/>
          <w:bottom w:w="0" w:type="dxa"/>
          <w:right w:w="0" w:type="dxa"/>
        </w:tblCellMar>
      </w:tblPr>
      <w:tblGrid>
        <w:gridCol w:w="124"/>
        <w:gridCol w:w="256"/>
        <w:gridCol w:w="7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0"/>
              <w:jc w:val="left"/>
              <w:rPr/>
            </w:pPr>
            <w:r>
              <w:rPr/>
              <w:t>●</w:t>
            </w:r>
          </w:p>
        </w:tc>
        <w:tc>
          <w:tcPr>
            <w:tcW w:w="799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failures or delays in receiving the necessary approvals by the relevant regulators and authorities; </w:t>
            </w:r>
          </w:p>
        </w:tc>
      </w:tr>
    </w:tbl>
    <w:tbl>
      <w:tblPr>
        <w:tblW w:w="4656" w:type="dxa"/>
        <w:jc w:val="left"/>
        <w:tblInd w:w="0" w:type="dxa"/>
        <w:tblLayout w:type="fixed"/>
        <w:tblCellMar>
          <w:top w:w="0" w:type="dxa"/>
          <w:left w:w="0" w:type="dxa"/>
          <w:bottom w:w="0" w:type="dxa"/>
          <w:right w:w="0" w:type="dxa"/>
        </w:tblCellMar>
      </w:tblPr>
      <w:tblGrid>
        <w:gridCol w:w="124"/>
        <w:gridCol w:w="256"/>
        <w:gridCol w:w="42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0"/>
              <w:jc w:val="left"/>
              <w:rPr/>
            </w:pPr>
            <w:r>
              <w:rPr/>
              <w:t>●</w:t>
            </w:r>
          </w:p>
        </w:tc>
        <w:tc>
          <w:tcPr>
            <w:tcW w:w="427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retaining key customers, suppliers and employees; </w:t>
            </w:r>
          </w:p>
        </w:tc>
      </w:tr>
    </w:tbl>
    <w:tbl>
      <w:tblPr>
        <w:tblW w:w="6726" w:type="dxa"/>
        <w:jc w:val="left"/>
        <w:tblInd w:w="0" w:type="dxa"/>
        <w:tblLayout w:type="fixed"/>
        <w:tblCellMar>
          <w:top w:w="0" w:type="dxa"/>
          <w:left w:w="0" w:type="dxa"/>
          <w:bottom w:w="0" w:type="dxa"/>
          <w:right w:w="0" w:type="dxa"/>
        </w:tblCellMar>
      </w:tblPr>
      <w:tblGrid>
        <w:gridCol w:w="124"/>
        <w:gridCol w:w="256"/>
        <w:gridCol w:w="6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0"/>
              <w:jc w:val="left"/>
              <w:rPr/>
            </w:pPr>
            <w:r>
              <w:rPr/>
              <w:t>●</w:t>
            </w:r>
          </w:p>
        </w:tc>
        <w:tc>
          <w:tcPr>
            <w:tcW w:w="634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retaining and obtaining required regulatory approvals, licenses and permits; </w:t>
            </w:r>
          </w:p>
        </w:tc>
      </w:tr>
    </w:tbl>
    <w:tbl>
      <w:tblPr>
        <w:tblW w:w="6291" w:type="dxa"/>
        <w:jc w:val="left"/>
        <w:tblInd w:w="0" w:type="dxa"/>
        <w:tblLayout w:type="fixed"/>
        <w:tblCellMar>
          <w:top w:w="0" w:type="dxa"/>
          <w:left w:w="0" w:type="dxa"/>
          <w:bottom w:w="0" w:type="dxa"/>
          <w:right w:w="0" w:type="dxa"/>
        </w:tblCellMar>
      </w:tblPr>
      <w:tblGrid>
        <w:gridCol w:w="124"/>
        <w:gridCol w:w="256"/>
        <w:gridCol w:w="5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0"/>
              <w:jc w:val="left"/>
              <w:rPr/>
            </w:pPr>
            <w:r>
              <w:rPr/>
              <w:t>●</w:t>
            </w:r>
          </w:p>
        </w:tc>
        <w:tc>
          <w:tcPr>
            <w:tcW w:w="591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operating risks inherent in the acquired business and our business; and </w:t>
            </w:r>
          </w:p>
        </w:tc>
      </w:tr>
    </w:tbl>
    <w:tbl>
      <w:tblPr>
        <w:tblW w:w="4686" w:type="dxa"/>
        <w:jc w:val="left"/>
        <w:tblInd w:w="0" w:type="dxa"/>
        <w:tblLayout w:type="fixed"/>
        <w:tblCellMar>
          <w:top w:w="0" w:type="dxa"/>
          <w:left w:w="0" w:type="dxa"/>
          <w:bottom w:w="0" w:type="dxa"/>
          <w:right w:w="0" w:type="dxa"/>
        </w:tblCellMar>
      </w:tblPr>
      <w:tblGrid>
        <w:gridCol w:w="124"/>
        <w:gridCol w:w="256"/>
        <w:gridCol w:w="4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0"/>
              <w:jc w:val="left"/>
              <w:rPr/>
            </w:pPr>
            <w:r>
              <w:rPr/>
              <w:t>●</w:t>
            </w:r>
          </w:p>
        </w:tc>
        <w:tc>
          <w:tcPr>
            <w:tcW w:w="430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other unanticipated issues, expenses and liabilities.</w:t>
            </w:r>
          </w:p>
        </w:tc>
      </w:tr>
    </w:tbl>
    <w:p>
      <w:pPr>
        <w:pStyle w:val="TextBody"/>
        <w:bidi w:val="0"/>
        <w:spacing w:before="0" w:after="200"/>
        <w:ind w:left="0" w:right="0" w:firstLine="72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failure to successfully complete the integration of any acquired business, including as a result of regulatory challenges and any adverse consequences associated with future acquisition activities, could have an adverse effect on our business, financial condition and operating results. Even if the integration of any acquired business is successfully completed, the full expected benefits and synergies of the acquisition may not be realized. Additional unanticipated costs, which could be material, may also be incurred in the integration of our business and the acquired business. Additionally, the full benefits of an acquisition may not be realized if the combined business does not perform as expected or demand for the combined company’s services does not meet our expectations. If any of the above risks occur, our business, financial condition, results of operations and cash flows may be materially and adversely impacted, we may fail to meet the expectations of investors or analysts, and our stock price may decline as a result.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If we lose key personnel, including key management personnel, or are unable to attract and retain additional personnel, it could delay our product development programs and harm our research and development efforts, make it more difficult to pursue partnerships or develop our own products or otherwise have a material adverse effect on our business.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business is complex and we intend to target a variety of markets. Therefore, it is critical that our management team and employee workforce are knowledgeable in the areas in which we operate. The departure, illness or absence of any key members of our management, including our named executive officers, or the failure to attract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retain other key employees who possess the requisite expertise for the conduct of our business, could prevent us from developing and commercializing our products for our target markets and entering into partnerships or licensing arrangements to execute our business strategy, as could the loss of any key scientific staff, or the failure to attract or retain other key scientific employees. We may not be able to attract or retain qualified employees in the future due to the intense competition for qualified personnel among biotechnology and other technology-based businesses, particularly in the advanced renewable fuels area, or due to the limited availability of personnel with the qualifications or experience necessary for our renewable chemicals and advanced renewable fuels business. If we are not able to attract and retain the necessary personnel to accomplish our business objectives, we may experience staffing constraints that will adversely affect our ability to meet the demands of our partners and customers in a timely fashion or to support our internal research and development programs and to grow our business. In particular, our product and process development programs are dependent on our ability to attract and retain highly skilled scientists. Competition for experienced scientists and other technical personnel from numerous companies and academic and other research institutions may limit our ability to do so on acceptable terms. All of our employees are at-will employees, meaning that either the employee or we may terminate their employment at any time.</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may face substantial competition from companies with greater resources and financial strength, which could adversely affect our performance and growth.</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may face substantial competition in the markets for renewable hydrocarbon products. Our competitors include companies in the incumbent petroleum-based industry as well as those in the nascent renewable fuels industry. The incumbent petroleum-based industry benefits from a large established infrastructure, production capability and business relationships. The incumbents’ greater resources and financial strength provide significant competitive advantages that we may not be able to overcome in a timely manner. Academic and government institutions may also develop technologies which will compete with us.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ability to compete successfully will depend on our ability to develop proprietary products that reach the market in a timely manner and are technologically superior to and/or are less expensive than other products on the market. Many of our competitors have substantially greater production, financial, research and development, personnel and marketing resources than we do. In addition, certain of our competitors may also benefit from local government subsidies and other incentives that are not available to us. As a result, our competitors may be able to develop competing and/or superior technologies and processes, and compete more aggressively and sustain that competition over a longer period of time than we could. Our technologies and products may be rendered obsolete or uneconomical by technological advances or entirely different approaches developed by one or more of our competitors. As more companies develop new intellectual property in our markets, the possibility of a competitor acquiring patent or other rights that may limit our products or potential products increases, which could lead to litigation. Furthermore, to secure purchase agreements from certain customers, we may be required to enter into exclusive supply contracts, which could limit our ability to further expand our sales to new customers. Likewise, major potential customers may be locked into long-term, exclusive agreements with our competitors, which could inhibit our ability to compete for their business.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limited resources relative to many of our competitors may cause us to fail to anticipate or respond adequately to new developments and other competitive pressures. This failure could reduce our competitiveness and market share, adversely affect our results of operations and financial position and prevent us from obtaining or maintaining profitability.</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Our business and operations would suffer in the event of IT system failures or a cyber-attack.</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business is dependent on proprietary technologies, processes and information that we have developed, much of which is stored on our computer systems. We also have entered into agreements with third parties for hardware, software, telecommunications and other information technology (“IT”) services in connection with our operations. Our operations depend, in part, on how well we and our vendors protect networks, equipment, IT systems and software against damage from a number of threats, including, but not limited to, cable cuts, damage to physical plants, natural disasters, intentional damage and destruction, fire, power loss, hacking, computer viruses, vandalism, theft, malware, ransomware and phishing attacks. Any of these and other events could result in IT system failures, delays, a material disruption of our business or increases in capital expenses. Our operations also depend on the timely maintenance,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upgrade and replacement of networks, equipment and IT systems and software, as well as preemptive expenses to mitigate the risks of failures.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Furthermore, the importance of such information technology systems and networks and systems has increased due to many of our employees working remotely. Additionally, if one of our service providers were to fail and we were unable to find a suitable replacement in a timely manner, we could be unable to properly administer our outsourced functions.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As cyber threats continue to evolve, we may be required to expend significant additional resources to continue to modify or enhance our protective measures or to investigate and remediate any information security vulnerabilities. While we have implemented security resources to protect our data security and information technology systems, such measures may not prevent such events. Significant disruption to our IT system or breaches of data security could have a material adverse effect on our business, financial condition and results of operations.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may engage in hedging transactions, which could adversely impact our business.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may engage in hedging transactions to offset some of the effects of volatility in commodity prices. Hedging activities may cause us to suffer losses, such as if we purchase a position in a declining market or sell a position in a rising market. Furthermore, hedging would expose us to the risk that we may have under- or over-estimated our need for a specific commodity or that the other party to a hedging contract may default on its obligation. If there are significant swings in commodity prices, or if we purchase more corn for future delivery than we can process, we may have to pay to terminate a futures contract, resell unneeded corn inventory at a loss or produce our products at a loss, all of which would have a material adverse effect on our financial performance. We may vary the hedging strategies we undertake, which could leave us more vulnerable to increases in commodity prices or decreases in the prices of our products. Future losses from hedging activities and changes in hedging strategy could have a material adverse effect on our operations.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As our SAF has not previously been used as a commercial fuel in significant amounts, its use subjects us to product liability risks.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SAF has not been used as a commercial fuel in large quantities or for a long period of time. Research regarding SAF and its distribution infrastructure is ongoing. Although SAF has been tested on some engines, there is a risk that SAF may damage engines or otherwise fail to perform as expected. If SAF degrades the performance or reduces the life-cycle of engines, or cause them to fail to meet emissions standards, market acceptance could be slowed or stopped, and we could be subject to product liability claims. A significant product liability lawsuit could substantially impair our production efforts and could have a material adverse effect on our business, reputation, financial condition and results of operations.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Competitiveness of our products for fuel use depends in part on government economic incentives for renewable energy projects or other related policies that could change.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depend, in part, on international, federal, state and local government incentives, including but not limited to the Section 45Z CFPCs, RINs, LCFS credits in California, Clean Fuel Program credits in Oregon, Renewable Energy Credits (“RECs”), rebates, tax credits and other incentives to end users, distributors, system integrators and manufacturers of renewable energy projects, that promote the use of renewable energy. These government economic incentives could be reduced or eliminated altogether, or the categories of renewable energy qualifying for such government economic incentives could be changed. These renewable energy program incentives are subject to regulatory oversight and could be administratively or legislatively changed in a manner that could have a material adverse effect on our operations. Reductions in, changes to, or eliminations or expirations of governmental incentives could result in decreased demand for, and lower revenues from, our projects and products. Further, our ability to generate revenue from the various government economic incentives depends on our strict compliance with the applicable federal and state programs, which are complex and can involve a significant degree of judgment. If the agencies that administer and enforce these programs disagree with our judgments, otherwise determine that we are not in compliance, conduct reviews of our activities or make changes to the programs, then our ability to generate revenue from the economic incentives could be temporarily restricted pending completion of reviews or as a penalty, permanently limited or lost entirely, and we could also be subject to fines or other sanctions.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addition, we may be required to register our projects or qualify our products with the federal government, various states or other countries. Delays in obtaining registration or qualification of our projects or products could delay future revenues and could adversely affect our cash flows. Further, we typically make a large investment in our projects prior to receiving registration and/or qualification. Failure of our projects or products to qualify for government economic incentives could have a material adverse effect on our business.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If we fail to maintain an effective system of internal controls, we might not be able to report our financial results accurately or prevent fraud; in that case, our stockholders could lose confidence in our financial reporting, which would harm our business and could negatively impact the price of our stock.</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Management identified a material weakness in the Company’s internal control over financial reporting related to information technology general controls within certain financial systems of a recently acquired entity. Specifically, deficiencies were identified in controls over privileged access management, change management, and certain IT operations processes. As a result, certain automated controls and IT-dependent manual controls were ineffective, and management concluded that the Company did not maintain effective internal control over financial reporting as of December 31, 2025. If not remediated, the Company’s failure to establish and maintain effective disclosure controls and procedures and internal control over financial reporting could result in material misstatements in its financial statements and a failure to meet its reporting and financial obligations, each of which could have a material adverse effect on the Company’s financial condition and the trading price of the shares of our common stock.</w:t>
      </w:r>
    </w:p>
    <w:p>
      <w:pPr>
        <w:pStyle w:val="TextBody"/>
        <w:bidi w:val="0"/>
        <w:spacing w:before="0" w:after="0"/>
        <w:ind w:left="0" w:right="0" w:firstLine="72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Risks Related to Intellectual Property</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Our ability to compete may be adversely affected if we do not adequately protect our proprietary technologies or if we lose some of our intellectual property rights through costly litigation or proceedings.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success will depend in part on our ability to obtain patents and maintain adequate protection of our intellectual property covering our technologies and products and potential products in the U.S. and other countries. We have adopted a strategy of seeking patent protection in the U.S. and in certain foreign countries with respect to certain of the technologies used in or relating to our products and processes. We own rights to hundreds of issued patents and filed patent applications in the U.S. and in various foreign jurisdictions. When and if issued, patents would expire at the end of their term and any patent would only provide us commercial advantage for a limited period of time, if at all. Our patent applications are directed to our enabling technologies and to our methods and products which support our business in the advanced renewable fuels and renewable chemicals markets. We intend to continue to apply for patents relating to our technologies, methods and products as we deem appropriate.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Only some of the patent applications that we have filed in the U.S. or in any foreign jurisdictions, and only certain of the patent applications filed by third parties in which we own rights, have been issued. A filed patent application does not guarantee a patent will issue and a patent issuing does not guarantee its validity, nor does it give us the right to practice the patented technology or commercialize the patented product. Third parties may have or obtain rights to “blocking patents” that could be used to prevent us from commercializing our products or practicing our technology. The scope and validity of patents and success in prosecuting patent applications involve complex legal and factual questions and, therefore, issuance, coverage and validity cannot be predicted with any certainty. Patents issuing from our filed applications may be challenged, invalidated or circumvented. Moreover, third parties could practice our inventions in secret and in territories where we do not have patent protection. Such third parties may then try to sell or import products made using our inventions in and into the U.S. or other territories and we may be unable to prove that such products were made using our inventions. Additional uncertainty may result from implementation of the Leahy-Smith America Invents Act, enacted in September 2011, as well as other potential patent reform legislation passed by the U.S. Congress and from legal precedent handed down by the Federal Circuit Court and the U.S. Supreme Court, as they determine legal issues concerning the scope, validity and construction of patent claims. Because patent applications in the U.S. and many foreign jurisdictions are typically not published until 18 months after filing, or in some cases not at all, and because publication of discoveries in the scientific literature often lags behind the actual discoveries, there is additional uncertainty as to the validity of any patents that may issue and the potential for “blocking patents” coming into force at some future date. Accordingly, we cannot ensure that any of our currently filed or future patent applications will result in issued patents, or even if issued, predict the scope of the claims that may issue in our and other companies’ patents. Any proceedings challenging our patents may result in the claims being amended or canceled. If the claims are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amended or canceled, the scope of our patent claims may be narrowed, which may reduce the scope of protection afforded by our patent portfolio. Given that the degree of future protection for our proprietary rights is uncertain, we cannot ensure that (i) we were the first to make the inventions covered by each of our filed applications, (ii) we were the first to file patent applications for these inventions, (iii) the proprietary technologies we develop will be patentable, (iv) any patents issued will be broad enough in scope to provide commercial advantage and prevent circumvention, and (v) competitors and other parties do not have or will not obtain patent protection that will block our development and commercialization activities.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These concerns apply equally to patents we have licensed, which may likewise be challenged, invalidated or circumvented, and the licensed technologies may be obstructed from commercialization by competitors’ “blocking patents.” In addition, we generally do not control the patent prosecution and maintenance of subject matter that we license from others. Generally, the licensors are primarily or wholly responsible for the patent prosecution and maintenance activities pertaining to the patent applications and patents we license, while we may only be afforded opportunities to comment on such activities. Accordingly, we are unable to exercise the same degree of control over licensed intellectual property as we exercise over our own intellectual property and we face the risk that our licensors will not prosecute or maintain it as effectively as we would like.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addition, unauthorized parties may attempt to copy or otherwise obtain and use our products or technology. Monitoring unauthorized use of our intellectual property is difficult, particularly where, as here, the end products reaching the market generally do not reveal the processes used in their manufacture, and particularly in certain foreign countries where the local laws may not protect our proprietary rights as fully as in the U.S., so we cannot be certain that the steps we have taken in obtaining intellectual property and other proprietary rights will prevent unauthorized use of our technology. If competitors are able to use our technology without our authorization, our ability to compete effectively could be adversely affected and our business could be harmed. Moreover, competitors and other parties such as universities may independently develop and obtain patents for technologies that are similar to or superior to our technologies. If that happens, the potential competitive advantages provided by our intellectual property may be adversely affected. We may then need to license these competing technologies, and we may not be able to obtain licenses on reasonable terms, if at all, which could cause material harm to our business. Accordingly, litigation may be necessary for us to assert claims of infringement, enforce patents we own or license, protect trade secrets or determine the enforceability, scope and validity of the intellectual property rights of others.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commercial success also depends in part on not infringing patents and proprietary rights of third parties, and not breaching any licenses or other agreements that we have entered into with regard to our technologies, products and business. We cannot be certain that patents have not or will not be issued to third parties that could block our ability to obtain patents or to operate our business as we would like, or at all. There may be patents in some countries that, if valid, may block our ability to commercialize products in those countries if we are unsuccessful in circumventing or acquiring rights to these patents. There may also be claims in patent applications filed in some countries that, if granted and valid, may also block our ability to commercialize products or processes in these countries if we are unable to circumvent or license them.</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As is commonplace in the biotechnology industries, some of our directors, employees and consultants are or have been employed at, or associated with, companies and universities that compete with us or have or will develop similar technologies and related intellectual property. While employed at these companies, these employees, directors and consultants may have been exposed to or involved in research and technology similar to the areas of research and technology in which we are engaged. Though we have not received such a complaint, we may be subject to allegations that we, our directors, employees or consultants have inadvertently or otherwise used, misappropriated or disclosed alleged trade secrets or confidential or proprietary information of those companies. Litigation may be necessary to defend against such allegations and the outcome of any such litigation would be uncertain.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Under some of our research and development agreements, our partners share joint rights in certain intellectual property we develop. Such provisions may limit our ability to gain commercial benefit from some of the intellectual property we develop and may lead to costly or time-consuming disputes with parties with whom we have commercial relationships over rights to certain innovations.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If any other party has filed patent applications or obtained patents that claim inventions also claimed by us, we may have to participate in interference, derivation or other proceedings declared by the U.S. Patent and Trademarks Office to determine priority of invention and, thus, the right to the patents for these inventions in the U.S. These proceedings could result in substantial cost to us even if the outcome is favorable. Even if successful, such a proceeding may result in the loss of certain claims. Even successful outcomes of such proceedings could result in significant legal fees and other expenses, diversion of management time and efforts and disruption in our business. Uncertainties resulting from initiation and continuation of any patent or related litigation could harm our ability to compete and have an adverse impact on our financial condition.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may not be able to enforce our intellectual property rights throughout the world.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laws of some foreign countries do not protect intellectual property rights to the same extent as federal and state laws in the U.S. Many companies have encountered significant problems in protecting and enforcing intellectual property rights in certain foreign jurisdictions, and, particularly with any future international partners, we may face new and increased risks and challenges in protecting and enforcing our intellectual property rights abroad. The legal systems of certain countries, particularly certain developing countries, do not favor the enforcement of patents and other intellectual property protection, particularly those relating to bioindustrial technologies. This could make it difficult for us to stop the infringement of our patents or misappropriation of our other intellectual property rights. Proceedings to enforce our patents and other proprietary rights in foreign jurisdictions could result in substantial costs and divert our efforts and attention from other aspects of our business. Accordingly, our efforts to enforce our intellectual property rights in such countries may be inadequate to obtain or maintain a commercial advantage from the intellectual property that we develop, which could negatively impact our results of operations and financial condition.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Confidentiality agreements with employees and others may not adequately prevent disclosures of trade secrets and other proprietary information.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rely in part on trade secret protection to protect our confidential and proprietary information and processes. However, trade secrets are difficult to protect. We have taken measures to protect our trade secrets and proprietary information, but these measures may not be effective. We require new employees and consultants to execute confidentiality agreements upon the commencement of an employment or consulting arrangement with us. These agreements generally require that all confidential information developed by the individual or made known to the individual by us during the course of the individual’s relationship with us be kept confidential and not disclosed to third parties. These agreements also generally provide that know-how and inventions conceived by the individual in the course of rendering services to us shall be our exclusive property. Nevertheless, these agreements may not be enforceable, our proprietary information may still be disclosed, third parties could reverse engineer our biocatalysts and others may independently develop substantially equivalent proprietary information and techniques or otherwise gain access to our trade secrets. Costly and time-consuming litigation could be necessary to enforce and determine the scope of our proprietary rights, and failure to obtain or maintain trade secret protection could adversely affect our competitive business position. In addition, an unauthorized breach in our information technology systems may expose our trade secrets and other proprietary information to unauthorized parties. Any exposure of our trade secrets or other proprietary information could harm our competitive position and have an adverse impact on our financial condition.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have received funding from U.S. government agencies, which could negatively affect our intellectual property rights.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Some of our research has been funded by grants from U.S. government agencies. When new technologies are developed with U.S. government funding, the government obtains certain rights in any resulting patents and technical data, generally including, at a minimum, a nonexclusive license authorizing the government to use the invention or technical data for noncommercial purposes. U.S. government funding must be disclosed in any resulting patent applications, and our rights in such inventions will normally be subject to government license rights, periodic progress reporting, foreign manufacturing restrictions and march-in rights. March-in rights refer to the right of the U.S. government, under certain limited circumstances, to require us to grant a license to technology developed under a government grant to a responsible applicant or, if we refuse, to grant such a license itself. March-in rights can be triggered if the government determines that we have failed to work sufficiently towards achieving practical application of a technology or if action is necessary to alleviate health or safety needs, to meet requirements of federal regulations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to give preference to U.S. industry. If we breach the terms of our grants, the government may gain rights to the intellectual property developed in our related research. The government’s rights in our intellectual property may lessen its commercial value, which could adversely affect our performance.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Risks Related to Legal and Regulatory</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The U.S. renewable fuels industry is highly dependent upon certain federal and state legislation and regulation and any changes in legislation or regulation could have a material adverse effect on our results of operations, cash flows and financial condition.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EPA has implemented the RFS Program pursuant to the Energy Policy Act of 2005 (the “Energy Policy Act”) and the Energy Independence and Security Act of 2007. The RFS Program sets annual quotas for the quantity of renewable fuels that must be blended into motor fuels consumed in the U.S. The domestic market for renewable fuels is significantly impacted by federal mandates under the RFS Program for volumes of renewable fuels required to be blended with gasoline. Future demand for renewable fuels will be largely dependent upon incentives to blend renewable fuels into motor fuels, including the price of renewable fuels relative to the price of gasoline, the relative octane value of the renewable fuel, constraints in the ability of vehicles to use higher renewable fuel blends, the RFS Program and other applicable environmental requirements. Any significant increase in production capacity above the RFS Program minimum requirements may have an adverse impact on renewable fuel prices. Any change in government policies regarding the RFS Program could have a material adverse effect on our business and the results of our operations.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Waivers of the RFS minimum levels of renewable fuels included in motor fuels or of the requirements by obligated parties to comply with the regulations could have a material adverse effect on our results of operations. Under the Energy Policy Act, the U.S. Department of Energy, in consultation with the Secretary of Agriculture and the Secretary of Energy, may waive the renewable fuels mandate with respect to one or more states if the Administrator of the EPA determines that implementing the requirements would severely harm the economy or the environment of a state, a region or the nation, or that there is inadequate supply to meet the requirement. Additionally, the EPA has exercised the authority to waive the requirements of the RFS minimum levels for certain small refiners. Any waiver of the RFS minimum levels with respect to one or more states would reduce demand for renewable fuels and could cause our results of operations to decline and our financial condition to suffer. Further activity by the EPA to waive the requirements for small refiners could cause softening of pricing in the industry and cause our results of operations to similarly decline.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 critical state program is California’s LCFS program, which is designed to reduce GHG emissions associated with transportation fuels used in California by ensuring that the fuel sold in California meets declining targets for such emissions. The regulation quantifies life-cycle GHG emissions by assigning a CI score to each transportation fuel based on that fuel’s life-cycle assessment. Each petroleum fuel provider, generally the fuel’s producer or importer (the “Regulated Party”), is required to ensure that the overall CI score for its fuel pool meets the annual CI target for a given year. A Regulated Party’s fuel pool can include gasoline, diesel and their blend stocks and substitutes. This obligation is tracked through credits and deficits. Fuels with a CI score lower than the annual standard earn a credit, and fuels that are higher than the standard result in a deficit. Several other states also have or are considering adopting this model. Oregon’s Clean Fuels Program, enacted in 2009 and implemented in 2016, operates using a credit system similar to the California LCFS program. Any changes to California’s LCFS program or failure of other states to implement similar programs could have a material adverse effect on our business and the results of our operations.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Reductions or changes to existing regulations and policies may present technical, regulatory and economic barriers, which may significantly reduce demand for renewable fuels or our ability to supply our products.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market for renewable fuels is heavily influenced by foreign, federal, state and local government laws, regulations and policies. Changes in these laws, regulations and policies or how these laws, regulations and policies are implemented and enforced could cause the demand for renewable fuels to decline, deter investment in the research and development of renewable fuels and adversely affect our business..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Concerns associated with renewable fuels, including land usage, national security interests and food crop usage, continue to receive legislative, industry and public attention. This attention could result in future legislation, regulation and/or administrative action that could adversely affect our business. Any inability to address these requirements and any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regulatory or policy changes could have a material adverse effect on our business, financial condition and results of operations.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Additionally, our renewable hydrocarbon plants may emit GHG. Any changes in state or federal emissions regulations, including the passage of cap-and-trade legislation or a carbon tax, could limit our production of renewable hydrocarbon products and increase our operating costs, which could have a material adverse effect on our business, financial condition and results of operations. The results of U.S. elections could lead to changes in federal or state laws and regulations that could have a material adverse effect on our business, prospects, financial condition and results of operations.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Negative attitudes toward renewable energy projects from the U.S. government, other lawmakers and regulators, activists and others could adversely affect our business, financial condition and results of operations.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Parties with an interest in other energy sources, including lawmakers, regulators, policymakers, environmental and advocacy organizations or other activists may invest significant time and money in efforts to delay, repeal or otherwise negatively influence regulations and programs that promote renewable energy. Many of these parties have substantially greater resources and influence than we have. Further, changes in U.S. federal, state or local political, social or economic conditions, including a lack of legislative focus on these programs and regulations, could result in their modification, delayed adoption or repeal. Any failure to adopt, delay in implementing, expiration, repeal or modification of these programs and regulations, or the adoption of any programs or regulations that encourage the use of other energy sources over renewable energy, could adversely affect our business, financial condition and results of operations.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Any claims relating to improper handling, storage or disposal of hazardous materials or noncompliance with applicable laws and regulations could be time consuming and costly and could adversely affect our business and results of operations.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research and development processes involve the use of hazardous materials, including chemical, radioactive and biological materials. Our operations also produce hazardous waste. We cannot eliminate entirely the risk of accidental contamination or discharge and any resultant injury from these materials. Federal, state and local laws and regulations govern the use, manufacture, storage, handling and disposal of, and human exposure to, these materials. We may be sued for any injury or contamination that results from our use or the use by third parties of these materials, and our liability may exceed our total assets. Although we believe that our activities conform in all material respects with environmental laws, there can be no assurance that violations of environmental, health and safety laws will not occur in the future as a result of human error, accident, equipment failure or other causes. Compliance with applicable environmental laws and regulations may be expensive, and the failure to comply with past, present or future laws could result in the imposition of fines, third-party property damage, product liability and personal injury claims, investigation and remediation costs, the suspension of production or a cessation of operations, and our liability may exceed our total assets. Liability under environmental laws can be joint and several and without regard to comparative fault. Environmental laws could become more stringent over time, imposing greater compliance costs and increasing risks and penalties associated with violations, which could impair our research, development or production efforts and harm our business.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Risks Related to Owning Our Securities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may not be able to comply with all applicable listing requirements or standards of The Nasdaq Capital Market and Nasdaq could delist our common stock.</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common stock is listed on The Nasdaq Capital Market, and in order to maintain that listing, we must satisfy applicable Nasdaq continued listing requirements. The inability to comply with applicable listing requirements or standards of The Nasdaq Stock Market LLC (“Nasdaq”) could result in the delisting of our common stock, which could have a material adverse effect on our financial condition and could cause the value of our common stock to decline. Delisting of our common stock could also adversely affect our ability to raise additional financing, could significantly affect the ability of our investors to trade our securities and could negatively affect the value and liquidity of our common stock. Delisting could also have other negative results, including the potential loss of confidence by employees and fewer business development opportunities.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Future issuances of our common stock or instruments convertible or exercisable into our common stock may materially and adversely affect the price of our common stock and cause dilution to our existing stockholders.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Historically, we have raised capital by issuing common stock and warrants in public offerings because no other reasonable sources of capital were available. These public offerings of common stock and warrants have materially and adversely affected the prevailing market prices of our common stock and caused significant dilution to our stockholders. We have also historically raised capital or refinanced outstanding debt through the issuance of convertible notes.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may need to raise capital through these public offerings of common stock, warrants and convertible debt in the future.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may obtain additional funds through public or private debt or equity financings, subject to certain limitations in the agreements governing our indebtedness. If we issue additional shares of common stock or instruments convertible into common stock, it may materially and adversely affect the price of our common stock.</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Raising capital at a subsidiary, or project, level would result in lower revenues attributable back to us.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operate in a capital-intensive business and in order to construct our facilities, we need to raise large amounts of capital. In order to finance the construction of ATJ-60 and any other Alcohol-to-Jet Projects, we currently expect to raise capital at the subsidiary level using third party capital. By raising capital at a project level, any equity in that project that is sold to a third party would result in lower ownership of that project by us. Thus, we would only be entitled to the revenues and expenses that are proportionate to our level of ownership in the project. If we are required to sell a large portion of the equity in our projects to third parties, it may have a material adverse effect on our business, financial condition and operating results.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Our stock price may be volatile, and your investment in our securities could suffer a decline in value.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market price of shares of our common stock has experienced significant price and volume fluctuations. We cannot predict whether the price of our common stock will rise or fall. A variety of factors may have a significant effect on our stock price, including:</w:t>
      </w:r>
    </w:p>
    <w:tbl>
      <w:tblPr>
        <w:tblW w:w="7956" w:type="dxa"/>
        <w:jc w:val="left"/>
        <w:tblInd w:w="0" w:type="dxa"/>
        <w:tblLayout w:type="fixed"/>
        <w:tblCellMar>
          <w:top w:w="28" w:type="dxa"/>
          <w:left w:w="28" w:type="dxa"/>
          <w:bottom w:w="28" w:type="dxa"/>
          <w:right w:w="28" w:type="dxa"/>
        </w:tblCellMar>
      </w:tblPr>
      <w:tblGrid>
        <w:gridCol w:w="124"/>
        <w:gridCol w:w="256"/>
        <w:gridCol w:w="75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fluctuations in our liquidity, financial condition and operating results;</w:t>
            </w:r>
          </w:p>
        </w:tc>
      </w:tr>
    </w:tbl>
    <w:tbl>
      <w:tblPr>
        <w:tblW w:w="4236" w:type="dxa"/>
        <w:jc w:val="left"/>
        <w:tblInd w:w="0" w:type="dxa"/>
        <w:tblLayout w:type="fixed"/>
        <w:tblCellMar>
          <w:top w:w="28" w:type="dxa"/>
          <w:left w:w="28" w:type="dxa"/>
          <w:bottom w:w="28" w:type="dxa"/>
          <w:right w:w="28" w:type="dxa"/>
        </w:tblCellMar>
      </w:tblPr>
      <w:tblGrid>
        <w:gridCol w:w="124"/>
        <w:gridCol w:w="256"/>
        <w:gridCol w:w="38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position of our cash and cash equivalents;</w:t>
            </w:r>
          </w:p>
        </w:tc>
      </w:tr>
    </w:tbl>
    <w:tbl>
      <w:tblPr>
        <w:tblW w:w="5841" w:type="dxa"/>
        <w:jc w:val="left"/>
        <w:tblInd w:w="0" w:type="dxa"/>
        <w:tblLayout w:type="fixed"/>
        <w:tblCellMar>
          <w:top w:w="28" w:type="dxa"/>
          <w:left w:w="28" w:type="dxa"/>
          <w:bottom w:w="28" w:type="dxa"/>
          <w:right w:w="28" w:type="dxa"/>
        </w:tblCellMar>
      </w:tblPr>
      <w:tblGrid>
        <w:gridCol w:w="124"/>
        <w:gridCol w:w="256"/>
        <w:gridCol w:w="5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capital costs required to construct our Alcohol-to-Jet Projects;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certain regulatory permits or approvals for our production facilities, including our Alcohol-to-Jet Projects;</w:t>
            </w:r>
          </w:p>
        </w:tc>
      </w:tr>
    </w:tbl>
    <w:tbl>
      <w:tblPr>
        <w:tblW w:w="6636" w:type="dxa"/>
        <w:jc w:val="left"/>
        <w:tblInd w:w="0" w:type="dxa"/>
        <w:tblLayout w:type="fixed"/>
        <w:tblCellMar>
          <w:top w:w="28" w:type="dxa"/>
          <w:left w:w="28" w:type="dxa"/>
          <w:bottom w:w="28" w:type="dxa"/>
          <w:right w:w="28" w:type="dxa"/>
        </w:tblCellMar>
      </w:tblPr>
      <w:tblGrid>
        <w:gridCol w:w="124"/>
        <w:gridCol w:w="256"/>
        <w:gridCol w:w="6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changes in our growth rate relative to our competitors;</w:t>
            </w:r>
          </w:p>
        </w:tc>
      </w:tr>
    </w:tbl>
    <w:tbl>
      <w:tblPr>
        <w:tblW w:w="8766" w:type="dxa"/>
        <w:jc w:val="left"/>
        <w:tblInd w:w="0" w:type="dxa"/>
        <w:tblLayout w:type="fixed"/>
        <w:tblCellMar>
          <w:top w:w="28" w:type="dxa"/>
          <w:left w:w="28" w:type="dxa"/>
          <w:bottom w:w="28" w:type="dxa"/>
          <w:right w:w="28" w:type="dxa"/>
        </w:tblCellMar>
      </w:tblPr>
      <w:tblGrid>
        <w:gridCol w:w="124"/>
        <w:gridCol w:w="256"/>
        <w:gridCol w:w="8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fluctuations in our competitors’ operating results or changes in their growth rate;</w:t>
            </w:r>
          </w:p>
        </w:tc>
      </w:tr>
    </w:tbl>
    <w:tbl>
      <w:tblPr>
        <w:tblW w:w="7326" w:type="dxa"/>
        <w:jc w:val="left"/>
        <w:tblInd w:w="0" w:type="dxa"/>
        <w:tblLayout w:type="fixed"/>
        <w:tblCellMar>
          <w:top w:w="28" w:type="dxa"/>
          <w:left w:w="28" w:type="dxa"/>
          <w:bottom w:w="28" w:type="dxa"/>
          <w:right w:w="28" w:type="dxa"/>
        </w:tblCellMar>
      </w:tblPr>
      <w:tblGrid>
        <w:gridCol w:w="124"/>
        <w:gridCol w:w="256"/>
        <w:gridCol w:w="6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technological innovations by us, our partners or our competitors;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by us, our partners or our competitors of significant acquisitions, strategic partnerships, joint ventures or capital commitments;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entry into, modification or termination of licensing arrangements, marketing arrangements, and/or research, development, commercialization, supply, off-take or distribution arrangements;</w:t>
            </w:r>
          </w:p>
        </w:tc>
      </w:tr>
    </w:tbl>
    <w:tbl>
      <w:tblPr>
        <w:tblW w:w="6516" w:type="dxa"/>
        <w:jc w:val="left"/>
        <w:tblInd w:w="0" w:type="dxa"/>
        <w:tblLayout w:type="fixed"/>
        <w:tblCellMar>
          <w:top w:w="28" w:type="dxa"/>
          <w:left w:w="28" w:type="dxa"/>
          <w:bottom w:w="28" w:type="dxa"/>
          <w:right w:w="28" w:type="dxa"/>
        </w:tblCellMar>
      </w:tblPr>
      <w:tblGrid>
        <w:gridCol w:w="124"/>
        <w:gridCol w:w="25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consistently produce commercial quantities of our products;</w:t>
            </w:r>
          </w:p>
        </w:tc>
      </w:tr>
    </w:tbl>
    <w:tbl>
      <w:tblPr>
        <w:tblW w:w="4056" w:type="dxa"/>
        <w:jc w:val="left"/>
        <w:tblInd w:w="0" w:type="dxa"/>
        <w:tblLayout w:type="fixed"/>
        <w:tblCellMar>
          <w:top w:w="28" w:type="dxa"/>
          <w:left w:w="28" w:type="dxa"/>
          <w:bottom w:w="28" w:type="dxa"/>
          <w:right w:w="28" w:type="dxa"/>
        </w:tblCellMar>
      </w:tblPr>
      <w:tblGrid>
        <w:gridCol w:w="124"/>
        <w:gridCol w:w="256"/>
        <w:gridCol w:w="3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or losses of customers or partners;</w:t>
            </w:r>
          </w:p>
        </w:tc>
      </w:tr>
    </w:tbl>
    <w:tbl>
      <w:tblPr>
        <w:tblW w:w="9876" w:type="dxa"/>
        <w:jc w:val="left"/>
        <w:tblInd w:w="0" w:type="dxa"/>
        <w:tblLayout w:type="fixed"/>
        <w:tblCellMar>
          <w:top w:w="28" w:type="dxa"/>
          <w:left w:w="28" w:type="dxa"/>
          <w:bottom w:w="28" w:type="dxa"/>
          <w:right w:w="28" w:type="dxa"/>
        </w:tblCellMar>
      </w:tblPr>
      <w:tblGrid>
        <w:gridCol w:w="124"/>
        <w:gridCol w:w="256"/>
        <w:gridCol w:w="9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certain regulatory approvals for the use of our products in various fuels and chemicals markets;</w:t>
            </w:r>
          </w:p>
        </w:tc>
      </w:tr>
    </w:tbl>
    <w:tbl>
      <w:tblPr>
        <w:tblW w:w="5181" w:type="dxa"/>
        <w:jc w:val="left"/>
        <w:tblInd w:w="0" w:type="dxa"/>
        <w:tblLayout w:type="fixed"/>
        <w:tblCellMar>
          <w:top w:w="28" w:type="dxa"/>
          <w:left w:w="28" w:type="dxa"/>
          <w:bottom w:w="28" w:type="dxa"/>
          <w:right w:w="28" w:type="dxa"/>
        </w:tblCellMar>
      </w:tblPr>
      <w:tblGrid>
        <w:gridCol w:w="124"/>
        <w:gridCol w:w="256"/>
        <w:gridCol w:w="4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commodity prices, including oil, ethanol and corn prices;</w:t>
            </w:r>
          </w:p>
        </w:tc>
      </w:tr>
    </w:tbl>
    <w:tbl>
      <w:tblPr>
        <w:tblW w:w="5931" w:type="dxa"/>
        <w:jc w:val="left"/>
        <w:tblInd w:w="0" w:type="dxa"/>
        <w:tblLayout w:type="fixed"/>
        <w:tblCellMar>
          <w:top w:w="28" w:type="dxa"/>
          <w:left w:w="28" w:type="dxa"/>
          <w:bottom w:w="28" w:type="dxa"/>
          <w:right w:w="28" w:type="dxa"/>
        </w:tblCellMar>
      </w:tblPr>
      <w:tblGrid>
        <w:gridCol w:w="124"/>
        <w:gridCol w:w="256"/>
        <w:gridCol w:w="5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or departures of key management or scientific personnel;</w:t>
            </w:r>
          </w:p>
        </w:tc>
      </w:tr>
    </w:tbl>
    <w:tbl>
      <w:tblPr>
        <w:tblW w:w="6171" w:type="dxa"/>
        <w:jc w:val="left"/>
        <w:tblInd w:w="0" w:type="dxa"/>
        <w:tblLayout w:type="fixed"/>
        <w:tblCellMar>
          <w:top w:w="28" w:type="dxa"/>
          <w:left w:w="28" w:type="dxa"/>
          <w:bottom w:w="28" w:type="dxa"/>
          <w:right w:w="28" w:type="dxa"/>
        </w:tblCellMar>
      </w:tblPr>
      <w:tblGrid>
        <w:gridCol w:w="124"/>
        <w:gridCol w:w="256"/>
        <w:gridCol w:w="5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from existing products or new products that may emerge;</w:t>
            </w:r>
          </w:p>
        </w:tc>
      </w:tr>
    </w:tbl>
    <w:tbl>
      <w:tblPr>
        <w:tblW w:w="6786" w:type="dxa"/>
        <w:jc w:val="left"/>
        <w:tblInd w:w="0" w:type="dxa"/>
        <w:tblLayout w:type="fixed"/>
        <w:tblCellMar>
          <w:top w:w="28" w:type="dxa"/>
          <w:left w:w="28" w:type="dxa"/>
          <w:bottom w:w="28" w:type="dxa"/>
          <w:right w:w="28" w:type="dxa"/>
        </w:tblCellMar>
      </w:tblPr>
      <w:tblGrid>
        <w:gridCol w:w="124"/>
        <w:gridCol w:w="256"/>
        <w:gridCol w:w="6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new or updated research reports by securities or industry analysts;</w:t>
            </w:r>
          </w:p>
        </w:tc>
      </w:tr>
    </w:tbl>
    <w:tbl>
      <w:tblPr>
        <w:tblW w:w="7776" w:type="dxa"/>
        <w:jc w:val="left"/>
        <w:tblInd w:w="0" w:type="dxa"/>
        <w:tblLayout w:type="fixed"/>
        <w:tblCellMar>
          <w:top w:w="28" w:type="dxa"/>
          <w:left w:w="28" w:type="dxa"/>
          <w:bottom w:w="28" w:type="dxa"/>
          <w:right w:w="28" w:type="dxa"/>
        </w:tblCellMar>
      </w:tblPr>
      <w:tblGrid>
        <w:gridCol w:w="124"/>
        <w:gridCol w:w="256"/>
        <w:gridCol w:w="7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the valuation of companies perceived by investors to be comparable to us;</w:t>
            </w:r>
          </w:p>
        </w:tc>
      </w:tr>
    </w:tbl>
    <w:tbl>
      <w:tblPr>
        <w:tblW w:w="4791" w:type="dxa"/>
        <w:jc w:val="left"/>
        <w:tblInd w:w="0" w:type="dxa"/>
        <w:tblLayout w:type="fixed"/>
        <w:tblCellMar>
          <w:top w:w="28" w:type="dxa"/>
          <w:left w:w="28" w:type="dxa"/>
          <w:bottom w:w="28" w:type="dxa"/>
          <w:right w:w="28" w:type="dxa"/>
        </w:tblCellMar>
      </w:tblPr>
      <w:tblGrid>
        <w:gridCol w:w="124"/>
        <w:gridCol w:w="256"/>
        <w:gridCol w:w="4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involving us, our general industry or both;</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disputes or other developments related to proprietary rights, including patents, litigation matters and our ability to obtain patent protection for our technologies;</w:t>
            </w:r>
          </w:p>
        </w:tc>
      </w:tr>
    </w:tbl>
    <w:tbl>
      <w:tblPr>
        <w:tblW w:w="8691" w:type="dxa"/>
        <w:jc w:val="left"/>
        <w:tblInd w:w="0" w:type="dxa"/>
        <w:tblLayout w:type="fixed"/>
        <w:tblCellMar>
          <w:top w:w="28" w:type="dxa"/>
          <w:left w:w="28" w:type="dxa"/>
          <w:bottom w:w="28" w:type="dxa"/>
          <w:right w:w="28" w:type="dxa"/>
        </w:tblCellMar>
      </w:tblPr>
      <w:tblGrid>
        <w:gridCol w:w="124"/>
        <w:gridCol w:w="256"/>
        <w:gridCol w:w="8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or expectations of additional financing efforts or the pursuit of strategic alternatives;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existing laws, regulations and policies applicable to our business and products, and the adoption of or failure to adopt carbon emissions regulation;</w:t>
            </w:r>
          </w:p>
        </w:tc>
      </w:tr>
    </w:tbl>
    <w:tbl>
      <w:tblPr>
        <w:tblW w:w="8436" w:type="dxa"/>
        <w:jc w:val="left"/>
        <w:tblInd w:w="0" w:type="dxa"/>
        <w:tblLayout w:type="fixed"/>
        <w:tblCellMar>
          <w:top w:w="28" w:type="dxa"/>
          <w:left w:w="28" w:type="dxa"/>
          <w:bottom w:w="28" w:type="dxa"/>
          <w:right w:w="28" w:type="dxa"/>
        </w:tblCellMar>
      </w:tblPr>
      <w:tblGrid>
        <w:gridCol w:w="124"/>
        <w:gridCol w:w="256"/>
        <w:gridCol w:w="8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common stock or equity-linked securities, such as warrants, by us or our stockholders;</w:t>
            </w:r>
          </w:p>
        </w:tc>
      </w:tr>
    </w:tbl>
    <w:tbl>
      <w:tblPr>
        <w:tblW w:w="8601" w:type="dxa"/>
        <w:jc w:val="left"/>
        <w:tblInd w:w="0" w:type="dxa"/>
        <w:tblLayout w:type="fixed"/>
        <w:tblCellMar>
          <w:top w:w="28" w:type="dxa"/>
          <w:left w:w="28" w:type="dxa"/>
          <w:bottom w:w="28" w:type="dxa"/>
          <w:right w:w="28" w:type="dxa"/>
        </w:tblCellMar>
      </w:tblPr>
      <w:tblGrid>
        <w:gridCol w:w="124"/>
        <w:gridCol w:w="256"/>
        <w:gridCol w:w="8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price and volume fluctuations attributable to inconsistent trading volume levels of our shares;</w:t>
            </w:r>
          </w:p>
        </w:tc>
      </w:tr>
    </w:tbl>
    <w:tbl>
      <w:tblPr>
        <w:tblW w:w="4296" w:type="dxa"/>
        <w:jc w:val="left"/>
        <w:tblInd w:w="0" w:type="dxa"/>
        <w:tblLayout w:type="fixed"/>
        <w:tblCellMar>
          <w:top w:w="28" w:type="dxa"/>
          <w:left w:w="28" w:type="dxa"/>
          <w:bottom w:w="28" w:type="dxa"/>
          <w:right w:w="28" w:type="dxa"/>
        </w:tblCellMar>
      </w:tblPr>
      <w:tblGrid>
        <w:gridCol w:w="124"/>
        <w:gridCol w:w="256"/>
        <w:gridCol w:w="3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market conditions in our industry; and</w:t>
            </w:r>
          </w:p>
        </w:tc>
      </w:tr>
    </w:tbl>
    <w:tbl>
      <w:tblPr>
        <w:tblW w:w="3876" w:type="dxa"/>
        <w:jc w:val="left"/>
        <w:tblInd w:w="0" w:type="dxa"/>
        <w:tblLayout w:type="fixed"/>
        <w:tblCellMar>
          <w:top w:w="28" w:type="dxa"/>
          <w:left w:w="28" w:type="dxa"/>
          <w:bottom w:w="28" w:type="dxa"/>
          <w:right w:w="28" w:type="dxa"/>
        </w:tblCellMar>
      </w:tblPr>
      <w:tblGrid>
        <w:gridCol w:w="124"/>
        <w:gridCol w:w="256"/>
        <w:gridCol w:w="3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and market conditions.</w:t>
            </w:r>
          </w:p>
        </w:tc>
      </w:tr>
    </w:tbl>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Furthermore, the stock markets have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shares of our common stock, regardless of our operating performance, and cause the value of your investment to decline.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Additionally, in the past, companies that have experienced volatility in the market price of their stock have been subject to securities class action litigation or other derivative shareholder lawsuits. We may be the target of this type of litigation in the future. Securities litigation against us could result in substantial costs and divert our management’s attention from other business concerns, which could seriously harm our business regardless of the outcome.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price of our common stock could also be affected by possible sales of common stock by investors who view our warrants as a more attractive means of equity participation in us and by hedging or engaging in arbitrage activity involving our common stock. The hedging or arbitrage could, in turn, affect the trading prices of our warrants, if any trading market becomes established, or any common stock that holders receive upon exercise of such warrants.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Sales of a substantial number of shares of our common stock or securities linked to our common stock, such as our warrants (should an established market for such securities then exist), in the public market could occur at any time. These sales, or the perception in the market that such sales may occur, could reduce the market price of our common stock.</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addition, certain holders of our outstanding common stock have rights, subject to certain conditions, to require us to file registration statements covering their shares and to include their shares in registration statements that we may file for ourselves or other stockholders.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The estimates and assumptions on which our financial projections are based may prove to be inaccurate.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financial projections, including any projected investment returns on projects, sales or earnings guidance or outlook that we may provide from time to time, are dependent on estimates and assumptions related to, among other things, industry growth, product and plant development, estimated capital expenses for growth development projects, market share projections, product pricing and sale, customer interest in our products, availability of government incentives, tax rates, accruals for estimated liabilities, and our ability to raise sufficient funds or generate sufficient cash flow to continue operations and/or expand our production capabilities. Our financial projections are based on historical experience and on various other estimates and assumptions that we believe to be reasonable under the circumstances and at the time they are made, and our actual results may differ materially from our financial projections.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Raising additional capital may cause dilution to our existing stockholders, restrict our operations or require us to relinquish rights to our technologies.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may seek additional capital through a combination of public and private equity offerings, debt financings, strategic partnerships and licensing arrangements. To the extent that we raise additional capital through the sale or issuance of equity, warrants or convertible debt securities, the ownership interest of our existing shareholders will be diluted, and the terms of such securities may include liquidation or other preferences that adversely affect your rights as a stockholder. If we raise capital through debt financing, it may involve agreements that include covenants further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limiting or restricting our ability to take certain actions, such as incurring additional debt, making capital expenditures or declaring dividends. If we raise additional funds through strategic partnerships or licensing agreements with third parties, we may have to relinquish valuable rights to our technologies or grant licenses on terms that are not favorable to us. If we are unable to raise additional funds when needed, we may be required to delay, limit, reduce or terminate our development and commercialization efforts.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do not anticipate paying cash dividends, and accordingly, stockholders must rely on stock appreciation for any return on their investment.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have never paid cash dividends on our common stock and we do not expect to pay cash dividends on our common stock at any time in the foreseeable future. The future payment of dividends directly depends upon our future earnings, capital requirements, financial requirements and other factors that our board of directors will consider. As a result, only appreciation of the price of our common stock, which may never occur, will provide a return to stockholders. Investors seeking cash dividends should not invest in our common stock.</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If securities or industry analysts do not publish research or reports about our business, or publish negative reports about our business, our stock price and trading volume could decline. The trading market for our common stock will be influenced by the research and reports that securities or industry analysts publish about us or our business.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do not have any control over securities or industry analysts. If one or more of the analysts who cover us downgrade our common stock or change their opinion of our common stock, our common stock price would likely decline which in turn would likely cause a decline in the value of our warrants. If one or more of these analysts cease coverage of us or fail to regularly publish reports on us, we could lose visibility in the financial markets, which could cause our common stock price and the price of our warrants to decline or the trading volume of our common stock to decline.</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are subject to anti-takeover provisions in our certificate of incorporation, our bylaws and under Delaware law that could delay or prevent an acquisition of the Company, even if the acquisition would be beneficial to our stockholders.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Provisions in our certificate of incorporation and our bylaws may delay or prevent an acquisition of the Company. Among other things, our certificate of incorporation and bylaws provide for a board of directors that is divided into three classes with staggered three-year terms, provide that all stockholder action must be effected at a duly called meeting of the stockholders and not by a consent in writing, and further provide that only our board of directors may call a special meeting of the stockholders. These provisions may also frustrate or prevent any attempts by our stockholders to replace or remove our current management by making it more difficult for stockholders to replace members of our board of directors, who are responsible for appointing the members of our management team. Furthermore, because we are incorporated in Delaware, we are governed by the provisions of Section 203 of the Delaware General Corporation Law (the “DGCL”), which prohibits, with some exceptions, stockholders owning in excess of 15% of our outstanding voting stock from merging or combining with us. Finally, our charter documents establish advance notice requirements for nominations for election to our board of directors and for proposing matters that can be acted upon at stockholder meetings. Although we believe these provisions together provide an opportunity to receive higher bids by requiring potential acquirers to negotiate with our board of directors, they would apply even if an offer to acquire the Company may be considered beneficial by some stockholders.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Our certificate of incorporation provides that, unless we consent in writing to the selection of an alternative forum,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certificate of incorporation provides that the Court of Chancery of the State of Delaware shall, unless we consent in writing to the selection of an alternative forum, be the sole and exclusive forum for (i) any derivative action or proceeding brought on behalf of the Company, (ii) any action asserting a claim of breach of a fiduciary duty owed by any director, officer or other employee of the Company to the Company or its stockholders, (iii) any action asserting a claim arising pursuant to any provision of the Delaware General Corporation Law, or (iv) any action asserting a claim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governed by the internal affairs doctrine, in each case subject to said Court of Chancery having personal jurisdiction over the indispensable parties named as defendants therein.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exclusive forum provision may limit a stockholder’s ability to bring a claim in a judicial forum that it finds favorable for disputes with us or our directors, officers, employees or agents, which may discourage such lawsuits against us and our directors, officers, employees and agents. Stockholders who do bring a claim in the Court of Chancery could face additional litigation costs in pursuing any such claim, particularly if they do not reside in or near the State of Delaware. The Court of Chancery may also reach different judgments or results than would other courts, including courts where a stockholder considering an action may be located or would otherwise choose to bring the action, and such judgments or results may be more favorable to us than to our stockholders. Alternatively, if a court were to find the choice of forum provision contained in our certificate of incorporation to be inapplicable or unenforceable in an action, we may incur additional costs associated with resolving such action in other jurisdictions, which could adversely affect our business and financial condition. Notwithstanding the foregoing, the exclusive forum provision shall not preclude or contract the scope of exclusive federal or concurrent jurisdiction for actions brought under the Exchange Act or the Securities Act, or the respective rules and regulations promulgated thereunder.</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Any person or entity purchasing or otherwise acquiring any interest in any of our securities shall be deemed to have notice of and consented to these provisions. This exclusive forum provision may limit a stockholder’s ability to bring a claim in a judicial forum of its choosing for disputes with us or our directors, officers or other employees, which may discourage lawsuits against us and our directors, officers and other employees.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If a court were to find the exclusive forum provision contained in our certificate of incorporation to be inapplicable or unenforceable in an action, we may incur additional costs associated with resolving such action in other jurisdictions, which could harm our business, results of operations and financial condition. Even if we are successful in defending against these claims, litigation could result in substantial costs and be a distraction to management and other employees.</w:t>
      </w:r>
    </w:p>
    <w:p>
      <w:pPr>
        <w:pStyle w:val="TextBody"/>
        <w:bidi w:val="0"/>
        <w:spacing w:before="0" w:after="200"/>
        <w:ind w:left="0" w:right="0" w:hanging="0"/>
        <w:jc w:val="left"/>
        <w:rPr>
          <w:rFonts w:ascii="Times New Roman;Times;serif" w:hAnsi="Times New Roman;Times;serif"/>
          <w:b/>
          <w:sz w:val="20"/>
        </w:rPr>
      </w:pPr>
      <w:bookmarkStart w:id="51" w:name="Item1BUnresolvedStaffComments_701030"/>
      <w:bookmarkStart w:id="52" w:name="_459993ce_4fa7_48a0_8db3_2e039aa90ae0"/>
      <w:bookmarkEnd w:id="51"/>
      <w:bookmarkEnd w:id="52"/>
      <w:r>
        <w:rPr>
          <w:rFonts w:ascii="Times New Roman;Times;serif" w:hAnsi="Times New Roman;Times;serif"/>
          <w:b/>
          <w:i w:val="false"/>
          <w:caps w:val="false"/>
          <w:smallCaps w:val="false"/>
          <w:sz w:val="20"/>
        </w:rPr>
        <w:t>Item 1B.</w:t>
      </w:r>
      <w:r>
        <w:rPr>
          <w:rFonts w:ascii="Times New Roman;Times;serif" w:hAnsi="Times New Roman;Times;serif"/>
          <w:b/>
          <w:sz w:val="20"/>
        </w:rPr>
        <w:t>Unresolved Staff Comments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None.</w:t>
      </w:r>
    </w:p>
    <w:p>
      <w:pPr>
        <w:pStyle w:val="Normal"/>
        <w:bidi w:val="0"/>
        <w:spacing w:before="0" w:after="0"/>
        <w:jc w:val="left"/>
        <w:rPr>
          <w:sz w:val="4"/>
          <w:szCs w:val="4"/>
        </w:rPr>
      </w:pPr>
      <w:r>
        <w:rPr>
          <w:sz w:val="4"/>
          <w:szCs w:val="4"/>
        </w:rPr>
      </w:r>
      <w:bookmarkStart w:id="53" w:name="Item1CCybersecurity_129857"/>
      <w:bookmarkStart w:id="54" w:name="_6211e876_3e22_44d2_a132_db83b507367f"/>
      <w:bookmarkStart w:id="55" w:name="Item1CCybersecurity_129857"/>
      <w:bookmarkStart w:id="56" w:name="_6211e876_3e22_44d2_a132_db83b507367f"/>
      <w:bookmarkEnd w:id="55"/>
      <w:bookmarkEnd w:id="56"/>
    </w:p>
    <w:tbl>
      <w:tblPr>
        <w:tblW w:w="2237" w:type="dxa"/>
        <w:jc w:val="left"/>
        <w:tblInd w:w="0" w:type="dxa"/>
        <w:tblLayout w:type="fixed"/>
        <w:tblCellMar>
          <w:top w:w="0" w:type="dxa"/>
          <w:left w:w="0" w:type="dxa"/>
          <w:bottom w:w="0" w:type="dxa"/>
          <w:right w:w="0" w:type="dxa"/>
        </w:tblCellMar>
      </w:tblPr>
      <w:tblGrid>
        <w:gridCol w:w="886"/>
        <w:gridCol w:w="1351"/>
      </w:tblGrid>
      <w:tr>
        <w:trPr/>
        <w:tc>
          <w:tcPr>
            <w:tcW w:w="88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 xml:space="preserve">Item 1C. </w:t>
            </w:r>
          </w:p>
        </w:tc>
        <w:tc>
          <w:tcPr>
            <w:tcW w:w="135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Cybersecurity</w:t>
            </w:r>
          </w:p>
        </w:tc>
      </w:tr>
    </w:tbl>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We have an information security program designed to identify, protect, detect and respond to and manage reasonably foreseeable cybersecurity risks and threats. To protect our information systems from cybersecurity threats, we use various security tools that help prevent, identify, escalate, investigate, resolve and recover from identified vulnerabilities and security incidents in a timely manner. These include, but are not limited to, internal reporting, monitoring and detection tools.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regularly assess risks from cybersecurity and technology threats and monitor our information systems for potential vulnerabilities. To evaluate and prioritize risks, we rely on industry-standard models such as widely adopted risk quantification frameworks like NIST, which help us to identify, measure and prioritize cybersecurity and technology risks and develop related security controls and safeguards. We conduct regular reviews and tests of our information security program and also leverage other exercises (</w:t>
      </w:r>
      <w:r>
        <w:rPr>
          <w:rFonts w:ascii="Times New Roman;Times;serif" w:hAnsi="Times New Roman;Times;serif"/>
          <w:i/>
          <w:sz w:val="20"/>
        </w:rPr>
        <w:t>e.g.</w:t>
      </w:r>
      <w:r>
        <w:rPr>
          <w:rFonts w:ascii="Times New Roman;Times;serif" w:hAnsi="Times New Roman;Times;serif"/>
          <w:sz w:val="20"/>
        </w:rPr>
        <w:t>, penetration and vulnerability testing) to evaluate the effectiveness of our information security program and improve our security measures and planning.</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While we have not, as of the date of this Form 10-K, experienced a cybersecurity threat or incident that resulted in a material adverse impact to our business or operations, there can be no guarantee that we will not experience such an incident in the future. Such incidents, whether or not successful, could result in our incurring significant costs related to, for example, rebuilding our internal systems, implementing additional threat protection measures, defending against litigation, responding to regulatory inquiries or actions, paying damages, providing customers with incentives to maintain a business relationship with us, or taking other remedial steps with respect to third parties, as well as incurring significant reputational harm. We also recognize that the dynamic and evolving nature of cybersecurity threats requires a proactive and adaptive approach to our defenses, continuously assessing and enhancing our tools and strategies.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Chief of Staff oversees our information security program, which provides greater alignment of IT initiatives with enterprise-wide risk management strategies. This dual focus on technology and organizational resilience leverages her expertise in managing complex, interconnected risks at the nexus of people and systems. Team members who support our information security program have relevant educational and industry experience. The team provides regular reports to senior management on various cybersecurity threats, assessments and findings.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Board oversees our enterprise risk assessment, where key risks within the company are assessed, including security and technology risks and cybersecurity threats. The Audit Committee oversees our cybersecurity risk, receives regular reports from our Chief of Staff on various cybersecurity matters, including risk assessments, mitigation strategies, areas of emerging risks, incidents and industry trends, other areas of importance and provides further reporting on these topics to the Board.</w:t>
      </w:r>
    </w:p>
    <w:p>
      <w:pPr>
        <w:pStyle w:val="TextBody"/>
        <w:bidi w:val="0"/>
        <w:spacing w:before="0" w:after="200"/>
        <w:ind w:left="0" w:right="0" w:firstLine="720"/>
        <w:jc w:val="left"/>
        <w:rPr/>
      </w:pPr>
      <w:r>
        <w:rPr/>
        <w:t>​</w:t>
      </w:r>
    </w:p>
    <w:p>
      <w:pPr>
        <w:pStyle w:val="Normal"/>
        <w:bidi w:val="0"/>
        <w:spacing w:before="0" w:after="0"/>
        <w:jc w:val="left"/>
        <w:rPr>
          <w:sz w:val="4"/>
          <w:szCs w:val="4"/>
        </w:rPr>
      </w:pPr>
      <w:r>
        <w:rPr>
          <w:sz w:val="4"/>
          <w:szCs w:val="4"/>
        </w:rPr>
      </w:r>
      <w:bookmarkStart w:id="57" w:name="Item2Properties"/>
      <w:bookmarkStart w:id="58" w:name="_3b049b54_cccf_4614_888d_5184663b1478"/>
      <w:bookmarkStart w:id="59" w:name="Item2Properties"/>
      <w:bookmarkStart w:id="60" w:name="_3b049b54_cccf_4614_888d_5184663b1478"/>
      <w:bookmarkEnd w:id="59"/>
      <w:bookmarkEnd w:id="60"/>
    </w:p>
    <w:tbl>
      <w:tblPr>
        <w:tblW w:w="1787" w:type="dxa"/>
        <w:jc w:val="left"/>
        <w:tblInd w:w="0" w:type="dxa"/>
        <w:tblLayout w:type="fixed"/>
        <w:tblCellMar>
          <w:top w:w="0" w:type="dxa"/>
          <w:left w:w="0" w:type="dxa"/>
          <w:bottom w:w="0" w:type="dxa"/>
          <w:right w:w="0" w:type="dxa"/>
        </w:tblCellMar>
      </w:tblPr>
      <w:tblGrid>
        <w:gridCol w:w="751"/>
        <w:gridCol w:w="1036"/>
      </w:tblGrid>
      <w:tr>
        <w:trPr/>
        <w:tc>
          <w:tcPr>
            <w:tcW w:w="75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 xml:space="preserve">Item 2. </w:t>
            </w:r>
          </w:p>
        </w:tc>
        <w:tc>
          <w:tcPr>
            <w:tcW w:w="103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Properties</w:t>
            </w:r>
          </w:p>
        </w:tc>
      </w:tr>
    </w:tbl>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corporate headquarters are part of our Gevo segment and are located in Englewood, Colorado, where we occupy office space used for executive management, finance, legal, commercial, and administrative functions. We also maintain laboratory, research, and technical facilities in Colorado to support our technology development and project engineering activities. Our corporate and laboratory facilities are leased under arrangements that we believe are adequate for our current needs. Our lease terminates in January 2029 and the leased space is approximately 19,241 square feet.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We own and operate the RNG plant in Iowa, which is included in our GevoRNG segment. This facility captures biogas from anaerobic digestion of agricultural feedstocks and upgrades the biogas to pipeline quality RNG. The property is leased and includes gas upgrading and conditioning equipment, interconnection assets, and related infrastructure necessary for RNG production and delivery. We have leased acreage at three dairy farms where the digesters are located. These leases expire at various dates between 2031 and 2050.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In addition, we own and operate an ethanol production facility located in North Dakota, which we acquired as part of our acquisition of the majority of the assets of Red Trail Energy and is included in our GevoND segment. The facility includes ethanol production, corn oil recovery, and related processing, storage, and handling infrastructure situated on owned land. The site also includes rail and logistics infrastructure supporting feedstock delivery and product shipment. Gevo North Dakota consists of an ethanol production plant with approximately 67 million gallons per year of capacity, a carbon capture and sequestration well injecting approximately 165,000 metric tons of CO₂ per year, and leases which give us rights to use additional pore space for carbon capture with an estimated capacity of one million metric tons per year. </w:t>
      </w:r>
    </w:p>
    <w:p>
      <w:pPr>
        <w:pStyle w:val="TextBody"/>
        <w:pBdr/>
        <w:bidi w:val="0"/>
        <w:spacing w:before="0" w:after="200"/>
        <w:ind w:left="0" w:right="0" w:hanging="1440"/>
        <w:jc w:val="left"/>
        <w:rPr/>
      </w:pPr>
      <w:r>
        <w:rPr/>
        <w:t>​</w:t>
      </w:r>
    </w:p>
    <w:p>
      <w:pPr>
        <w:pStyle w:val="Normal"/>
        <w:bidi w:val="0"/>
        <w:spacing w:before="0" w:after="0"/>
        <w:jc w:val="left"/>
        <w:rPr>
          <w:sz w:val="4"/>
          <w:szCs w:val="4"/>
        </w:rPr>
      </w:pPr>
      <w:r>
        <w:rPr>
          <w:sz w:val="4"/>
          <w:szCs w:val="4"/>
        </w:rPr>
      </w:r>
      <w:bookmarkStart w:id="61" w:name="Item3LegalProceedings_288627"/>
      <w:bookmarkStart w:id="62" w:name="_708309f5_db5a_4104_9a0b_43bd1ce799ae"/>
      <w:bookmarkStart w:id="63" w:name="Item3LegalProceedings_288627"/>
      <w:bookmarkStart w:id="64" w:name="_708309f5_db5a_4104_9a0b_43bd1ce799ae"/>
      <w:bookmarkEnd w:id="63"/>
      <w:bookmarkEnd w:id="64"/>
    </w:p>
    <w:tbl>
      <w:tblPr>
        <w:tblW w:w="2432" w:type="dxa"/>
        <w:jc w:val="left"/>
        <w:tblInd w:w="0" w:type="dxa"/>
        <w:tblLayout w:type="fixed"/>
        <w:tblCellMar>
          <w:top w:w="0" w:type="dxa"/>
          <w:left w:w="0" w:type="dxa"/>
          <w:bottom w:w="0" w:type="dxa"/>
          <w:right w:w="0" w:type="dxa"/>
        </w:tblCellMar>
      </w:tblPr>
      <w:tblGrid>
        <w:gridCol w:w="706"/>
        <w:gridCol w:w="1726"/>
      </w:tblGrid>
      <w:tr>
        <w:trPr/>
        <w:tc>
          <w:tcPr>
            <w:tcW w:w="70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Item 3.</w:t>
            </w:r>
          </w:p>
        </w:tc>
        <w:tc>
          <w:tcPr>
            <w:tcW w:w="172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Legal Proceedings</w:t>
            </w:r>
          </w:p>
        </w:tc>
      </w:tr>
    </w:tbl>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From time to time, we have been and may again become involved in legal proceedings arising in the ordinary course of our business. We are not presently a party to any litigation that we believe to be material and we are not aware of any pending or threatened litigation against us that we believe could have a material adverse effect on our business, operating results, financial condition or cash flows.</w:t>
      </w:r>
    </w:p>
    <w:p>
      <w:pPr>
        <w:pStyle w:val="Normal"/>
        <w:bidi w:val="0"/>
        <w:spacing w:before="0" w:after="0"/>
        <w:jc w:val="left"/>
        <w:rPr>
          <w:sz w:val="4"/>
          <w:szCs w:val="4"/>
        </w:rPr>
      </w:pPr>
      <w:r>
        <w:rPr>
          <w:sz w:val="4"/>
          <w:szCs w:val="4"/>
        </w:rPr>
      </w:r>
      <w:bookmarkStart w:id="65" w:name="Item4MineSafetyDisclosures_717153"/>
      <w:bookmarkStart w:id="66" w:name="_4b42f252_8f4d_40e7_b063_4a84648bc58b"/>
      <w:bookmarkStart w:id="67" w:name="Item4MineSafetyDisclosures_717153"/>
      <w:bookmarkStart w:id="68" w:name="_4b42f252_8f4d_40e7_b063_4a84648bc58b"/>
      <w:bookmarkEnd w:id="67"/>
      <w:bookmarkEnd w:id="68"/>
    </w:p>
    <w:tbl>
      <w:tblPr>
        <w:tblW w:w="2867" w:type="dxa"/>
        <w:jc w:val="left"/>
        <w:tblInd w:w="0" w:type="dxa"/>
        <w:tblLayout w:type="fixed"/>
        <w:tblCellMar>
          <w:top w:w="0" w:type="dxa"/>
          <w:left w:w="0" w:type="dxa"/>
          <w:bottom w:w="0" w:type="dxa"/>
          <w:right w:w="0" w:type="dxa"/>
        </w:tblCellMar>
      </w:tblPr>
      <w:tblGrid>
        <w:gridCol w:w="706"/>
        <w:gridCol w:w="2161"/>
      </w:tblGrid>
      <w:tr>
        <w:trPr/>
        <w:tc>
          <w:tcPr>
            <w:tcW w:w="70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Item 4.</w:t>
            </w:r>
          </w:p>
        </w:tc>
        <w:tc>
          <w:tcPr>
            <w:tcW w:w="216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Mine Safety Disclosures</w:t>
            </w:r>
          </w:p>
        </w:tc>
      </w:tr>
    </w:tbl>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69" w:name="PARTII_112070"/>
      <w:bookmarkStart w:id="70" w:name="_c1b8a490_642f_4790_8daa_79c3b426ebda"/>
      <w:bookmarkEnd w:id="69"/>
      <w:bookmarkEnd w:id="70"/>
      <w:r>
        <w:rPr>
          <w:rFonts w:ascii="Times New Roman;Times;serif" w:hAnsi="Times New Roman;Times;serif"/>
          <w:b/>
          <w:sz w:val="20"/>
        </w:rPr>
        <w:t>PART II</w:t>
      </w:r>
    </w:p>
    <w:p>
      <w:pPr>
        <w:pStyle w:val="Normal"/>
        <w:bidi w:val="0"/>
        <w:spacing w:before="0" w:after="0"/>
        <w:jc w:val="left"/>
        <w:rPr>
          <w:sz w:val="4"/>
          <w:szCs w:val="4"/>
        </w:rPr>
      </w:pPr>
      <w:r>
        <w:rPr>
          <w:sz w:val="4"/>
          <w:szCs w:val="4"/>
        </w:rPr>
      </w:r>
      <w:bookmarkStart w:id="71" w:name="Item5MarketforRegistrantsCommonEquityRel"/>
      <w:bookmarkStart w:id="72" w:name="Item5MarketforRegistrantsCommonEquityRel"/>
      <w:bookmarkEnd w:id="72"/>
    </w:p>
    <w:tbl>
      <w:tblPr>
        <w:tblW w:w="10205" w:type="dxa"/>
        <w:jc w:val="left"/>
        <w:tblInd w:w="0" w:type="dxa"/>
        <w:tblLayout w:type="fixed"/>
        <w:tblCellMar>
          <w:top w:w="0" w:type="dxa"/>
          <w:left w:w="0" w:type="dxa"/>
          <w:bottom w:w="0" w:type="dxa"/>
          <w:right w:w="0" w:type="dxa"/>
        </w:tblCellMar>
      </w:tblPr>
      <w:tblGrid>
        <w:gridCol w:w="705"/>
        <w:gridCol w:w="9500"/>
      </w:tblGrid>
      <w:tr>
        <w:trPr/>
        <w:tc>
          <w:tcPr>
            <w:tcW w:w="705"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Item 5.</w:t>
            </w:r>
          </w:p>
        </w:tc>
        <w:tc>
          <w:tcPr>
            <w:tcW w:w="9500"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Market for Registrant’s Common Equity, Related Stockholder Matters and Issuer Purchases of Equity Securities</w:t>
            </w:r>
          </w:p>
        </w:tc>
      </w:tr>
    </w:tbl>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Market Information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Company’s common stock is listed and traded on The Nasdaq Capital Market under the symbol “GEVO”.</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Holders of Record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As of January 30, 2026, there were approximately 60 holders of record of our common stock. We believe that the number of beneficial owners is substantially greater than the number of record holders because a large portion of our common stock is held of record through brokerage firms in “street name.”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Dividends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 cash dividends have been paid on our common stock to date, nor do we anticipate paying dividends in the foreseeable future. Any future determination to declare cash dividends on our common stock will be made at the discretion of our Board of Directors, subject to compliance and limitations under our debt arrangements in effect at such time.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Recent Sales of Unregistered Securities; Use of Proceeds from Registered Securities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Purchases of Equity Securities by the Issuer</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On May 30, 2023, the Board authorized a stock repurchase program, under which the Company may repurchase up to $25 million of its common stock. The primary goal of the repurchase program is to allow the Company to opportunistically repurchase shares, while maintaining its ability to fund development projects. Under the stock repurchase program, the Company may repurchase shares from time to time in the open market or through privately negotiated transactions. The timing, volume and nature of stock repurchases, if any, will be in the Company’s sole discretion and will be dependent on market conditions, applicable securities laws, and other factors. The stock repurchase program may be suspended or discontinued at any time and does not have an expiration date.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color w:val="212529"/>
          <w:sz w:val="20"/>
          <w:shd w:fill="FFFFFF" w:val="clear"/>
        </w:rPr>
        <w:t>We did not repurchase shares under the stock repurchase program during the year ended December 31, 2025. We repurchased 7.2 million shares of common stock for $4.7 million under the stock repurchase program during the year ended December 31, 2024 at an average price per share equal to $0.66. As of December 31, 2025, approximately $20.3 million remained available under the stock repurchase program</w:t>
      </w:r>
      <w:r>
        <w:rPr>
          <w:rFonts w:ascii="Times New Roman;Times;serif" w:hAnsi="Times New Roman;Times;serif"/>
          <w:sz w:val="20"/>
        </w:rPr>
        <w:t>.</w:t>
      </w:r>
    </w:p>
    <w:p>
      <w:pPr>
        <w:pStyle w:val="Normal"/>
        <w:bidi w:val="0"/>
        <w:spacing w:before="0" w:after="0"/>
        <w:jc w:val="left"/>
        <w:rPr>
          <w:sz w:val="4"/>
          <w:szCs w:val="4"/>
        </w:rPr>
      </w:pPr>
      <w:r>
        <w:rPr>
          <w:sz w:val="4"/>
          <w:szCs w:val="4"/>
        </w:rPr>
      </w:r>
      <w:bookmarkStart w:id="73" w:name="Item6Reserved_691229"/>
      <w:bookmarkStart w:id="74" w:name="_1cc597f4_39db_4cda_adf6_b3474f483f63"/>
      <w:bookmarkStart w:id="75" w:name="Item6Reserved_691229"/>
      <w:bookmarkStart w:id="76" w:name="_1cc597f4_39db_4cda_adf6_b3474f483f63"/>
      <w:bookmarkEnd w:id="75"/>
      <w:bookmarkEnd w:id="76"/>
    </w:p>
    <w:tbl>
      <w:tblPr>
        <w:tblW w:w="1757" w:type="dxa"/>
        <w:jc w:val="left"/>
        <w:tblInd w:w="0" w:type="dxa"/>
        <w:tblLayout w:type="fixed"/>
        <w:tblCellMar>
          <w:top w:w="0" w:type="dxa"/>
          <w:left w:w="0" w:type="dxa"/>
          <w:bottom w:w="0" w:type="dxa"/>
          <w:right w:w="0" w:type="dxa"/>
        </w:tblCellMar>
      </w:tblPr>
      <w:tblGrid>
        <w:gridCol w:w="706"/>
        <w:gridCol w:w="1051"/>
      </w:tblGrid>
      <w:tr>
        <w:trPr/>
        <w:tc>
          <w:tcPr>
            <w:tcW w:w="70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Item 6.</w:t>
            </w:r>
          </w:p>
        </w:tc>
        <w:tc>
          <w:tcPr>
            <w:tcW w:w="105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[Reserved]</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77" w:name="Item7ManagementsDiscussionandAnalysisofF"/>
      <w:bookmarkStart w:id="78" w:name="_f4787aa1_0e93_4364_a70a_2e614d2ae00f"/>
      <w:bookmarkStart w:id="79" w:name="_contentSection_a46934e5_985e_4f44_96ad_"/>
      <w:bookmarkStart w:id="80" w:name="Item7ManagementsDiscussionandAnalysisofF"/>
      <w:bookmarkStart w:id="81" w:name="_f4787aa1_0e93_4364_a70a_2e614d2ae00f"/>
      <w:bookmarkStart w:id="82" w:name="_contentSection_a46934e5_985e_4f44_96ad_"/>
      <w:bookmarkEnd w:id="80"/>
      <w:bookmarkEnd w:id="81"/>
      <w:bookmarkEnd w:id="82"/>
    </w:p>
    <w:tbl>
      <w:tblPr>
        <w:tblW w:w="8357" w:type="dxa"/>
        <w:jc w:val="left"/>
        <w:tblInd w:w="0" w:type="dxa"/>
        <w:tblLayout w:type="fixed"/>
        <w:tblCellMar>
          <w:top w:w="0" w:type="dxa"/>
          <w:left w:w="0" w:type="dxa"/>
          <w:bottom w:w="0" w:type="dxa"/>
          <w:right w:w="0" w:type="dxa"/>
        </w:tblCellMar>
      </w:tblPr>
      <w:tblGrid>
        <w:gridCol w:w="706"/>
        <w:gridCol w:w="7651"/>
      </w:tblGrid>
      <w:tr>
        <w:trPr/>
        <w:tc>
          <w:tcPr>
            <w:tcW w:w="70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Item 7.</w:t>
            </w:r>
          </w:p>
        </w:tc>
        <w:tc>
          <w:tcPr>
            <w:tcW w:w="765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 xml:space="preserve">Management’s Discussion and Analysis of Financial Condition and Results of Operations </w:t>
            </w:r>
          </w:p>
        </w:tc>
      </w:tr>
    </w:tbl>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 xml:space="preserve">The following discussion and analysis of our financial condition and results of operations should be read in conjunction with our audited financial statements and related notes appearing elsewhere in this Annual Report on Form 10-K (this </w:t>
      </w:r>
      <w:r>
        <w:rPr>
          <w:rFonts w:ascii="Times New Roman;Times;serif" w:hAnsi="Times New Roman;Times;serif"/>
          <w:sz w:val="20"/>
        </w:rPr>
        <w:t>“</w:t>
      </w:r>
      <w:r>
        <w:rPr>
          <w:rFonts w:ascii="Times New Roman;Times;serif" w:hAnsi="Times New Roman;Times;serif"/>
          <w:i/>
          <w:sz w:val="20"/>
        </w:rPr>
        <w:t>Annual Report</w:t>
      </w:r>
      <w:r>
        <w:rPr>
          <w:rFonts w:ascii="Times New Roman;Times;serif" w:hAnsi="Times New Roman;Times;serif"/>
          <w:sz w:val="20"/>
        </w:rPr>
        <w:t>”</w:t>
      </w:r>
      <w:r>
        <w:rPr>
          <w:rFonts w:ascii="Times New Roman;Times;serif" w:hAnsi="Times New Roman;Times;serif"/>
          <w:i/>
          <w:sz w:val="20"/>
        </w:rPr>
        <w:t xml:space="preserve">). Some of the information contained in this discussion and analysis and set forth elsewhere in this Annual Report, including information with respect to our plans and strategy for our business, includes forward-looking statements that involve risks and uncertainties. You should review the section titled </w:t>
      </w:r>
      <w:r>
        <w:rPr>
          <w:rFonts w:ascii="Times New Roman;Times;serif" w:hAnsi="Times New Roman;Times;serif"/>
          <w:sz w:val="20"/>
        </w:rPr>
        <w:t>“</w:t>
      </w:r>
      <w:r>
        <w:rPr>
          <w:rFonts w:ascii="Times New Roman;Times;serif" w:hAnsi="Times New Roman;Times;serif"/>
          <w:i/>
          <w:sz w:val="20"/>
        </w:rPr>
        <w:t>Risk Factors</w:t>
      </w:r>
      <w:r>
        <w:rPr>
          <w:rFonts w:ascii="Times New Roman;Times;serif" w:hAnsi="Times New Roman;Times;serif"/>
          <w:sz w:val="20"/>
        </w:rPr>
        <w:t xml:space="preserve">” </w:t>
      </w:r>
      <w:r>
        <w:rPr>
          <w:rFonts w:ascii="Times New Roman;Times;serif" w:hAnsi="Times New Roman;Times;serif"/>
          <w:i/>
          <w:sz w:val="20"/>
        </w:rPr>
        <w:t>in Part I, Item 1A of this Annual Report for a discussion of important factors that could cause actual results to differ materially from the results described in or implied by the forward-looking statements contained in the following discussion and analysis.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Company Overview</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are a growth-oriented renewable fuels and chemicals company that focuses on hard to decarbonize market sectors such as aviation fuels, certain specialty fuels, on-road fuels, specialty and commodity chemicals and materials, coproduct carbon dioxide and certain products for the food chain such as protein and animal feeds made as co-products from our processes. Each of the market areas that Gevo focuses on have the common need for carbon-based products and are not conducive to full electrification or hydrogen. We produce and sell renewable, drop-in products for these sectors, and generate carbon abatement value through our processes, plant designs and business systems. Carbon abatement value can be valorized via Renewable Identification Numbers (“RINs”), state credits, Inflation Reduction Act (“IRA”) tax credits, and various voluntary carbon credits including value creation from Scope 1 and 3 greenhouse gas emissions reductions for end customers. Gevo is primarily a project development, investment, and technology company, which also holds certain operating assets with the intent of generating cash flow.</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primary market focus, given the large demand and growing customer interest, is renewable hydrocarbon fuels, including (SAF). We believe that SAF produced from a carbohydrate-to-alcohol process is the most economically viable approach to generate value from carbon abatement. We also have commercial opportunities for other renewable hydrocarbon products, such as RNG; hydrocarbons for gasoline and racing fuel blendstocks and diesel fuel; ingredients for the chemical industry, such as ethylene, propylene and butenes for plastics and materials; and other chemicals.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Project Updates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b/>
          <w:i/>
          <w:sz w:val="20"/>
        </w:rPr>
        <w:t>Alcohol-to-Jet Projects.</w:t>
      </w:r>
      <w:r>
        <w:rPr>
          <w:rFonts w:ascii="Times New Roman;Times;serif" w:hAnsi="Times New Roman;Times;serif"/>
          <w:sz w:val="20"/>
        </w:rPr>
        <w:t xml:space="preserve"> Our concept of “Alcohol-to-Jet Projects” consists of a portfolio of planned production facilities designed to manufacture energy-dense liquid hydrocarbons including synthetic aviation fuel (“SAF”) using renewable feedstock, renewable and/or clean energy, and Gevo’s proprietary ATJ technology and process.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collaborate with a select group of technology, engineering, and equipment partners, most notably Fluid Quip Technologies (“FQT”), Axens North America, Inc. (“Axens”), and PRAJ Industries Limited (“Praj”). FQT and Axens provide proven area-specific operation designs that have been incorporated into Gevo’s proprietary, integrated carbohydrate-to-hydrocarbon ATJ plant designs. Praj is working with us on our proprietary design and construction of prefabricated process modules for our ATJ facilities. While these partners contribute important technology and execution capabilities, Gevo owns the overall plant designs, engineering integration, modularization strategy and associated intellectual property. These collaborations are intended to reduce capital intensity, lower operating costs, and leverage technologies that are proven in other commercial applications, thereby de-risking project execution.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We have substantially completed the engineering design of the ATJ-30 platform and are advancing into detailed engineering and modularization. We are refining the project cost estimates with engineering, procurement, and construction (“EPC”) partners to identify cost reduction opportunities and expect to negotiate toward a lump-sum, fixed price EPC agreement for plant delivery. Current engineering efforts are focused on increasing the degree of modularization across our ATJ plant designs, enabling major process equipment to be fabricated in factory-built modules and assembled onsite. This modular approach is expected to reduce construction risk, lower field labor requirements, improve schedule certainty, and reduce capital spent prior to securing third-party project financing. It is also intended to accelerate our future commercialization of multiple plants by deploying a standardized modular design in a copy-edit-paste fashion.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currently anticipate financing the construction of ATJ at the subsidiary level using a combination of Company equity (in-kind and/or cash contribution), third-party equity capital, and non-recourse project debt. In 2025, the Company spent approximately $11.3 on the ATJ-30 project; based on current progress, we now expect the remaining spend through financial close to be approximately $20.6 to $35.9 million. Future cash distributions from ATJ earnings would be proportionate to Gevo’s ownership interest in the project. The use of project debt and third-party equity is intended to preserve capital for use on other growth projects. We expect to apply similar development and financing strategies to future Alcohol-to-Jet Projects to grow our SAF production to meet the demand for SAF.</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order to achieve full construction financing for an ATJ plant, we intend to secure debt financing and possibly third-party equity. On October 16, 2024, we received a conditional commitment from the U.S. Department of Energy (“DOE”) Energy Dominance Financing Program (“EDF”) (formerly known as the Loan Programs Office) for a loan guarantee facility with a capacity of approximately $1.6 billion (including capitalized interest during construction). The receipt of a conditional commitment was significant as it helped to validate the ATJ plant design integrity, which is underpinned by the DOE LPO’s diligence process. On October 8, 2025, the Company received a letter from the DOE EDF granting an extension of the Conditional Commitment until April 16, 2026 (the “Extension”). The Extension allows the Company and DOE EDF to evaluate certain potential modifications to the project scope under the conditional commitment in order to address energy policies and priorities. The discussions between the DOE EDF and the Company continue and the Conditional Commitment will remain effective during the extension period to allow for modifications which satisfy DOE EDF. The potential scope modifications include the construction of a lower cost ATJ-30 facility at GevoND and the optimal use of captured carbon dioxide for enhanced oil recovery.</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b/>
          <w:i/>
          <w:sz w:val="20"/>
        </w:rPr>
        <w:t xml:space="preserve">Acquisition of Red Trail Energy. </w:t>
      </w:r>
      <w:r>
        <w:rPr>
          <w:rFonts w:ascii="Times New Roman;Times;serif" w:hAnsi="Times New Roman;Times;serif"/>
          <w:sz w:val="20"/>
        </w:rPr>
        <w:t>On September 10, 2024, Gevo and its subsidiaries entered into an Asset Purchase Agreement (the “Red Trail Purchase Agreement”) with Red Trail Energy to acquire substantially all of its assets and assume certain liabilities. The acquisition was completed on January 31, 2025. Gevo’s acquisition of Red Trail Energy was a strategic move aimed at accelerating its production of renewable fuels, particularly SAF, developing Gevo’s carbon business, and also enabling optionality for additional co-located projects and expansion opportunities. This acquisition aligns with Gevo’s broader goal of producing clean fuels that can help reduce carbon emissions and promoting sustainability in the energy and transportation sectors. Furthermore, the acquisition grants access to critical CCS assets. See Note 3, Business Combinations, for additional information on the Red Trail Energy acquisition.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b/>
          <w:i/>
          <w:sz w:val="20"/>
        </w:rPr>
        <w:t>Renewable Natural Gas Project.</w:t>
      </w:r>
      <w:r>
        <w:rPr>
          <w:rFonts w:ascii="Times New Roman;Times;serif" w:hAnsi="Times New Roman;Times;serif"/>
          <w:sz w:val="20"/>
        </w:rPr>
        <w:t xml:space="preserve"> Gevo’s RNG project in Northwest Iowa (the “RNG Project”) started up and began producing and injecting initial volumes of biogas in 2022, during the project’s testing and ramp-up period. In 2023, the project achieved stable production levels.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Gevo’s RNG revenue primarily stems from the sales of the environmental attributes associated with RNG. These include attributes available from California’s Low Carbon Fuel Standard (“LCFS”) program and the U.S. Environmental Protection Agency (“EPA”) Renewable Fuels Standard (“RFS”) program (“RFS Program”) to receive renewable identification numbers (“RINs”). Gevo was granted registration approval by the EPA in 2022, allowing us to participate in the RFS Program to receive RINs.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b/>
          <w:i/>
          <w:sz w:val="20"/>
        </w:rPr>
        <w:t xml:space="preserve">Verity. </w:t>
      </w:r>
      <w:r>
        <w:rPr>
          <w:rFonts w:ascii="Times New Roman;Times;serif" w:hAnsi="Times New Roman;Times;serif"/>
          <w:sz w:val="20"/>
          <w:shd w:fill="FFFFFF" w:val="clear"/>
        </w:rPr>
        <w:t xml:space="preserve">Verity Holdings, LLC (“Verity”), a wholly owned subsidiary of Gevo, Inc., is at the forefront of creating the ability to track, verify, and empirically value carbon intensity across the full carbon lifecycle. Verity provides end-to-end carbon accounting via a proprietary digital Measure, Report and Verify (“MRV”) platform. This platform specializes in carbon accounting and services aimed at maximizing the value of environmental benefits throughout the entire business system. Verity's comprehensive approach includes regulatory analysis, strategy development, life cycle analysis, compliance management, audit readiness, carbon marketing, utilization and retirement services, and trading/marketing for Scope 1, 2, and 3 emissions. By integrating advanced technological capabilities, Verity supports Gevo's mission of converting renewable energy and biogenic carbon into renewable, clean fuels and chemicals with a low carbon footprint.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b/>
          <w:i/>
          <w:sz w:val="20"/>
        </w:rPr>
        <w:t xml:space="preserve">U.S. Department of Agriculture. </w:t>
      </w:r>
      <w:r>
        <w:rPr>
          <w:rFonts w:ascii="Times New Roman;Times;serif" w:hAnsi="Times New Roman;Times;serif"/>
          <w:sz w:val="20"/>
          <w:shd w:fill="FFFFFF" w:val="clear"/>
        </w:rPr>
        <w:t xml:space="preserve">In September 2023, we received a grant from the U.S. Department of Agriculture (“USDA”) through its Partnerships for Climate-Smart Commodities for Gevo’s Climate-Smart Farm-to-Flight Program (the “USDA Grant”).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The Company incurred $8.9 million of costs under the USDA Grant, which are included in Project development costs in the Consolidated Statement of Operations in 2025. </w:t>
      </w:r>
      <w:r>
        <w:rPr>
          <w:rFonts w:ascii="Times New Roman;Times;serif" w:hAnsi="Times New Roman;Times;serif"/>
          <w:sz w:val="20"/>
        </w:rPr>
        <w:t xml:space="preserve">On April 22, 2025, we received notification of the termination of the USDA Grant. The termination did not have a material impact on the financial statements, nor did it impact </w:t>
      </w:r>
      <w:r>
        <w:rPr>
          <w:rFonts w:ascii="Times New Roman;Times;serif" w:hAnsi="Times New Roman;Times;serif"/>
          <w:sz w:val="20"/>
          <w:shd w:fill="FFFFFF" w:val="clear"/>
        </w:rPr>
        <w:t>Gevo’s commercial objectives, since the critical work under the project had already been completed.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b/>
          <w:i/>
          <w:sz w:val="20"/>
        </w:rPr>
        <w:t xml:space="preserve">Luverne Facility. </w:t>
      </w:r>
      <w:r>
        <w:rPr>
          <w:rFonts w:ascii="Times New Roman;Times;serif" w:hAnsi="Times New Roman;Times;serif"/>
          <w:sz w:val="20"/>
        </w:rPr>
        <w:t xml:space="preserve">On October 31, 2025, </w:t>
      </w:r>
      <w:r>
        <w:rPr>
          <w:rFonts w:ascii="Times New Roman;Times;serif" w:hAnsi="Times New Roman;Times;serif"/>
          <w:sz w:val="20"/>
          <w:shd w:fill="FFFFFF" w:val="clear"/>
        </w:rPr>
        <w:t>we sold our subsidiary, Agri-Energy, LLC, which owned an 1</w:t>
      </w:r>
      <w:r>
        <w:rPr>
          <w:rFonts w:ascii="Times New Roman;Times;serif" w:hAnsi="Times New Roman;Times;serif"/>
          <w:sz w:val="20"/>
        </w:rPr>
        <w:t xml:space="preserve">8-million-gallon-per-year ethanol-production facility located in Luverne, Minnesota (the “Luverne Facility”) </w:t>
      </w:r>
      <w:r>
        <w:rPr>
          <w:rFonts w:ascii="Times New Roman;Times;serif" w:hAnsi="Times New Roman;Times;serif"/>
          <w:sz w:val="20"/>
          <w:shd w:fill="FFFFFF" w:val="clear"/>
        </w:rPr>
        <w:t xml:space="preserve">to A.E. Innovation LLC. The sales price was $7.0 million, which was made up of a $2 million cash payment, paid on the transaction closing date and a $5.0 million note receivable. As part of the transaction, we retained certain assets at the Luverne Facility, including certain isobutanol production assets and associated infrastructure.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b/>
          <w:i/>
          <w:sz w:val="20"/>
        </w:rPr>
        <w:t xml:space="preserve">Tax Credit Recognition and Sales. </w:t>
      </w:r>
      <w:r>
        <w:rPr>
          <w:rFonts w:ascii="Times New Roman;Times;serif" w:hAnsi="Times New Roman;Times;serif"/>
          <w:sz w:val="20"/>
        </w:rPr>
        <w:t>The U.S. federal government has introduced tax incentives to promote the production of low-carbon fuels and reduce GHG emissions, enhance energy security, and support the rural agricultural economy. Effective January 1, 2025, the Inflation Reduction Act of 2022 (IRA) replaces Section 6426 of the Internal Revenue Code with Section 45Z, providing a Clean Fuel Production Credit (“CFPC”) for the years 2025 through 2027. This was further updated and extended on July 4, 2025, under the One Big Beautiful Bill (“OBBBA”) extending the credit through 2029. Producers of liquid transportation fuels, including SAF, are eligible to qualify for up to $1 per gallon, while producers of RNG could claim an amount exceeding $1 per gallon for significant CI reductions, with the credit amount indexed annually for inflation.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recognizes tax credits associated with the U.S. federal clean fuel production incentives under Section 45Z of the Internal Revenue Code in accordance with International Financial Reporting Standards, specifically International Accounting Standards (“IAS”) 20 - Accounting for Government Grants and Disclosure of Government Assistance, because there is limited U.S. GAAP accounting guidance for for-profit business entities that receive government assistance that is not in the form of a loan, an income tax credit or revenue from a contract with a client. In accordance with IAS 20, the tax incentive is recognized when it is probable that the Company will comply with the provisions of the incentive and that the incentive will be earned. These credits are recognized in “Intangible assets, net” on the Company’s Consolidated Balance Sheets and as a reduction to “Cost of production” in the Consolidated Statements of Operations, reflecting their role in offsetting the production costs of low-carbon fuels. When cash is received under the tax credit transfer agreements, the amount is deferred and recorded in “Deferred clean fuel production tax credits” on the Company’s Consolidated Balance Sheets until such time as all conditions to the transfer have been met.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GevoND and RNG production facilities are eligible for federal CFPCs which became probable of being earned during the year ended December 31, 2025. For the year ended December 31, 2025, the Company recognized $52.0 million of CFPCs, which were recorded as a reduction to cost of production and a nonmonetary asset recorded within intangible assets. The Company monetizes these tax credits through sale of such credits to third parties. Upon entering a sale agreement, a liability is recognized to reflect the obligation to deliver the credits. The related intangible asset is derecognized, and the liability is settled, only upon official transfer of title following the filing of the applicable tax returns.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2025, the Company entered into several tax credit transfer agreements (collectively, the “Transfer Agreements”) pursuant to which the Company agreed to transfer CFPCs generated from the production of ethanol at its GevoND facility during 2025. Under the Transfer Agreements, the Company expected to transfer approximately $52 million of tax credits between June 30, 2025 and February 28, 2026, subject to the satisfaction of certain conditions precedent on each applicable transfer date, as defined in the respective Transfer Agreements. As of December 31, 2025, the Company had transferred approximately $41.1 million of tax credits under the Transfer Agreements and received the related cash proceeds. The remaining consideration is expected to be received upon the transfer of additional tax credits, subject to the satisfaction of the applicable conditions precedent. Certain Transfer Agreements provide the counterparties with additional contractual rights, including rights to purchase additional tax credits in future periods. In addition, under certain Transfer Agreements, the Company may be required to pay an under-delivery fee if it fails to transfer a specified minimum percentage of tax credits on a scheduled transfer date, which is calculated based on the shortfall between the required minimum and the amount of tax credits actually transferred.</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Key Operating Metrics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i/>
          <w:sz w:val="20"/>
        </w:rPr>
        <w:t>Gevo North Dakota operating metrics.</w:t>
      </w:r>
      <w:r>
        <w:rPr>
          <w:rFonts w:ascii="Times New Roman;Times;serif" w:hAnsi="Times New Roman;Times;serif"/>
          <w:sz w:val="20"/>
        </w:rPr>
        <w:t xml:space="preserve"> Total operating revenues reflect sales of ethanol, ethanol-related co-products and carbon removal credits. As a result, our revenues are primarily affected by unit production of ethanol, ethanol-related co-products, the registration of carbon removal credits, and the prices at which we monetize such production. The following table summarizes the key operating metrics described above, recorded on the GevoND segment, which metrics we use to measure performance, and covers the period after January 31, 2025, when Gevo closed on the acquisition of all of the assets and assumed certain liabilities of Red Trail Energy:</w:t>
      </w:r>
    </w:p>
    <w:p>
      <w:pPr>
        <w:pStyle w:val="TextBody"/>
        <w:bidi w:val="0"/>
        <w:spacing w:before="0" w:after="20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1867"/>
        <w:gridCol w:w="346"/>
        <w:gridCol w:w="271"/>
        <w:gridCol w:w="1036"/>
        <w:gridCol w:w="346"/>
        <w:gridCol w:w="294"/>
        <w:gridCol w:w="733"/>
        <w:gridCol w:w="346"/>
        <w:gridCol w:w="331"/>
        <w:gridCol w:w="955"/>
        <w:gridCol w:w="346"/>
        <w:gridCol w:w="271"/>
        <w:gridCol w:w="1036"/>
        <w:gridCol w:w="346"/>
        <w:gridCol w:w="271"/>
        <w:gridCol w:w="1036"/>
        <w:gridCol w:w="109"/>
        <w:gridCol w:w="109"/>
        <w:gridCol w:w="156"/>
      </w:tblGrid>
      <w:tr>
        <w:trPr/>
        <w:tc>
          <w:tcPr>
            <w:tcW w:w="1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185545" cy="175260"/>
                      <wp:effectExtent l="0" t="0" r="0" b="0"/>
                      <wp:wrapNone/>
                      <wp:docPr id="13" name="Frame13"/>
                      <a:graphic xmlns:a="http://schemas.openxmlformats.org/drawingml/2006/main">
                        <a:graphicData uri="http://schemas.microsoft.com/office/word/2010/wordprocessingShape">
                          <wps:wsp>
                            <wps:cNvSpPr txBox="1"/>
                            <wps:spPr>
                              <a:xfrm>
                                <a:off x="0" y="0"/>
                                <a:ext cx="1185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175260"/>
                      <wp:effectExtent l="0" t="0" r="0" b="0"/>
                      <wp:wrapNone/>
                      <wp:docPr id="14"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72085" cy="175260"/>
                      <wp:effectExtent l="0" t="0" r="0" b="0"/>
                      <wp:wrapNone/>
                      <wp:docPr id="15" name="Frame15"/>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57860" cy="175260"/>
                      <wp:effectExtent l="0" t="0" r="0" b="0"/>
                      <wp:wrapNone/>
                      <wp:docPr id="16" name="Frame1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17"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86690" cy="175260"/>
                      <wp:effectExtent l="0" t="0" r="0" b="0"/>
                      <wp:wrapNone/>
                      <wp:docPr id="18" name="Frame18"/>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465455" cy="175260"/>
                      <wp:effectExtent l="0" t="0" r="0" b="0"/>
                      <wp:wrapNone/>
                      <wp:docPr id="19" name="Frame19"/>
                      <a:graphic xmlns:a="http://schemas.openxmlformats.org/drawingml/2006/main">
                        <a:graphicData uri="http://schemas.microsoft.com/office/word/2010/wordprocessingShape">
                          <wps:wsp>
                            <wps:cNvSpPr txBox="1"/>
                            <wps:spPr>
                              <a:xfrm>
                                <a:off x="0" y="0"/>
                                <a:ext cx="465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20"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0185" cy="175260"/>
                      <wp:effectExtent l="0" t="0" r="0" b="0"/>
                      <wp:wrapNone/>
                      <wp:docPr id="21" name="Frame21"/>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06425" cy="175260"/>
                      <wp:effectExtent l="0" t="0" r="0" b="0"/>
                      <wp:wrapNone/>
                      <wp:docPr id="22" name="Frame22"/>
                      <a:graphic xmlns:a="http://schemas.openxmlformats.org/drawingml/2006/main">
                        <a:graphicData uri="http://schemas.microsoft.com/office/word/2010/wordprocessingShape">
                          <wps:wsp>
                            <wps:cNvSpPr txBox="1"/>
                            <wps:spPr>
                              <a:xfrm>
                                <a:off x="0" y="0"/>
                                <a:ext cx="606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3"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72085" cy="175260"/>
                      <wp:effectExtent l="0" t="0" r="0" b="0"/>
                      <wp:wrapNone/>
                      <wp:docPr id="24" name="Frame2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57860" cy="175260"/>
                      <wp:effectExtent l="0" t="0" r="0" b="0"/>
                      <wp:wrapNone/>
                      <wp:docPr id="25" name="Frame2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72085" cy="175260"/>
                      <wp:effectExtent l="0" t="0" r="0" b="0"/>
                      <wp:wrapNone/>
                      <wp:docPr id="27" name="Frame2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57860" cy="175260"/>
                      <wp:effectExtent l="0" t="0" r="0" b="0"/>
                      <wp:wrapNone/>
                      <wp:docPr id="28" name="Frame2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9215" cy="175260"/>
                      <wp:effectExtent l="0" t="0" r="0" b="0"/>
                      <wp:wrapNone/>
                      <wp:docPr id="29" name="Frame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9215" cy="175260"/>
                      <wp:effectExtent l="0" t="0" r="0" b="0"/>
                      <wp:wrapNone/>
                      <wp:docPr id="30" name="Frame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99060" cy="175260"/>
                      <wp:effectExtent l="0" t="0" r="0" b="0"/>
                      <wp:wrapNone/>
                      <wp:docPr id="31" name="Frame31"/>
                      <a:graphic xmlns:a="http://schemas.openxmlformats.org/drawingml/2006/main">
                        <a:graphicData uri="http://schemas.microsoft.com/office/word/2010/wordprocessingShape">
                          <wps:wsp>
                            <wps:cNvSpPr txBox="1"/>
                            <wps:spPr>
                              <a:xfrm>
                                <a:off x="0" y="0"/>
                                <a:ext cx="99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6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18"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2025</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r>
      <w:tr>
        <w:trPr/>
        <w:tc>
          <w:tcPr>
            <w:tcW w:w="186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 unless otherwise indicated)</w:t>
            </w:r>
          </w:p>
        </w:tc>
        <w:tc>
          <w:tcPr>
            <w:tcW w:w="346" w:type="dxa"/>
            <w:tcBorders/>
            <w:vAlign w:val="center"/>
          </w:tcPr>
          <w:p>
            <w:pPr>
              <w:pStyle w:val="TableContents"/>
              <w:bidi w:val="0"/>
              <w:spacing w:before="0" w:after="0"/>
              <w:ind w:left="0" w:right="0" w:hanging="0"/>
              <w:jc w:val="left"/>
              <w:rPr/>
            </w:pPr>
            <w:r>
              <w:rPr/>
              <w:t>  ​ ​ ​</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Ethanol</w:t>
              <w:br/>
              <w:t>(gallons)</w:t>
            </w:r>
          </w:p>
        </w:tc>
        <w:tc>
          <w:tcPr>
            <w:tcW w:w="346" w:type="dxa"/>
            <w:tcBorders/>
            <w:vAlign w:val="center"/>
          </w:tcPr>
          <w:p>
            <w:pPr>
              <w:pStyle w:val="TableContents"/>
              <w:bidi w:val="0"/>
              <w:spacing w:before="0" w:after="0"/>
              <w:ind w:left="0" w:right="0" w:hanging="0"/>
              <w:jc w:val="left"/>
              <w:rPr/>
            </w:pPr>
            <w:r>
              <w:rPr/>
              <w:t>  ​ ​ ​</w:t>
            </w:r>
          </w:p>
        </w:tc>
        <w:tc>
          <w:tcPr>
            <w:tcW w:w="10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Dried</w:t>
              <w:br/>
              <w:t>Distillers Grains</w:t>
              <w:br/>
              <w:t>(tons)</w:t>
            </w:r>
          </w:p>
        </w:tc>
        <w:tc>
          <w:tcPr>
            <w:tcW w:w="346" w:type="dxa"/>
            <w:tcBorders/>
            <w:vAlign w:val="center"/>
          </w:tcPr>
          <w:p>
            <w:pPr>
              <w:pStyle w:val="TableContents"/>
              <w:bidi w:val="0"/>
              <w:spacing w:before="0" w:after="0"/>
              <w:ind w:left="0" w:right="0" w:hanging="0"/>
              <w:jc w:val="left"/>
              <w:rPr/>
            </w:pPr>
            <w:r>
              <w:rPr/>
              <w:t>  ​ ​ ​</w:t>
            </w:r>
          </w:p>
        </w:tc>
        <w:tc>
          <w:tcPr>
            <w:tcW w:w="12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Modified Distillers Grains </w:t>
              <w:br/>
              <w:t>(tons)</w:t>
            </w:r>
          </w:p>
        </w:tc>
        <w:tc>
          <w:tcPr>
            <w:tcW w:w="346" w:type="dxa"/>
            <w:tcBorders/>
            <w:vAlign w:val="center"/>
          </w:tcPr>
          <w:p>
            <w:pPr>
              <w:pStyle w:val="TableContents"/>
              <w:bidi w:val="0"/>
              <w:spacing w:before="0" w:after="0"/>
              <w:ind w:left="0" w:right="0" w:hanging="0"/>
              <w:jc w:val="left"/>
              <w:rPr/>
            </w:pPr>
            <w:r>
              <w:rPr/>
              <w:t>  ​ ​ ​</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Corn Oil </w:t>
              <w:br/>
              <w:t xml:space="preserve">&amp; Syrup Sold </w:t>
              <w:br/>
              <w:t>(lbs)</w:t>
            </w:r>
          </w:p>
        </w:tc>
        <w:tc>
          <w:tcPr>
            <w:tcW w:w="346" w:type="dxa"/>
            <w:tcBorders/>
            <w:vAlign w:val="center"/>
          </w:tcPr>
          <w:p>
            <w:pPr>
              <w:pStyle w:val="TableContents"/>
              <w:bidi w:val="0"/>
              <w:spacing w:before="0" w:after="0"/>
              <w:ind w:left="0" w:right="0" w:hanging="0"/>
              <w:jc w:val="left"/>
              <w:rPr/>
            </w:pPr>
            <w:r>
              <w:rPr/>
              <w:t>  ​ ​ ​</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center"/>
              <w:rPr/>
            </w:pPr>
            <w:r>
              <w:rPr/>
              <w:t>​</w:t>
            </w:r>
          </w:p>
        </w:tc>
      </w:tr>
      <w:tr>
        <w:trPr/>
        <w:tc>
          <w:tcPr>
            <w:tcW w:w="186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18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Production quantities</w:t>
            </w:r>
          </w:p>
        </w:tc>
        <w:tc>
          <w:tcPr>
            <w:tcW w:w="3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62,005,390</w:t>
            </w:r>
          </w:p>
        </w:tc>
        <w:tc>
          <w:tcPr>
            <w:tcW w:w="34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94,628</w:t>
            </w:r>
          </w:p>
        </w:tc>
        <w:tc>
          <w:tcPr>
            <w:tcW w:w="34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107,675</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17,662,280</w:t>
            </w:r>
          </w:p>
        </w:tc>
        <w:tc>
          <w:tcPr>
            <w:tcW w:w="3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r>
      <w:tr>
        <w:trPr/>
        <w:tc>
          <w:tcPr>
            <w:tcW w:w="18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 price</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346" w:type="dxa"/>
            <w:tcBorders/>
            <w:shd w:fill="CCEEFF" w:val="clear"/>
            <w:vAlign w:val="center"/>
          </w:tcPr>
          <w:p>
            <w:pPr>
              <w:pStyle w:val="TableContents"/>
              <w:bidi w:val="0"/>
              <w:spacing w:before="0" w:after="0"/>
              <w:ind w:left="0" w:right="0" w:hanging="0"/>
              <w:jc w:val="left"/>
              <w:rPr/>
            </w:pPr>
            <w:r>
              <w:rPr/>
              <w:t>​</w:t>
            </w:r>
          </w:p>
        </w:tc>
        <w:tc>
          <w:tcPr>
            <w:tcW w:w="2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7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143.47</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70.47</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0.58</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18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105,512</w:t>
            </w:r>
          </w:p>
        </w:tc>
        <w:tc>
          <w:tcPr>
            <w:tcW w:w="346" w:type="dxa"/>
            <w:tcBorders/>
            <w:vAlign w:val="center"/>
          </w:tcPr>
          <w:p>
            <w:pPr>
              <w:pStyle w:val="TableContents"/>
              <w:bidi w:val="0"/>
              <w:spacing w:before="0" w:after="0"/>
              <w:ind w:left="0" w:right="0" w:hanging="0"/>
              <w:jc w:val="left"/>
              <w:rPr/>
            </w:pPr>
            <w:r>
              <w:rPr/>
              <w:t>​</w:t>
            </w:r>
          </w:p>
        </w:tc>
        <w:tc>
          <w:tcPr>
            <w:tcW w:w="2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7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13,576</w:t>
            </w:r>
          </w:p>
        </w:tc>
        <w:tc>
          <w:tcPr>
            <w:tcW w:w="346" w:type="dxa"/>
            <w:tcBorders/>
            <w:vAlign w:val="center"/>
          </w:tcPr>
          <w:p>
            <w:pPr>
              <w:pStyle w:val="TableContents"/>
              <w:bidi w:val="0"/>
              <w:spacing w:before="0" w:after="0"/>
              <w:ind w:left="0" w:right="0" w:hanging="0"/>
              <w:jc w:val="left"/>
              <w:rPr/>
            </w:pPr>
            <w:r>
              <w:rPr/>
              <w:t>​</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7,588</w:t>
            </w:r>
          </w:p>
        </w:tc>
        <w:tc>
          <w:tcPr>
            <w:tcW w:w="34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10,215</w:t>
            </w:r>
          </w:p>
        </w:tc>
        <w:tc>
          <w:tcPr>
            <w:tcW w:w="34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136,891</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r>
      <w:tr>
        <w:trPr/>
        <w:tc>
          <w:tcPr>
            <w:tcW w:w="18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Less: Marketing fees and other </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w:t>
            </w:r>
          </w:p>
        </w:tc>
        <w:tc>
          <w:tcPr>
            <w:tcW w:w="346" w:type="dxa"/>
            <w:tcBorders/>
            <w:shd w:fill="CCEEFF" w:val="clear"/>
            <w:vAlign w:val="center"/>
          </w:tcPr>
          <w:p>
            <w:pPr>
              <w:pStyle w:val="TableContents"/>
              <w:bidi w:val="0"/>
              <w:spacing w:before="0" w:after="0"/>
              <w:ind w:left="0" w:right="0" w:hanging="0"/>
              <w:jc w:val="left"/>
              <w:rPr/>
            </w:pPr>
            <w:r>
              <w:rPr/>
              <w:t>​</w:t>
            </w:r>
          </w:p>
        </w:tc>
        <w:tc>
          <w:tcPr>
            <w:tcW w:w="2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18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ethanol and ethanol related products revenues</w:t>
            </w:r>
          </w:p>
        </w:tc>
        <w:tc>
          <w:tcPr>
            <w:tcW w:w="346" w:type="dxa"/>
            <w:tcBorders/>
            <w:vAlign w:val="center"/>
          </w:tcPr>
          <w:p>
            <w:pPr>
              <w:pStyle w:val="TableContents"/>
              <w:bidi w:val="0"/>
              <w:spacing w:before="0" w:after="0"/>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104,939</w:t>
            </w:r>
          </w:p>
        </w:tc>
        <w:tc>
          <w:tcPr>
            <w:tcW w:w="346" w:type="dxa"/>
            <w:tcBorders/>
            <w:vAlign w:val="center"/>
          </w:tcPr>
          <w:p>
            <w:pPr>
              <w:pStyle w:val="TableContents"/>
              <w:bidi w:val="0"/>
              <w:spacing w:before="0" w:after="0"/>
              <w:ind w:left="0" w:right="0" w:hanging="0"/>
              <w:jc w:val="left"/>
              <w:rPr/>
            </w:pPr>
            <w:r>
              <w:rPr/>
              <w:t>​</w:t>
            </w:r>
          </w:p>
        </w:tc>
        <w:tc>
          <w:tcPr>
            <w:tcW w:w="294"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r>
              <w:rPr>
                <w:rFonts w:ascii="Times New Roman;Times;serif" w:hAnsi="Times New Roman;Times;serif"/>
                <w:sz w:val="20"/>
              </w:rPr>
              <w:t>$</w:t>
            </w:r>
          </w:p>
        </w:tc>
        <w:tc>
          <w:tcPr>
            <w:tcW w:w="7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13,411</w:t>
            </w:r>
          </w:p>
        </w:tc>
        <w:tc>
          <w:tcPr>
            <w:tcW w:w="346" w:type="dxa"/>
            <w:tcBorders/>
            <w:vAlign w:val="center"/>
          </w:tcPr>
          <w:p>
            <w:pPr>
              <w:pStyle w:val="TableContents"/>
              <w:bidi w:val="0"/>
              <w:spacing w:before="0" w:after="0"/>
              <w:ind w:left="0" w:right="0" w:hanging="0"/>
              <w:jc w:val="left"/>
              <w:rPr/>
            </w:pPr>
            <w:r>
              <w:rPr/>
              <w:t>​</w:t>
            </w:r>
          </w:p>
        </w:tc>
        <w:tc>
          <w:tcPr>
            <w:tcW w:w="331"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r>
              <w:rPr>
                <w:rFonts w:ascii="Times New Roman;Times;serif" w:hAnsi="Times New Roman;Times;serif"/>
                <w:sz w:val="20"/>
              </w:rPr>
              <w:t>$</w:t>
            </w:r>
          </w:p>
        </w:tc>
        <w:tc>
          <w:tcPr>
            <w:tcW w:w="9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7,588</w:t>
            </w:r>
          </w:p>
        </w:tc>
        <w:tc>
          <w:tcPr>
            <w:tcW w:w="346" w:type="dxa"/>
            <w:tcBorders/>
            <w:vAlign w:val="center"/>
          </w:tcPr>
          <w:p>
            <w:pPr>
              <w:pStyle w:val="TableContents"/>
              <w:bidi w:val="0"/>
              <w:spacing w:before="0" w:after="0"/>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10,103</w:t>
            </w:r>
          </w:p>
        </w:tc>
        <w:tc>
          <w:tcPr>
            <w:tcW w:w="346" w:type="dxa"/>
            <w:tcBorders/>
            <w:vAlign w:val="center"/>
          </w:tcPr>
          <w:p>
            <w:pPr>
              <w:pStyle w:val="TableContents"/>
              <w:bidi w:val="0"/>
              <w:spacing w:before="0" w:after="0"/>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136,041</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r>
      <w:tr>
        <w:trPr/>
        <w:tc>
          <w:tcPr>
            <w:tcW w:w="186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186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key metrics:</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r>
      <w:tr>
        <w:trPr/>
        <w:tc>
          <w:tcPr>
            <w:tcW w:w="18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Clean fuel production tax credits generated</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48,163</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1867"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CO</w:t>
            </w:r>
            <w:r>
              <w:rPr>
                <w:rFonts w:ascii="Times New Roman;Times;serif" w:hAnsi="Times New Roman;Times;serif"/>
                <w:sz w:val="15"/>
              </w:rPr>
              <w:t xml:space="preserve">2 </w:t>
            </w:r>
            <w:r>
              <w:rPr>
                <w:rFonts w:ascii="Times New Roman;Times;serif" w:hAnsi="Times New Roman;Times;serif"/>
                <w:sz w:val="20"/>
              </w:rPr>
              <w:t>sequestered (metric tons)</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157,606</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r>
      <w:tr>
        <w:trPr/>
        <w:tc>
          <w:tcPr>
            <w:tcW w:w="186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186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Primary production costs:</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r>
      <w:tr>
        <w:trPr/>
        <w:tc>
          <w:tcPr>
            <w:tcW w:w="18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Corn ground (bushels)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21,340,806</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18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Corn cost per bushel</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r>
      <w:tr>
        <w:trPr/>
        <w:tc>
          <w:tcPr>
            <w:tcW w:w="18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corn production costs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86,430</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18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Natural gas (MMBTU)</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1,508,920</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r>
      <w:tr>
        <w:trPr/>
        <w:tc>
          <w:tcPr>
            <w:tcW w:w="18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Natural gas cost per MMBTU</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18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natural gas costs</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4,361</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i/>
          <w:sz w:val="20"/>
        </w:rPr>
        <w:t>RNG operating metrics.</w:t>
      </w:r>
      <w:r>
        <w:rPr>
          <w:rFonts w:ascii="Times New Roman;Times;serif" w:hAnsi="Times New Roman;Times;serif"/>
          <w:sz w:val="20"/>
        </w:rPr>
        <w:t xml:space="preserve"> Total operating revenues reflect both sales of RNG and sales of related environmental attributes. As a result, our revenues are primarily affected by unit production of RNG, production of environmental attributes, and the prices at which we monetize such production. The following table summarizes the key operating metrics described above, recorded on the RNG segment, which metrics we use to measure performance: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861"/>
        <w:gridCol w:w="346"/>
        <w:gridCol w:w="226"/>
        <w:gridCol w:w="689"/>
        <w:gridCol w:w="346"/>
        <w:gridCol w:w="211"/>
        <w:gridCol w:w="689"/>
        <w:gridCol w:w="346"/>
        <w:gridCol w:w="211"/>
        <w:gridCol w:w="686"/>
        <w:gridCol w:w="346"/>
        <w:gridCol w:w="854"/>
        <w:gridCol w:w="394"/>
      </w:tblGrid>
      <w:tr>
        <w:trPr/>
        <w:tc>
          <w:tcPr>
            <w:tcW w:w="4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3086735" cy="175260"/>
                      <wp:effectExtent l="0" t="0" r="0" b="0"/>
                      <wp:wrapNone/>
                      <wp:docPr id="32" name="Frame32"/>
                      <a:graphic xmlns:a="http://schemas.openxmlformats.org/drawingml/2006/main">
                        <a:graphicData uri="http://schemas.microsoft.com/office/word/2010/wordprocessingShape">
                          <wps:wsp>
                            <wps:cNvSpPr txBox="1"/>
                            <wps:spPr>
                              <a:xfrm>
                                <a:off x="0" y="0"/>
                                <a:ext cx="3086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3"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43510" cy="175260"/>
                      <wp:effectExtent l="0" t="0" r="0" b="0"/>
                      <wp:wrapNone/>
                      <wp:docPr id="34" name="Frame3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37515" cy="175260"/>
                      <wp:effectExtent l="0" t="0" r="0" b="0"/>
                      <wp:wrapNone/>
                      <wp:docPr id="35" name="Frame35"/>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6"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3985" cy="175260"/>
                      <wp:effectExtent l="0" t="0" r="0" b="0"/>
                      <wp:wrapNone/>
                      <wp:docPr id="37" name="Frame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437515" cy="175260"/>
                      <wp:effectExtent l="0" t="0" r="0" b="0"/>
                      <wp:wrapNone/>
                      <wp:docPr id="38" name="Frame38"/>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39"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3985" cy="175260"/>
                      <wp:effectExtent l="0" t="0" r="0" b="0"/>
                      <wp:wrapNone/>
                      <wp:docPr id="40" name="Frame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35610" cy="175260"/>
                      <wp:effectExtent l="0" t="0" r="0" b="0"/>
                      <wp:wrapNone/>
                      <wp:docPr id="41" name="Frame41"/>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2"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42290" cy="175260"/>
                      <wp:effectExtent l="0" t="0" r="0" b="0"/>
                      <wp:wrapNone/>
                      <wp:docPr id="43" name="Frame43"/>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50190" cy="175260"/>
                      <wp:effectExtent l="0" t="0" r="0" b="0"/>
                      <wp:wrapNone/>
                      <wp:docPr id="44" name="Frame44"/>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6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54"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w:t>
            </w:r>
          </w:p>
        </w:tc>
      </w:tr>
      <w:tr>
        <w:trPr/>
        <w:tc>
          <w:tcPr>
            <w:tcW w:w="48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thousands, unless otherwise indicated)</w:t>
            </w:r>
          </w:p>
        </w:tc>
        <w:tc>
          <w:tcPr>
            <w:tcW w:w="346" w:type="dxa"/>
            <w:tcBorders/>
            <w:vAlign w:val="center"/>
          </w:tcPr>
          <w:p>
            <w:pPr>
              <w:pStyle w:val="TableContents"/>
              <w:bidi w:val="0"/>
              <w:spacing w:before="0" w:after="1"/>
              <w:ind w:left="0" w:right="0" w:hanging="0"/>
              <w:jc w:val="left"/>
              <w:rPr/>
            </w:pPr>
            <w:r>
              <w:rPr/>
              <w:t>  ​ ​ ​</w:t>
            </w:r>
          </w:p>
        </w:tc>
        <w:tc>
          <w:tcPr>
            <w:tcW w:w="9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  ​ ​ ​</w:t>
            </w:r>
          </w:p>
        </w:tc>
        <w:tc>
          <w:tcPr>
            <w:tcW w:w="8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left"/>
              <w:rPr/>
            </w:pPr>
            <w:r>
              <w:rPr/>
              <w:t>  ​ ​ ​</w:t>
            </w:r>
          </w:p>
        </w:tc>
        <w:tc>
          <w:tcPr>
            <w:tcW w:w="85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94" w:type="dxa"/>
            <w:tcBorders/>
            <w:vAlign w:val="center"/>
          </w:tcPr>
          <w:p>
            <w:pPr>
              <w:pStyle w:val="TableContents"/>
              <w:bidi w:val="0"/>
              <w:spacing w:before="0" w:after="1"/>
              <w:ind w:left="0" w:right="0" w:hanging="0"/>
              <w:jc w:val="left"/>
              <w:rPr/>
            </w:pPr>
            <w:r>
              <w:rPr/>
              <w:t>  ​ ​ ​</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revenues</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8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54" w:type="dxa"/>
            <w:tcBorders/>
            <w:shd w:fill="CCEEFF" w:val="clear"/>
            <w:vAlign w:val="center"/>
          </w:tcPr>
          <w:p>
            <w:pPr>
              <w:pStyle w:val="TableContents"/>
              <w:bidi w:val="0"/>
              <w:spacing w:before="0" w:after="1"/>
              <w:ind w:left="0" w:right="0" w:hanging="0"/>
              <w:jc w:val="right"/>
              <w:rPr/>
            </w:pPr>
            <w:r>
              <w:rPr/>
              <w:t>  ​</w:t>
            </w:r>
          </w:p>
        </w:tc>
        <w:tc>
          <w:tcPr>
            <w:tcW w:w="394" w:type="dxa"/>
            <w:tcBorders/>
            <w:shd w:fill="CCEEFF" w:val="clear"/>
            <w:vAlign w:val="center"/>
          </w:tcPr>
          <w:p>
            <w:pPr>
              <w:pStyle w:val="TableContents"/>
              <w:bidi w:val="0"/>
              <w:spacing w:before="0" w:after="1"/>
              <w:ind w:left="0" w:right="0" w:hanging="0"/>
              <w:jc w:val="left"/>
              <w:rPr/>
            </w:pPr>
            <w:r>
              <w:rPr/>
              <w:t> </w:t>
            </w:r>
          </w:p>
        </w:tc>
      </w:tr>
      <w:tr>
        <w:trPr/>
        <w:tc>
          <w:tcPr>
            <w:tcW w:w="48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Renewable natural gas (RNG)</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w:t>
            </w:r>
          </w:p>
        </w:tc>
        <w:tc>
          <w:tcPr>
            <w:tcW w:w="346" w:type="dxa"/>
            <w:tcBorders/>
            <w:vAlign w:val="center"/>
          </w:tcPr>
          <w:p>
            <w:pPr>
              <w:pStyle w:val="TableContents"/>
              <w:bidi w:val="0"/>
              <w:spacing w:before="0" w:after="1"/>
              <w:ind w:left="0" w:right="0" w:hanging="0"/>
              <w:jc w:val="left"/>
              <w:rPr/>
            </w:pPr>
            <w:r>
              <w:rPr/>
              <w:t>​</w:t>
            </w:r>
          </w:p>
        </w:tc>
        <w:tc>
          <w:tcPr>
            <w:tcW w:w="8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9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Environmental attributes - RINs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7,777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11,661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(3,884)</w:t>
            </w:r>
          </w:p>
        </w:tc>
        <w:tc>
          <w:tcPr>
            <w:tcW w:w="346" w:type="dxa"/>
            <w:tcBorders/>
            <w:shd w:fill="CCEEFF" w:val="clear"/>
            <w:vAlign w:val="center"/>
          </w:tcPr>
          <w:p>
            <w:pPr>
              <w:pStyle w:val="TableContents"/>
              <w:bidi w:val="0"/>
              <w:spacing w:before="0" w:after="1"/>
              <w:ind w:left="0" w:right="0" w:hanging="0"/>
              <w:jc w:val="left"/>
              <w:rPr/>
            </w:pPr>
            <w:r>
              <w:rPr/>
              <w:t>​</w:t>
            </w:r>
          </w:p>
        </w:tc>
        <w:tc>
          <w:tcPr>
            <w:tcW w:w="8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Environmental attributes - LCFS </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9,219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5,775</w:t>
            </w:r>
          </w:p>
        </w:tc>
        <w:tc>
          <w:tcPr>
            <w:tcW w:w="346" w:type="dxa"/>
            <w:tcBorders/>
            <w:vAlign w:val="center"/>
          </w:tcPr>
          <w:p>
            <w:pPr>
              <w:pStyle w:val="TableContents"/>
              <w:bidi w:val="0"/>
              <w:spacing w:before="0" w:after="1"/>
              <w:ind w:left="0" w:right="0" w:hanging="0"/>
              <w:jc w:val="left"/>
              <w:rPr/>
            </w:pPr>
            <w:r>
              <w:rPr/>
              <w:t>​</w:t>
            </w:r>
          </w:p>
        </w:tc>
        <w:tc>
          <w:tcPr>
            <w:tcW w:w="8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w:t>
            </w:r>
          </w:p>
        </w:tc>
        <w:tc>
          <w:tcPr>
            <w:tcW w:w="39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15,796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2,249</w:t>
            </w:r>
          </w:p>
        </w:tc>
        <w:tc>
          <w:tcPr>
            <w:tcW w:w="346" w:type="dxa"/>
            <w:tcBorders/>
            <w:shd w:fill="CCEEFF" w:val="clear"/>
            <w:vAlign w:val="center"/>
          </w:tcPr>
          <w:p>
            <w:pPr>
              <w:pStyle w:val="TableContents"/>
              <w:bidi w:val="0"/>
              <w:spacing w:before="0" w:after="1"/>
              <w:ind w:left="0" w:right="0" w:hanging="0"/>
              <w:jc w:val="left"/>
              <w:rPr/>
            </w:pPr>
            <w:r>
              <w:rPr/>
              <w:t>​</w:t>
            </w:r>
          </w:p>
        </w:tc>
        <w:tc>
          <w:tcPr>
            <w:tcW w:w="85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RNG metrics (MMBtu)</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854" w:type="dxa"/>
            <w:tcBorders/>
            <w:vAlign w:val="center"/>
          </w:tcPr>
          <w:p>
            <w:pPr>
              <w:pStyle w:val="TableContents"/>
              <w:bidi w:val="0"/>
              <w:spacing w:before="0" w:after="1"/>
              <w:ind w:left="0" w:right="0" w:hanging="0"/>
              <w:jc w:val="right"/>
              <w:rPr/>
            </w:pPr>
            <w:r>
              <w:rPr/>
              <w:t>  ​</w:t>
            </w:r>
          </w:p>
        </w:tc>
        <w:tc>
          <w:tcPr>
            <w:tcW w:w="394" w:type="dxa"/>
            <w:tcBorders/>
            <w:vAlign w:val="center"/>
          </w:tcPr>
          <w:p>
            <w:pPr>
              <w:pStyle w:val="TableContents"/>
              <w:bidi w:val="0"/>
              <w:spacing w:before="0" w:after="1"/>
              <w:ind w:left="0" w:right="0" w:hanging="0"/>
              <w:jc w:val="left"/>
              <w:rPr/>
            </w:pPr>
            <w:r>
              <w:rPr/>
              <w:t>​</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RNG production volumes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1"/>
              <w:ind w:left="0" w:right="0" w:hanging="0"/>
              <w:jc w:val="left"/>
              <w:rPr/>
            </w:pPr>
            <w:r>
              <w:rPr/>
              <w:t>​</w:t>
            </w:r>
          </w:p>
        </w:tc>
        <w:tc>
          <w:tcPr>
            <w:tcW w:w="8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RNG production volumes dispensed</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1"/>
              <w:ind w:left="0" w:right="0" w:hanging="0"/>
              <w:jc w:val="left"/>
              <w:rPr/>
            </w:pPr>
            <w:r>
              <w:rPr/>
              <w:t>​</w:t>
            </w:r>
          </w:p>
        </w:tc>
        <w:tc>
          <w:tcPr>
            <w:tcW w:w="8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9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6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RNG volumes available for RIN and LCFS generation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5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RIN metrics</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854" w:type="dxa"/>
            <w:tcBorders/>
            <w:vAlign w:val="center"/>
          </w:tcPr>
          <w:p>
            <w:pPr>
              <w:pStyle w:val="TableContents"/>
              <w:bidi w:val="0"/>
              <w:spacing w:before="0" w:after="1"/>
              <w:ind w:left="0" w:right="0" w:hanging="0"/>
              <w:jc w:val="right"/>
              <w:rPr/>
            </w:pPr>
            <w:r>
              <w:rPr/>
              <w:t>  ​</w:t>
            </w:r>
          </w:p>
        </w:tc>
        <w:tc>
          <w:tcPr>
            <w:tcW w:w="394" w:type="dxa"/>
            <w:tcBorders/>
            <w:vAlign w:val="center"/>
          </w:tcPr>
          <w:p>
            <w:pPr>
              <w:pStyle w:val="TableContents"/>
              <w:bidi w:val="0"/>
              <w:spacing w:before="0" w:after="1"/>
              <w:ind w:left="0" w:right="0" w:hanging="0"/>
              <w:jc w:val="left"/>
              <w:rPr/>
            </w:pPr>
            <w:r>
              <w:rPr/>
              <w:t>​</w:t>
            </w:r>
          </w:p>
        </w:tc>
      </w:tr>
      <w:tr>
        <w:trPr/>
        <w:tc>
          <w:tcPr>
            <w:tcW w:w="486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RIN generation </w:t>
            </w:r>
            <w:r>
              <w:rPr>
                <w:rFonts w:ascii="Times New Roman;Times;serif" w:hAnsi="Times New Roman;Times;serif"/>
                <w:sz w:val="15"/>
              </w:rPr>
              <w:t>(2)</w:t>
            </w:r>
            <w:r>
              <w:rPr>
                <w:rFonts w:ascii="Times New Roman;Times;serif" w:hAnsi="Times New Roman;Times;serif"/>
                <w:sz w:val="20"/>
              </w:rPr>
              <w:t xml:space="preserve"> </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w:t>
            </w:r>
          </w:p>
        </w:tc>
        <w:tc>
          <w:tcPr>
            <w:tcW w:w="346" w:type="dxa"/>
            <w:tcBorders/>
            <w:shd w:fill="CCEEFF" w:val="clear"/>
            <w:vAlign w:val="center"/>
          </w:tcPr>
          <w:p>
            <w:pPr>
              <w:pStyle w:val="TableContents"/>
              <w:bidi w:val="0"/>
              <w:spacing w:before="0" w:after="1"/>
              <w:ind w:left="0" w:right="0" w:hanging="0"/>
              <w:jc w:val="left"/>
              <w:rPr/>
            </w:pPr>
            <w:r>
              <w:rPr/>
              <w:t>​</w:t>
            </w:r>
          </w:p>
        </w:tc>
        <w:tc>
          <w:tcPr>
            <w:tcW w:w="8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Plus: Prior period RINs carried into current period</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w:t>
            </w:r>
          </w:p>
        </w:tc>
        <w:tc>
          <w:tcPr>
            <w:tcW w:w="346" w:type="dxa"/>
            <w:tcBorders/>
            <w:vAlign w:val="center"/>
          </w:tcPr>
          <w:p>
            <w:pPr>
              <w:pStyle w:val="TableContents"/>
              <w:bidi w:val="0"/>
              <w:spacing w:before="0" w:after="1"/>
              <w:ind w:left="0" w:right="0" w:hanging="0"/>
              <w:jc w:val="left"/>
              <w:rPr/>
            </w:pPr>
            <w:r>
              <w:rPr/>
              <w:t>​</w:t>
            </w:r>
          </w:p>
        </w:tc>
        <w:tc>
          <w:tcPr>
            <w:tcW w:w="8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39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RINs sold</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w:t>
            </w:r>
          </w:p>
        </w:tc>
        <w:tc>
          <w:tcPr>
            <w:tcW w:w="346" w:type="dxa"/>
            <w:tcBorders/>
            <w:shd w:fill="CCEEFF" w:val="clear"/>
            <w:vAlign w:val="center"/>
          </w:tcPr>
          <w:p>
            <w:pPr>
              <w:pStyle w:val="TableContents"/>
              <w:bidi w:val="0"/>
              <w:spacing w:before="0" w:after="1"/>
              <w:ind w:left="0" w:right="0" w:hanging="0"/>
              <w:jc w:val="left"/>
              <w:rPr/>
            </w:pPr>
            <w:r>
              <w:rPr/>
              <w:t>​</w:t>
            </w:r>
          </w:p>
        </w:tc>
        <w:tc>
          <w:tcPr>
            <w:tcW w:w="8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RIN inventory</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68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68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6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w:t>
            </w:r>
          </w:p>
        </w:tc>
        <w:tc>
          <w:tcPr>
            <w:tcW w:w="346" w:type="dxa"/>
            <w:tcBorders/>
            <w:vAlign w:val="center"/>
          </w:tcPr>
          <w:p>
            <w:pPr>
              <w:pStyle w:val="TableContents"/>
              <w:bidi w:val="0"/>
              <w:spacing w:before="0" w:after="1"/>
              <w:ind w:left="0" w:right="0" w:hanging="0"/>
              <w:jc w:val="left"/>
              <w:rPr/>
            </w:pPr>
            <w:r>
              <w:rPr/>
              <w:t>​</w:t>
            </w:r>
          </w:p>
        </w:tc>
        <w:tc>
          <w:tcPr>
            <w:tcW w:w="85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w:t>
            </w:r>
          </w:p>
        </w:tc>
        <w:tc>
          <w:tcPr>
            <w:tcW w:w="39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6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Average realized RIN price </w:t>
            </w:r>
            <w:r>
              <w:rPr>
                <w:rFonts w:ascii="Times New Roman;Times;serif" w:hAnsi="Times New Roman;Times;serif"/>
                <w:sz w:val="15"/>
              </w:rPr>
              <w:t>(4)</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(0.67)</w:t>
            </w:r>
          </w:p>
        </w:tc>
        <w:tc>
          <w:tcPr>
            <w:tcW w:w="346" w:type="dxa"/>
            <w:tcBorders/>
            <w:shd w:fill="CCEEFF" w:val="clear"/>
            <w:vAlign w:val="center"/>
          </w:tcPr>
          <w:p>
            <w:pPr>
              <w:pStyle w:val="TableContents"/>
              <w:bidi w:val="0"/>
              <w:spacing w:before="0" w:after="1"/>
              <w:ind w:left="0" w:right="0" w:hanging="0"/>
              <w:jc w:val="left"/>
              <w:rPr/>
            </w:pPr>
            <w:r>
              <w:rPr/>
              <w:t>​</w:t>
            </w:r>
          </w:p>
        </w:tc>
        <w:tc>
          <w:tcPr>
            <w:tcW w:w="8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LCFS metrics</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854" w:type="dxa"/>
            <w:tcBorders/>
            <w:vAlign w:val="center"/>
          </w:tcPr>
          <w:p>
            <w:pPr>
              <w:pStyle w:val="TableContents"/>
              <w:bidi w:val="0"/>
              <w:spacing w:before="0" w:after="1"/>
              <w:ind w:left="0" w:right="0" w:hanging="0"/>
              <w:jc w:val="right"/>
              <w:rPr/>
            </w:pPr>
            <w:r>
              <w:rPr/>
              <w:t>  ​</w:t>
            </w:r>
          </w:p>
        </w:tc>
        <w:tc>
          <w:tcPr>
            <w:tcW w:w="394" w:type="dxa"/>
            <w:tcBorders/>
            <w:vAlign w:val="center"/>
          </w:tcPr>
          <w:p>
            <w:pPr>
              <w:pStyle w:val="TableContents"/>
              <w:bidi w:val="0"/>
              <w:spacing w:before="0" w:after="1"/>
              <w:ind w:left="0" w:right="0" w:hanging="0"/>
              <w:jc w:val="left"/>
              <w:rPr/>
            </w:pPr>
            <w:r>
              <w:rPr/>
              <w:t>​</w:t>
            </w:r>
          </w:p>
        </w:tc>
      </w:tr>
      <w:tr>
        <w:trPr/>
        <w:tc>
          <w:tcPr>
            <w:tcW w:w="486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LCFS generation </w:t>
            </w:r>
            <w:r>
              <w:rPr>
                <w:rFonts w:ascii="Times New Roman;Times;serif" w:hAnsi="Times New Roman;Times;serif"/>
                <w:sz w:val="15"/>
              </w:rPr>
              <w:t>(5)</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346" w:type="dxa"/>
            <w:tcBorders/>
            <w:shd w:fill="CCEEFF" w:val="clear"/>
            <w:vAlign w:val="center"/>
          </w:tcPr>
          <w:p>
            <w:pPr>
              <w:pStyle w:val="TableContents"/>
              <w:bidi w:val="0"/>
              <w:spacing w:before="0" w:after="1"/>
              <w:ind w:left="0" w:right="0" w:hanging="0"/>
              <w:jc w:val="left"/>
              <w:rPr/>
            </w:pPr>
            <w:r>
              <w:rPr/>
              <w:t>​</w:t>
            </w:r>
          </w:p>
        </w:tc>
        <w:tc>
          <w:tcPr>
            <w:tcW w:w="8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w:t>
            </w:r>
          </w:p>
        </w:tc>
        <w:tc>
          <w:tcPr>
            <w:tcW w:w="3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Plus: Prior period LCFS carried into current period</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1"/>
              <w:ind w:left="0" w:right="0" w:hanging="0"/>
              <w:jc w:val="left"/>
              <w:rPr/>
            </w:pPr>
            <w:r>
              <w:rPr/>
              <w:t>​</w:t>
            </w:r>
          </w:p>
        </w:tc>
        <w:tc>
          <w:tcPr>
            <w:tcW w:w="8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9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LCFS sold</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w:t>
            </w:r>
          </w:p>
        </w:tc>
        <w:tc>
          <w:tcPr>
            <w:tcW w:w="346" w:type="dxa"/>
            <w:tcBorders/>
            <w:shd w:fill="CCEEFF" w:val="clear"/>
            <w:vAlign w:val="center"/>
          </w:tcPr>
          <w:p>
            <w:pPr>
              <w:pStyle w:val="TableContents"/>
              <w:bidi w:val="0"/>
              <w:spacing w:before="0" w:after="1"/>
              <w:ind w:left="0" w:right="0" w:hanging="0"/>
              <w:jc w:val="left"/>
              <w:rPr/>
            </w:pPr>
            <w:r>
              <w:rPr/>
              <w:t>​</w:t>
            </w:r>
          </w:p>
        </w:tc>
        <w:tc>
          <w:tcPr>
            <w:tcW w:w="8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w:t>
            </w:r>
          </w:p>
        </w:tc>
        <w:tc>
          <w:tcPr>
            <w:tcW w:w="3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LCFS inventory</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68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68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6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1"/>
              <w:ind w:left="0" w:right="0" w:hanging="0"/>
              <w:jc w:val="left"/>
              <w:rPr/>
            </w:pPr>
            <w:r>
              <w:rPr/>
              <w:t>​</w:t>
            </w:r>
          </w:p>
        </w:tc>
        <w:tc>
          <w:tcPr>
            <w:tcW w:w="85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9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6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Average realized LCFS price </w:t>
            </w:r>
            <w:r>
              <w:rPr>
                <w:rFonts w:ascii="Times New Roman;Times;serif" w:hAnsi="Times New Roman;Times;serif"/>
                <w:sz w:val="15"/>
              </w:rPr>
              <w:t>(4)</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56.21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50.65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5.57</w:t>
            </w:r>
          </w:p>
        </w:tc>
        <w:tc>
          <w:tcPr>
            <w:tcW w:w="346" w:type="dxa"/>
            <w:tcBorders/>
            <w:shd w:fill="CCEEFF" w:val="clear"/>
            <w:vAlign w:val="center"/>
          </w:tcPr>
          <w:p>
            <w:pPr>
              <w:pStyle w:val="TableContents"/>
              <w:bidi w:val="0"/>
              <w:spacing w:before="0" w:after="1"/>
              <w:ind w:left="0" w:right="0" w:hanging="0"/>
              <w:jc w:val="left"/>
              <w:rPr/>
            </w:pPr>
            <w:r>
              <w:rPr/>
              <w:t>​</w:t>
            </w:r>
          </w:p>
        </w:tc>
        <w:tc>
          <w:tcPr>
            <w:tcW w:w="8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54" w:type="dxa"/>
            <w:tcBorders/>
            <w:vAlign w:val="center"/>
          </w:tcPr>
          <w:p>
            <w:pPr>
              <w:pStyle w:val="TableContents"/>
              <w:bidi w:val="0"/>
              <w:spacing w:before="0" w:after="1"/>
              <w:ind w:left="0" w:right="0" w:hanging="0"/>
              <w:jc w:val="right"/>
              <w:rPr/>
            </w:pPr>
            <w:r>
              <w:rPr/>
              <w:t>​</w:t>
            </w:r>
          </w:p>
        </w:tc>
        <w:tc>
          <w:tcPr>
            <w:tcW w:w="394" w:type="dxa"/>
            <w:tcBorders/>
            <w:vAlign w:val="center"/>
          </w:tcPr>
          <w:p>
            <w:pPr>
              <w:pStyle w:val="TableContents"/>
              <w:bidi w:val="0"/>
              <w:spacing w:before="0" w:after="1"/>
              <w:ind w:left="0" w:right="0" w:hanging="0"/>
              <w:jc w:val="left"/>
              <w:rPr/>
            </w:pPr>
            <w:r>
              <w:rPr/>
              <w:t>​</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Clean fuel production tax credits generated</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3,867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3,867</w:t>
            </w:r>
          </w:p>
        </w:tc>
        <w:tc>
          <w:tcPr>
            <w:tcW w:w="346" w:type="dxa"/>
            <w:tcBorders/>
            <w:shd w:fill="CCEEFF" w:val="clear"/>
            <w:vAlign w:val="center"/>
          </w:tcPr>
          <w:p>
            <w:pPr>
              <w:pStyle w:val="TableContents"/>
              <w:bidi w:val="0"/>
              <w:spacing w:before="0" w:after="1"/>
              <w:ind w:left="0" w:right="0" w:hanging="0"/>
              <w:jc w:val="left"/>
              <w:rPr/>
            </w:pPr>
            <w:r>
              <w:rPr/>
              <w:t>​</w:t>
            </w:r>
          </w:p>
        </w:tc>
        <w:tc>
          <w:tcPr>
            <w:tcW w:w="854" w:type="dxa"/>
            <w:tcBorders/>
            <w:shd w:fill="CCEEFF" w:val="clear"/>
            <w:vAlign w:val="center"/>
          </w:tcPr>
          <w:p>
            <w:pPr>
              <w:pStyle w:val="TableContents"/>
              <w:bidi w:val="0"/>
              <w:spacing w:before="0" w:after="1"/>
              <w:ind w:left="0" w:right="0" w:hanging="0"/>
              <w:jc w:val="right"/>
              <w:rPr/>
            </w:pPr>
            <w:r>
              <w:rPr/>
              <w:t>—</w:t>
            </w:r>
          </w:p>
        </w:tc>
        <w:tc>
          <w:tcPr>
            <w:tcW w:w="3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54" w:type="dxa"/>
            <w:tcBorders/>
            <w:vAlign w:val="center"/>
          </w:tcPr>
          <w:p>
            <w:pPr>
              <w:pStyle w:val="TableContents"/>
              <w:bidi w:val="0"/>
              <w:spacing w:before="0" w:after="1"/>
              <w:ind w:left="0" w:right="0" w:hanging="0"/>
              <w:jc w:val="right"/>
              <w:rPr/>
            </w:pPr>
            <w:r>
              <w:rPr/>
              <w:t>​</w:t>
            </w:r>
          </w:p>
        </w:tc>
        <w:tc>
          <w:tcPr>
            <w:tcW w:w="394" w:type="dxa"/>
            <w:tcBorders/>
            <w:vAlign w:val="center"/>
          </w:tcPr>
          <w:p>
            <w:pPr>
              <w:pStyle w:val="TableContents"/>
              <w:bidi w:val="0"/>
              <w:spacing w:before="0" w:after="1"/>
              <w:ind w:left="0" w:right="0" w:hanging="0"/>
              <w:jc w:val="left"/>
              <w:rPr/>
            </w:pPr>
            <w:r>
              <w:rPr/>
              <w:t>​</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54" w:type="dxa"/>
            <w:tcBorders/>
            <w:shd w:fill="CCEEFF" w:val="clear"/>
            <w:vAlign w:val="center"/>
          </w:tcPr>
          <w:p>
            <w:pPr>
              <w:pStyle w:val="TableContents"/>
              <w:bidi w:val="0"/>
              <w:spacing w:before="0" w:after="1"/>
              <w:ind w:left="0" w:right="0" w:hanging="0"/>
              <w:jc w:val="right"/>
              <w:rPr/>
            </w:pPr>
            <w:r>
              <w:rPr/>
              <w:t>​</w:t>
            </w:r>
          </w:p>
        </w:tc>
        <w:tc>
          <w:tcPr>
            <w:tcW w:w="394" w:type="dxa"/>
            <w:tcBorders/>
            <w:shd w:fill="CCEEFF" w:val="clear"/>
            <w:vAlign w:val="center"/>
          </w:tcPr>
          <w:p>
            <w:pPr>
              <w:pStyle w:val="TableContents"/>
              <w:bidi w:val="0"/>
              <w:spacing w:before="0" w:after="1"/>
              <w:ind w:left="0" w:right="0" w:hanging="0"/>
              <w:jc w:val="left"/>
              <w:rPr/>
            </w:pPr>
            <w:r>
              <w:rPr/>
              <w:t>​</w:t>
            </w:r>
          </w:p>
        </w:tc>
      </w:tr>
      <w:tr>
        <w:trPr/>
        <w:tc>
          <w:tcPr>
            <w:tcW w:w="48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RNG operating expenses </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14,724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24,556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(9,832)</w:t>
            </w:r>
          </w:p>
        </w:tc>
        <w:tc>
          <w:tcPr>
            <w:tcW w:w="346" w:type="dxa"/>
            <w:tcBorders/>
            <w:vAlign w:val="center"/>
          </w:tcPr>
          <w:p>
            <w:pPr>
              <w:pStyle w:val="TableContents"/>
              <w:bidi w:val="0"/>
              <w:spacing w:before="0" w:after="1"/>
              <w:ind w:left="0" w:right="0" w:hanging="0"/>
              <w:jc w:val="left"/>
              <w:rPr/>
            </w:pPr>
            <w:r>
              <w:rPr/>
              <w:t>​</w:t>
            </w:r>
          </w:p>
        </w:tc>
        <w:tc>
          <w:tcPr>
            <w:tcW w:w="8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9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RNG operating expenses per MMBTU (actual)</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41.01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66.91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(25.90)</w:t>
            </w:r>
          </w:p>
        </w:tc>
        <w:tc>
          <w:tcPr>
            <w:tcW w:w="346" w:type="dxa"/>
            <w:tcBorders/>
            <w:shd w:fill="CCEEFF" w:val="clear"/>
            <w:vAlign w:val="center"/>
          </w:tcPr>
          <w:p>
            <w:pPr>
              <w:pStyle w:val="TableContents"/>
              <w:bidi w:val="0"/>
              <w:spacing w:before="0" w:after="1"/>
              <w:ind w:left="0" w:right="0" w:hanging="0"/>
              <w:jc w:val="left"/>
              <w:rPr/>
            </w:pPr>
            <w:r>
              <w:rPr/>
              <w:t>​</w:t>
            </w:r>
          </w:p>
        </w:tc>
        <w:tc>
          <w:tcPr>
            <w:tcW w:w="8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7397" w:type="dxa"/>
        <w:jc w:val="left"/>
        <w:tblInd w:w="0" w:type="dxa"/>
        <w:tblLayout w:type="fixed"/>
        <w:tblCellMar>
          <w:top w:w="0" w:type="dxa"/>
          <w:left w:w="0" w:type="dxa"/>
          <w:bottom w:w="0" w:type="dxa"/>
          <w:right w:w="0" w:type="dxa"/>
        </w:tblCellMar>
      </w:tblPr>
      <w:tblGrid>
        <w:gridCol w:w="346"/>
        <w:gridCol w:w="705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0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Represents gas production which has not been dispensed to generate RINs and LCFS.</w:t>
            </w:r>
          </w:p>
        </w:tc>
      </w:tr>
    </w:tbl>
    <w:tbl>
      <w:tblPr>
        <w:tblW w:w="6782" w:type="dxa"/>
        <w:jc w:val="left"/>
        <w:tblInd w:w="0" w:type="dxa"/>
        <w:tblLayout w:type="fixed"/>
        <w:tblCellMar>
          <w:top w:w="0" w:type="dxa"/>
          <w:left w:w="0" w:type="dxa"/>
          <w:bottom w:w="0" w:type="dxa"/>
          <w:right w:w="0" w:type="dxa"/>
        </w:tblCellMar>
      </w:tblPr>
      <w:tblGrid>
        <w:gridCol w:w="346"/>
        <w:gridCol w:w="643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43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RINs are generally generated in the month following the gas being dispensed</w:t>
            </w:r>
            <w:r>
              <w:rPr>
                <w:rFonts w:ascii="Times New Roman;Times;serif" w:hAnsi="Times New Roman;Times;serif"/>
                <w:b w:val="false"/>
                <w:i w:val="false"/>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330"/>
        <w:gridCol w:w="9875"/>
      </w:tblGrid>
      <w:tr>
        <w:trPr/>
        <w:tc>
          <w:tcPr>
            <w:tcW w:w="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One MMBtu of RNG has approximately the same energy content as 11.6935 gallons of ethanol and thus may generate 11.6935 RINs under the RFS Program.</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Realized prices for environmental attributes are net of third-party commissions and thus do not correspond directly to index prices.</w:t>
            </w:r>
          </w:p>
        </w:tc>
      </w:tr>
    </w:tbl>
    <w:tbl>
      <w:tblPr>
        <w:tblW w:w="8207" w:type="dxa"/>
        <w:jc w:val="left"/>
        <w:tblInd w:w="0" w:type="dxa"/>
        <w:tblLayout w:type="fixed"/>
        <w:tblCellMar>
          <w:top w:w="0" w:type="dxa"/>
          <w:left w:w="0" w:type="dxa"/>
          <w:bottom w:w="0" w:type="dxa"/>
          <w:right w:w="0" w:type="dxa"/>
        </w:tblCellMar>
      </w:tblPr>
      <w:tblGrid>
        <w:gridCol w:w="346"/>
        <w:gridCol w:w="786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78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LCFS credits are generally generated in the calendar quarter following the gas being dispensed.</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Results of Operations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following discussion of our financial condition and results of operations should be read in conjunction with our Consolidated Financial Statements and the notes to those Consolidated Financial Statements appearing in this Annual Report. This discussion contains forward-looking statements that involve significant risks and uncertainties. As a result of many factors, such as those set forth under “Risk Factors” in Part I, Item 1A of this Annual Report, our actual results may differ materially from those anticipated in these forward-looking statements.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This section discusses year-to-year comparisons between 2025 and 2024. The complete Management’s Discussion and Analysis of Financial Condition and Results of Operations for year-to-year comparisons between 2024 and 2023 and other discussions of 2024 items can be found within Part II, Item 7, of our Annual Report on Form 10-K for the year ended December 31, 2024, filed with the SEC on March 27,2025, which is available free of charge on the SEC’s website at www.sec.gov and our corporate website at www.gevo.com.</w:t>
      </w:r>
    </w:p>
    <w:p>
      <w:pPr>
        <w:pStyle w:val="TextBody"/>
        <w:bidi w:val="0"/>
        <w:spacing w:before="0" w:after="200"/>
        <w:ind w:left="0" w:right="0" w:firstLine="72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Consolidated Comparison of the Years Ended December 31, 2025 and 2024</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 thousands)</w:t>
      </w:r>
    </w:p>
    <w:tbl>
      <w:tblPr>
        <w:tblW w:w="10093" w:type="dxa"/>
        <w:jc w:val="left"/>
        <w:tblInd w:w="0" w:type="dxa"/>
        <w:tblLayout w:type="fixed"/>
        <w:tblCellMar>
          <w:top w:w="0" w:type="dxa"/>
          <w:left w:w="0" w:type="dxa"/>
          <w:bottom w:w="0" w:type="dxa"/>
          <w:right w:w="0" w:type="dxa"/>
        </w:tblCellMar>
      </w:tblPr>
      <w:tblGrid>
        <w:gridCol w:w="4366"/>
        <w:gridCol w:w="346"/>
        <w:gridCol w:w="211"/>
        <w:gridCol w:w="796"/>
        <w:gridCol w:w="346"/>
        <w:gridCol w:w="211"/>
        <w:gridCol w:w="796"/>
        <w:gridCol w:w="346"/>
        <w:gridCol w:w="346"/>
        <w:gridCol w:w="796"/>
        <w:gridCol w:w="346"/>
        <w:gridCol w:w="871"/>
        <w:gridCol w:w="316"/>
      </w:tblGrid>
      <w:tr>
        <w:trPr/>
        <w:tc>
          <w:tcPr>
            <w:tcW w:w="4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772410" cy="175260"/>
                      <wp:effectExtent l="0" t="0" r="0" b="0"/>
                      <wp:wrapNone/>
                      <wp:docPr id="45" name="Frame45"/>
                      <a:graphic xmlns:a="http://schemas.openxmlformats.org/drawingml/2006/main">
                        <a:graphicData uri="http://schemas.microsoft.com/office/word/2010/wordprocessingShape">
                          <wps:wsp>
                            <wps:cNvSpPr txBox="1"/>
                            <wps:spPr>
                              <a:xfrm>
                                <a:off x="0" y="0"/>
                                <a:ext cx="2772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6"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3985" cy="175260"/>
                      <wp:effectExtent l="0" t="0" r="0" b="0"/>
                      <wp:wrapNone/>
                      <wp:docPr id="47" name="Frame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505460" cy="175260"/>
                      <wp:effectExtent l="0" t="0" r="0" b="0"/>
                      <wp:wrapNone/>
                      <wp:docPr id="48" name="Frame4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9"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3985" cy="175260"/>
                      <wp:effectExtent l="0" t="0" r="0" b="0"/>
                      <wp:wrapNone/>
                      <wp:docPr id="50" name="Frame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05460" cy="175260"/>
                      <wp:effectExtent l="0" t="0" r="0" b="0"/>
                      <wp:wrapNone/>
                      <wp:docPr id="51" name="Frame5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2"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3"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505460" cy="175260"/>
                      <wp:effectExtent l="0" t="0" r="0" b="0"/>
                      <wp:wrapNone/>
                      <wp:docPr id="54" name="Frame5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5"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553085" cy="175260"/>
                      <wp:effectExtent l="0" t="0" r="0" b="0"/>
                      <wp:wrapNone/>
                      <wp:docPr id="56" name="Frame56"/>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0660" cy="175260"/>
                      <wp:effectExtent l="0" t="0" r="0" b="0"/>
                      <wp:wrapNone/>
                      <wp:docPr id="57" name="Frame5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36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 ​ ​</w:t>
            </w:r>
          </w:p>
        </w:tc>
        <w:tc>
          <w:tcPr>
            <w:tcW w:w="871" w:type="dxa"/>
            <w:tcBorders/>
            <w:vAlign w:val="center"/>
          </w:tcPr>
          <w:p>
            <w:pPr>
              <w:pStyle w:val="TableContents"/>
              <w:bidi w:val="0"/>
              <w:spacing w:before="0" w:after="1"/>
              <w:ind w:left="0" w:right="0" w:hanging="0"/>
              <w:jc w:val="right"/>
              <w:rPr/>
            </w:pPr>
            <w:r>
              <w:rPr/>
              <w:t>  ​ ​ ​</w:t>
            </w:r>
          </w:p>
        </w:tc>
        <w:tc>
          <w:tcPr>
            <w:tcW w:w="316" w:type="dxa"/>
            <w:tcBorders/>
            <w:vAlign w:val="center"/>
          </w:tcPr>
          <w:p>
            <w:pPr>
              <w:pStyle w:val="TableContents"/>
              <w:bidi w:val="0"/>
              <w:spacing w:before="0" w:after="1"/>
              <w:ind w:left="0" w:right="0" w:hanging="0"/>
              <w:jc w:val="left"/>
              <w:rPr/>
            </w:pPr>
            <w:r>
              <w:rPr/>
              <w:t> </w:t>
            </w:r>
          </w:p>
        </w:tc>
      </w:tr>
      <w:tr>
        <w:trPr/>
        <w:tc>
          <w:tcPr>
            <w:tcW w:w="43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46" w:type="dxa"/>
            <w:tcBorders/>
            <w:vAlign w:val="center"/>
          </w:tcPr>
          <w:p>
            <w:pPr>
              <w:pStyle w:val="TableContents"/>
              <w:bidi w:val="0"/>
              <w:spacing w:before="0" w:after="1"/>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16" w:type="dxa"/>
            <w:tcBorders/>
            <w:vAlign w:val="center"/>
          </w:tcPr>
          <w:p>
            <w:pPr>
              <w:pStyle w:val="TableContents"/>
              <w:bidi w:val="0"/>
              <w:spacing w:before="0" w:after="1"/>
              <w:ind w:left="0" w:right="0" w:hanging="0"/>
              <w:jc w:val="left"/>
              <w:rPr/>
            </w:pPr>
            <w:r>
              <w:rPr/>
              <w:t> </w:t>
            </w:r>
          </w:p>
        </w:tc>
      </w:tr>
      <w:tr>
        <w:trPr/>
        <w:tc>
          <w:tcPr>
            <w:tcW w:w="43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160,580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16,915</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143,665</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43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production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85,241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12,002</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73,239</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25,323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18,298</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7,025</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5,576</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(1,026)</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51,200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45,798</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5,402</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Project development costs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11,655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18,166</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(6,511)</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 related costs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4,438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4,932</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(494)</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Facility idling costs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2,967</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(1,491)</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disposal of assets, net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(3,091)</w:t>
            </w:r>
          </w:p>
        </w:tc>
        <w:tc>
          <w:tcPr>
            <w:tcW w:w="346" w:type="dxa"/>
            <w:tcBorders/>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180,792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107,739</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73,053</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(20,212)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(90,824)</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70,612</w:t>
            </w:r>
          </w:p>
        </w:tc>
        <w:tc>
          <w:tcPr>
            <w:tcW w:w="346" w:type="dxa"/>
            <w:tcBorders/>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(expense)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43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(17,560)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(3,879)</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(13,681)</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investment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15,740</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(10,631)</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w:t>
            </w:r>
          </w:p>
        </w:tc>
        <w:tc>
          <w:tcPr>
            <w:tcW w:w="346" w:type="dxa"/>
            <w:tcBorders/>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(expense) income,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(12,417)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12,184</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(24,601)</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 and comprehensive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(32,629)</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(78,640)</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46,011</w:t>
            </w:r>
          </w:p>
        </w:tc>
        <w:tc>
          <w:tcPr>
            <w:tcW w:w="346" w:type="dxa"/>
            <w:tcBorders/>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 attributable to non-controlling interest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1,207</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6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 attributable to Gevo, Inc.</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(33,836)</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(78,640)</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44,804</w:t>
            </w:r>
          </w:p>
        </w:tc>
        <w:tc>
          <w:tcPr>
            <w:tcW w:w="346" w:type="dxa"/>
            <w:tcBorders/>
            <w:vAlign w:val="center"/>
          </w:tcPr>
          <w:p>
            <w:pPr>
              <w:pStyle w:val="TableContents"/>
              <w:bidi w:val="0"/>
              <w:spacing w:before="0" w:after="1"/>
              <w:ind w:left="0" w:right="0" w:hanging="0"/>
              <w:jc w:val="left"/>
              <w:rPr/>
            </w:pPr>
            <w:r>
              <w:rPr/>
              <w:t>​</w:t>
            </w:r>
          </w:p>
        </w:tc>
        <w:tc>
          <w:tcPr>
            <w:tcW w:w="8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00"/>
        <w:ind w:left="0" w:right="0" w:firstLine="720"/>
        <w:jc w:val="left"/>
        <w:rPr/>
      </w:pPr>
      <w:r>
        <w:rPr/>
        <w:t>​</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Revenues:</w:t>
      </w:r>
    </w:p>
    <w:tbl>
      <w:tblPr>
        <w:tblW w:w="6052" w:type="dxa"/>
        <w:jc w:val="left"/>
        <w:tblInd w:w="0" w:type="dxa"/>
        <w:tblLayout w:type="fixed"/>
        <w:tblCellMar>
          <w:top w:w="0" w:type="dxa"/>
          <w:left w:w="0" w:type="dxa"/>
          <w:bottom w:w="0" w:type="dxa"/>
          <w:right w:w="0" w:type="dxa"/>
        </w:tblCellMar>
      </w:tblPr>
      <w:tblGrid>
        <w:gridCol w:w="1321"/>
        <w:gridCol w:w="109"/>
        <w:gridCol w:w="211"/>
        <w:gridCol w:w="781"/>
        <w:gridCol w:w="109"/>
        <w:gridCol w:w="211"/>
        <w:gridCol w:w="676"/>
        <w:gridCol w:w="109"/>
        <w:gridCol w:w="211"/>
        <w:gridCol w:w="781"/>
        <w:gridCol w:w="346"/>
        <w:gridCol w:w="871"/>
        <w:gridCol w:w="316"/>
      </w:tblGrid>
      <w:tr>
        <w:trPr/>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838835" cy="175260"/>
                      <wp:effectExtent l="0" t="0" r="0" b="0"/>
                      <wp:wrapNone/>
                      <wp:docPr id="58" name="Frame58"/>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9215" cy="175260"/>
                      <wp:effectExtent l="0" t="0" r="0" b="0"/>
                      <wp:wrapNone/>
                      <wp:docPr id="59" name="Frame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3985" cy="175260"/>
                      <wp:effectExtent l="0" t="0" r="0" b="0"/>
                      <wp:wrapNone/>
                      <wp:docPr id="60" name="Frame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95935" cy="175260"/>
                      <wp:effectExtent l="0" t="0" r="0" b="0"/>
                      <wp:wrapNone/>
                      <wp:docPr id="61" name="Frame6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9215" cy="175260"/>
                      <wp:effectExtent l="0" t="0" r="0" b="0"/>
                      <wp:wrapNone/>
                      <wp:docPr id="62" name="Frame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63" name="Frame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429260" cy="175260"/>
                      <wp:effectExtent l="0" t="0" r="0" b="0"/>
                      <wp:wrapNone/>
                      <wp:docPr id="64" name="Frame6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9215" cy="175260"/>
                      <wp:effectExtent l="0" t="0" r="0" b="0"/>
                      <wp:wrapNone/>
                      <wp:docPr id="65" name="Frame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3985" cy="175260"/>
                      <wp:effectExtent l="0" t="0" r="0" b="0"/>
                      <wp:wrapNone/>
                      <wp:docPr id="66" name="Frame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95935" cy="175260"/>
                      <wp:effectExtent l="0" t="0" r="0" b="0"/>
                      <wp:wrapNone/>
                      <wp:docPr id="67" name="Frame6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8"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553085" cy="175260"/>
                      <wp:effectExtent l="0" t="0" r="0" b="0"/>
                      <wp:wrapNone/>
                      <wp:docPr id="69" name="Frame69"/>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0660" cy="175260"/>
                      <wp:effectExtent l="0" t="0" r="0" b="0"/>
                      <wp:wrapNone/>
                      <wp:docPr id="70" name="Frame7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97" w:type="dxa"/>
            <w:gridSpan w:val="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13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16" w:type="dxa"/>
            <w:tcBorders/>
            <w:vAlign w:val="center"/>
          </w:tcPr>
          <w:p>
            <w:pPr>
              <w:pStyle w:val="TableContents"/>
              <w:bidi w:val="0"/>
              <w:spacing w:before="0" w:after="1"/>
              <w:ind w:left="0" w:right="0" w:hanging="0"/>
              <w:jc w:val="left"/>
              <w:rPr/>
            </w:pPr>
            <w:r>
              <w:rPr/>
              <w:t>​</w:t>
            </w:r>
          </w:p>
        </w:tc>
      </w:tr>
      <w:tr>
        <w:trPr/>
        <w:tc>
          <w:tcPr>
            <w:tcW w:w="1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GevoND</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136,780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136,780</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GevoRNG</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18,045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15,796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2,249</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5,755</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1,119</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4,636</w:t>
            </w:r>
          </w:p>
        </w:tc>
        <w:tc>
          <w:tcPr>
            <w:tcW w:w="346" w:type="dxa"/>
            <w:tcBorders/>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160,580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16,915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143,665</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0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Total revenues were $160.6 million for the year ended December 31, 2025, compared to $16.9 million for the year ended December 31, 2024, an increase of $143.7 million. The increase was primarily attributable to revenues generated by the GevoND segment following the acquisition of Red Trail Energy on January 31, 2025. GevoND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contributed $136.8 million of revenue in 2025, compared to no revenue in the prior year. GevoRNG revenues increased $2.2 million, or 14%, to $18.0 million in 2025 from $15.8 million in 2024, primarily attributable to increased low carbon fuel sales and improved realized pricing. Revenues in the Gevo segment increased to $5.8 million in 2025 from $1.1 million in 2024. The increase was primarily driven by higher hydrocarbon sales, partially offset by lower licensing and development revenue recognized under existing agreements.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Cost of production:</w:t>
      </w:r>
    </w:p>
    <w:tbl>
      <w:tblPr>
        <w:tblW w:w="6777" w:type="dxa"/>
        <w:jc w:val="left"/>
        <w:tblInd w:w="0" w:type="dxa"/>
        <w:tblLayout w:type="fixed"/>
        <w:tblCellMar>
          <w:top w:w="0" w:type="dxa"/>
          <w:left w:w="0" w:type="dxa"/>
          <w:bottom w:w="0" w:type="dxa"/>
          <w:right w:w="0" w:type="dxa"/>
        </w:tblCellMar>
      </w:tblPr>
      <w:tblGrid>
        <w:gridCol w:w="2086"/>
        <w:gridCol w:w="109"/>
        <w:gridCol w:w="228"/>
        <w:gridCol w:w="732"/>
        <w:gridCol w:w="118"/>
        <w:gridCol w:w="228"/>
        <w:gridCol w:w="732"/>
        <w:gridCol w:w="109"/>
        <w:gridCol w:w="211"/>
        <w:gridCol w:w="691"/>
        <w:gridCol w:w="346"/>
        <w:gridCol w:w="871"/>
        <w:gridCol w:w="316"/>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324610" cy="175260"/>
                      <wp:effectExtent l="0" t="0" r="0" b="0"/>
                      <wp:wrapNone/>
                      <wp:docPr id="71" name="Frame71"/>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9215" cy="175260"/>
                      <wp:effectExtent l="0" t="0" r="0" b="0"/>
                      <wp:wrapNone/>
                      <wp:docPr id="72" name="Frame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44780" cy="175260"/>
                      <wp:effectExtent l="0" t="0" r="0" b="0"/>
                      <wp:wrapNone/>
                      <wp:docPr id="73" name="Frame73"/>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64820" cy="175260"/>
                      <wp:effectExtent l="0" t="0" r="0" b="0"/>
                      <wp:wrapNone/>
                      <wp:docPr id="74" name="Frame74"/>
                      <a:graphic xmlns:a="http://schemas.openxmlformats.org/drawingml/2006/main">
                        <a:graphicData uri="http://schemas.microsoft.com/office/word/2010/wordprocessingShape">
                          <wps:wsp>
                            <wps:cNvSpPr txBox="1"/>
                            <wps:spPr>
                              <a:xfrm>
                                <a:off x="0" y="0"/>
                                <a:ext cx="464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74930" cy="175260"/>
                      <wp:effectExtent l="0" t="0" r="0" b="0"/>
                      <wp:wrapNone/>
                      <wp:docPr id="75" name="Frame75"/>
                      <a:graphic xmlns:a="http://schemas.openxmlformats.org/drawingml/2006/main">
                        <a:graphicData uri="http://schemas.microsoft.com/office/word/2010/wordprocessingShape">
                          <wps:wsp>
                            <wps:cNvSpPr txBox="1"/>
                            <wps:spPr>
                              <a:xfrm>
                                <a:off x="0" y="0"/>
                                <a:ext cx="74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44780" cy="175260"/>
                      <wp:effectExtent l="0" t="0" r="0" b="0"/>
                      <wp:wrapNone/>
                      <wp:docPr id="76" name="Frame76"/>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464820" cy="175260"/>
                      <wp:effectExtent l="0" t="0" r="0" b="0"/>
                      <wp:wrapNone/>
                      <wp:docPr id="77" name="Frame77"/>
                      <a:graphic xmlns:a="http://schemas.openxmlformats.org/drawingml/2006/main">
                        <a:graphicData uri="http://schemas.microsoft.com/office/word/2010/wordprocessingShape">
                          <wps:wsp>
                            <wps:cNvSpPr txBox="1"/>
                            <wps:spPr>
                              <a:xfrm>
                                <a:off x="0" y="0"/>
                                <a:ext cx="464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9215" cy="175260"/>
                      <wp:effectExtent l="0" t="0" r="0" b="0"/>
                      <wp:wrapNone/>
                      <wp:docPr id="78" name="Frame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9"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438785" cy="175260"/>
                      <wp:effectExtent l="0" t="0" r="0" b="0"/>
                      <wp:wrapNone/>
                      <wp:docPr id="80" name="Frame8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81"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553085" cy="175260"/>
                      <wp:effectExtent l="0" t="0" r="0" b="0"/>
                      <wp:wrapNone/>
                      <wp:docPr id="82" name="Frame82"/>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0660" cy="175260"/>
                      <wp:effectExtent l="0" t="0" r="0" b="0"/>
                      <wp:wrapNone/>
                      <wp:docPr id="83" name="Frame8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3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20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18" w:type="dxa"/>
            <w:tcBorders/>
            <w:vAlign w:val="center"/>
          </w:tcPr>
          <w:p>
            <w:pPr>
              <w:pStyle w:val="TableContents"/>
              <w:bidi w:val="0"/>
              <w:spacing w:before="0" w:after="1"/>
              <w:ind w:left="0" w:right="0" w:hanging="0"/>
              <w:jc w:val="center"/>
              <w:rPr/>
            </w:pPr>
            <w:r>
              <w:rPr/>
              <w:t>​</w:t>
            </w:r>
          </w:p>
        </w:tc>
        <w:tc>
          <w:tcPr>
            <w:tcW w:w="9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16" w:type="dxa"/>
            <w:tcBorders/>
            <w:vAlign w:val="center"/>
          </w:tcPr>
          <w:p>
            <w:pPr>
              <w:pStyle w:val="TableContents"/>
              <w:bidi w:val="0"/>
              <w:spacing w:before="0" w:after="1"/>
              <w:ind w:left="0" w:right="0" w:hanging="0"/>
              <w:jc w:val="left"/>
              <w:rPr/>
            </w:pPr>
            <w:r>
              <w:rPr/>
              <w:t>​</w:t>
            </w:r>
          </w:p>
        </w:tc>
      </w:tr>
      <w:tr>
        <w:trPr/>
        <w:tc>
          <w:tcPr>
            <w:tcW w:w="20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production</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32" w:type="dxa"/>
            <w:tcBorders/>
            <w:shd w:fill="CCEEFF" w:val="clear"/>
            <w:vAlign w:val="center"/>
          </w:tcPr>
          <w:p>
            <w:pPr>
              <w:pStyle w:val="TableContents"/>
              <w:bidi w:val="0"/>
              <w:spacing w:before="0" w:after="1"/>
              <w:ind w:left="0" w:right="0" w:hanging="0"/>
              <w:jc w:val="left"/>
              <w:rPr/>
            </w:pPr>
            <w:r>
              <w:rPr/>
              <w:t>​</w:t>
            </w:r>
          </w:p>
        </w:tc>
        <w:tc>
          <w:tcPr>
            <w:tcW w:w="118"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32"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0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GevoND</w:t>
            </w:r>
          </w:p>
        </w:tc>
        <w:tc>
          <w:tcPr>
            <w:tcW w:w="109"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67,692</w:t>
            </w:r>
          </w:p>
        </w:tc>
        <w:tc>
          <w:tcPr>
            <w:tcW w:w="118"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67,692</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GevoRNG</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8,433</w:t>
            </w:r>
          </w:p>
        </w:tc>
        <w:tc>
          <w:tcPr>
            <w:tcW w:w="118"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10,369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(1,936)</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GevoFuels</w:t>
            </w:r>
          </w:p>
        </w:tc>
        <w:tc>
          <w:tcPr>
            <w:tcW w:w="109"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7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118"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7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9,113</w:t>
            </w:r>
          </w:p>
        </w:tc>
        <w:tc>
          <w:tcPr>
            <w:tcW w:w="118"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7,480</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cost of production</w:t>
            </w:r>
          </w:p>
        </w:tc>
        <w:tc>
          <w:tcPr>
            <w:tcW w:w="109" w:type="dxa"/>
            <w:tcBorders/>
            <w:vAlign w:val="center"/>
          </w:tcPr>
          <w:p>
            <w:pPr>
              <w:pStyle w:val="TableContents"/>
              <w:bidi w:val="0"/>
              <w:spacing w:before="0" w:after="1"/>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85,241</w:t>
            </w:r>
          </w:p>
        </w:tc>
        <w:tc>
          <w:tcPr>
            <w:tcW w:w="118" w:type="dxa"/>
            <w:tcBorders/>
            <w:vAlign w:val="center"/>
          </w:tcPr>
          <w:p>
            <w:pPr>
              <w:pStyle w:val="TableContents"/>
              <w:bidi w:val="0"/>
              <w:spacing w:before="0" w:after="1"/>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12,002</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73,239</w:t>
            </w:r>
          </w:p>
        </w:tc>
        <w:tc>
          <w:tcPr>
            <w:tcW w:w="346" w:type="dxa"/>
            <w:tcBorders/>
            <w:vAlign w:val="center"/>
          </w:tcPr>
          <w:p>
            <w:pPr>
              <w:pStyle w:val="TableContents"/>
              <w:bidi w:val="0"/>
              <w:spacing w:before="0" w:after="1"/>
              <w:ind w:left="0" w:right="0" w:hanging="0"/>
              <w:jc w:val="left"/>
              <w:rPr/>
            </w:pPr>
            <w:r>
              <w:rPr/>
              <w:t>​</w:t>
            </w:r>
          </w:p>
        </w:tc>
        <w:tc>
          <w:tcPr>
            <w:tcW w:w="8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0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Cost of Production was $85.2 million for the year ended December 31, 2025, compared to $12.0 million for the year ended December 31, 2024, an increase of $73.2 million. The increase was primarily attributable to the inclusion of Cost of production from the GevoND segment following the acquisition of Red Trail Energy on January 31, 2025, which contributed $67.7 million in 2025. GevoRNG segment cost of production decreased $1.9 million, or 19%, to $8.4 million in 2025 from $10.4 million in 2024. The decrease was primarily driven by the recognition of $3.9 million in Section 45Z tax credits and a net decrease in environmental credit costs, partially offset by higher feedstock and natural gas costs. Cost of Production in the Gevo segment increased to $9.1 million in 2025 from $1.6 million in 2024, primarily driven by higher hydrocarbon production costs associated with increased production and sales activity.</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Depreciation and amortization:</w:t>
      </w:r>
    </w:p>
    <w:tbl>
      <w:tblPr>
        <w:tblW w:w="7737" w:type="dxa"/>
        <w:jc w:val="left"/>
        <w:tblInd w:w="0" w:type="dxa"/>
        <w:tblLayout w:type="fixed"/>
        <w:tblCellMar>
          <w:top w:w="0" w:type="dxa"/>
          <w:left w:w="0" w:type="dxa"/>
          <w:bottom w:w="0" w:type="dxa"/>
          <w:right w:w="0" w:type="dxa"/>
        </w:tblCellMar>
      </w:tblPr>
      <w:tblGrid>
        <w:gridCol w:w="3046"/>
        <w:gridCol w:w="109"/>
        <w:gridCol w:w="228"/>
        <w:gridCol w:w="732"/>
        <w:gridCol w:w="118"/>
        <w:gridCol w:w="228"/>
        <w:gridCol w:w="732"/>
        <w:gridCol w:w="109"/>
        <w:gridCol w:w="211"/>
        <w:gridCol w:w="691"/>
        <w:gridCol w:w="346"/>
        <w:gridCol w:w="871"/>
        <w:gridCol w:w="316"/>
      </w:tblGrid>
      <w:tr>
        <w:trPr/>
        <w:tc>
          <w:tcPr>
            <w:tcW w:w="3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934210" cy="175260"/>
                      <wp:effectExtent l="0" t="0" r="0" b="0"/>
                      <wp:wrapNone/>
                      <wp:docPr id="84" name="Frame84"/>
                      <a:graphic xmlns:a="http://schemas.openxmlformats.org/drawingml/2006/main">
                        <a:graphicData uri="http://schemas.microsoft.com/office/word/2010/wordprocessingShape">
                          <wps:wsp>
                            <wps:cNvSpPr txBox="1"/>
                            <wps:spPr>
                              <a:xfrm>
                                <a:off x="0" y="0"/>
                                <a:ext cx="193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9215" cy="175260"/>
                      <wp:effectExtent l="0" t="0" r="0" b="0"/>
                      <wp:wrapNone/>
                      <wp:docPr id="85" name="Frame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44780" cy="175260"/>
                      <wp:effectExtent l="0" t="0" r="0" b="0"/>
                      <wp:wrapNone/>
                      <wp:docPr id="86" name="Frame86"/>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64820" cy="175260"/>
                      <wp:effectExtent l="0" t="0" r="0" b="0"/>
                      <wp:wrapNone/>
                      <wp:docPr id="87" name="Frame87"/>
                      <a:graphic xmlns:a="http://schemas.openxmlformats.org/drawingml/2006/main">
                        <a:graphicData uri="http://schemas.microsoft.com/office/word/2010/wordprocessingShape">
                          <wps:wsp>
                            <wps:cNvSpPr txBox="1"/>
                            <wps:spPr>
                              <a:xfrm>
                                <a:off x="0" y="0"/>
                                <a:ext cx="464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74930" cy="175260"/>
                      <wp:effectExtent l="0" t="0" r="0" b="0"/>
                      <wp:wrapNone/>
                      <wp:docPr id="88" name="Frame88"/>
                      <a:graphic xmlns:a="http://schemas.openxmlformats.org/drawingml/2006/main">
                        <a:graphicData uri="http://schemas.microsoft.com/office/word/2010/wordprocessingShape">
                          <wps:wsp>
                            <wps:cNvSpPr txBox="1"/>
                            <wps:spPr>
                              <a:xfrm>
                                <a:off x="0" y="0"/>
                                <a:ext cx="74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44780" cy="175260"/>
                      <wp:effectExtent l="0" t="0" r="0" b="0"/>
                      <wp:wrapNone/>
                      <wp:docPr id="89" name="Frame89"/>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464820" cy="175260"/>
                      <wp:effectExtent l="0" t="0" r="0" b="0"/>
                      <wp:wrapNone/>
                      <wp:docPr id="90" name="Frame90"/>
                      <a:graphic xmlns:a="http://schemas.openxmlformats.org/drawingml/2006/main">
                        <a:graphicData uri="http://schemas.microsoft.com/office/word/2010/wordprocessingShape">
                          <wps:wsp>
                            <wps:cNvSpPr txBox="1"/>
                            <wps:spPr>
                              <a:xfrm>
                                <a:off x="0" y="0"/>
                                <a:ext cx="464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9215" cy="175260"/>
                      <wp:effectExtent l="0" t="0" r="0" b="0"/>
                      <wp:wrapNone/>
                      <wp:docPr id="91" name="Frame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92" name="Frame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438785" cy="175260"/>
                      <wp:effectExtent l="0" t="0" r="0" b="0"/>
                      <wp:wrapNone/>
                      <wp:docPr id="93" name="Frame9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94"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553085" cy="175260"/>
                      <wp:effectExtent l="0" t="0" r="0" b="0"/>
                      <wp:wrapNone/>
                      <wp:docPr id="95" name="Frame95"/>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0660" cy="175260"/>
                      <wp:effectExtent l="0" t="0" r="0" b="0"/>
                      <wp:wrapNone/>
                      <wp:docPr id="96" name="Frame9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0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18" w:type="dxa"/>
            <w:tcBorders/>
            <w:vAlign w:val="center"/>
          </w:tcPr>
          <w:p>
            <w:pPr>
              <w:pStyle w:val="TableContents"/>
              <w:bidi w:val="0"/>
              <w:spacing w:before="0" w:after="0"/>
              <w:ind w:left="0" w:right="0" w:hanging="0"/>
              <w:jc w:val="center"/>
              <w:rPr/>
            </w:pPr>
            <w:r>
              <w:rPr/>
              <w:t>​</w:t>
            </w:r>
          </w:p>
        </w:tc>
        <w:tc>
          <w:tcPr>
            <w:tcW w:w="9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16" w:type="dxa"/>
            <w:tcBorders/>
            <w:vAlign w:val="center"/>
          </w:tcPr>
          <w:p>
            <w:pPr>
              <w:pStyle w:val="TableContents"/>
              <w:bidi w:val="0"/>
              <w:spacing w:before="0" w:after="0"/>
              <w:ind w:left="0" w:right="0" w:hanging="0"/>
              <w:jc w:val="left"/>
              <w:rPr/>
            </w:pPr>
            <w:r>
              <w:rPr/>
              <w:t>​</w:t>
            </w:r>
          </w:p>
        </w:tc>
      </w:tr>
      <w:tr>
        <w:trPr/>
        <w:tc>
          <w:tcPr>
            <w:tcW w:w="3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left"/>
              <w:rPr/>
            </w:pPr>
            <w:r>
              <w:rPr/>
              <w:t>​</w:t>
            </w:r>
          </w:p>
        </w:tc>
        <w:tc>
          <w:tcPr>
            <w:tcW w:w="118"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0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GevoND</w:t>
            </w:r>
          </w:p>
        </w:tc>
        <w:tc>
          <w:tcPr>
            <w:tcW w:w="109"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17,512</w:t>
            </w:r>
          </w:p>
        </w:tc>
        <w:tc>
          <w:tcPr>
            <w:tcW w:w="118"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17,512</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GevoRNG</w:t>
            </w:r>
          </w:p>
        </w:tc>
        <w:tc>
          <w:tcPr>
            <w:tcW w:w="109"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4,616</w:t>
            </w:r>
          </w:p>
        </w:tc>
        <w:tc>
          <w:tcPr>
            <w:tcW w:w="118"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8,580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(3,964)</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Gevo</w:t>
            </w:r>
          </w:p>
        </w:tc>
        <w:tc>
          <w:tcPr>
            <w:tcW w:w="109"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3,195</w:t>
            </w:r>
          </w:p>
        </w:tc>
        <w:tc>
          <w:tcPr>
            <w:tcW w:w="118"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9,718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(6,523)</w:t>
            </w:r>
          </w:p>
        </w:tc>
        <w:tc>
          <w:tcPr>
            <w:tcW w:w="34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25,323</w:t>
            </w:r>
          </w:p>
        </w:tc>
        <w:tc>
          <w:tcPr>
            <w:tcW w:w="118"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18,298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7,025</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shd w:fill="FFFFFF" w:val="clear"/>
        <w:bidi w:val="0"/>
        <w:spacing w:before="0" w:after="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Depreciation and amortization increased $7.0 million during the year ended December 31, 2025, compared to the year ended December 31, 2024, primarily related to depreciation of assets acquired at Gevo North Dakota in the acquisition of Red Trail Energy. Depreciation and amortization for the GevoRNG segment decreased by $4.0 million, from $8.6 million for the year ended December 31, 2024 to $4.6 million for the year ended December 31, 2025, primarily due to the extension of certain lease terms, which resulted in a longer depreciable life for certain long-lived assets and lower periodic depreciation expense. Depreciation and amortization for the Gevo segment decreased by $6.5 million (67%), from $9.7 million in 2024 to $3.2 million in 2025. The decrease was primarily attributable to the Agri Energy assets disposed during 2025, resulting in a reduction of approximately $7.6 million of depreciation, partially offset by depreciation on remaining assets in service.</w:t>
      </w:r>
    </w:p>
    <w:p>
      <w:pPr>
        <w:pStyle w:val="TextBody"/>
        <w:shd w:fill="FFFFFF" w:val="clear"/>
        <w:bidi w:val="0"/>
        <w:spacing w:before="0" w:after="0"/>
        <w:ind w:left="0" w:right="0" w:hanging="0"/>
        <w:jc w:val="left"/>
        <w:rPr>
          <w:color w:val="212529"/>
        </w:rPr>
      </w:pPr>
      <w:r>
        <w:rPr>
          <w:color w:val="212529"/>
        </w:rPr>
        <w:t>​</w:t>
      </w:r>
    </w:p>
    <w:p>
      <w:pPr>
        <w:pStyle w:val="TextBody"/>
        <w:shd w:fill="FFFFFF" w:val="clear"/>
        <w:bidi w:val="0"/>
        <w:spacing w:before="0" w:after="0"/>
        <w:ind w:left="0" w:right="0" w:hanging="0"/>
        <w:jc w:val="left"/>
        <w:rPr>
          <w:rFonts w:ascii="Times New Roman;Times;serif" w:hAnsi="Times New Roman;Times;serif"/>
          <w:i/>
          <w:color w:val="212529"/>
          <w:sz w:val="20"/>
        </w:rPr>
      </w:pPr>
      <w:r>
        <w:rPr>
          <w:rFonts w:ascii="Times New Roman;Times;serif" w:hAnsi="Times New Roman;Times;serif"/>
          <w:i/>
          <w:color w:val="212529"/>
          <w:sz w:val="20"/>
        </w:rPr>
        <w:t>Research and development expense:</w:t>
      </w:r>
    </w:p>
    <w:tbl>
      <w:tblPr>
        <w:tblW w:w="8112" w:type="dxa"/>
        <w:jc w:val="left"/>
        <w:tblInd w:w="0" w:type="dxa"/>
        <w:tblLayout w:type="fixed"/>
        <w:tblCellMar>
          <w:top w:w="0" w:type="dxa"/>
          <w:left w:w="0" w:type="dxa"/>
          <w:bottom w:w="0" w:type="dxa"/>
          <w:right w:w="0" w:type="dxa"/>
        </w:tblCellMar>
      </w:tblPr>
      <w:tblGrid>
        <w:gridCol w:w="3421"/>
        <w:gridCol w:w="109"/>
        <w:gridCol w:w="257"/>
        <w:gridCol w:w="696"/>
        <w:gridCol w:w="132"/>
        <w:gridCol w:w="257"/>
        <w:gridCol w:w="696"/>
        <w:gridCol w:w="109"/>
        <w:gridCol w:w="211"/>
        <w:gridCol w:w="691"/>
        <w:gridCol w:w="346"/>
        <w:gridCol w:w="871"/>
        <w:gridCol w:w="316"/>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72335" cy="175260"/>
                      <wp:effectExtent l="0" t="0" r="0" b="0"/>
                      <wp:wrapNone/>
                      <wp:docPr id="97" name="Frame97"/>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9215" cy="175260"/>
                      <wp:effectExtent l="0" t="0" r="0" b="0"/>
                      <wp:wrapNone/>
                      <wp:docPr id="98" name="Frame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63195" cy="175260"/>
                      <wp:effectExtent l="0" t="0" r="0" b="0"/>
                      <wp:wrapNone/>
                      <wp:docPr id="99" name="Frame99"/>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441960" cy="175260"/>
                      <wp:effectExtent l="0" t="0" r="0" b="0"/>
                      <wp:wrapNone/>
                      <wp:docPr id="100" name="Frame100"/>
                      <a:graphic xmlns:a="http://schemas.openxmlformats.org/drawingml/2006/main">
                        <a:graphicData uri="http://schemas.microsoft.com/office/word/2010/wordprocessingShape">
                          <wps:wsp>
                            <wps:cNvSpPr txBox="1"/>
                            <wps:spPr>
                              <a:xfrm>
                                <a:off x="0" y="0"/>
                                <a:ext cx="441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83820" cy="175260"/>
                      <wp:effectExtent l="0" t="0" r="0" b="0"/>
                      <wp:wrapNone/>
                      <wp:docPr id="101" name="Frame101"/>
                      <a:graphic xmlns:a="http://schemas.openxmlformats.org/drawingml/2006/main">
                        <a:graphicData uri="http://schemas.microsoft.com/office/word/2010/wordprocessingShape">
                          <wps:wsp>
                            <wps:cNvSpPr txBox="1"/>
                            <wps:spPr>
                              <a:xfrm>
                                <a:off x="0" y="0"/>
                                <a:ext cx="83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63195" cy="175260"/>
                      <wp:effectExtent l="0" t="0" r="0" b="0"/>
                      <wp:wrapNone/>
                      <wp:docPr id="102" name="Frame102"/>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441960" cy="175260"/>
                      <wp:effectExtent l="0" t="0" r="0" b="0"/>
                      <wp:wrapNone/>
                      <wp:docPr id="103" name="Frame103"/>
                      <a:graphic xmlns:a="http://schemas.openxmlformats.org/drawingml/2006/main">
                        <a:graphicData uri="http://schemas.microsoft.com/office/word/2010/wordprocessingShape">
                          <wps:wsp>
                            <wps:cNvSpPr txBox="1"/>
                            <wps:spPr>
                              <a:xfrm>
                                <a:off x="0" y="0"/>
                                <a:ext cx="441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9215" cy="175260"/>
                      <wp:effectExtent l="0" t="0" r="0" b="0"/>
                      <wp:wrapNone/>
                      <wp:docPr id="104" name="Frame1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3985" cy="175260"/>
                      <wp:effectExtent l="0" t="0" r="0" b="0"/>
                      <wp:wrapNone/>
                      <wp:docPr id="105" name="Frame1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438785" cy="175260"/>
                      <wp:effectExtent l="0" t="0" r="0" b="0"/>
                      <wp:wrapNone/>
                      <wp:docPr id="106" name="Frame10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7"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53085" cy="175260"/>
                      <wp:effectExtent l="0" t="0" r="0" b="0"/>
                      <wp:wrapNone/>
                      <wp:docPr id="108" name="Frame108"/>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0660" cy="175260"/>
                      <wp:effectExtent l="0" t="0" r="0" b="0"/>
                      <wp:wrapNone/>
                      <wp:docPr id="109" name="Frame10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32" w:type="dxa"/>
            <w:tcBorders/>
            <w:vAlign w:val="center"/>
          </w:tcPr>
          <w:p>
            <w:pPr>
              <w:pStyle w:val="TableContents"/>
              <w:bidi w:val="0"/>
              <w:spacing w:before="0" w:after="0"/>
              <w:ind w:left="0" w:right="0" w:hanging="0"/>
              <w:jc w:val="center"/>
              <w:rPr/>
            </w:pPr>
            <w:r>
              <w:rPr/>
              <w:t>​</w:t>
            </w:r>
          </w:p>
        </w:tc>
        <w:tc>
          <w:tcPr>
            <w:tcW w:w="9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16" w:type="dxa"/>
            <w:tcBorders/>
            <w:vAlign w:val="center"/>
          </w:tcPr>
          <w:p>
            <w:pPr>
              <w:pStyle w:val="TableContents"/>
              <w:bidi w:val="0"/>
              <w:spacing w:before="0" w:after="0"/>
              <w:ind w:left="0" w:right="0" w:hanging="0"/>
              <w:jc w:val="left"/>
              <w:rPr/>
            </w:pPr>
            <w:r>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696"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69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Gevo</w:t>
            </w:r>
          </w:p>
        </w:tc>
        <w:tc>
          <w:tcPr>
            <w:tcW w:w="109"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4,550</w:t>
            </w:r>
          </w:p>
        </w:tc>
        <w:tc>
          <w:tcPr>
            <w:tcW w:w="132"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(1,026)</w:t>
            </w:r>
          </w:p>
        </w:tc>
        <w:tc>
          <w:tcPr>
            <w:tcW w:w="34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4,550</w:t>
            </w:r>
          </w:p>
        </w:tc>
        <w:tc>
          <w:tcPr>
            <w:tcW w:w="132" w:type="dxa"/>
            <w:tcBorders/>
            <w:shd w:fill="CCEEFF" w:val="clear"/>
            <w:vAlign w:val="center"/>
          </w:tcPr>
          <w:p>
            <w:pPr>
              <w:pStyle w:val="TableContents"/>
              <w:bidi w:val="0"/>
              <w:spacing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(1,026)</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shd w:fill="FFFFFF" w:val="clear"/>
        <w:bidi w:val="0"/>
        <w:spacing w:before="0" w:after="0"/>
        <w:ind w:left="0" w:right="0" w:hanging="0"/>
        <w:jc w:val="left"/>
        <w:rPr>
          <w:color w:val="212529"/>
        </w:rPr>
      </w:pPr>
      <w:r>
        <w:rPr>
          <w:color w:val="212529"/>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Research and development expense decreased $1.0 million during the year ended December 31, 2025, compared to the year ended December 31, 2024, primarily due to a reduction of consulting expenses during the year ended December 31, 2025.</w:t>
      </w:r>
    </w:p>
    <w:p>
      <w:pPr>
        <w:pStyle w:val="TextBody"/>
        <w:bidi w:val="0"/>
        <w:spacing w:before="0" w:after="20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w:t>
      </w:r>
    </w:p>
    <w:tbl>
      <w:tblPr>
        <w:tblW w:w="8157" w:type="dxa"/>
        <w:jc w:val="left"/>
        <w:tblInd w:w="0" w:type="dxa"/>
        <w:tblLayout w:type="fixed"/>
        <w:tblCellMar>
          <w:top w:w="0" w:type="dxa"/>
          <w:left w:w="0" w:type="dxa"/>
          <w:bottom w:w="0" w:type="dxa"/>
          <w:right w:w="0" w:type="dxa"/>
        </w:tblCellMar>
      </w:tblPr>
      <w:tblGrid>
        <w:gridCol w:w="3466"/>
        <w:gridCol w:w="109"/>
        <w:gridCol w:w="228"/>
        <w:gridCol w:w="732"/>
        <w:gridCol w:w="118"/>
        <w:gridCol w:w="228"/>
        <w:gridCol w:w="732"/>
        <w:gridCol w:w="109"/>
        <w:gridCol w:w="211"/>
        <w:gridCol w:w="691"/>
        <w:gridCol w:w="346"/>
        <w:gridCol w:w="871"/>
        <w:gridCol w:w="316"/>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200910" cy="175260"/>
                      <wp:effectExtent l="0" t="0" r="0" b="0"/>
                      <wp:wrapNone/>
                      <wp:docPr id="110" name="Frame110"/>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9215" cy="175260"/>
                      <wp:effectExtent l="0" t="0" r="0" b="0"/>
                      <wp:wrapNone/>
                      <wp:docPr id="111" name="Frame1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44780" cy="175260"/>
                      <wp:effectExtent l="0" t="0" r="0" b="0"/>
                      <wp:wrapNone/>
                      <wp:docPr id="112" name="Frame112"/>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464820" cy="175260"/>
                      <wp:effectExtent l="0" t="0" r="0" b="0"/>
                      <wp:wrapNone/>
                      <wp:docPr id="113" name="Frame113"/>
                      <a:graphic xmlns:a="http://schemas.openxmlformats.org/drawingml/2006/main">
                        <a:graphicData uri="http://schemas.microsoft.com/office/word/2010/wordprocessingShape">
                          <wps:wsp>
                            <wps:cNvSpPr txBox="1"/>
                            <wps:spPr>
                              <a:xfrm>
                                <a:off x="0" y="0"/>
                                <a:ext cx="464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74930" cy="175260"/>
                      <wp:effectExtent l="0" t="0" r="0" b="0"/>
                      <wp:wrapNone/>
                      <wp:docPr id="114" name="Frame114"/>
                      <a:graphic xmlns:a="http://schemas.openxmlformats.org/drawingml/2006/main">
                        <a:graphicData uri="http://schemas.microsoft.com/office/word/2010/wordprocessingShape">
                          <wps:wsp>
                            <wps:cNvSpPr txBox="1"/>
                            <wps:spPr>
                              <a:xfrm>
                                <a:off x="0" y="0"/>
                                <a:ext cx="74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44780" cy="175260"/>
                      <wp:effectExtent l="0" t="0" r="0" b="0"/>
                      <wp:wrapNone/>
                      <wp:docPr id="115" name="Frame115"/>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464820" cy="175260"/>
                      <wp:effectExtent l="0" t="0" r="0" b="0"/>
                      <wp:wrapNone/>
                      <wp:docPr id="116" name="Frame116"/>
                      <a:graphic xmlns:a="http://schemas.openxmlformats.org/drawingml/2006/main">
                        <a:graphicData uri="http://schemas.microsoft.com/office/word/2010/wordprocessingShape">
                          <wps:wsp>
                            <wps:cNvSpPr txBox="1"/>
                            <wps:spPr>
                              <a:xfrm>
                                <a:off x="0" y="0"/>
                                <a:ext cx="464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9215" cy="175260"/>
                      <wp:effectExtent l="0" t="0" r="0" b="0"/>
                      <wp:wrapNone/>
                      <wp:docPr id="117" name="Frame1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3985" cy="175260"/>
                      <wp:effectExtent l="0" t="0" r="0" b="0"/>
                      <wp:wrapNone/>
                      <wp:docPr id="118" name="Frame1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438785" cy="175260"/>
                      <wp:effectExtent l="0" t="0" r="0" b="0"/>
                      <wp:wrapNone/>
                      <wp:docPr id="119" name="Frame11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9710" cy="175260"/>
                      <wp:effectExtent l="0" t="0" r="0" b="0"/>
                      <wp:wrapNone/>
                      <wp:docPr id="120"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553085" cy="175260"/>
                      <wp:effectExtent l="0" t="0" r="0" b="0"/>
                      <wp:wrapNone/>
                      <wp:docPr id="121" name="Frame121"/>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0660" cy="175260"/>
                      <wp:effectExtent l="0" t="0" r="0" b="0"/>
                      <wp:wrapNone/>
                      <wp:docPr id="122" name="Frame12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3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34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18" w:type="dxa"/>
            <w:tcBorders/>
            <w:vAlign w:val="center"/>
          </w:tcPr>
          <w:p>
            <w:pPr>
              <w:pStyle w:val="TableContents"/>
              <w:bidi w:val="0"/>
              <w:spacing w:before="0" w:after="1"/>
              <w:ind w:left="0" w:right="0" w:hanging="0"/>
              <w:jc w:val="center"/>
              <w:rPr/>
            </w:pPr>
            <w:r>
              <w:rPr/>
              <w:t>​</w:t>
            </w:r>
          </w:p>
        </w:tc>
        <w:tc>
          <w:tcPr>
            <w:tcW w:w="9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16" w:type="dxa"/>
            <w:tcBorders/>
            <w:vAlign w:val="center"/>
          </w:tcPr>
          <w:p>
            <w:pPr>
              <w:pStyle w:val="TableContents"/>
              <w:bidi w:val="0"/>
              <w:spacing w:before="0" w:after="1"/>
              <w:ind w:left="0" w:right="0" w:hanging="0"/>
              <w:jc w:val="left"/>
              <w:rPr/>
            </w:pPr>
            <w:r>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32" w:type="dxa"/>
            <w:tcBorders/>
            <w:shd w:fill="CCEEFF" w:val="clear"/>
            <w:vAlign w:val="center"/>
          </w:tcPr>
          <w:p>
            <w:pPr>
              <w:pStyle w:val="TableContents"/>
              <w:bidi w:val="0"/>
              <w:spacing w:before="0" w:after="1"/>
              <w:ind w:left="0" w:right="0" w:hanging="0"/>
              <w:jc w:val="left"/>
              <w:rPr/>
            </w:pPr>
            <w:r>
              <w:rPr/>
              <w:t>​</w:t>
            </w:r>
          </w:p>
        </w:tc>
        <w:tc>
          <w:tcPr>
            <w:tcW w:w="118"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32"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GevoND</w:t>
            </w:r>
          </w:p>
        </w:tc>
        <w:tc>
          <w:tcPr>
            <w:tcW w:w="109"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9,701</w:t>
            </w:r>
          </w:p>
        </w:tc>
        <w:tc>
          <w:tcPr>
            <w:tcW w:w="118"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9,701</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GevoRNG</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1,675</w:t>
            </w:r>
          </w:p>
        </w:tc>
        <w:tc>
          <w:tcPr>
            <w:tcW w:w="118"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5,606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(3,931)</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w:t>
            </w:r>
          </w:p>
        </w:tc>
        <w:tc>
          <w:tcPr>
            <w:tcW w:w="109"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39,824</w:t>
            </w:r>
          </w:p>
        </w:tc>
        <w:tc>
          <w:tcPr>
            <w:tcW w:w="118"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40,192</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(368)</w:t>
            </w:r>
          </w:p>
        </w:tc>
        <w:tc>
          <w:tcPr>
            <w:tcW w:w="346" w:type="dxa"/>
            <w:tcBorders/>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51,200</w:t>
            </w:r>
          </w:p>
        </w:tc>
        <w:tc>
          <w:tcPr>
            <w:tcW w:w="118"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45,798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5,402</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0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Total general and administrative expense was $51.2 million for the year ended December 31, 2025, compared to $45.8 million for the year ended December 31, 2024, representing an increase of $5.4 million. The increase was primarily driven by $9.1 million of G&amp;A expense from the GevoND segment following the acquisition of Red Trail Energy on January 31, 2025. This increase was partially offset by decreases in G&amp;A expense in other segments. Specifically, G&amp;A expense in the GevoRNG segment decreased by $3.9 million to $1.7 million in 2025 from $5.6 million in 2024, reflecting lower administrative and overhead costs. General and administrative expense in the Gevo segment remained relatively consistent, decreasing slightly by $0.4 million to $39.8 million in 2025 from $40.2 million in 2024. The modest decline was primarily driven by lower stock-based compensation expenses, which were partially offset by increases in employee-related costs, professional services, and investments in IT infrastructure.</w:t>
      </w:r>
    </w:p>
    <w:p>
      <w:pPr>
        <w:pStyle w:val="TextBody"/>
        <w:bidi w:val="0"/>
        <w:spacing w:before="0" w:after="200"/>
        <w:ind w:left="0" w:right="0" w:firstLine="720"/>
        <w:jc w:val="left"/>
        <w:rPr/>
      </w:pPr>
      <w:r>
        <w:rPr/>
        <w:t>​</w:t>
      </w:r>
    </w:p>
    <w:p>
      <w:pPr>
        <w:pStyle w:val="TextBody"/>
        <w:bidi w:val="0"/>
        <w:spacing w:before="0" w:after="20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Project development costs:</w:t>
      </w:r>
    </w:p>
    <w:tbl>
      <w:tblPr>
        <w:tblW w:w="7422" w:type="dxa"/>
        <w:jc w:val="left"/>
        <w:tblInd w:w="0" w:type="dxa"/>
        <w:tblLayout w:type="fixed"/>
        <w:tblCellMar>
          <w:top w:w="0" w:type="dxa"/>
          <w:left w:w="0" w:type="dxa"/>
          <w:bottom w:w="0" w:type="dxa"/>
          <w:right w:w="0" w:type="dxa"/>
        </w:tblCellMar>
      </w:tblPr>
      <w:tblGrid>
        <w:gridCol w:w="2731"/>
        <w:gridCol w:w="109"/>
        <w:gridCol w:w="228"/>
        <w:gridCol w:w="732"/>
        <w:gridCol w:w="118"/>
        <w:gridCol w:w="228"/>
        <w:gridCol w:w="732"/>
        <w:gridCol w:w="109"/>
        <w:gridCol w:w="211"/>
        <w:gridCol w:w="691"/>
        <w:gridCol w:w="346"/>
        <w:gridCol w:w="871"/>
        <w:gridCol w:w="316"/>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734185" cy="175260"/>
                      <wp:effectExtent l="0" t="0" r="0" b="0"/>
                      <wp:wrapNone/>
                      <wp:docPr id="123" name="Frame123"/>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9215" cy="175260"/>
                      <wp:effectExtent l="0" t="0" r="0" b="0"/>
                      <wp:wrapNone/>
                      <wp:docPr id="124" name="Frame1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44780" cy="175260"/>
                      <wp:effectExtent l="0" t="0" r="0" b="0"/>
                      <wp:wrapNone/>
                      <wp:docPr id="125" name="Frame125"/>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464820" cy="175260"/>
                      <wp:effectExtent l="0" t="0" r="0" b="0"/>
                      <wp:wrapNone/>
                      <wp:docPr id="126" name="Frame126"/>
                      <a:graphic xmlns:a="http://schemas.openxmlformats.org/drawingml/2006/main">
                        <a:graphicData uri="http://schemas.microsoft.com/office/word/2010/wordprocessingShape">
                          <wps:wsp>
                            <wps:cNvSpPr txBox="1"/>
                            <wps:spPr>
                              <a:xfrm>
                                <a:off x="0" y="0"/>
                                <a:ext cx="464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74930" cy="175260"/>
                      <wp:effectExtent l="0" t="0" r="0" b="0"/>
                      <wp:wrapNone/>
                      <wp:docPr id="127" name="Frame127"/>
                      <a:graphic xmlns:a="http://schemas.openxmlformats.org/drawingml/2006/main">
                        <a:graphicData uri="http://schemas.microsoft.com/office/word/2010/wordprocessingShape">
                          <wps:wsp>
                            <wps:cNvSpPr txBox="1"/>
                            <wps:spPr>
                              <a:xfrm>
                                <a:off x="0" y="0"/>
                                <a:ext cx="74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44780" cy="175260"/>
                      <wp:effectExtent l="0" t="0" r="0" b="0"/>
                      <wp:wrapNone/>
                      <wp:docPr id="128" name="Frame128"/>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464820" cy="175260"/>
                      <wp:effectExtent l="0" t="0" r="0" b="0"/>
                      <wp:wrapNone/>
                      <wp:docPr id="129" name="Frame129"/>
                      <a:graphic xmlns:a="http://schemas.openxmlformats.org/drawingml/2006/main">
                        <a:graphicData uri="http://schemas.microsoft.com/office/word/2010/wordprocessingShape">
                          <wps:wsp>
                            <wps:cNvSpPr txBox="1"/>
                            <wps:spPr>
                              <a:xfrm>
                                <a:off x="0" y="0"/>
                                <a:ext cx="464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9215" cy="175260"/>
                      <wp:effectExtent l="0" t="0" r="0" b="0"/>
                      <wp:wrapNone/>
                      <wp:docPr id="130" name="Frame1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33985" cy="175260"/>
                      <wp:effectExtent l="0" t="0" r="0" b="0"/>
                      <wp:wrapNone/>
                      <wp:docPr id="131" name="Frame1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438785" cy="175260"/>
                      <wp:effectExtent l="0" t="0" r="0" b="0"/>
                      <wp:wrapNone/>
                      <wp:docPr id="132" name="Frame13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260"/>
                      <wp:effectExtent l="0" t="0" r="0" b="0"/>
                      <wp:wrapNone/>
                      <wp:docPr id="133"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553085" cy="175260"/>
                      <wp:effectExtent l="0" t="0" r="0" b="0"/>
                      <wp:wrapNone/>
                      <wp:docPr id="134" name="Frame134"/>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0660" cy="175260"/>
                      <wp:effectExtent l="0" t="0" r="0" b="0"/>
                      <wp:wrapNone/>
                      <wp:docPr id="135" name="Frame13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3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27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18" w:type="dxa"/>
            <w:tcBorders/>
            <w:vAlign w:val="center"/>
          </w:tcPr>
          <w:p>
            <w:pPr>
              <w:pStyle w:val="TableContents"/>
              <w:bidi w:val="0"/>
              <w:spacing w:before="0" w:after="1"/>
              <w:ind w:left="0" w:right="0" w:hanging="0"/>
              <w:jc w:val="center"/>
              <w:rPr/>
            </w:pPr>
            <w:r>
              <w:rPr/>
              <w:t>​</w:t>
            </w:r>
          </w:p>
        </w:tc>
        <w:tc>
          <w:tcPr>
            <w:tcW w:w="9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16" w:type="dxa"/>
            <w:tcBorders/>
            <w:vAlign w:val="center"/>
          </w:tcPr>
          <w:p>
            <w:pPr>
              <w:pStyle w:val="TableContents"/>
              <w:bidi w:val="0"/>
              <w:spacing w:before="0" w:after="1"/>
              <w:ind w:left="0" w:right="0" w:hanging="0"/>
              <w:jc w:val="left"/>
              <w:rPr/>
            </w:pPr>
            <w:r>
              <w:rPr/>
              <w:t>​</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Project development costs:</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32" w:type="dxa"/>
            <w:tcBorders/>
            <w:shd w:fill="CCEEFF" w:val="clear"/>
            <w:vAlign w:val="center"/>
          </w:tcPr>
          <w:p>
            <w:pPr>
              <w:pStyle w:val="TableContents"/>
              <w:bidi w:val="0"/>
              <w:spacing w:before="0" w:after="1"/>
              <w:ind w:left="0" w:right="0" w:hanging="0"/>
              <w:jc w:val="left"/>
              <w:rPr/>
            </w:pPr>
            <w:r>
              <w:rPr/>
              <w:t>​</w:t>
            </w:r>
          </w:p>
        </w:tc>
        <w:tc>
          <w:tcPr>
            <w:tcW w:w="118"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32"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GevoND</w:t>
            </w:r>
          </w:p>
        </w:tc>
        <w:tc>
          <w:tcPr>
            <w:tcW w:w="109"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w:t>
            </w:r>
          </w:p>
        </w:tc>
        <w:tc>
          <w:tcPr>
            <w:tcW w:w="118"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GevoFuels</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2,989</w:t>
            </w:r>
          </w:p>
        </w:tc>
        <w:tc>
          <w:tcPr>
            <w:tcW w:w="118"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5,411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(2,422)</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w:t>
            </w:r>
          </w:p>
        </w:tc>
        <w:tc>
          <w:tcPr>
            <w:tcW w:w="109"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8,833</w:t>
            </w:r>
          </w:p>
        </w:tc>
        <w:tc>
          <w:tcPr>
            <w:tcW w:w="118"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12,755</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(3,922)</w:t>
            </w:r>
          </w:p>
        </w:tc>
        <w:tc>
          <w:tcPr>
            <w:tcW w:w="346" w:type="dxa"/>
            <w:tcBorders/>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project development costs</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11,655</w:t>
            </w:r>
          </w:p>
        </w:tc>
        <w:tc>
          <w:tcPr>
            <w:tcW w:w="118"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18,166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(6,511)</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0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Project development costs decreased to $11.7 million in 2025 from $18.2 million in 2024, primarily due to lower consulting and professional services expenses. The decrease in the GevoFuels segment was driven by lower professional services fees. In the Gevo segment, costs declined as preliminary development work for the racing fuel blendstock project moved into the production phase, partially offset by higher employee expenses and grower’s fees, which were largely offset by USDA grant reimbursements. </w:t>
      </w:r>
    </w:p>
    <w:p>
      <w:pPr>
        <w:pStyle w:val="TextBody"/>
        <w:bidi w:val="0"/>
        <w:spacing w:before="0" w:after="0"/>
        <w:ind w:left="0" w:right="0" w:firstLine="72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 xml:space="preserve">Acquisition related costs: </w:t>
      </w:r>
      <w:r>
        <w:rPr>
          <w:rFonts w:ascii="Times New Roman;Times;serif" w:hAnsi="Times New Roman;Times;serif"/>
          <w:sz w:val="20"/>
          <w:shd w:fill="FFFFFF" w:val="clear"/>
        </w:rPr>
        <w:t>Acquisition related costs decreased $0.5 million during the year ended December 31, 2025 compared to the prior year. Acquisition costs relate to the Red Trail Energy acquisition, which we completed on January 31, 2025 and are entirely attributable to our Gevo segment.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 xml:space="preserve">Facility idling costs: </w:t>
      </w:r>
      <w:r>
        <w:rPr>
          <w:rFonts w:ascii="Times New Roman;Times;serif" w:hAnsi="Times New Roman;Times;serif"/>
          <w:sz w:val="20"/>
          <w:shd w:fill="FFFFFF" w:val="clear"/>
        </w:rPr>
        <w:t>Facility idling costs are entirely attributable to the Gevo segment and are related to care and maintenance of our Luverne Facility. </w:t>
      </w:r>
      <w:r>
        <w:rPr>
          <w:rFonts w:ascii="Times New Roman;Times;serif" w:hAnsi="Times New Roman;Times;serif"/>
          <w:sz w:val="20"/>
        </w:rPr>
        <w:t>Facility idling costs decreased by $1.5 million for the year ended December 31, 2025, compared to the year ended December 31, 2024, primarily due to the sale in October 2025 of the Luverne facility as part of the sale of Agri-Energy, LLC.</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 xml:space="preserve">Gain on disposal of assets: </w:t>
      </w:r>
      <w:r>
        <w:rPr>
          <w:rFonts w:ascii="Times New Roman;Times;serif" w:hAnsi="Times New Roman;Times;serif"/>
          <w:sz w:val="20"/>
          <w:shd w:fill="FFFFFF" w:val="clear"/>
        </w:rPr>
        <w:t xml:space="preserve">The gain on disposal of assets represents the gain recorded on the sale of Agri-Energy, LLC in our Gevo segment in October 2025. </w:t>
      </w:r>
    </w:p>
    <w:p>
      <w:pPr>
        <w:pStyle w:val="TextBody"/>
        <w:bidi w:val="0"/>
        <w:spacing w:before="0" w:after="20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Interest expense</w:t>
      </w:r>
      <w:r>
        <w:rPr>
          <w:rFonts w:ascii="Times New Roman;Times;serif" w:hAnsi="Times New Roman;Times;serif"/>
          <w:sz w:val="20"/>
        </w:rPr>
        <w:t>:</w:t>
      </w:r>
    </w:p>
    <w:tbl>
      <w:tblPr>
        <w:tblW w:w="4411" w:type="dxa"/>
        <w:jc w:val="left"/>
        <w:tblInd w:w="0" w:type="dxa"/>
        <w:tblLayout w:type="fixed"/>
        <w:tblCellMar>
          <w:top w:w="0" w:type="dxa"/>
          <w:left w:w="0" w:type="dxa"/>
          <w:bottom w:w="0" w:type="dxa"/>
          <w:right w:w="0" w:type="dxa"/>
        </w:tblCellMar>
      </w:tblPr>
      <w:tblGrid>
        <w:gridCol w:w="124"/>
        <w:gridCol w:w="109"/>
        <w:gridCol w:w="407"/>
        <w:gridCol w:w="407"/>
        <w:gridCol w:w="407"/>
        <w:gridCol w:w="407"/>
        <w:gridCol w:w="409"/>
        <w:gridCol w:w="109"/>
        <w:gridCol w:w="330"/>
        <w:gridCol w:w="331"/>
        <w:gridCol w:w="346"/>
        <w:gridCol w:w="871"/>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78740" cy="175260"/>
                      <wp:effectExtent l="0" t="0" r="0" b="0"/>
                      <wp:wrapNone/>
                      <wp:docPr id="136" name="Frame136"/>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9215" cy="175260"/>
                      <wp:effectExtent l="0" t="0" r="0" b="0"/>
                      <wp:wrapNone/>
                      <wp:docPr id="137" name="Frame1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58445" cy="175260"/>
                      <wp:effectExtent l="0" t="0" r="0" b="0"/>
                      <wp:wrapNone/>
                      <wp:docPr id="138" name="Frame138"/>
                      <a:graphic xmlns:a="http://schemas.openxmlformats.org/drawingml/2006/main">
                        <a:graphicData uri="http://schemas.microsoft.com/office/word/2010/wordprocessingShape">
                          <wps:wsp>
                            <wps:cNvSpPr txBox="1"/>
                            <wps:spPr>
                              <a:xfrm>
                                <a:off x="0" y="0"/>
                                <a:ext cx="258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58445" cy="175260"/>
                      <wp:effectExtent l="0" t="0" r="0" b="0"/>
                      <wp:wrapNone/>
                      <wp:docPr id="139" name="Frame139"/>
                      <a:graphic xmlns:a="http://schemas.openxmlformats.org/drawingml/2006/main">
                        <a:graphicData uri="http://schemas.microsoft.com/office/word/2010/wordprocessingShape">
                          <wps:wsp>
                            <wps:cNvSpPr txBox="1"/>
                            <wps:spPr>
                              <a:xfrm>
                                <a:off x="0" y="0"/>
                                <a:ext cx="258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58445" cy="175260"/>
                      <wp:effectExtent l="0" t="0" r="0" b="0"/>
                      <wp:wrapNone/>
                      <wp:docPr id="140" name="Frame140"/>
                      <a:graphic xmlns:a="http://schemas.openxmlformats.org/drawingml/2006/main">
                        <a:graphicData uri="http://schemas.microsoft.com/office/word/2010/wordprocessingShape">
                          <wps:wsp>
                            <wps:cNvSpPr txBox="1"/>
                            <wps:spPr>
                              <a:xfrm>
                                <a:off x="0" y="0"/>
                                <a:ext cx="258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58445" cy="175260"/>
                      <wp:effectExtent l="0" t="0" r="0" b="0"/>
                      <wp:wrapNone/>
                      <wp:docPr id="141" name="Frame141"/>
                      <a:graphic xmlns:a="http://schemas.openxmlformats.org/drawingml/2006/main">
                        <a:graphicData uri="http://schemas.microsoft.com/office/word/2010/wordprocessingShape">
                          <wps:wsp>
                            <wps:cNvSpPr txBox="1"/>
                            <wps:spPr>
                              <a:xfrm>
                                <a:off x="0" y="0"/>
                                <a:ext cx="258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59715" cy="175260"/>
                      <wp:effectExtent l="0" t="0" r="0" b="0"/>
                      <wp:wrapNone/>
                      <wp:docPr id="142" name="Frame142"/>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9215" cy="175260"/>
                      <wp:effectExtent l="0" t="0" r="0" b="0"/>
                      <wp:wrapNone/>
                      <wp:docPr id="143" name="Frame1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9550" cy="175260"/>
                      <wp:effectExtent l="0" t="0" r="0" b="0"/>
                      <wp:wrapNone/>
                      <wp:docPr id="144" name="Frame144"/>
                      <a:graphic xmlns:a="http://schemas.openxmlformats.org/drawingml/2006/main">
                        <a:graphicData uri="http://schemas.microsoft.com/office/word/2010/wordprocessingShape">
                          <wps:wsp>
                            <wps:cNvSpPr txBox="1"/>
                            <wps:spPr>
                              <a:xfrm>
                                <a:off x="0" y="0"/>
                                <a:ext cx="209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0185" cy="175260"/>
                      <wp:effectExtent l="0" t="0" r="0" b="0"/>
                      <wp:wrapNone/>
                      <wp:docPr id="145" name="Frame145"/>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6"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553085" cy="175260"/>
                      <wp:effectExtent l="0" t="0" r="0" b="0"/>
                      <wp:wrapNone/>
                      <wp:docPr id="147" name="Frame147"/>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97790" cy="175260"/>
                      <wp:effectExtent l="0" t="0" r="0" b="0"/>
                      <wp:wrapNone/>
                      <wp:docPr id="148" name="Frame14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3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c>
          <w:tcPr>
            <w:tcW w:w="109" w:type="dxa"/>
            <w:tcBorders/>
            <w:vAlign w:val="center"/>
          </w:tcPr>
          <w:p>
            <w:pPr>
              <w:pStyle w:val="TableContents"/>
              <w:bidi w:val="0"/>
              <w:spacing w:before="0" w:after="1"/>
              <w:ind w:left="0" w:right="0" w:hanging="0"/>
              <w:jc w:val="left"/>
              <w:rPr/>
            </w:pPr>
            <w:r>
              <w:rPr/>
              <w:t>​</w:t>
            </w:r>
          </w:p>
        </w:tc>
        <w:tc>
          <w:tcPr>
            <w:tcW w:w="330" w:type="dxa"/>
            <w:tcBorders/>
            <w:vAlign w:val="center"/>
          </w:tcPr>
          <w:p>
            <w:pPr>
              <w:pStyle w:val="TableContents"/>
              <w:bidi w:val="0"/>
              <w:spacing w:before="0" w:after="1"/>
              <w:ind w:left="0" w:right="0" w:hanging="0"/>
              <w:jc w:val="left"/>
              <w:rPr/>
            </w:pPr>
            <w:r>
              <w:rPr/>
              <w:t>​</w:t>
            </w:r>
          </w:p>
        </w:tc>
        <w:tc>
          <w:tcPr>
            <w:tcW w:w="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7" w:type="dxa"/>
            <w:tcBorders/>
            <w:vAlign w:val="center"/>
          </w:tcPr>
          <w:p>
            <w:pPr>
              <w:pStyle w:val="TableContents"/>
              <w:bidi w:val="0"/>
              <w:spacing w:before="0" w:after="1"/>
              <w:ind w:left="0" w:right="0" w:hanging="0"/>
              <w:jc w:val="center"/>
              <w:rPr/>
            </w:pPr>
            <w:r>
              <w:rPr/>
              <w:t>​</w:t>
            </w:r>
          </w:p>
        </w:tc>
        <w:tc>
          <w:tcPr>
            <w:tcW w:w="8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6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154" w:type="dxa"/>
            <w:tcBorders/>
            <w:vAlign w:val="center"/>
          </w:tcPr>
          <w:p>
            <w:pPr>
              <w:pStyle w:val="TableContents"/>
              <w:bidi w:val="0"/>
              <w:spacing w:before="0" w:after="1"/>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010" w:type="dxa"/>
        <w:jc w:val="left"/>
        <w:tblInd w:w="0" w:type="dxa"/>
        <w:tblLayout w:type="fixed"/>
        <w:tblCellMar>
          <w:top w:w="0" w:type="dxa"/>
          <w:left w:w="0" w:type="dxa"/>
          <w:bottom w:w="0" w:type="dxa"/>
          <w:right w:w="0" w:type="dxa"/>
        </w:tblCellMar>
      </w:tblPr>
      <w:tblGrid>
        <w:gridCol w:w="1906"/>
        <w:gridCol w:w="109"/>
        <w:gridCol w:w="211"/>
        <w:gridCol w:w="796"/>
        <w:gridCol w:w="109"/>
        <w:gridCol w:w="211"/>
        <w:gridCol w:w="691"/>
        <w:gridCol w:w="109"/>
        <w:gridCol w:w="211"/>
        <w:gridCol w:w="796"/>
        <w:gridCol w:w="109"/>
        <w:gridCol w:w="436"/>
        <w:gridCol w:w="316"/>
      </w:tblGrid>
      <w:tr>
        <w:trPr/>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9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GevoND</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(12,119)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(12,119)</w:t>
            </w:r>
          </w:p>
        </w:tc>
        <w:tc>
          <w:tcPr>
            <w:tcW w:w="109"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GevoRNG</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(4,886)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(1,772)</w:t>
            </w:r>
          </w:p>
        </w:tc>
        <w:tc>
          <w:tcPr>
            <w:tcW w:w="109"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(555)</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(765)</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109" w:type="dxa"/>
            <w:tcBorders/>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interest expense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(17,560)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(3,879)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(13,681)</w:t>
            </w:r>
          </w:p>
        </w:tc>
        <w:tc>
          <w:tcPr>
            <w:tcW w:w="109" w:type="dxa"/>
            <w:tcBorders/>
            <w:shd w:fill="CCEEFF" w:val="clear"/>
            <w:vAlign w:val="center"/>
          </w:tcPr>
          <w:p>
            <w:pPr>
              <w:pStyle w:val="TableContents"/>
              <w:bidi w:val="0"/>
              <w:spacing w:before="0" w:after="1"/>
              <w:ind w:left="0" w:right="0" w:hanging="0"/>
              <w:jc w:val="left"/>
              <w:rPr/>
            </w:pPr>
            <w:r>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Interest expense increased by $13.7 million, to $17.6 million for the year ended December 31, 2025, compared to $3.9 million for the prior year. The increase was primarily attributable to interest on a $105 million term loan used to partially finance the acquisition of Red Trail Energy at the GevoND segment. In addition, the refinancing of $40 million of Remarketed Bonds at a higher interest rate at the GevoRNG segment contributed to the increase. </w:t>
      </w:r>
    </w:p>
    <w:p>
      <w:pPr>
        <w:pStyle w:val="TextBody"/>
        <w:bidi w:val="0"/>
        <w:spacing w:before="0" w:after="20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Interest and investment income</w:t>
      </w:r>
      <w:r>
        <w:rPr>
          <w:rFonts w:ascii="Times New Roman;Times;serif" w:hAnsi="Times New Roman;Times;serif"/>
          <w:sz w:val="20"/>
        </w:rPr>
        <w:t>:</w:t>
      </w:r>
    </w:p>
    <w:tbl>
      <w:tblPr>
        <w:tblW w:w="7933" w:type="dxa"/>
        <w:jc w:val="left"/>
        <w:tblInd w:w="0" w:type="dxa"/>
        <w:tblLayout w:type="fixed"/>
        <w:tblCellMar>
          <w:top w:w="0" w:type="dxa"/>
          <w:left w:w="0" w:type="dxa"/>
          <w:bottom w:w="0" w:type="dxa"/>
          <w:right w:w="0" w:type="dxa"/>
        </w:tblCellMar>
      </w:tblPr>
      <w:tblGrid>
        <w:gridCol w:w="3136"/>
        <w:gridCol w:w="109"/>
        <w:gridCol w:w="242"/>
        <w:gridCol w:w="655"/>
        <w:gridCol w:w="125"/>
        <w:gridCol w:w="242"/>
        <w:gridCol w:w="775"/>
        <w:gridCol w:w="109"/>
        <w:gridCol w:w="211"/>
        <w:gridCol w:w="796"/>
        <w:gridCol w:w="346"/>
        <w:gridCol w:w="871"/>
        <w:gridCol w:w="316"/>
      </w:tblGrid>
      <w:tr>
        <w:trPr/>
        <w:tc>
          <w:tcPr>
            <w:tcW w:w="3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991360" cy="175260"/>
                      <wp:effectExtent l="0" t="0" r="0" b="0"/>
                      <wp:wrapNone/>
                      <wp:docPr id="149" name="Frame149"/>
                      <a:graphic xmlns:a="http://schemas.openxmlformats.org/drawingml/2006/main">
                        <a:graphicData uri="http://schemas.microsoft.com/office/word/2010/wordprocessingShape">
                          <wps:wsp>
                            <wps:cNvSpPr txBox="1"/>
                            <wps:spPr>
                              <a:xfrm>
                                <a:off x="0" y="0"/>
                                <a:ext cx="1991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9215" cy="175260"/>
                      <wp:effectExtent l="0" t="0" r="0" b="0"/>
                      <wp:wrapNone/>
                      <wp:docPr id="150" name="Frame1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53670" cy="175260"/>
                      <wp:effectExtent l="0" t="0" r="0" b="0"/>
                      <wp:wrapNone/>
                      <wp:docPr id="151" name="Frame151"/>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415925" cy="175260"/>
                      <wp:effectExtent l="0" t="0" r="0" b="0"/>
                      <wp:wrapNone/>
                      <wp:docPr id="152" name="Frame152"/>
                      <a:graphic xmlns:a="http://schemas.openxmlformats.org/drawingml/2006/main">
                        <a:graphicData uri="http://schemas.microsoft.com/office/word/2010/wordprocessingShape">
                          <wps:wsp>
                            <wps:cNvSpPr txBox="1"/>
                            <wps:spPr>
                              <a:xfrm>
                                <a:off x="0" y="0"/>
                                <a:ext cx="415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79375" cy="175260"/>
                      <wp:effectExtent l="0" t="0" r="0" b="0"/>
                      <wp:wrapNone/>
                      <wp:docPr id="153" name="Frame153"/>
                      <a:graphic xmlns:a="http://schemas.openxmlformats.org/drawingml/2006/main">
                        <a:graphicData uri="http://schemas.microsoft.com/office/word/2010/wordprocessingShape">
                          <wps:wsp>
                            <wps:cNvSpPr txBox="1"/>
                            <wps:spPr>
                              <a:xfrm>
                                <a:off x="0" y="0"/>
                                <a:ext cx="79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53670" cy="175260"/>
                      <wp:effectExtent l="0" t="0" r="0" b="0"/>
                      <wp:wrapNone/>
                      <wp:docPr id="154" name="Frame154"/>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92125" cy="175260"/>
                      <wp:effectExtent l="0" t="0" r="0" b="0"/>
                      <wp:wrapNone/>
                      <wp:docPr id="155" name="Frame155"/>
                      <a:graphic xmlns:a="http://schemas.openxmlformats.org/drawingml/2006/main">
                        <a:graphicData uri="http://schemas.microsoft.com/office/word/2010/wordprocessingShape">
                          <wps:wsp>
                            <wps:cNvSpPr txBox="1"/>
                            <wps:spPr>
                              <a:xfrm>
                                <a:off x="0" y="0"/>
                                <a:ext cx="492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9215" cy="175260"/>
                      <wp:effectExtent l="0" t="0" r="0" b="0"/>
                      <wp:wrapNone/>
                      <wp:docPr id="156" name="Frame1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33985" cy="175260"/>
                      <wp:effectExtent l="0" t="0" r="0" b="0"/>
                      <wp:wrapNone/>
                      <wp:docPr id="157" name="Frame1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505460" cy="175260"/>
                      <wp:effectExtent l="0" t="0" r="0" b="0"/>
                      <wp:wrapNone/>
                      <wp:docPr id="158" name="Frame15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9"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553085" cy="175260"/>
                      <wp:effectExtent l="0" t="0" r="0" b="0"/>
                      <wp:wrapNone/>
                      <wp:docPr id="160" name="Frame160"/>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0660" cy="175260"/>
                      <wp:effectExtent l="0" t="0" r="0" b="0"/>
                      <wp:wrapNone/>
                      <wp:docPr id="161" name="Frame16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3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31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25" w:type="dxa"/>
            <w:tcBorders/>
            <w:vAlign w:val="center"/>
          </w:tcPr>
          <w:p>
            <w:pPr>
              <w:pStyle w:val="TableContents"/>
              <w:bidi w:val="0"/>
              <w:spacing w:before="0" w:after="1"/>
              <w:ind w:left="0" w:right="0" w:hanging="0"/>
              <w:jc w:val="center"/>
              <w:rPr/>
            </w:pPr>
            <w:r>
              <w:rPr/>
              <w:t>​</w:t>
            </w:r>
          </w:p>
        </w:tc>
        <w:tc>
          <w:tcPr>
            <w:tcW w:w="10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16" w:type="dxa"/>
            <w:tcBorders/>
            <w:vAlign w:val="center"/>
          </w:tcPr>
          <w:p>
            <w:pPr>
              <w:pStyle w:val="TableContents"/>
              <w:bidi w:val="0"/>
              <w:spacing w:before="0" w:after="1"/>
              <w:ind w:left="0" w:right="0" w:hanging="0"/>
              <w:jc w:val="left"/>
              <w:rPr/>
            </w:pPr>
            <w:r>
              <w:rPr/>
              <w:t>​</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investment income:</w:t>
            </w:r>
          </w:p>
        </w:tc>
        <w:tc>
          <w:tcPr>
            <w:tcW w:w="109"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655" w:type="dxa"/>
            <w:tcBorders/>
            <w:shd w:fill="CCEEFF" w:val="clear"/>
            <w:vAlign w:val="center"/>
          </w:tcPr>
          <w:p>
            <w:pPr>
              <w:pStyle w:val="TableContents"/>
              <w:bidi w:val="0"/>
              <w:spacing w:before="0" w:after="1"/>
              <w:ind w:left="0" w:right="0" w:hanging="0"/>
              <w:jc w:val="left"/>
              <w:rPr/>
            </w:pPr>
            <w:r>
              <w:rPr/>
              <w:t>​</w:t>
            </w:r>
          </w:p>
        </w:tc>
        <w:tc>
          <w:tcPr>
            <w:tcW w:w="125"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77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1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GevoND</w:t>
            </w:r>
          </w:p>
        </w:tc>
        <w:tc>
          <w:tcPr>
            <w:tcW w:w="109"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w:t>
            </w:r>
          </w:p>
        </w:tc>
        <w:tc>
          <w:tcPr>
            <w:tcW w:w="125"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GevoRNG</w:t>
            </w:r>
          </w:p>
        </w:tc>
        <w:tc>
          <w:tcPr>
            <w:tcW w:w="109"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6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c>
          <w:tcPr>
            <w:tcW w:w="125"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7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w:t>
            </w:r>
          </w:p>
        </w:tc>
        <w:tc>
          <w:tcPr>
            <w:tcW w:w="109" w:type="dxa"/>
            <w:tcBorders/>
            <w:vAlign w:val="center"/>
          </w:tcPr>
          <w:p>
            <w:pPr>
              <w:pStyle w:val="TableContents"/>
              <w:bidi w:val="0"/>
              <w:spacing w:before="0" w:after="1"/>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5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4,477</w:t>
            </w:r>
          </w:p>
        </w:tc>
        <w:tc>
          <w:tcPr>
            <w:tcW w:w="125" w:type="dxa"/>
            <w:tcBorders/>
            <w:vAlign w:val="center"/>
          </w:tcPr>
          <w:p>
            <w:pPr>
              <w:pStyle w:val="TableContents"/>
              <w:bidi w:val="0"/>
              <w:spacing w:before="0" w:after="1"/>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15,734</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(11,257)</w:t>
            </w:r>
          </w:p>
        </w:tc>
        <w:tc>
          <w:tcPr>
            <w:tcW w:w="346" w:type="dxa"/>
            <w:tcBorders/>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interest and investment income</w:t>
            </w:r>
          </w:p>
        </w:tc>
        <w:tc>
          <w:tcPr>
            <w:tcW w:w="109" w:type="dxa"/>
            <w:tcBorders/>
            <w:shd w:fill="CCEEFF" w:val="clear"/>
            <w:vAlign w:val="center"/>
          </w:tcPr>
          <w:p>
            <w:pPr>
              <w:pStyle w:val="TableContents"/>
              <w:bidi w:val="0"/>
              <w:spacing w:before="0" w:after="1"/>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5,109</w:t>
            </w:r>
          </w:p>
        </w:tc>
        <w:tc>
          <w:tcPr>
            <w:tcW w:w="125" w:type="dxa"/>
            <w:tcBorders/>
            <w:shd w:fill="CCEEFF" w:val="clear"/>
            <w:vAlign w:val="center"/>
          </w:tcPr>
          <w:p>
            <w:pPr>
              <w:pStyle w:val="TableContents"/>
              <w:bidi w:val="0"/>
              <w:spacing w:before="0" w:after="1"/>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15,740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(10,631)</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0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Interest and investment income</w:t>
      </w:r>
      <w:r>
        <w:rPr>
          <w:rFonts w:ascii="Times New Roman;Times;serif" w:hAnsi="Times New Roman;Times;serif"/>
          <w:sz w:val="20"/>
        </w:rPr>
        <w:t>. Interest and investment income decreased $10.6 million during the year ended December 31, 2025, compared to the year ended December 31, 2024, primarily due to the usage of cash for the acquisition of Red Trail Energy in January 2025, as well as for capital projects and operating costs, which resulted in a lower balance of cash equivalent investments during the year.</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Other income.</w:t>
      </w:r>
      <w:r>
        <w:rPr>
          <w:rFonts w:ascii="Times New Roman;Times;serif" w:hAnsi="Times New Roman;Times;serif"/>
          <w:sz w:val="20"/>
        </w:rPr>
        <w:t xml:space="preserve"> Other income decreased $0.3 million during the year ended December 31, 2025, compared to the year ended December 31, 2024.</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Sources of Our Revenues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current revenues are primarily derived from: (i) the sale of ethanol and ethanol related products and carbon credits (ii) the sale of RNG commodities and the related environmental attributes; (iii) licensing and development sales; (iv) hydrocarbon sales consisting primarily of the sale of isooctane derived from our isobutanol and SAF; (v) software services; and (vi) the sale of isobutanol and related products.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Principal Components of Our Cost Structure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b/>
          <w:i/>
          <w:sz w:val="20"/>
        </w:rPr>
        <w:t xml:space="preserve">Cost of Production. </w:t>
      </w:r>
      <w:r>
        <w:rPr>
          <w:rFonts w:ascii="Times New Roman;Times;serif" w:hAnsi="Times New Roman;Times;serif"/>
          <w:sz w:val="20"/>
        </w:rPr>
        <w:t>Our cost of production consists primarily of costs directly associated with the production of ethanol and related products, RNG and other renewable hydrocarbon products, including isobutanol, SAF, and isooctane. Such costs include direct materials, direct labor, other operating costs and certain plant overhead costs. Direct materials include feedstock, denaturant and process chemicals. Direct labor includes compensation (including stock-based compensation) of personnel directly involved in production operations. Other operating costs include utilities and natural gas and wind power usage.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b/>
          <w:i/>
          <w:sz w:val="20"/>
        </w:rPr>
        <w:t xml:space="preserve">Research and Development. </w:t>
      </w:r>
      <w:r>
        <w:rPr>
          <w:rFonts w:ascii="Times New Roman;Times;serif" w:hAnsi="Times New Roman;Times;serif"/>
          <w:sz w:val="20"/>
        </w:rPr>
        <w:t>Our research and development expense consists of costs incurred to identify, develop and test our technologies for the production of renewable hydrocarbon products and the development of downstream applications thereof. Research and development expense includes personnel costs (including stock-based compensation), consultants and related contract research, facility costs, supplies, license fees paid to third parties for use of their intellectual property and patent rights and other overhead expenses incurred to support our research and development programs.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i/>
          <w:sz w:val="20"/>
        </w:rPr>
        <w:t xml:space="preserve">General and Administrative. </w:t>
      </w:r>
      <w:r>
        <w:rPr>
          <w:rFonts w:ascii="Times New Roman;Times;serif" w:hAnsi="Times New Roman;Times;serif"/>
          <w:sz w:val="20"/>
        </w:rPr>
        <w:t xml:space="preserve">General and administrative expense consists of personnel costs (including stock-based compensation), consulting and service provider expenses (including patent counsel-related costs), legal fees, marketing costs, insurance costs, occupancy-related costs, travel and relocation expenses and hiring expenses. Our corporate personnel, consisting of subject matter experts, including chemists, engineers, and sustainability experts,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dedicate the majority of their time and efforts for the development of our growth projects. Costs incurred have not yet been allocated to the specific growth projects on the face of our financial statements.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b/>
          <w:i/>
          <w:sz w:val="20"/>
        </w:rPr>
        <w:t>Project Development Costs.</w:t>
      </w:r>
      <w:r>
        <w:rPr>
          <w:rFonts w:ascii="Times New Roman;Times;serif" w:hAnsi="Times New Roman;Times;serif"/>
          <w:sz w:val="20"/>
        </w:rPr>
        <w:t xml:space="preserve"> Project development costs consist of consulting, preliminary engineering costs, personnel expenses (including stock-based compensation) and research and development expenses to support the business activities of our Alcohol-to-Jet Projects.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b/>
          <w:i/>
          <w:sz w:val="20"/>
        </w:rPr>
        <w:t xml:space="preserve">Depreciation and Amortization. </w:t>
      </w:r>
      <w:r>
        <w:rPr>
          <w:rFonts w:ascii="Times New Roman;Times;serif" w:hAnsi="Times New Roman;Times;serif"/>
          <w:sz w:val="20"/>
        </w:rPr>
        <w:t>Depreciation and amortization relates to property, plant and equipment associated with the production of ethanol, ethanol related products, RNG and other renewable hydrocarbon products, including isobutanol, SAF, and isooctane, as well as that used in product development.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As of December 31, 2025, we had cash and cash equivalents of $81.2 million and current restricted cash of $35.8 million, totaling $116.9 million in cash, cash equivalents, and restricted cash. </w:t>
      </w:r>
      <w:r>
        <w:rPr>
          <w:rFonts w:ascii="Times New Roman;Times;serif" w:hAnsi="Times New Roman;Times;serif"/>
          <w:sz w:val="20"/>
          <w:shd w:fill="FFFFFF" w:val="clear"/>
        </w:rPr>
        <w:t>Our cash equivalents consist of investments in U.S. government money market funds. We expect to use our cash, cash equivalents, and restricted cash for the following purposes: (i) identification, development, engineering, licensing, acquisition and construction of production facilities and the Company’s Alcohol-to-Jet Projects; (ii) operations and the completion of capital projects at Gevo North Dakota; (iii) potential investment in RNG projects; (iv) operating activities at the Company’s corporate headquarters in Colorado, including research and development work; (v) exploration of strategic acquisitions and additional financing, including project financing; and (vi) debt service obligations associated with our current debt and any future borrowings. We believe that as a result of our cash and cash equivalents balances and the performance of our current and expected operations, we will be able to meet our obligations and other potential cash requirements during the next 12 months from the date of this report.</w:t>
      </w:r>
    </w:p>
    <w:p>
      <w:pPr>
        <w:pStyle w:val="TextBody"/>
        <w:bidi w:val="0"/>
        <w:spacing w:before="0" w:after="20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Since our inception in 2005, we have devoted most of our cash resources to the development and commercialization of routes to efficiently produce fuels and chemicals from carbohydrates, such as renewable feedstock, using alcohols (isobutanol and ethanol) as intermediates. We have incurred losses since inception, have a significant accumulated deficit, and expect to incur losses for the foreseeable future. Historically we have financed our operations primarily with proceeds from the issuance of equity, warrants, borrowings under debt facilities, ethanol sales and interest income. Our current sources of cash include sales of ethanol and ethanol related co-products (including carbon credits), the sale of Section 45Z CFPC tax credits, RNG, environmental attributes, hydrocarbons and licensing fees. We may also fund future operations through additional private and/or public offerings of equity or debt securities. In addition, we may seek additional capital, on acceptable terms, through arrangements with strategic partners or from other sources. Notwithstanding, there can be no assurance that we will be able to raise additional funds or achieve or sustain profitability or positive cash flows from operations.</w:t>
      </w:r>
    </w:p>
    <w:p>
      <w:pPr>
        <w:pStyle w:val="TextBody"/>
        <w:bidi w:val="0"/>
        <w:spacing w:before="0" w:after="20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Our transition to profitability is dependent upon, among other things, the successful development and commercialization of our projects, the development, licensing, acquisition and construction of commercial level production facilities to support our offtake agreements, the achievement of a level of revenues adequate to support the Company’s cost structure, and the ability to raise capital to finance the development, licensing, acquisition, and construction of additional production facilities.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major sources and uses of cash for each of the periods set forth below (in thousands):</w:t>
      </w:r>
    </w:p>
    <w:p>
      <w:pPr>
        <w:pStyle w:val="TextBody"/>
        <w:bidi w:val="0"/>
        <w:spacing w:before="0" w:after="0"/>
        <w:ind w:left="0" w:right="0" w:hanging="0"/>
        <w:jc w:val="left"/>
        <w:rPr/>
      </w:pPr>
      <w:r>
        <w:rPr/>
        <w:t>​</w:t>
      </w:r>
    </w:p>
    <w:tbl>
      <w:tblPr>
        <w:tblW w:w="7072" w:type="dxa"/>
        <w:jc w:val="left"/>
        <w:tblInd w:w="0" w:type="dxa"/>
        <w:tblLayout w:type="fixed"/>
        <w:tblCellMar>
          <w:top w:w="0" w:type="dxa"/>
          <w:left w:w="0" w:type="dxa"/>
          <w:bottom w:w="0" w:type="dxa"/>
          <w:right w:w="0" w:type="dxa"/>
        </w:tblCellMar>
      </w:tblPr>
      <w:tblGrid>
        <w:gridCol w:w="4216"/>
        <w:gridCol w:w="346"/>
        <w:gridCol w:w="211"/>
        <w:gridCol w:w="901"/>
        <w:gridCol w:w="346"/>
        <w:gridCol w:w="211"/>
        <w:gridCol w:w="841"/>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677160" cy="175260"/>
                      <wp:effectExtent l="0" t="0" r="0" b="0"/>
                      <wp:wrapNone/>
                      <wp:docPr id="162" name="Frame162"/>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9710" cy="175260"/>
                      <wp:effectExtent l="0" t="0" r="0" b="0"/>
                      <wp:wrapNone/>
                      <wp:docPr id="163" name="Frame1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33985" cy="175260"/>
                      <wp:effectExtent l="0" t="0" r="0" b="0"/>
                      <wp:wrapNone/>
                      <wp:docPr id="164" name="Frame1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572135" cy="175260"/>
                      <wp:effectExtent l="0" t="0" r="0" b="0"/>
                      <wp:wrapNone/>
                      <wp:docPr id="165" name="Frame16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9710" cy="175260"/>
                      <wp:effectExtent l="0" t="0" r="0" b="0"/>
                      <wp:wrapNone/>
                      <wp:docPr id="166" name="Frame1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33985" cy="175260"/>
                      <wp:effectExtent l="0" t="0" r="0" b="0"/>
                      <wp:wrapNone/>
                      <wp:docPr id="167" name="Frame1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534035" cy="175260"/>
                      <wp:effectExtent l="0" t="0" r="0" b="0"/>
                      <wp:wrapNone/>
                      <wp:docPr id="168" name="Frame16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4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(13,401)</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(57,383)</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(226,574)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(51,819)</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97,881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(7,362)</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Operating Activities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primary uses of cash from operating activities are production costs at Gevo North Dakota, personnel-related expenses, and research and development-related expenses, including costs incurred under development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agreements, costs of licensing of technology, legal-related costs, and expenses for the market development and commercialization of our products.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During the year ended December 31, 2025, net cash used in operating activities improved significantly, decreasing to $13.4 million compared to $57.4 million for the year ended December 31, 2024. Non-cash charges primarily consisted of stock-based compensation expense of $9.2 million and depreciation and amortization of $25.3 million. Production tax credits of $52.0 million were recognized in 2025 under Section 45Z, which reduced cost of goods sold and increased operating cash flow on a non-cash basis. During 2025, $41.1 million of credits were transferred to third parties, resulting in cash proceeds from the monetization of these credits and a short-term liability due to pending 2025 tax filing. Additionally, prepaid expenses and other current assets, deposits and other assets decreased by $11.4 million, which was partially offset by an increase of $1.4 million in accounts receivable and a $3.4 million increase in our inventory.</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Investing Activities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During the year ended December 31, 2025, we had $226.6 million in cash used in investing activities, comprised of $198.5 million for the acquisition of Red Trail Energy, $30.1 million for investments in our capital projects, including $13.4 million in GevoFuels segment, $5.6 million at GevoND, $0.9 million in the GevoRNG segment, and $10.2 million in the Gevo segment</w:t>
      </w:r>
      <w:r>
        <w:rPr>
          <w:rFonts w:ascii="Times New Roman;Times;serif" w:hAnsi="Times New Roman;Times;serif"/>
          <w:color w:val="212529"/>
          <w:sz w:val="20"/>
          <w:shd w:fill="FFFFFF" w:val="clear"/>
        </w:rPr>
        <w:t>. These were partially offset by $2.0 million proceeds from the sale of Agri Energy.</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We have substantially completed the engineering design on our ATJ projects and are proceeding with detailed engineering and modularization design. We are refining the project cost estimates with EPC partners to identify opportunities to reduce and negotiate the cost. We currently expect to finance the construction of ATJ plants at the subsidiary level using a combination of Company equity and third-party capital.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Gevo is in the process of identifying and performing early site development work for additional Alcohol-to-Jet production locations. These potential sites include greenfield and brownfield (i.e., at an existing ethanol plant) locations that are advantageous in terms of potential economics, opportunities to decarbonize, and time to market. Early development work at the Red Trail Energy site is currently underway.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During the year ended December 31, 2024, we used cash of $51.8 million in investing activities, of which $51.1 million related to investments in our capital projects, including $30.1 million in the GevoFuels segment, $3.9 million in GevoRNG segment, and $17.1 million in the Gevo segment. In addition, we made a $10.0 million deposit related to the acquisition of Red Trail Energy. Partially offsetting these investments was the sale of investment tax credits of $15.3 million.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Financing Activities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During the year ended December 31, 2025, we had $97.9 million of net cash provided by financing activities. Financing inflows consisted primarily of $105.0 million in loan proceeds and $40.0 million in proceeds from the re-marketed bonds, which was fully offset by $40.0 million in bond redemptions. The Company also received $5.0 million of contributions from non-controlling interest holders. These amounts were partially offset by $9.7 million in debt issuance costs, $1.8 million in payments of finance lease liabilities and $1.5 million in distributions to non-controlling interest holders.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currently expect to finance the construction of ATJ plants at the subsidiary level using a combination of our own, third-party, and debt capital. The Company expects to retain an equity interest in the project and may invest equity in the project using the proceeds from the reimbursement of the Company’s ATJ project development expenditures. Cash distributions from future ATJ project earnings would be proportionate to Gevo’s ownership in such ATJ projects under this expected financing structure which would allow us to conserve and redeploy our capital on other growth projects, including other ATJ projects. We expect to apply similar development and financing strategies to future ATJ projects to enable growth of SAF production to meet demand for SAF.</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During the year ended December 31, 2024, we had $7.4 million of net cash used in financing activities, due to $4.7 million for repurchases of common stock, $1.7 million for debt issuance costs and $0.9 million for payment of finance lease liabilities. payments for equipment loans and finance lease liabilities.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Consolidated Financial Statements are based on the application of U.S. GAAP, which requires us to make estimates and assumptions about future events that affect the amounts reported in our Consolidated Financial Statements and the accompanying notes. Future events and their effects cannot be determined with certainty; therefore, the determination of estimates requires the exercise of judgment. We believe our judgments related to these accounting estimates are appropriate. However, if different assumptions or conditions were to prevail, the results could be materially different from the amounts recorded.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b/>
          <w:i/>
          <w:sz w:val="20"/>
        </w:rPr>
        <w:t>Impairment of long-lived assets</w:t>
      </w:r>
      <w:r>
        <w:rPr>
          <w:rFonts w:ascii="Times New Roman;Times;serif" w:hAnsi="Times New Roman;Times;serif"/>
          <w:sz w:val="20"/>
        </w:rPr>
        <w:t xml:space="preserve"> </w:t>
      </w:r>
      <w:r>
        <w:rPr>
          <w:rFonts w:ascii="Times New Roman;Times;serif" w:hAnsi="Times New Roman;Times;serif"/>
          <w:i/>
          <w:sz w:val="20"/>
        </w:rPr>
        <w:t>- </w:t>
      </w:r>
      <w:r>
        <w:rPr>
          <w:rFonts w:ascii="Times New Roman;Times;serif" w:hAnsi="Times New Roman;Times;serif"/>
          <w:sz w:val="20"/>
        </w:rPr>
        <w:t>The Company evaluates the recoverability of the recorded amount of long-lived assets, including property, plant and equipment, licenses, patents, operating lease right-of-use assets, and finance lease right-of-use assets when events or changes in circumstances indicate that their carrying amount may not be recoverable. The carrying amount of a long-lived asset is considered to be impaired if it exceeds the sum of the undiscounted cash flows expected to result from the use and eventual disposition of the assets. If the Company determines that an asset is impaired, it measures the impairment to be recognized as the amount by which the recorded amount of the asset exceeds its fair value. No impairment losses on tangible and intangible assets were recorded for the years ended December 31, 2025, and 2024.</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estimate fair value measurements to record impairment to certain long-lived assets and to determine fair value disclosures in accordance with Accounting Standards Codification ("ASC") 360 and 820. These significant estimates, judgments, inputs, and assumptions include, when applicable, the selection of an appropriate valuation method depending on the nature of the respective asset, such as the income approach, or the market or sales comparison approach. The fair value of our operating asset groups is estimated using a discounted cash flow model as quoted market prices are not available. For other long-lived assets, fair value is determined using an approach that is appropriate based on the relevant facts and circumstances, which may include discounted cash flows or comparable transactions analyses.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Determining whether impairment indicators exist, estimating the undiscounted cash flows and fair value of the Company’s long lived assets for impairment testing requires significant judgment. The assumptions used to assess impairment consider historical trends, macroeconomic and industry conditions, and projections consistent with the Company’s operating strategy. Our undiscounted cash flow forecasts contain uncertainties because they require management to make assumptions and to apply judgment in estimating future cash flows including forecasting projected revenues and margins based on the future sales volumes, future commodity prices, operating costs, forecasting useful lives of the assets, assessing the probability of different outcomes, and with respect to asset fair values selecting an appropriate discount rate to estimate the present value of those projected cash flows. The discount rate is selected based on the return we believe a market participant would require, that appropriately reflects the risks associated with the cash flows when determining a purchase price for the asset groups.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b/>
          <w:i/>
          <w:sz w:val="20"/>
        </w:rPr>
        <w:t xml:space="preserve">Goodwill and Intangibles - </w:t>
      </w:r>
      <w:r>
        <w:rPr>
          <w:rFonts w:ascii="Times New Roman;Times;serif" w:hAnsi="Times New Roman;Times;serif"/>
          <w:sz w:val="20"/>
        </w:rPr>
        <w:t>In connection with our January 31, 2025 acquisition of the assets of Red Trail Energy, we recognized approximately $39.8 million of goodwill and $46.3 million of identifiable intangible assets. In connection with our September 2024 acquisition of Cultivate AI we recorded approximately $3.7 million of goodwill. The valuation of these assets required significant management judgment and the use of estimates. The fair values of identifiable intangible assets were determined using income-based valuation methodologies that required assumptions regarding projected production volumes, expected operating margins, renewable fuel and commodity pricing, customer relationships, regulatory incentives, and discount rates reflecting the risks associated with the projected cash flows. Goodwill represents expected synergies, integration benefits, SAF expansion opportunities, carbon capture and storage development potential, and the assembled workforce. These estimates are inherently uncertain and are based on forward-looking assumptions about future operating performance, market conditions, and regulatory frameworks affecting renewable fuels and low-carbon energy markets. Changes in assumptions related to commodity prices, SAF demand, carbon credit markets, discount rates, or long-term growth expectations could materially affect:</w:t>
      </w:r>
    </w:p>
    <w:tbl>
      <w:tblPr>
        <w:tblW w:w="7251" w:type="dxa"/>
        <w:jc w:val="left"/>
        <w:tblInd w:w="0" w:type="dxa"/>
        <w:tblLayout w:type="fixed"/>
        <w:tblCellMar>
          <w:top w:w="28" w:type="dxa"/>
          <w:left w:w="28" w:type="dxa"/>
          <w:bottom w:w="28" w:type="dxa"/>
          <w:right w:w="28" w:type="dxa"/>
        </w:tblCellMar>
      </w:tblPr>
      <w:tblGrid>
        <w:gridCol w:w="124"/>
        <w:gridCol w:w="226"/>
        <w:gridCol w:w="6901"/>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6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amortization expense recorded for finite-lived intangible assets;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506" w:type="dxa"/>
        <w:jc w:val="left"/>
        <w:tblInd w:w="0" w:type="dxa"/>
        <w:tblLayout w:type="fixed"/>
        <w:tblCellMar>
          <w:top w:w="28" w:type="dxa"/>
          <w:left w:w="28" w:type="dxa"/>
          <w:bottom w:w="28" w:type="dxa"/>
          <w:right w:w="28" w:type="dxa"/>
        </w:tblCellMar>
      </w:tblPr>
      <w:tblGrid>
        <w:gridCol w:w="124"/>
        <w:gridCol w:w="226"/>
        <w:gridCol w:w="4156"/>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future goodwill impairment tests.</w:t>
            </w:r>
          </w:p>
        </w:tc>
      </w:tr>
    </w:tbl>
    <w:p>
      <w:pPr>
        <w:pStyle w:val="TextBody"/>
        <w:bidi w:val="0"/>
        <w:spacing w:before="0" w:after="0"/>
        <w:ind w:left="72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Goodwill is tested for impairment at least annually, or more frequently if events or changes in circumstances indicate that impairment may exist. Finite-lived intangible assets are amortized over their estimated useful lives and reviewed for impairment when indicators arise. If actual results differ materially from our estimates, we could be required to record impairment charges in future periods.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See Note 2, Summary of Significant Accounting Policies, in Item 8. “Financial Statements and Supplemental Data,” of this Report, for a discussion of recent accounting pronouncements.</w:t>
      </w:r>
    </w:p>
    <w:p>
      <w:pPr>
        <w:pStyle w:val="TextBody"/>
        <w:bidi w:val="0"/>
        <w:spacing w:before="0" w:after="200"/>
        <w:ind w:left="0" w:right="0" w:hanging="0"/>
        <w:jc w:val="left"/>
        <w:rPr>
          <w:rFonts w:ascii="Times New Roman;Times;serif" w:hAnsi="Times New Roman;Times;serif"/>
          <w:b/>
          <w:sz w:val="20"/>
        </w:rPr>
      </w:pPr>
      <w:bookmarkStart w:id="83" w:name="Item7AQuantitativeandQualitativeDisclosu"/>
      <w:bookmarkStart w:id="84" w:name="_16b70bb1_e9f6_4410_93fa_af876f87ef15"/>
      <w:bookmarkEnd w:id="83"/>
      <w:bookmarkEnd w:id="84"/>
      <w:r>
        <w:rPr>
          <w:rFonts w:ascii="Times New Roman;Times;serif" w:hAnsi="Times New Roman;Times;serif"/>
          <w:b/>
          <w:i w:val="false"/>
          <w:caps w:val="false"/>
          <w:smallCaps w:val="false"/>
          <w:sz w:val="20"/>
        </w:rPr>
        <w:t>Item 7A.</w:t>
      </w:r>
      <w:r>
        <w:rPr>
          <w:rFonts w:ascii="Times New Roman;Times;serif" w:hAnsi="Times New Roman;Times;serif"/>
          <w:b/>
          <w:sz w:val="20"/>
        </w:rPr>
        <w:t>Quantitative and Qualitative Disclosures about Market Risk</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are exposed to market risks related to commodity pricing, environmental attribute pricing, interest rate, credit risk with our contract counterparties, and equity price risks. We currently have no foreign exchange risk. We use commodity derivative financial instruments as part of an overall strategy to manage market risk related to corn purchases in our GevoND segment.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Commodity Price Risk</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Ethanol prices are volatile and are sensitive to the cost of corn and natural gas, the price of substitute fuels, refining capacity and utilization, government regulation and consumer demand for alternative fuels. Corn prices are affected by weather conditions, yield, changes in domestic and global supply and demand, and government programs and policies. We attempt to mitigate our exposure to corn price volatility through the use of corn futures contracts. </w:t>
      </w:r>
    </w:p>
    <w:p>
      <w:pPr>
        <w:pStyle w:val="TextBody"/>
        <w:bidi w:val="0"/>
        <w:spacing w:before="0" w:after="0"/>
        <w:ind w:left="0" w:right="0" w:firstLine="72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price of RNG changes in relation to the market prices of wholesale gas. Pricing for wholesale gas is volatile and we expect this volatility to continue in the future. Further, volatility of wholesale gas also creates volatility in the prices of environmental attributes.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have prepared a sensitivity analysis to estimate our exposure to market risk with respect to the market price of commodities affecting our business. Our analysis, which may differ from actual results, was based on our actual 2025 production and commodity usage (in thousands):</w:t>
      </w:r>
    </w:p>
    <w:tbl>
      <w:tblPr>
        <w:tblW w:w="10205" w:type="dxa"/>
        <w:jc w:val="left"/>
        <w:tblInd w:w="0" w:type="dxa"/>
        <w:tblLayout w:type="fixed"/>
        <w:tblCellMar>
          <w:top w:w="0" w:type="dxa"/>
          <w:left w:w="0" w:type="dxa"/>
          <w:bottom w:w="0" w:type="dxa"/>
          <w:right w:w="0" w:type="dxa"/>
        </w:tblCellMar>
      </w:tblPr>
      <w:tblGrid>
        <w:gridCol w:w="1806"/>
        <w:gridCol w:w="109"/>
        <w:gridCol w:w="3591"/>
        <w:gridCol w:w="109"/>
        <w:gridCol w:w="1200"/>
        <w:gridCol w:w="109"/>
        <w:gridCol w:w="740"/>
        <w:gridCol w:w="2541"/>
      </w:tblGrid>
      <w:tr>
        <w:trPr/>
        <w:tc>
          <w:tcPr>
            <w:tcW w:w="1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146810" cy="175260"/>
                      <wp:effectExtent l="0" t="0" r="0" b="0"/>
                      <wp:wrapNone/>
                      <wp:docPr id="169" name="Frame169"/>
                      <a:graphic xmlns:a="http://schemas.openxmlformats.org/drawingml/2006/main">
                        <a:graphicData uri="http://schemas.microsoft.com/office/word/2010/wordprocessingShape">
                          <wps:wsp>
                            <wps:cNvSpPr txBox="1"/>
                            <wps:spPr>
                              <a:xfrm>
                                <a:off x="0" y="0"/>
                                <a:ext cx="1146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9215" cy="175260"/>
                      <wp:effectExtent l="0" t="0" r="0" b="0"/>
                      <wp:wrapNone/>
                      <wp:docPr id="170" name="Frame1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280285" cy="175260"/>
                      <wp:effectExtent l="0" t="0" r="0" b="0"/>
                      <wp:wrapNone/>
                      <wp:docPr id="171" name="Frame171"/>
                      <a:graphic xmlns:a="http://schemas.openxmlformats.org/drawingml/2006/main">
                        <a:graphicData uri="http://schemas.microsoft.com/office/word/2010/wordprocessingShape">
                          <wps:wsp>
                            <wps:cNvSpPr txBox="1"/>
                            <wps:spPr>
                              <a:xfrm>
                                <a:off x="0" y="0"/>
                                <a:ext cx="2280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9215" cy="175260"/>
                      <wp:effectExtent l="0" t="0" r="0" b="0"/>
                      <wp:wrapNone/>
                      <wp:docPr id="172" name="Frame1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762000" cy="175260"/>
                      <wp:effectExtent l="0" t="0" r="0" b="0"/>
                      <wp:wrapNone/>
                      <wp:docPr id="173" name="Frame173"/>
                      <a:graphic xmlns:a="http://schemas.openxmlformats.org/drawingml/2006/main">
                        <a:graphicData uri="http://schemas.microsoft.com/office/word/2010/wordprocessingShape">
                          <wps:wsp>
                            <wps:cNvSpPr txBox="1"/>
                            <wps:spPr>
                              <a:xfrm>
                                <a:off x="0" y="0"/>
                                <a:ext cx="762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9215" cy="175260"/>
                      <wp:effectExtent l="0" t="0" r="0" b="0"/>
                      <wp:wrapNone/>
                      <wp:docPr id="174" name="Frame1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469900" cy="175260"/>
                      <wp:effectExtent l="0" t="0" r="0" b="0"/>
                      <wp:wrapNone/>
                      <wp:docPr id="175" name="Frame175"/>
                      <a:graphic xmlns:a="http://schemas.openxmlformats.org/drawingml/2006/main">
                        <a:graphicData uri="http://schemas.microsoft.com/office/word/2010/wordprocessingShape">
                          <wps:wsp>
                            <wps:cNvSpPr txBox="1"/>
                            <wps:spPr>
                              <a:xfrm>
                                <a:off x="0" y="0"/>
                                <a:ext cx="469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613535" cy="175260"/>
                      <wp:effectExtent l="0" t="0" r="0" b="0"/>
                      <wp:wrapNone/>
                      <wp:docPr id="176" name="Frame176"/>
                      <a:graphic xmlns:a="http://schemas.openxmlformats.org/drawingml/2006/main">
                        <a:graphicData uri="http://schemas.microsoft.com/office/word/2010/wordprocessingShape">
                          <wps:wsp>
                            <wps:cNvSpPr txBox="1"/>
                            <wps:spPr>
                              <a:xfrm>
                                <a:off x="0" y="0"/>
                                <a:ext cx="161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0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Commodity</w:t>
            </w:r>
          </w:p>
        </w:tc>
        <w:tc>
          <w:tcPr>
            <w:tcW w:w="109" w:type="dxa"/>
            <w:tcBorders/>
            <w:vAlign w:val="center"/>
          </w:tcPr>
          <w:p>
            <w:pPr>
              <w:pStyle w:val="TableContents"/>
              <w:bidi w:val="0"/>
              <w:spacing w:before="0" w:after="1"/>
              <w:ind w:left="0" w:right="0" w:hanging="0"/>
              <w:jc w:val="left"/>
              <w:rPr/>
            </w:pPr>
            <w:r>
              <w:rPr/>
              <w:t>​</w:t>
            </w:r>
          </w:p>
        </w:tc>
        <w:tc>
          <w:tcPr>
            <w:tcW w:w="35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Estimated Total Annual Volume Based on 2025 Production</w:t>
            </w:r>
          </w:p>
        </w:tc>
        <w:tc>
          <w:tcPr>
            <w:tcW w:w="109" w:type="dxa"/>
            <w:tcBorders/>
            <w:vAlign w:val="center"/>
          </w:tcPr>
          <w:p>
            <w:pPr>
              <w:pStyle w:val="TableContents"/>
              <w:bidi w:val="0"/>
              <w:spacing w:before="0" w:after="1"/>
              <w:ind w:left="0" w:right="0" w:hanging="0"/>
              <w:jc w:val="left"/>
              <w:rPr/>
            </w:pPr>
            <w:r>
              <w:rPr/>
              <w:t>​</w:t>
            </w:r>
          </w:p>
        </w:tc>
        <w:tc>
          <w:tcPr>
            <w:tcW w:w="120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Unit of Measure</w:t>
            </w:r>
          </w:p>
        </w:tc>
        <w:tc>
          <w:tcPr>
            <w:tcW w:w="109" w:type="dxa"/>
            <w:tcBorders/>
            <w:vAlign w:val="center"/>
          </w:tcPr>
          <w:p>
            <w:pPr>
              <w:pStyle w:val="TableContents"/>
              <w:bidi w:val="0"/>
              <w:spacing w:before="0" w:after="1"/>
              <w:ind w:left="0" w:right="0" w:hanging="0"/>
              <w:jc w:val="left"/>
              <w:rPr/>
            </w:pPr>
            <w:r>
              <w:rPr/>
              <w:t>​</w:t>
            </w:r>
          </w:p>
        </w:tc>
        <w:tc>
          <w:tcPr>
            <w:tcW w:w="32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Effect on Operating Income of a 10% Change in Price</w:t>
            </w:r>
          </w:p>
        </w:tc>
      </w:tr>
      <w:tr>
        <w:trPr/>
        <w:tc>
          <w:tcPr>
            <w:tcW w:w="18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5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0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40" w:type="dxa"/>
            <w:tcBorders/>
            <w:vAlign w:val="center"/>
          </w:tcPr>
          <w:p>
            <w:pPr>
              <w:pStyle w:val="TableContents"/>
              <w:bidi w:val="0"/>
              <w:spacing w:before="0" w:after="1"/>
              <w:ind w:left="0" w:right="0" w:hanging="0"/>
              <w:jc w:val="left"/>
              <w:rPr/>
            </w:pPr>
            <w:r>
              <w:rPr/>
              <w:t>​</w:t>
            </w:r>
          </w:p>
        </w:tc>
        <w:tc>
          <w:tcPr>
            <w:tcW w:w="2541" w:type="dxa"/>
            <w:tcBorders/>
            <w:vAlign w:val="center"/>
          </w:tcPr>
          <w:p>
            <w:pPr>
              <w:pStyle w:val="TableContents"/>
              <w:bidi w:val="0"/>
              <w:spacing w:before="0" w:after="1"/>
              <w:ind w:left="0" w:right="0" w:hanging="0"/>
              <w:jc w:val="left"/>
              <w:rPr/>
            </w:pPr>
            <w:r>
              <w:rPr/>
              <w:t>​</w:t>
            </w:r>
          </w:p>
        </w:tc>
      </w:tr>
      <w:tr>
        <w:trPr/>
        <w:tc>
          <w:tcPr>
            <w:tcW w:w="18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Ethanol</w:t>
            </w:r>
          </w:p>
        </w:tc>
        <w:tc>
          <w:tcPr>
            <w:tcW w:w="109" w:type="dxa"/>
            <w:tcBorders/>
            <w:shd w:fill="CCEEFF" w:val="clear"/>
            <w:vAlign w:val="center"/>
          </w:tcPr>
          <w:p>
            <w:pPr>
              <w:pStyle w:val="TableContents"/>
              <w:bidi w:val="0"/>
              <w:spacing w:before="0" w:after="1"/>
              <w:ind w:left="0" w:right="0" w:hanging="0"/>
              <w:jc w:val="left"/>
              <w:rPr/>
            </w:pPr>
            <w:r>
              <w:rPr/>
              <w:t>​</w:t>
            </w:r>
          </w:p>
        </w:tc>
        <w:tc>
          <w:tcPr>
            <w:tcW w:w="3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67,642</w:t>
            </w:r>
          </w:p>
        </w:tc>
        <w:tc>
          <w:tcPr>
            <w:tcW w:w="109" w:type="dxa"/>
            <w:tcBorders/>
            <w:shd w:fill="CCEEFF" w:val="clear"/>
            <w:vAlign w:val="center"/>
          </w:tcPr>
          <w:p>
            <w:pPr>
              <w:pStyle w:val="TableContents"/>
              <w:bidi w:val="0"/>
              <w:spacing w:before="0" w:after="1"/>
              <w:ind w:left="0" w:right="0" w:hanging="0"/>
              <w:jc w:val="left"/>
              <w:rPr/>
            </w:pPr>
            <w:r>
              <w:rPr/>
              <w:t>​</w:t>
            </w:r>
          </w:p>
        </w:tc>
        <w:tc>
          <w:tcPr>
            <w:tcW w:w="12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Gallons</w:t>
            </w:r>
          </w:p>
        </w:tc>
        <w:tc>
          <w:tcPr>
            <w:tcW w:w="109" w:type="dxa"/>
            <w:tcBorders/>
            <w:shd w:fill="CCEEFF" w:val="clear"/>
            <w:vAlign w:val="center"/>
          </w:tcPr>
          <w:p>
            <w:pPr>
              <w:pStyle w:val="TableContents"/>
              <w:bidi w:val="0"/>
              <w:spacing w:before="0" w:after="1"/>
              <w:ind w:left="0" w:right="0" w:hanging="0"/>
              <w:jc w:val="left"/>
              <w:rPr/>
            </w:pPr>
            <w:r>
              <w:rPr/>
              <w:t>​</w:t>
            </w:r>
          </w:p>
        </w:tc>
        <w:tc>
          <w:tcPr>
            <w:tcW w:w="7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11,510</w:t>
            </w:r>
          </w:p>
        </w:tc>
      </w:tr>
      <w:tr>
        <w:trPr/>
        <w:tc>
          <w:tcPr>
            <w:tcW w:w="18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Dried distillers grains</w:t>
            </w:r>
          </w:p>
        </w:tc>
        <w:tc>
          <w:tcPr>
            <w:tcW w:w="109" w:type="dxa"/>
            <w:tcBorders/>
            <w:vAlign w:val="center"/>
          </w:tcPr>
          <w:p>
            <w:pPr>
              <w:pStyle w:val="TableContents"/>
              <w:bidi w:val="0"/>
              <w:spacing w:before="0" w:after="1"/>
              <w:ind w:left="0" w:right="0" w:hanging="0"/>
              <w:jc w:val="left"/>
              <w:rPr/>
            </w:pPr>
            <w:r>
              <w:rPr/>
              <w:t>​</w:t>
            </w:r>
          </w:p>
        </w:tc>
        <w:tc>
          <w:tcPr>
            <w:tcW w:w="35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w:t>
            </w:r>
          </w:p>
        </w:tc>
        <w:tc>
          <w:tcPr>
            <w:tcW w:w="109" w:type="dxa"/>
            <w:tcBorders/>
            <w:vAlign w:val="center"/>
          </w:tcPr>
          <w:p>
            <w:pPr>
              <w:pStyle w:val="TableContents"/>
              <w:bidi w:val="0"/>
              <w:spacing w:before="0" w:after="1"/>
              <w:ind w:left="0" w:right="0" w:hanging="0"/>
              <w:jc w:val="left"/>
              <w:rPr/>
            </w:pPr>
            <w:r>
              <w:rPr/>
              <w:t>​</w:t>
            </w:r>
          </w:p>
        </w:tc>
        <w:tc>
          <w:tcPr>
            <w:tcW w:w="12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Tons</w:t>
            </w:r>
          </w:p>
        </w:tc>
        <w:tc>
          <w:tcPr>
            <w:tcW w:w="109" w:type="dxa"/>
            <w:tcBorders/>
            <w:vAlign w:val="center"/>
          </w:tcPr>
          <w:p>
            <w:pPr>
              <w:pStyle w:val="TableContents"/>
              <w:bidi w:val="0"/>
              <w:spacing w:before="0" w:after="1"/>
              <w:ind w:left="0" w:right="0" w:hanging="0"/>
              <w:jc w:val="left"/>
              <w:rPr/>
            </w:pPr>
            <w:r>
              <w:rPr/>
              <w:t>​</w:t>
            </w:r>
          </w:p>
        </w:tc>
        <w:tc>
          <w:tcPr>
            <w:tcW w:w="7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1,478</w:t>
            </w:r>
          </w:p>
        </w:tc>
      </w:tr>
      <w:tr>
        <w:trPr/>
        <w:tc>
          <w:tcPr>
            <w:tcW w:w="18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Modified distillers grains</w:t>
            </w:r>
          </w:p>
        </w:tc>
        <w:tc>
          <w:tcPr>
            <w:tcW w:w="109" w:type="dxa"/>
            <w:tcBorders/>
            <w:shd w:fill="CCEEFF" w:val="clear"/>
            <w:vAlign w:val="center"/>
          </w:tcPr>
          <w:p>
            <w:pPr>
              <w:pStyle w:val="TableContents"/>
              <w:bidi w:val="0"/>
              <w:spacing w:before="0" w:after="1"/>
              <w:ind w:left="0" w:right="0" w:hanging="0"/>
              <w:jc w:val="left"/>
              <w:rPr/>
            </w:pPr>
            <w:r>
              <w:rPr/>
              <w:t>​</w:t>
            </w:r>
          </w:p>
        </w:tc>
        <w:tc>
          <w:tcPr>
            <w:tcW w:w="3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w:t>
            </w:r>
          </w:p>
        </w:tc>
        <w:tc>
          <w:tcPr>
            <w:tcW w:w="109" w:type="dxa"/>
            <w:tcBorders/>
            <w:shd w:fill="CCEEFF" w:val="clear"/>
            <w:vAlign w:val="center"/>
          </w:tcPr>
          <w:p>
            <w:pPr>
              <w:pStyle w:val="TableContents"/>
              <w:bidi w:val="0"/>
              <w:spacing w:before="0" w:after="1"/>
              <w:ind w:left="0" w:right="0" w:hanging="0"/>
              <w:jc w:val="left"/>
              <w:rPr/>
            </w:pPr>
            <w:r>
              <w:rPr/>
              <w:t>​</w:t>
            </w:r>
          </w:p>
        </w:tc>
        <w:tc>
          <w:tcPr>
            <w:tcW w:w="12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Tons</w:t>
            </w:r>
          </w:p>
        </w:tc>
        <w:tc>
          <w:tcPr>
            <w:tcW w:w="109" w:type="dxa"/>
            <w:tcBorders/>
            <w:shd w:fill="CCEEFF" w:val="clear"/>
            <w:vAlign w:val="center"/>
          </w:tcPr>
          <w:p>
            <w:pPr>
              <w:pStyle w:val="TableContents"/>
              <w:bidi w:val="0"/>
              <w:spacing w:before="0" w:after="1"/>
              <w:ind w:left="0" w:right="0" w:hanging="0"/>
              <w:jc w:val="left"/>
              <w:rPr/>
            </w:pPr>
            <w:r>
              <w:rPr/>
              <w:t>​</w:t>
            </w:r>
          </w:p>
        </w:tc>
        <w:tc>
          <w:tcPr>
            <w:tcW w:w="7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825</w:t>
            </w:r>
          </w:p>
        </w:tc>
      </w:tr>
      <w:tr>
        <w:trPr/>
        <w:tc>
          <w:tcPr>
            <w:tcW w:w="18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Corn oil</w:t>
            </w:r>
          </w:p>
        </w:tc>
        <w:tc>
          <w:tcPr>
            <w:tcW w:w="109" w:type="dxa"/>
            <w:tcBorders/>
            <w:vAlign w:val="center"/>
          </w:tcPr>
          <w:p>
            <w:pPr>
              <w:pStyle w:val="TableContents"/>
              <w:bidi w:val="0"/>
              <w:spacing w:before="0" w:after="1"/>
              <w:ind w:left="0" w:right="0" w:hanging="0"/>
              <w:jc w:val="left"/>
              <w:rPr/>
            </w:pPr>
            <w:r>
              <w:rPr/>
              <w:t>​</w:t>
            </w:r>
          </w:p>
        </w:tc>
        <w:tc>
          <w:tcPr>
            <w:tcW w:w="35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19,268</w:t>
            </w:r>
          </w:p>
        </w:tc>
        <w:tc>
          <w:tcPr>
            <w:tcW w:w="109" w:type="dxa"/>
            <w:tcBorders/>
            <w:vAlign w:val="center"/>
          </w:tcPr>
          <w:p>
            <w:pPr>
              <w:pStyle w:val="TableContents"/>
              <w:bidi w:val="0"/>
              <w:spacing w:before="0" w:after="1"/>
              <w:ind w:left="0" w:right="0" w:hanging="0"/>
              <w:jc w:val="left"/>
              <w:rPr/>
            </w:pPr>
            <w:r>
              <w:rPr/>
              <w:t>​</w:t>
            </w:r>
          </w:p>
        </w:tc>
        <w:tc>
          <w:tcPr>
            <w:tcW w:w="12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Pounds</w:t>
            </w:r>
          </w:p>
        </w:tc>
        <w:tc>
          <w:tcPr>
            <w:tcW w:w="109" w:type="dxa"/>
            <w:tcBorders/>
            <w:vAlign w:val="center"/>
          </w:tcPr>
          <w:p>
            <w:pPr>
              <w:pStyle w:val="TableContents"/>
              <w:bidi w:val="0"/>
              <w:spacing w:before="0" w:after="1"/>
              <w:ind w:left="0" w:right="0" w:hanging="0"/>
              <w:jc w:val="left"/>
              <w:rPr/>
            </w:pPr>
            <w:r>
              <w:rPr/>
              <w:t>​</w:t>
            </w:r>
          </w:p>
        </w:tc>
        <w:tc>
          <w:tcPr>
            <w:tcW w:w="7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1,114</w:t>
            </w:r>
          </w:p>
        </w:tc>
      </w:tr>
      <w:tr>
        <w:trPr/>
        <w:tc>
          <w:tcPr>
            <w:tcW w:w="18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RNG</w:t>
            </w:r>
          </w:p>
        </w:tc>
        <w:tc>
          <w:tcPr>
            <w:tcW w:w="109" w:type="dxa"/>
            <w:tcBorders/>
            <w:shd w:fill="CCEEFF" w:val="clear"/>
            <w:vAlign w:val="center"/>
          </w:tcPr>
          <w:p>
            <w:pPr>
              <w:pStyle w:val="TableContents"/>
              <w:bidi w:val="0"/>
              <w:spacing w:before="0" w:after="1"/>
              <w:ind w:left="0" w:right="0" w:hanging="0"/>
              <w:jc w:val="left"/>
              <w:rPr/>
            </w:pPr>
            <w:r>
              <w:rPr/>
              <w:t>​</w:t>
            </w:r>
          </w:p>
        </w:tc>
        <w:tc>
          <w:tcPr>
            <w:tcW w:w="3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w:t>
            </w:r>
          </w:p>
        </w:tc>
        <w:tc>
          <w:tcPr>
            <w:tcW w:w="109" w:type="dxa"/>
            <w:tcBorders/>
            <w:shd w:fill="CCEEFF" w:val="clear"/>
            <w:vAlign w:val="center"/>
          </w:tcPr>
          <w:p>
            <w:pPr>
              <w:pStyle w:val="TableContents"/>
              <w:bidi w:val="0"/>
              <w:spacing w:before="0" w:after="1"/>
              <w:ind w:left="0" w:right="0" w:hanging="0"/>
              <w:jc w:val="left"/>
              <w:rPr/>
            </w:pPr>
            <w:r>
              <w:rPr/>
              <w:t>​</w:t>
            </w:r>
          </w:p>
        </w:tc>
        <w:tc>
          <w:tcPr>
            <w:tcW w:w="12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MMbtu</w:t>
            </w:r>
          </w:p>
        </w:tc>
        <w:tc>
          <w:tcPr>
            <w:tcW w:w="109" w:type="dxa"/>
            <w:tcBorders/>
            <w:shd w:fill="CCEEFF" w:val="clear"/>
            <w:vAlign w:val="center"/>
          </w:tcPr>
          <w:p>
            <w:pPr>
              <w:pStyle w:val="TableContents"/>
              <w:bidi w:val="0"/>
              <w:spacing w:before="0" w:after="1"/>
              <w:ind w:left="0" w:right="0" w:hanging="0"/>
              <w:jc w:val="left"/>
              <w:rPr/>
            </w:pPr>
            <w:r>
              <w:rPr/>
              <w:t>​</w:t>
            </w:r>
          </w:p>
        </w:tc>
        <w:tc>
          <w:tcPr>
            <w:tcW w:w="7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18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Corn</w:t>
            </w:r>
          </w:p>
        </w:tc>
        <w:tc>
          <w:tcPr>
            <w:tcW w:w="109" w:type="dxa"/>
            <w:tcBorders/>
            <w:vAlign w:val="center"/>
          </w:tcPr>
          <w:p>
            <w:pPr>
              <w:pStyle w:val="TableContents"/>
              <w:bidi w:val="0"/>
              <w:spacing w:before="0" w:after="1"/>
              <w:ind w:left="0" w:right="0" w:hanging="0"/>
              <w:jc w:val="left"/>
              <w:rPr/>
            </w:pPr>
            <w:r>
              <w:rPr/>
              <w:t>​</w:t>
            </w:r>
          </w:p>
        </w:tc>
        <w:tc>
          <w:tcPr>
            <w:tcW w:w="35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23,281</w:t>
            </w:r>
          </w:p>
        </w:tc>
        <w:tc>
          <w:tcPr>
            <w:tcW w:w="109" w:type="dxa"/>
            <w:tcBorders/>
            <w:vAlign w:val="center"/>
          </w:tcPr>
          <w:p>
            <w:pPr>
              <w:pStyle w:val="TableContents"/>
              <w:bidi w:val="0"/>
              <w:spacing w:before="0" w:after="1"/>
              <w:ind w:left="0" w:right="0" w:hanging="0"/>
              <w:jc w:val="left"/>
              <w:rPr/>
            </w:pPr>
            <w:r>
              <w:rPr/>
              <w:t>​</w:t>
            </w:r>
          </w:p>
        </w:tc>
        <w:tc>
          <w:tcPr>
            <w:tcW w:w="12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Bushels</w:t>
            </w:r>
          </w:p>
        </w:tc>
        <w:tc>
          <w:tcPr>
            <w:tcW w:w="109" w:type="dxa"/>
            <w:tcBorders/>
            <w:vAlign w:val="center"/>
          </w:tcPr>
          <w:p>
            <w:pPr>
              <w:pStyle w:val="TableContents"/>
              <w:bidi w:val="0"/>
              <w:spacing w:before="0" w:after="1"/>
              <w:ind w:left="0" w:right="0" w:hanging="0"/>
              <w:jc w:val="left"/>
              <w:rPr/>
            </w:pPr>
            <w:r>
              <w:rPr/>
              <w:t>​</w:t>
            </w:r>
          </w:p>
        </w:tc>
        <w:tc>
          <w:tcPr>
            <w:tcW w:w="7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9,429</w:t>
            </w:r>
          </w:p>
        </w:tc>
      </w:tr>
      <w:tr>
        <w:trPr/>
        <w:tc>
          <w:tcPr>
            <w:tcW w:w="18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Natural gas</w:t>
            </w:r>
          </w:p>
        </w:tc>
        <w:tc>
          <w:tcPr>
            <w:tcW w:w="109" w:type="dxa"/>
            <w:tcBorders/>
            <w:shd w:fill="CCEEFF" w:val="clear"/>
            <w:vAlign w:val="center"/>
          </w:tcPr>
          <w:p>
            <w:pPr>
              <w:pStyle w:val="TableContents"/>
              <w:bidi w:val="0"/>
              <w:spacing w:before="0" w:after="1"/>
              <w:ind w:left="0" w:right="0" w:hanging="0"/>
              <w:jc w:val="left"/>
              <w:rPr/>
            </w:pPr>
            <w:r>
              <w:rPr/>
              <w:t>​</w:t>
            </w:r>
          </w:p>
        </w:tc>
        <w:tc>
          <w:tcPr>
            <w:tcW w:w="3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1,646</w:t>
            </w:r>
          </w:p>
        </w:tc>
        <w:tc>
          <w:tcPr>
            <w:tcW w:w="109" w:type="dxa"/>
            <w:tcBorders/>
            <w:shd w:fill="CCEEFF" w:val="clear"/>
            <w:vAlign w:val="center"/>
          </w:tcPr>
          <w:p>
            <w:pPr>
              <w:pStyle w:val="TableContents"/>
              <w:bidi w:val="0"/>
              <w:spacing w:before="0" w:after="1"/>
              <w:ind w:left="0" w:right="0" w:hanging="0"/>
              <w:jc w:val="left"/>
              <w:rPr/>
            </w:pPr>
            <w:r>
              <w:rPr/>
              <w:t>​</w:t>
            </w:r>
          </w:p>
        </w:tc>
        <w:tc>
          <w:tcPr>
            <w:tcW w:w="12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MMbtu</w:t>
            </w:r>
          </w:p>
        </w:tc>
        <w:tc>
          <w:tcPr>
            <w:tcW w:w="109" w:type="dxa"/>
            <w:tcBorders/>
            <w:shd w:fill="CCEEFF" w:val="clear"/>
            <w:vAlign w:val="center"/>
          </w:tcPr>
          <w:p>
            <w:pPr>
              <w:pStyle w:val="TableContents"/>
              <w:bidi w:val="0"/>
              <w:spacing w:before="0" w:after="1"/>
              <w:ind w:left="0" w:right="0" w:hanging="0"/>
              <w:jc w:val="left"/>
              <w:rPr/>
            </w:pPr>
            <w:r>
              <w:rPr/>
              <w:t>​</w:t>
            </w:r>
          </w:p>
        </w:tc>
        <w:tc>
          <w:tcPr>
            <w:tcW w:w="7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54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476</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Environmental Attribute Price Risk</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attempt to negotiate the best prices for our commodities and environmental attributes and to competitively price our products to reflect the fluctuations in market prices. Reductions in the market prices of our products and environmental attributes may have a material adverse effect on our revenues and profits as they directly reduce our revenues.</w:t>
      </w:r>
      <w:r>
        <w:rPr>
          <w:rFonts w:ascii="Times New Roman;Times;serif" w:hAnsi="Times New Roman;Times;serif"/>
          <w:sz w:val="20"/>
          <w:shd w:fill="FFFFFF" w:val="clear"/>
        </w:rPr>
        <w:t xml:space="preserve"> We have prepared a sensitivity analysis to estimate our exposure to market risk with respect to RIN and LCFS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shd w:fill="FFFFFF" w:val="clear"/>
        </w:rPr>
        <w:t>credit prices. The estimated annual impact of a hypothetical 10% decrease in the average realized price per RIN and per LCFS credit would have a negative effect on our operating profit of approximately $0.7 million and $0.9 million, respectively.</w:t>
      </w:r>
      <w:r>
        <w:rPr>
          <w:rFonts w:ascii="Times New Roman;Times;serif" w:hAnsi="Times New Roman;Times;serif"/>
          <w:sz w:val="20"/>
        </w:rPr>
        <w:t xml:space="preserve"> </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Interest Rate Risk</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are exposed to market risk related to changes in interest rates. Our primary exposure to market risk is interest rate sensitivity, which is influenced by fluctuations in U.S. interest rates. This is particularly relevant because our investments, including cash equivalents, are primarily invested in U.S. Treasury or government money market funds. However, based on the current level of our cash and cash equivalents and the minimal interest rate exposure, we believe that the impact of changes in market interest rates is not significant.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Credit Risk</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We are subject to credit risk due to the concentration of our ethanol and RNG receivables with a limited number of significant customers. This concentration increases our exposure to credit risk on our receivables, since the financial insolvency of these customers could have a significant impact on our results of operations.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addition, in October 2025, as partial consideration for the sale of Agri-Energy, LLC, we received a $5.0 million note receivable from the purchaser, payable in equal installments from 2026 to 2030. Although the note is secured by a mortgage on the property sold, we are exposed to credit risk regarding the collection of this note receivable should the issuer of the note become insolvent.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Equity Price Risk</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have in the past, and may in the future, seek to acquire additional funding through the sale of common stock and other equity. The price of our common stock has been volatile in the past and may also be volatile in the future. As a result, there is a risk that we may not be able to sell our common stock at an acceptable price should the need for new equity funding arise.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85" w:name="Item8FinancialStatementsandSupplementary"/>
      <w:bookmarkStart w:id="86" w:name="_ef9b5c78_8e0a_4fb6_a13b_a4f0a419190c"/>
      <w:bookmarkStart w:id="87" w:name="Item8FinancialStatementsandSupplementary"/>
      <w:bookmarkStart w:id="88" w:name="_ef9b5c78_8e0a_4fb6_a13b_a4f0a419190c"/>
      <w:bookmarkEnd w:id="87"/>
      <w:bookmarkEnd w:id="88"/>
    </w:p>
    <w:tbl>
      <w:tblPr>
        <w:tblW w:w="4772" w:type="dxa"/>
        <w:jc w:val="left"/>
        <w:tblInd w:w="0" w:type="dxa"/>
        <w:tblLayout w:type="fixed"/>
        <w:tblCellMar>
          <w:top w:w="0" w:type="dxa"/>
          <w:left w:w="0" w:type="dxa"/>
          <w:bottom w:w="0" w:type="dxa"/>
          <w:right w:w="0" w:type="dxa"/>
        </w:tblCellMar>
      </w:tblPr>
      <w:tblGrid>
        <w:gridCol w:w="706"/>
        <w:gridCol w:w="4066"/>
      </w:tblGrid>
      <w:tr>
        <w:trPr/>
        <w:tc>
          <w:tcPr>
            <w:tcW w:w="70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Item 8.</w:t>
            </w:r>
          </w:p>
        </w:tc>
        <w:tc>
          <w:tcPr>
            <w:tcW w:w="406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Financial Statements and Supplementary Data</w:t>
            </w:r>
          </w:p>
        </w:tc>
      </w:tr>
    </w:tbl>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Index to Gevo, Inc. Consolidated Financial Statements</w:t>
      </w:r>
    </w:p>
    <w:tbl>
      <w:tblPr>
        <w:tblW w:w="7367" w:type="dxa"/>
        <w:jc w:val="left"/>
        <w:tblInd w:w="0" w:type="dxa"/>
        <w:tblLayout w:type="fixed"/>
        <w:tblCellMar>
          <w:top w:w="0" w:type="dxa"/>
          <w:left w:w="0" w:type="dxa"/>
          <w:bottom w:w="0" w:type="dxa"/>
          <w:right w:w="0" w:type="dxa"/>
        </w:tblCellMar>
      </w:tblPr>
      <w:tblGrid>
        <w:gridCol w:w="6856"/>
        <w:gridCol w:w="511"/>
      </w:tblGrid>
      <w:tr>
        <w:trPr/>
        <w:tc>
          <w:tcPr>
            <w:tcW w:w="685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685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6856" w:type="dxa"/>
            <w:tcBorders/>
            <w:vAlign w:val="center"/>
          </w:tcPr>
          <w:p>
            <w:pPr>
              <w:pStyle w:val="TableContents"/>
              <w:bidi w:val="0"/>
              <w:spacing w:before="0" w:after="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(PCAOB ID Number 34)</w:t>
            </w:r>
          </w:p>
        </w:tc>
        <w:tc>
          <w:tcPr>
            <w:tcW w:w="51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w:t>
            </w:r>
          </w:p>
        </w:tc>
      </w:tr>
      <w:tr>
        <w:trPr/>
        <w:tc>
          <w:tcPr>
            <w:tcW w:w="6856" w:type="dxa"/>
            <w:tcBorders/>
            <w:vAlign w:val="center"/>
          </w:tcPr>
          <w:p>
            <w:pPr>
              <w:pStyle w:val="TableContents"/>
              <w:bidi w:val="0"/>
              <w:spacing w:before="0" w:after="0"/>
              <w:ind w:left="0" w:right="0" w:hanging="0"/>
              <w:jc w:val="left"/>
              <w:rPr/>
            </w:pPr>
            <w:hyperlink w:anchor="CONSOLIDATEDBALANCESHEETS_947639">
              <w:r>
                <w:rPr>
                  <w:rStyle w:val="InternetLink"/>
                  <w:rFonts w:ascii="Times New Roman;Times;serif" w:hAnsi="Times New Roman;Times;serif"/>
                  <w:b w:val="false"/>
                  <w:i w:val="false"/>
                  <w:caps w:val="false"/>
                  <w:smallCaps w:val="false"/>
                  <w:sz w:val="20"/>
                </w:rPr>
                <w:t>Consolidated Balance Sheets</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49</w:t>
            </w:r>
          </w:p>
        </w:tc>
      </w:tr>
      <w:tr>
        <w:trPr/>
        <w:tc>
          <w:tcPr>
            <w:tcW w:w="6856" w:type="dxa"/>
            <w:tcBorders/>
            <w:vAlign w:val="center"/>
          </w:tcPr>
          <w:p>
            <w:pPr>
              <w:pStyle w:val="TableContents"/>
              <w:bidi w:val="0"/>
              <w:spacing w:before="0" w:after="0"/>
              <w:ind w:left="0" w:right="0" w:hanging="0"/>
              <w:jc w:val="left"/>
              <w:rPr/>
            </w:pPr>
            <w:hyperlink w:anchor="CONSOLIDATEDSTATEMENTSOFOPERATIONS_15993">
              <w:r>
                <w:rPr>
                  <w:rStyle w:val="InternetLink"/>
                  <w:rFonts w:ascii="Times New Roman;Times;serif" w:hAnsi="Times New Roman;Times;serif"/>
                  <w:b w:val="false"/>
                  <w:i w:val="false"/>
                  <w:caps w:val="false"/>
                  <w:smallCaps w:val="false"/>
                  <w:sz w:val="20"/>
                </w:rPr>
                <w:t>Consolidated Statements of Operations</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w:t>
            </w:r>
          </w:p>
        </w:tc>
      </w:tr>
      <w:tr>
        <w:trPr/>
        <w:tc>
          <w:tcPr>
            <w:tcW w:w="6856" w:type="dxa"/>
            <w:tcBorders/>
            <w:vAlign w:val="center"/>
          </w:tcPr>
          <w:p>
            <w:pPr>
              <w:pStyle w:val="TableContents"/>
              <w:bidi w:val="0"/>
              <w:spacing w:before="0" w:after="0"/>
              <w:ind w:left="0" w:right="0" w:hanging="0"/>
              <w:jc w:val="left"/>
              <w:rPr/>
            </w:pPr>
            <w:hyperlink w:anchor="CONSOLIDATEDSTATEMENTSOFSTOCKHOLDERSEQUI">
              <w:r>
                <w:rPr>
                  <w:rStyle w:val="InternetLink"/>
                  <w:rFonts w:ascii="Times New Roman;Times;serif" w:hAnsi="Times New Roman;Times;serif"/>
                  <w:b w:val="false"/>
                  <w:i w:val="false"/>
                  <w:caps w:val="false"/>
                  <w:smallCaps w:val="false"/>
                  <w:sz w:val="20"/>
                </w:rPr>
                <w:t>Consolidated Statements of Stockholders’ Equity</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w:t>
            </w:r>
          </w:p>
        </w:tc>
      </w:tr>
      <w:tr>
        <w:trPr/>
        <w:tc>
          <w:tcPr>
            <w:tcW w:w="6856" w:type="dxa"/>
            <w:tcBorders/>
            <w:vAlign w:val="center"/>
          </w:tcPr>
          <w:p>
            <w:pPr>
              <w:pStyle w:val="TableContents"/>
              <w:bidi w:val="0"/>
              <w:spacing w:before="0" w:after="0"/>
              <w:ind w:left="0" w:right="0" w:hanging="0"/>
              <w:jc w:val="left"/>
              <w:rPr/>
            </w:pPr>
            <w:hyperlink w:anchor="CONSOLIDATEDSTATEMENTSOFCASHFLOWS_931173">
              <w:r>
                <w:rPr>
                  <w:rStyle w:val="InternetLink"/>
                  <w:rFonts w:ascii="Times New Roman;Times;serif" w:hAnsi="Times New Roman;Times;serif"/>
                  <w:b w:val="false"/>
                  <w:i w:val="false"/>
                  <w:caps w:val="false"/>
                  <w:smallCaps w:val="false"/>
                  <w:sz w:val="20"/>
                </w:rPr>
                <w:t>Consolidated Statements of Cash Flows</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53</w:t>
            </w:r>
          </w:p>
        </w:tc>
      </w:tr>
      <w:tr>
        <w:trPr/>
        <w:tc>
          <w:tcPr>
            <w:tcW w:w="6856" w:type="dxa"/>
            <w:tcBorders/>
            <w:vAlign w:val="center"/>
          </w:tcPr>
          <w:p>
            <w:pPr>
              <w:pStyle w:val="TableContents"/>
              <w:bidi w:val="0"/>
              <w:spacing w:before="0" w:after="0"/>
              <w:ind w:left="0" w:right="0" w:hanging="0"/>
              <w:jc w:val="left"/>
              <w:rPr/>
            </w:pPr>
            <w:hyperlink w:anchor="a1NatureofBusinessFinancialConditionandB">
              <w:r>
                <w:rPr>
                  <w:rStyle w:val="InternetLink"/>
                  <w:rFonts w:ascii="Times New Roman;Times;serif" w:hAnsi="Times New Roman;Times;serif"/>
                  <w:b w:val="false"/>
                  <w:i w:val="false"/>
                  <w:caps w:val="false"/>
                  <w:smallCaps w:val="false"/>
                  <w:sz w:val="20"/>
                </w:rPr>
                <w:t>Notes to Consolidated Financial Statements</w:t>
              </w:r>
            </w:hyperlink>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9" w:name="ReportofIndependentRegisteredPublicAccou"/>
      <w:bookmarkStart w:id="90" w:name="_51a1cb12_6b19_4c48_a9cd_14c3d0a098bf"/>
      <w:bookmarkEnd w:id="89"/>
      <w:bookmarkEnd w:id="90"/>
      <w:r>
        <w:rPr>
          <w:rFonts w:ascii="Times New Roman;Times;serif" w:hAnsi="Times New Roman;Times;serif"/>
          <w:b/>
          <w:sz w:val="20"/>
        </w:rPr>
        <w:t>REPORT OF INDEPENDENT REGISTERED PUBLIC ACCOUNTING FIRM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the shareholders and the Board of Directors of Gevo, Inc.</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Opinion on the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audited the accompanying consolidated balance sheets of Gevo, Inc. and subsidiaries (the "Company") as of December 31, 2025 and 2024, the related consolidated statements of operations, stockholders' equity, and cash flows for each of the two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Audit Matter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Business Combination: Valuation of Customer Relationship Intangible Asset - Refer to Note 3 to the consolidated financial statements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Critical Audit Matter Description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completed the acquisition of Red Trail Energy, LLC for an aggregate purchase price of $210 million, subject to customary adjustments on January 31, 2025. The Company accounted for the acquisition under the acquisition method of accounting for business combinations. Accordingly, the purchase price was allocated to the assets acquired and liabilities assumed based on their respective fair values, including a customer relationship intangible asset of $46.3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million. Management estimated the fair value of the customer relationships intangible asset using the multi-period excess earnings method.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fair value determination of the customer relationship intangible asset for Red Trail Energy, LLC required management to make significant estimates of future cash flows and assumptions related to the selection of the revenue growth rate, EBITDA margin, discount rate, and probability of renewal. This fair value determination requires us to perform audit procedures to evaluate the reasonableness of these estimates and assumptions and required a high degree of auditor judgment and an increased extent of effort, including the need to involve our fair value specialists.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How the Critical Audit Matter Was Addressed in the Audit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auditing procedures related to the significant estimates of future cash flows and assumptions included the following, among others:</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obtained the forecasts used to value the customer relationship intangible asset and assessed the reasonableness of management’s projections of future cash flows, including the revenue growth rate, EBITDA margin and probability of renewal by comparing the projections to historical results for Red Trail Energy, LLC.</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Reviewed communications from the Board of Directors and forecasted information included in Company press releases, as well as analyst and industry reports.</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the assistance of our fair value specialists, evaluated the reasonableness of the valuation methodology and evaluated the selection of the discount rate by performing the following: </w:t>
            </w:r>
          </w:p>
        </w:tc>
      </w:tr>
    </w:tbl>
    <w:p>
      <w:pPr>
        <w:pStyle w:val="TextBody"/>
        <w:bidi w:val="0"/>
        <w:spacing w:before="0" w:after="0"/>
        <w:ind w:left="432" w:right="0" w:hanging="0"/>
        <w:jc w:val="left"/>
        <w:rPr/>
      </w:pPr>
      <w:r>
        <w:rPr/>
        <w:t>​</w:t>
      </w:r>
    </w:p>
    <w:tbl>
      <w:tblPr>
        <w:tblW w:w="9426" w:type="dxa"/>
        <w:jc w:val="left"/>
        <w:tblInd w:w="0" w:type="dxa"/>
        <w:tblLayout w:type="fixed"/>
        <w:tblCellMar>
          <w:top w:w="28" w:type="dxa"/>
          <w:left w:w="28" w:type="dxa"/>
          <w:bottom w:w="28" w:type="dxa"/>
          <w:right w:w="28" w:type="dxa"/>
        </w:tblCellMar>
      </w:tblPr>
      <w:tblGrid>
        <w:gridCol w:w="124"/>
        <w:gridCol w:w="211"/>
        <w:gridCol w:w="9091"/>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Developed a range of independent estimates and compared those to the discount rate selected by management.</w:t>
            </w:r>
          </w:p>
        </w:tc>
      </w:tr>
    </w:tbl>
    <w:tbl>
      <w:tblPr>
        <w:tblW w:w="10205" w:type="dxa"/>
        <w:jc w:val="left"/>
        <w:tblInd w:w="0" w:type="dxa"/>
        <w:tblLayout w:type="fixed"/>
        <w:tblCellMar>
          <w:top w:w="28" w:type="dxa"/>
          <w:left w:w="28" w:type="dxa"/>
          <w:bottom w:w="28" w:type="dxa"/>
          <w:right w:w="28" w:type="dxa"/>
        </w:tblCellMar>
      </w:tblPr>
      <w:tblGrid>
        <w:gridCol w:w="124"/>
        <w:gridCol w:w="211"/>
        <w:gridCol w:w="9870"/>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7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Tested the source information underlying the determination of the discount rate, including comparing the significant assumptions used by management to current industry and economic trends and tested the mathematical accuracy of the calculation.</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Tested the design and implementation of internal controls related to the estimates of future cash flows and assumptions related to revenue growth, EBITDA margin, discount rate and probability of renewal.</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 Deloitte &amp; Touche LLP</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Denver, Colorado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March 5, 2026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served as the Company's auditor since 2024.</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91" w:name="_7d485a90_c079_4d92_9a5b_fe87e6293cc2"/>
      <w:bookmarkEnd w:id="91"/>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bookmarkStart w:id="92" w:name="CONSOLIDATEDBALANCESHEETS_947639"/>
      <w:bookmarkEnd w:id="92"/>
      <w:r>
        <w:rPr>
          <w:rFonts w:ascii="Times New Roman;Times;serif" w:hAnsi="Times New Roman;Times;serif"/>
          <w:b/>
          <w:sz w:val="20"/>
        </w:rPr>
        <w:t>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93" w:name="Tc_2QW1iNjDVUiO3mbvGA2XhA_8_0"/>
      <w:bookmarkStart w:id="94" w:name="Tc_rcvlY_eAaU2xrzEVy5RXHw_7_0"/>
      <w:bookmarkStart w:id="95" w:name="Tc_FiySPsbrPESY7JZ8AIgCMQ_6_0"/>
      <w:bookmarkStart w:id="96" w:name="Tc_P1rVWnc2nkm0gpZVVOP5wQ_5_0"/>
      <w:bookmarkStart w:id="97" w:name="Tc_zN8FSrkoUUuE0q9uyxjinw_4_5"/>
      <w:bookmarkStart w:id="98" w:name="Tc_OPKxa8beaEeIAKx1Plk-8Q_4_2"/>
      <w:bookmarkStart w:id="99" w:name="Tc_MuelJgcYmUKhUKcjQcgyFA_4_0"/>
      <w:bookmarkStart w:id="100" w:name="Tc_MIvMcRJNP0moVzy8UkXWpg_3_0"/>
      <w:bookmarkStart w:id="101" w:name="Tc__mhEGO8ojEamKccfAgtoGQ_2_0"/>
      <w:bookmarkStart w:id="102" w:name="Tc_9uFDUIW1V0WF-48R7IWC5g_1_5"/>
      <w:bookmarkStart w:id="103" w:name="Tc_sWceDBhdaUK4SPZs6V45rg_1_2"/>
      <w:bookmarkStart w:id="104" w:name="_4f3ae9e3_1fc6_4a8d_8401_417913f2fe00"/>
      <w:bookmarkStart w:id="105" w:name="Tc_2QW1iNjDVUiO3mbvGA2XhA_8_0"/>
      <w:bookmarkStart w:id="106" w:name="Tc_rcvlY_eAaU2xrzEVy5RXHw_7_0"/>
      <w:bookmarkStart w:id="107" w:name="Tc_FiySPsbrPESY7JZ8AIgCMQ_6_0"/>
      <w:bookmarkStart w:id="108" w:name="Tc_P1rVWnc2nkm0gpZVVOP5wQ_5_0"/>
      <w:bookmarkStart w:id="109" w:name="Tc_zN8FSrkoUUuE0q9uyxjinw_4_5"/>
      <w:bookmarkStart w:id="110" w:name="Tc_OPKxa8beaEeIAKx1Plk-8Q_4_2"/>
      <w:bookmarkStart w:id="111" w:name="Tc_MuelJgcYmUKhUKcjQcgyFA_4_0"/>
      <w:bookmarkStart w:id="112" w:name="Tc_MIvMcRJNP0moVzy8UkXWpg_3_0"/>
      <w:bookmarkStart w:id="113" w:name="Tc__mhEGO8ojEamKccfAgtoGQ_2_0"/>
      <w:bookmarkStart w:id="114" w:name="Tc_9uFDUIW1V0WF-48R7IWC5g_1_5"/>
      <w:bookmarkStart w:id="115" w:name="Tc_sWceDBhdaUK4SPZs6V45rg_1_2"/>
      <w:bookmarkStart w:id="116" w:name="_4f3ae9e3_1fc6_4a8d_8401_417913f2fe00"/>
      <w:bookmarkEnd w:id="105"/>
      <w:bookmarkEnd w:id="106"/>
      <w:bookmarkEnd w:id="107"/>
      <w:bookmarkEnd w:id="108"/>
      <w:bookmarkEnd w:id="109"/>
      <w:bookmarkEnd w:id="110"/>
      <w:bookmarkEnd w:id="111"/>
      <w:bookmarkEnd w:id="112"/>
      <w:bookmarkEnd w:id="113"/>
      <w:bookmarkEnd w:id="114"/>
      <w:bookmarkEnd w:id="115"/>
      <w:bookmarkEnd w:id="116"/>
    </w:p>
    <w:tbl>
      <w:tblPr>
        <w:tblW w:w="7190" w:type="dxa"/>
        <w:jc w:val="left"/>
        <w:tblInd w:w="0" w:type="dxa"/>
        <w:tblLayout w:type="fixed"/>
        <w:tblCellMar>
          <w:top w:w="0" w:type="dxa"/>
          <w:left w:w="0" w:type="dxa"/>
          <w:bottom w:w="0" w:type="dxa"/>
          <w:right w:w="0" w:type="dxa"/>
        </w:tblCellMar>
      </w:tblPr>
      <w:tblGrid>
        <w:gridCol w:w="3451"/>
        <w:gridCol w:w="346"/>
        <w:gridCol w:w="357"/>
        <w:gridCol w:w="1144"/>
        <w:gridCol w:w="346"/>
        <w:gridCol w:w="314"/>
        <w:gridCol w:w="1232"/>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1385" cy="175260"/>
                      <wp:effectExtent l="0" t="0" r="0" b="0"/>
                      <wp:wrapNone/>
                      <wp:docPr id="177" name="Frame177"/>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9710" cy="175260"/>
                      <wp:effectExtent l="0" t="0" r="0" b="0"/>
                      <wp:wrapNone/>
                      <wp:docPr id="178" name="Frame1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26695" cy="175260"/>
                      <wp:effectExtent l="0" t="0" r="0" b="0"/>
                      <wp:wrapNone/>
                      <wp:docPr id="179" name="Frame179"/>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726440" cy="175260"/>
                      <wp:effectExtent l="0" t="0" r="0" b="0"/>
                      <wp:wrapNone/>
                      <wp:docPr id="180" name="Frame180"/>
                      <a:graphic xmlns:a="http://schemas.openxmlformats.org/drawingml/2006/main">
                        <a:graphicData uri="http://schemas.microsoft.com/office/word/2010/wordprocessingShape">
                          <wps:wsp>
                            <wps:cNvSpPr txBox="1"/>
                            <wps:spPr>
                              <a:xfrm>
                                <a:off x="0" y="0"/>
                                <a:ext cx="726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81"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99390" cy="175260"/>
                      <wp:effectExtent l="0" t="0" r="0" b="0"/>
                      <wp:wrapNone/>
                      <wp:docPr id="182" name="Frame182"/>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782320" cy="175260"/>
                      <wp:effectExtent l="0" t="0" r="0" b="0"/>
                      <wp:wrapNone/>
                      <wp:docPr id="183" name="Frame183"/>
                      <a:graphic xmlns:a="http://schemas.openxmlformats.org/drawingml/2006/main">
                        <a:graphicData uri="http://schemas.microsoft.com/office/word/2010/wordprocessingShape">
                          <wps:wsp>
                            <wps:cNvSpPr txBox="1"/>
                            <wps:spPr>
                              <a:xfrm>
                                <a:off x="0" y="0"/>
                                <a:ext cx="782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357"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14" w:type="dxa"/>
            <w:tcBorders/>
            <w:shd w:fill="CCEEFF" w:val="clear"/>
            <w:vAlign w:val="center"/>
          </w:tcPr>
          <w:p>
            <w:pPr>
              <w:pStyle w:val="TableContents"/>
              <w:bidi w:val="0"/>
              <w:spacing w:before="0" w:after="0"/>
              <w:ind w:left="0" w:right="0" w:hanging="0"/>
              <w:jc w:val="left"/>
              <w:rPr/>
            </w:pPr>
            <w:r>
              <w:rPr/>
              <w:t>​</w:t>
            </w:r>
          </w:p>
        </w:tc>
        <w:tc>
          <w:tcPr>
            <w:tcW w:w="1232" w:type="dxa"/>
            <w:tcBorders/>
            <w:shd w:fill="CCEEFF" w:val="clear"/>
            <w:vAlign w:val="center"/>
          </w:tcPr>
          <w:p>
            <w:pPr>
              <w:pStyle w:val="TableContents"/>
              <w:bidi w:val="0"/>
              <w:spacing w:before="0" w:after="0"/>
              <w:ind w:left="0" w:right="0" w:hanging="0"/>
              <w:jc w:val="right"/>
              <w:rPr/>
            </w:pPr>
            <w:r>
              <w:rPr/>
              <w:t>  ​</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314" w:type="dxa"/>
            <w:tcBorders/>
            <w:vAlign w:val="center"/>
          </w:tcPr>
          <w:p>
            <w:pPr>
              <w:pStyle w:val="TableContents"/>
              <w:bidi w:val="0"/>
              <w:spacing w:before="0" w:after="0"/>
              <w:ind w:left="0" w:right="0" w:hanging="0"/>
              <w:jc w:val="left"/>
              <w:rPr/>
            </w:pPr>
            <w:r>
              <w:rPr/>
              <w:t>​</w:t>
            </w:r>
          </w:p>
        </w:tc>
        <w:tc>
          <w:tcPr>
            <w:tcW w:w="1232" w:type="dxa"/>
            <w:tcBorders/>
            <w:vAlign w:val="center"/>
          </w:tcPr>
          <w:p>
            <w:pPr>
              <w:pStyle w:val="TableContents"/>
              <w:bidi w:val="0"/>
              <w:spacing w:before="0" w:after="0"/>
              <w:ind w:left="0" w:right="0" w:hanging="0"/>
              <w:jc w:val="right"/>
              <w:rPr/>
            </w:pPr>
            <w:r>
              <w:rPr/>
              <w:t>  ​</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 </w:t>
            </w:r>
          </w:p>
        </w:tc>
        <w:tc>
          <w:tcPr>
            <w:tcW w:w="3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81,163</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189,389</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28,770</w:t>
            </w:r>
          </w:p>
        </w:tc>
        <w:tc>
          <w:tcPr>
            <w:tcW w:w="34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 </w:t>
            </w:r>
          </w:p>
        </w:tc>
        <w:tc>
          <w:tcPr>
            <w:tcW w:w="12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1,489</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accounts receivable, net</w:t>
            </w:r>
          </w:p>
        </w:tc>
        <w:tc>
          <w:tcPr>
            <w:tcW w:w="346" w:type="dxa"/>
            <w:tcBorders/>
            <w:shd w:fill="CCEEFF" w:val="clear"/>
            <w:vAlign w:val="center"/>
          </w:tcPr>
          <w:p>
            <w:pPr>
              <w:pStyle w:val="TableContents"/>
              <w:bidi w:val="0"/>
              <w:spacing w:before="0" w:after="0"/>
              <w:ind w:left="0" w:right="0" w:hanging="0"/>
              <w:jc w:val="left"/>
              <w:rPr/>
            </w:pPr>
            <w:r>
              <w:rPr/>
              <w:t> </w:t>
            </w:r>
          </w:p>
        </w:tc>
        <w:tc>
          <w:tcPr>
            <w:tcW w:w="357" w:type="dxa"/>
            <w:tcBorders/>
            <w:shd w:fill="CCEEFF" w:val="clear"/>
            <w:vAlign w:val="center"/>
          </w:tcPr>
          <w:p>
            <w:pPr>
              <w:pStyle w:val="TableContents"/>
              <w:bidi w:val="0"/>
              <w:spacing w:before="0" w:after="0"/>
              <w:ind w:left="0" w:right="0" w:hanging="0"/>
              <w:jc w:val="left"/>
              <w:rPr/>
            </w:pPr>
            <w:r>
              <w:rPr/>
              <w:t> </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8,394</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 </w:t>
            </w:r>
          </w:p>
        </w:tc>
        <w:tc>
          <w:tcPr>
            <w:tcW w:w="12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2,411</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19,076</w:t>
            </w:r>
          </w:p>
        </w:tc>
        <w:tc>
          <w:tcPr>
            <w:tcW w:w="34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 </w:t>
            </w:r>
          </w:p>
        </w:tc>
        <w:tc>
          <w:tcPr>
            <w:tcW w:w="12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4,502</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 </w:t>
            </w:r>
          </w:p>
        </w:tc>
        <w:tc>
          <w:tcPr>
            <w:tcW w:w="3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6,001</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32"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5,920</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17" w:name="Tc_5PRRTNV2GUaj8_REY6Tz2g_41_5"/>
      <w:bookmarkStart w:id="118" w:name="Tc_AxsJQjuz8kaizBIkTn85IQ_41_2"/>
      <w:bookmarkStart w:id="119" w:name="Tc_OtCjEM0hoUSdDs7OBEPitg_41_0"/>
      <w:bookmarkStart w:id="120" w:name="Tc_tf_pKAw_A0KX66xlOXT_hQ_40_0"/>
      <w:bookmarkStart w:id="121" w:name="Tc_p8xOvgWuBUGmJfWmtpv8OA_39_0"/>
      <w:bookmarkStart w:id="122" w:name="Tc_HF2EnP7Vx0Sh0P45Q00scQ_38_0"/>
      <w:bookmarkStart w:id="123" w:name="Tc_SYm5pwyJPkuakLqyjst7aA_37_0"/>
      <w:bookmarkStart w:id="124" w:name="Tc_eLJkc3reCEuNj9nP_N9P2Q_36_0"/>
      <w:bookmarkStart w:id="125" w:name="Tc_hKIUy5zRuk2WAmlLu4lZaw_34_6"/>
      <w:bookmarkStart w:id="126" w:name="Tc_t0alR2evIkiZx2V7RgXocQ_34_0"/>
      <w:bookmarkStart w:id="127" w:name="Tc_PZvUtRBCjESNG7NBcUf8xw_32_0"/>
      <w:bookmarkStart w:id="128" w:name="Tc_h6XWAzizSEOx6xLCxXUPhA_31_0"/>
      <w:bookmarkStart w:id="129" w:name="Tc_o5O3Oasvo0avWNm99Ec8RA_30_6"/>
      <w:bookmarkStart w:id="130" w:name="Tc_jkKQHkDvP0yAnjazD2F5SA_30_0"/>
      <w:bookmarkStart w:id="131" w:name="Tc_MVdZB_-tLUWFi2pfeB-GcA_29_0"/>
      <w:bookmarkStart w:id="132" w:name="Tc_5BZ-5Jjaz0iFmB27uqN92g_28_0"/>
      <w:bookmarkStart w:id="133" w:name="Tc_SjYHYRm2GEue59Im_umvYw_27_6"/>
      <w:bookmarkStart w:id="134" w:name="Tc_FdJKXmoz2E2Di6H2AEyWDw_27_0"/>
      <w:bookmarkStart w:id="135" w:name="Tc_SaOy93jcUES2u5rVjeJSTg_26_0"/>
      <w:bookmarkStart w:id="136" w:name="Tc_mEVWulpV10m7tfMa-UPl1g_25_0"/>
      <w:bookmarkStart w:id="137" w:name="Tc_AsS8VE7h_UuKBfqJWJsv0A_24_3"/>
      <w:bookmarkStart w:id="138" w:name="Tc_kdbtxmnpB0y-bq8_Tos1qA_24_0"/>
      <w:bookmarkStart w:id="139" w:name="Tc_lWQ5z4pYUkOX_Ucr5PZmxQ_23_0"/>
      <w:bookmarkStart w:id="140" w:name="Tc_q9VVm_dB9Ue1Cjjwiwtd4g_22_0"/>
      <w:bookmarkStart w:id="141" w:name="Tc_PI5Yr8mVVUWWrBCQWOGxNA_21_6"/>
      <w:bookmarkStart w:id="142" w:name="Tc_ZJwSOZV6SU6bLUrz7aMwBA_21_0"/>
      <w:bookmarkStart w:id="143" w:name="Tc_6t_YBxkjyEmzxKVqXGXweQ_20_5"/>
      <w:bookmarkStart w:id="144" w:name="Tc_ZaFLRTe9eEGmwD0ePqLJjw_20_2"/>
      <w:bookmarkStart w:id="145" w:name="Tc_8s_Pn6lY3UCfR4kBUDBY_Q_20_0"/>
      <w:bookmarkStart w:id="146" w:name="Tc_V6mdXt1bm0KP86PBjMnj0w_19_0"/>
      <w:bookmarkStart w:id="147" w:name="Tc_DcGNUP8HK0-dUO_HW1q3LQ_18_0"/>
      <w:bookmarkStart w:id="148" w:name="Tc_kQAUwnwAE0267k9YnOWaYA_17_5"/>
      <w:bookmarkStart w:id="149" w:name="Tc_OR8M1-4XI0OqM2JytTc8iA_17_2"/>
      <w:bookmarkStart w:id="150" w:name="Tc_A31GW_6hgke9y71kSyf_UA_17_0"/>
      <w:bookmarkStart w:id="151" w:name="Tc_mpqLkB7iskCZu_7wwhj0og_16_0"/>
      <w:bookmarkStart w:id="152" w:name="Tc_vaB3vYgpYUa8RwMnR03DnQ_15_0"/>
      <w:bookmarkStart w:id="153" w:name="Tc_L74xiYImKk-mt6E4RY7NFQ_14_0"/>
      <w:bookmarkStart w:id="154" w:name="Tc_scI23M-k50qP58lg36GynA_13_0"/>
      <w:bookmarkStart w:id="155" w:name="Tc_t70GwJzKtECna813UhK4Bg_12_0"/>
      <w:bookmarkStart w:id="156" w:name="Tc_JxOcVeFle0eeLZ3QSTXLiw_11_0"/>
      <w:bookmarkStart w:id="157" w:name="Tc_9RG8Jvv_4EGagvAyqfRpcA_10_0"/>
      <w:bookmarkStart w:id="158" w:name="Tc_16QrDLKyIUqWOgAtfJqGLA_9_0"/>
      <w:bookmarkStart w:id="159" w:name="Tc_5PRRTNV2GUaj8_REY6Tz2g_41_5"/>
      <w:bookmarkStart w:id="160" w:name="Tc_AxsJQjuz8kaizBIkTn85IQ_41_2"/>
      <w:bookmarkStart w:id="161" w:name="Tc_OtCjEM0hoUSdDs7OBEPitg_41_0"/>
      <w:bookmarkStart w:id="162" w:name="Tc_tf_pKAw_A0KX66xlOXT_hQ_40_0"/>
      <w:bookmarkStart w:id="163" w:name="Tc_p8xOvgWuBUGmJfWmtpv8OA_39_0"/>
      <w:bookmarkStart w:id="164" w:name="Tc_HF2EnP7Vx0Sh0P45Q00scQ_38_0"/>
      <w:bookmarkStart w:id="165" w:name="Tc_SYm5pwyJPkuakLqyjst7aA_37_0"/>
      <w:bookmarkStart w:id="166" w:name="Tc_eLJkc3reCEuNj9nP_N9P2Q_36_0"/>
      <w:bookmarkStart w:id="167" w:name="Tc_hKIUy5zRuk2WAmlLu4lZaw_34_6"/>
      <w:bookmarkStart w:id="168" w:name="Tc_t0alR2evIkiZx2V7RgXocQ_34_0"/>
      <w:bookmarkStart w:id="169" w:name="Tc_PZvUtRBCjESNG7NBcUf8xw_32_0"/>
      <w:bookmarkStart w:id="170" w:name="Tc_h6XWAzizSEOx6xLCxXUPhA_31_0"/>
      <w:bookmarkStart w:id="171" w:name="Tc_o5O3Oasvo0avWNm99Ec8RA_30_6"/>
      <w:bookmarkStart w:id="172" w:name="Tc_jkKQHkDvP0yAnjazD2F5SA_30_0"/>
      <w:bookmarkStart w:id="173" w:name="Tc_MVdZB_-tLUWFi2pfeB-GcA_29_0"/>
      <w:bookmarkStart w:id="174" w:name="Tc_5BZ-5Jjaz0iFmB27uqN92g_28_0"/>
      <w:bookmarkStart w:id="175" w:name="Tc_SjYHYRm2GEue59Im_umvYw_27_6"/>
      <w:bookmarkStart w:id="176" w:name="Tc_FdJKXmoz2E2Di6H2AEyWDw_27_0"/>
      <w:bookmarkStart w:id="177" w:name="Tc_SaOy93jcUES2u5rVjeJSTg_26_0"/>
      <w:bookmarkStart w:id="178" w:name="Tc_mEVWulpV10m7tfMa-UPl1g_25_0"/>
      <w:bookmarkStart w:id="179" w:name="Tc_AsS8VE7h_UuKBfqJWJsv0A_24_3"/>
      <w:bookmarkStart w:id="180" w:name="Tc_kdbtxmnpB0y-bq8_Tos1qA_24_0"/>
      <w:bookmarkStart w:id="181" w:name="Tc_lWQ5z4pYUkOX_Ucr5PZmxQ_23_0"/>
      <w:bookmarkStart w:id="182" w:name="Tc_q9VVm_dB9Ue1Cjjwiwtd4g_22_0"/>
      <w:bookmarkStart w:id="183" w:name="Tc_PI5Yr8mVVUWWrBCQWOGxNA_21_6"/>
      <w:bookmarkStart w:id="184" w:name="Tc_ZJwSOZV6SU6bLUrz7aMwBA_21_0"/>
      <w:bookmarkStart w:id="185" w:name="Tc_6t_YBxkjyEmzxKVqXGXweQ_20_5"/>
      <w:bookmarkStart w:id="186" w:name="Tc_ZaFLRTe9eEGmwD0ePqLJjw_20_2"/>
      <w:bookmarkStart w:id="187" w:name="Tc_8s_Pn6lY3UCfR4kBUDBY_Q_20_0"/>
      <w:bookmarkStart w:id="188" w:name="Tc_V6mdXt1bm0KP86PBjMnj0w_19_0"/>
      <w:bookmarkStart w:id="189" w:name="Tc_DcGNUP8HK0-dUO_HW1q3LQ_18_0"/>
      <w:bookmarkStart w:id="190" w:name="Tc_kQAUwnwAE0267k9YnOWaYA_17_5"/>
      <w:bookmarkStart w:id="191" w:name="Tc_OR8M1-4XI0OqM2JytTc8iA_17_2"/>
      <w:bookmarkStart w:id="192" w:name="Tc_A31GW_6hgke9y71kSyf_UA_17_0"/>
      <w:bookmarkStart w:id="193" w:name="Tc_mpqLkB7iskCZu_7wwhj0og_16_0"/>
      <w:bookmarkStart w:id="194" w:name="Tc_vaB3vYgpYUa8RwMnR03DnQ_15_0"/>
      <w:bookmarkStart w:id="195" w:name="Tc_L74xiYImKk-mt6E4RY7NFQ_14_0"/>
      <w:bookmarkStart w:id="196" w:name="Tc_scI23M-k50qP58lg36GynA_13_0"/>
      <w:bookmarkStart w:id="197" w:name="Tc_t70GwJzKtECna813UhK4Bg_12_0"/>
      <w:bookmarkStart w:id="198" w:name="Tc_JxOcVeFle0eeLZ3QSTXLiw_11_0"/>
      <w:bookmarkStart w:id="199" w:name="Tc_9RG8Jvv_4EGagvAyqfRpcA_10_0"/>
      <w:bookmarkStart w:id="200" w:name="Tc_16QrDLKyIUqWOgAtfJqGLA_9_0"/>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p>
    <w:tbl>
      <w:tblPr>
        <w:tblW w:w="10205" w:type="dxa"/>
        <w:jc w:val="left"/>
        <w:tblInd w:w="0" w:type="dxa"/>
        <w:tblLayout w:type="fixed"/>
        <w:tblCellMar>
          <w:top w:w="0" w:type="dxa"/>
          <w:left w:w="0" w:type="dxa"/>
          <w:bottom w:w="0" w:type="dxa"/>
          <w:right w:w="0" w:type="dxa"/>
        </w:tblCellMar>
      </w:tblPr>
      <w:tblGrid>
        <w:gridCol w:w="7621"/>
        <w:gridCol w:w="146"/>
        <w:gridCol w:w="211"/>
        <w:gridCol w:w="931"/>
        <w:gridCol w:w="109"/>
        <w:gridCol w:w="211"/>
        <w:gridCol w:w="976"/>
      </w:tblGrid>
      <w:tr>
        <w:trPr/>
        <w:tc>
          <w:tcPr>
            <w:tcW w:w="7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143,404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203,711</w:t>
            </w:r>
          </w:p>
        </w:tc>
      </w:tr>
      <w:tr>
        <w:trPr/>
        <w:tc>
          <w:tcPr>
            <w:tcW w:w="7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353,577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221,642</w:t>
            </w:r>
          </w:p>
        </w:tc>
      </w:tr>
      <w:tr>
        <w:trPr/>
        <w:tc>
          <w:tcPr>
            <w:tcW w:w="7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68,155</w:t>
            </w:r>
          </w:p>
        </w:tc>
      </w:tr>
      <w:tr>
        <w:trPr/>
        <w:tc>
          <w:tcPr>
            <w:tcW w:w="7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right-of-use assets</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w:t>
            </w:r>
          </w:p>
        </w:tc>
      </w:tr>
      <w:tr>
        <w:trPr/>
        <w:tc>
          <w:tcPr>
            <w:tcW w:w="7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right-of-use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1,877</w:t>
            </w:r>
          </w:p>
        </w:tc>
      </w:tr>
      <w:tr>
        <w:trPr/>
        <w:tc>
          <w:tcPr>
            <w:tcW w:w="7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95,003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8,129</w:t>
            </w:r>
          </w:p>
        </w:tc>
      </w:tr>
      <w:tr>
        <w:trPr/>
        <w:tc>
          <w:tcPr>
            <w:tcW w:w="7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43,558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3,740</w:t>
            </w:r>
          </w:p>
        </w:tc>
      </w:tr>
      <w:tr>
        <w:trPr/>
        <w:tc>
          <w:tcPr>
            <w:tcW w:w="7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Deposits and other assets</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73,987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75,623</w:t>
            </w:r>
          </w:p>
        </w:tc>
      </w:tr>
      <w:tr>
        <w:trPr/>
        <w:tc>
          <w:tcPr>
            <w:tcW w:w="7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718,929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583,941</w:t>
            </w:r>
          </w:p>
        </w:tc>
      </w:tr>
      <w:tr>
        <w:trPr/>
        <w:tc>
          <w:tcPr>
            <w:tcW w:w="76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  ​</w:t>
            </w:r>
          </w:p>
        </w:tc>
      </w:tr>
      <w:tr>
        <w:trPr/>
        <w:tc>
          <w:tcPr>
            <w:tcW w:w="7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  ​</w:t>
            </w:r>
          </w:p>
        </w:tc>
      </w:tr>
      <w:tr>
        <w:trPr/>
        <w:tc>
          <w:tcPr>
            <w:tcW w:w="7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36,508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22,006</w:t>
            </w:r>
          </w:p>
        </w:tc>
      </w:tr>
      <w:tr>
        <w:trPr/>
        <w:tc>
          <w:tcPr>
            <w:tcW w:w="7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clean fuel production tax credits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41,115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7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w:t>
            </w:r>
          </w:p>
        </w:tc>
      </w:tr>
      <w:tr>
        <w:trPr/>
        <w:tc>
          <w:tcPr>
            <w:tcW w:w="7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2,001</w:t>
            </w:r>
          </w:p>
        </w:tc>
      </w:tr>
      <w:tr>
        <w:trPr/>
        <w:tc>
          <w:tcPr>
            <w:tcW w:w="7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payable</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7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78,585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24,361</w:t>
            </w:r>
          </w:p>
        </w:tc>
      </w:tr>
      <w:tr>
        <w:trPr/>
        <w:tc>
          <w:tcPr>
            <w:tcW w:w="7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Bonds payable, net</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64,247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67,109</w:t>
            </w:r>
          </w:p>
        </w:tc>
      </w:tr>
      <w:tr>
        <w:trPr/>
        <w:tc>
          <w:tcPr>
            <w:tcW w:w="7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100,503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r>
      <w:tr>
        <w:trPr/>
        <w:tc>
          <w:tcPr>
            <w:tcW w:w="7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966</w:t>
            </w:r>
          </w:p>
        </w:tc>
      </w:tr>
      <w:tr>
        <w:trPr/>
        <w:tc>
          <w:tcPr>
            <w:tcW w:w="7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r>
      <w:tr>
        <w:trPr/>
        <w:tc>
          <w:tcPr>
            <w:tcW w:w="7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 retirement obligation</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7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1,830</w:t>
            </w:r>
          </w:p>
        </w:tc>
      </w:tr>
      <w:tr>
        <w:trPr/>
        <w:tc>
          <w:tcPr>
            <w:tcW w:w="7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247,760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94,453</w:t>
            </w:r>
          </w:p>
        </w:tc>
      </w:tr>
      <w:tr>
        <w:trPr/>
        <w:tc>
          <w:tcPr>
            <w:tcW w:w="76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7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Redeemable non-controlling interest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76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76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  ​</w:t>
            </w:r>
          </w:p>
        </w:tc>
      </w:tr>
      <w:tr>
        <w:trPr/>
        <w:tc>
          <w:tcPr>
            <w:tcW w:w="7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$0.01 par value per share; 500,000,000 shares authorized; 242,464,470 and 239,176,293 shares issued and outstanding at December 31, 2025, and December 31, 2024,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2,392</w:t>
            </w:r>
          </w:p>
        </w:tc>
      </w:tr>
      <w:tr>
        <w:trPr/>
        <w:tc>
          <w:tcPr>
            <w:tcW w:w="7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1,298,064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1,287,333</w:t>
            </w:r>
          </w:p>
        </w:tc>
      </w:tr>
      <w:tr>
        <w:trPr/>
        <w:tc>
          <w:tcPr>
            <w:tcW w:w="7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(834,152)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(800,237)</w:t>
            </w:r>
          </w:p>
        </w:tc>
      </w:tr>
      <w:tr>
        <w:trPr/>
        <w:tc>
          <w:tcPr>
            <w:tcW w:w="7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466,337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489,488</w:t>
            </w:r>
          </w:p>
        </w:tc>
      </w:tr>
      <w:tr>
        <w:trPr/>
        <w:tc>
          <w:tcPr>
            <w:tcW w:w="7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718,929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583,941</w:t>
            </w:r>
          </w:p>
        </w:tc>
      </w:tr>
    </w:tbl>
    <w:p>
      <w:pPr>
        <w:pStyle w:val="TextBody"/>
        <w:bidi w:val="0"/>
        <w:spacing w:before="0" w:after="0"/>
        <w:ind w:left="0" w:right="0" w:hanging="0"/>
        <w:jc w:val="left"/>
        <w:rPr/>
      </w:pPr>
      <w:r>
        <w:rPr/>
        <w:t>​</w:t>
      </w:r>
    </w:p>
    <w:p>
      <w:pPr>
        <w:pStyle w:val="TextBody"/>
        <w:bidi w:val="0"/>
        <w:spacing w:before="0" w:after="200"/>
        <w:ind w:left="0" w:right="0" w:firstLine="720"/>
        <w:jc w:val="center"/>
        <w:rPr>
          <w:rFonts w:ascii="Times New Roman;Times;serif" w:hAnsi="Times New Roman;Times;serif"/>
          <w:sz w:val="20"/>
        </w:rPr>
      </w:pPr>
      <w:r>
        <w:rPr>
          <w:rFonts w:ascii="Times New Roman;Times;serif" w:hAnsi="Times New Roman;Times;serif"/>
          <w:sz w:val="20"/>
        </w:rPr>
        <w:t>See the accompanying Notes to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01" w:name="_214d1aaf_32fb_47b6_92b0_07aa447c393a"/>
      <w:bookmarkEnd w:id="201"/>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bookmarkStart w:id="202" w:name="CONSOLIDATEDSTATEMENTSOFOPERATIONS_15993"/>
      <w:bookmarkEnd w:id="202"/>
      <w:r>
        <w:rPr>
          <w:rFonts w:ascii="Times New Roman;Times;serif" w:hAnsi="Times New Roman;Times;serif"/>
          <w:b/>
          <w:sz w:val="20"/>
        </w:rPr>
        <w:t>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03" w:name="Tc_JBzGCltg6UGVDcbODS9c6A_25_0"/>
      <w:bookmarkStart w:id="204" w:name="Tc_DGZWbdCNVUmXpIkAYBJwjA_24_5"/>
      <w:bookmarkStart w:id="205" w:name="Tc_LSTkqBaP3kaxnFVp1bceag_24_2"/>
      <w:bookmarkStart w:id="206" w:name="Tc_jP74ryythk2Gz8rvTQRskQ_24_0"/>
      <w:bookmarkStart w:id="207" w:name="Tc_7fzpDOnZ6kuBjcCAYoXeyw_22_5"/>
      <w:bookmarkStart w:id="208" w:name="Tc_GDMntb94H0uI6TJc_vQbXA_22_2"/>
      <w:bookmarkStart w:id="209" w:name="Tc_b-O7fXBlKEWlfTgnPhwk7A_22_0"/>
      <w:bookmarkStart w:id="210" w:name="Tc_tF51kJrv-0OS675tEQU63A_21_6"/>
      <w:bookmarkStart w:id="211" w:name="Tc_ThInhC8I90uRyHMlwYw0Zw_21_0"/>
      <w:bookmarkStart w:id="212" w:name="Tc_H7V5D17ftUOPPQ7EuXg8Xw_20_0"/>
      <w:bookmarkStart w:id="213" w:name="Tc_ivuAf5iIok2ZT96HbG0fQg_19_0"/>
      <w:bookmarkStart w:id="214" w:name="Tc_Foxb9s_FgEycpx309CoTCA_18_0"/>
      <w:bookmarkStart w:id="215" w:name="Tc_vdHzPEBuz02jhkndsdvU-Q_17_0"/>
      <w:bookmarkStart w:id="216" w:name="Tc_XZB5DkVpc0qc2L9jOWIJYQ_16_0"/>
      <w:bookmarkStart w:id="217" w:name="Tc_Tfk5HsTAGkGRDYJYbH72xA_15_0"/>
      <w:bookmarkStart w:id="218" w:name="Tc_qEmCll_GbkqquBf_Gj01uQ_14_0"/>
      <w:bookmarkStart w:id="219" w:name="Tc_Hqm5iZewCkaACiF0OtU-NQ_13_0"/>
      <w:bookmarkStart w:id="220" w:name="Tc_fToptn8oZUWey90y-5Lotw_12_6"/>
      <w:bookmarkStart w:id="221" w:name="Tc_9NI2VFlQpEuv8msx2r2VHw_12_0"/>
      <w:bookmarkStart w:id="222" w:name="Tc_eZRfs3waV0mr2Ai1-2R8ug_11_0"/>
      <w:bookmarkStart w:id="223" w:name="Tc_3r96x0yFGEackMJLqRcHOQ_10_0"/>
      <w:bookmarkStart w:id="224" w:name="Tc_l8PjE5YsCUWit2yu5Q4zdA_9_0"/>
      <w:bookmarkStart w:id="225" w:name="Tc_PbmR0oK7vky3k-bx-wdT4g_8_0"/>
      <w:bookmarkStart w:id="226" w:name="Tc_s_uUXKBf2kKbH9SxJ0FK1A_7_0"/>
      <w:bookmarkStart w:id="227" w:name="Tc_PalgXniLX0WrXNjW2OtzRw_6_0"/>
      <w:bookmarkStart w:id="228" w:name="Tc_02aFWFBYNkCiQvnSGDa6Ng_5_0"/>
      <w:bookmarkStart w:id="229" w:name="Tc_mF3u0vowl02Eg60ccMn8Bg_4_0"/>
      <w:bookmarkStart w:id="230" w:name="Tc_QuagtGj_gU-Ye29CS1iDnA_3_5"/>
      <w:bookmarkStart w:id="231" w:name="Tc_x1S5QWju-k-_gPIIcbM-bw_3_2"/>
      <w:bookmarkStart w:id="232" w:name="Tc_UUq1YkKBgEu7BqC8EI9c4Q_3_0"/>
      <w:bookmarkStart w:id="233" w:name="Tc_DVC9L89f5UGuqg-dx2o0HQ_2_5"/>
      <w:bookmarkStart w:id="234" w:name="Tc_6sY5iAJnv0qkjgIewMvmPQ_2_2"/>
      <w:bookmarkStart w:id="235" w:name="Tc_bFMUZfYh3E6_Jbv4wzRUrA_1_2"/>
      <w:bookmarkStart w:id="236" w:name="_a38b94af_0ef0_4537_b13e_e7a690e180eb"/>
      <w:bookmarkStart w:id="237" w:name="_21621c6f_bf4e_45e0_b9b3_5db5c8f6c973"/>
      <w:bookmarkStart w:id="238" w:name="Tc_JBzGCltg6UGVDcbODS9c6A_25_0"/>
      <w:bookmarkStart w:id="239" w:name="Tc_DGZWbdCNVUmXpIkAYBJwjA_24_5"/>
      <w:bookmarkStart w:id="240" w:name="Tc_LSTkqBaP3kaxnFVp1bceag_24_2"/>
      <w:bookmarkStart w:id="241" w:name="Tc_jP74ryythk2Gz8rvTQRskQ_24_0"/>
      <w:bookmarkStart w:id="242" w:name="Tc_7fzpDOnZ6kuBjcCAYoXeyw_22_5"/>
      <w:bookmarkStart w:id="243" w:name="Tc_GDMntb94H0uI6TJc_vQbXA_22_2"/>
      <w:bookmarkStart w:id="244" w:name="Tc_b-O7fXBlKEWlfTgnPhwk7A_22_0"/>
      <w:bookmarkStart w:id="245" w:name="Tc_tF51kJrv-0OS675tEQU63A_21_6"/>
      <w:bookmarkStart w:id="246" w:name="Tc_ThInhC8I90uRyHMlwYw0Zw_21_0"/>
      <w:bookmarkStart w:id="247" w:name="Tc_H7V5D17ftUOPPQ7EuXg8Xw_20_0"/>
      <w:bookmarkStart w:id="248" w:name="Tc_ivuAf5iIok2ZT96HbG0fQg_19_0"/>
      <w:bookmarkStart w:id="249" w:name="Tc_Foxb9s_FgEycpx309CoTCA_18_0"/>
      <w:bookmarkStart w:id="250" w:name="Tc_vdHzPEBuz02jhkndsdvU-Q_17_0"/>
      <w:bookmarkStart w:id="251" w:name="Tc_XZB5DkVpc0qc2L9jOWIJYQ_16_0"/>
      <w:bookmarkStart w:id="252" w:name="Tc_Tfk5HsTAGkGRDYJYbH72xA_15_0"/>
      <w:bookmarkStart w:id="253" w:name="Tc_qEmCll_GbkqquBf_Gj01uQ_14_0"/>
      <w:bookmarkStart w:id="254" w:name="Tc_Hqm5iZewCkaACiF0OtU-NQ_13_0"/>
      <w:bookmarkStart w:id="255" w:name="Tc_fToptn8oZUWey90y-5Lotw_12_6"/>
      <w:bookmarkStart w:id="256" w:name="Tc_9NI2VFlQpEuv8msx2r2VHw_12_0"/>
      <w:bookmarkStart w:id="257" w:name="Tc_eZRfs3waV0mr2Ai1-2R8ug_11_0"/>
      <w:bookmarkStart w:id="258" w:name="Tc_3r96x0yFGEackMJLqRcHOQ_10_0"/>
      <w:bookmarkStart w:id="259" w:name="Tc_l8PjE5YsCUWit2yu5Q4zdA_9_0"/>
      <w:bookmarkStart w:id="260" w:name="Tc_PbmR0oK7vky3k-bx-wdT4g_8_0"/>
      <w:bookmarkStart w:id="261" w:name="Tc_s_uUXKBf2kKbH9SxJ0FK1A_7_0"/>
      <w:bookmarkStart w:id="262" w:name="Tc_PalgXniLX0WrXNjW2OtzRw_6_0"/>
      <w:bookmarkStart w:id="263" w:name="Tc_02aFWFBYNkCiQvnSGDa6Ng_5_0"/>
      <w:bookmarkStart w:id="264" w:name="Tc_mF3u0vowl02Eg60ccMn8Bg_4_0"/>
      <w:bookmarkStart w:id="265" w:name="Tc_QuagtGj_gU-Ye29CS1iDnA_3_5"/>
      <w:bookmarkStart w:id="266" w:name="Tc_x1S5QWju-k-_gPIIcbM-bw_3_2"/>
      <w:bookmarkStart w:id="267" w:name="Tc_UUq1YkKBgEu7BqC8EI9c4Q_3_0"/>
      <w:bookmarkStart w:id="268" w:name="Tc_DVC9L89f5UGuqg-dx2o0HQ_2_5"/>
      <w:bookmarkStart w:id="269" w:name="Tc_6sY5iAJnv0qkjgIewMvmPQ_2_2"/>
      <w:bookmarkStart w:id="270" w:name="Tc_bFMUZfYh3E6_Jbv4wzRUrA_1_2"/>
      <w:bookmarkStart w:id="271" w:name="_a38b94af_0ef0_4537_b13e_e7a690e180eb"/>
      <w:bookmarkStart w:id="272" w:name="_21621c6f_bf4e_45e0_b9b3_5db5c8f6c973"/>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tbl>
      <w:tblPr>
        <w:tblW w:w="8962" w:type="dxa"/>
        <w:jc w:val="left"/>
        <w:tblInd w:w="0" w:type="dxa"/>
        <w:tblLayout w:type="fixed"/>
        <w:tblCellMar>
          <w:top w:w="0" w:type="dxa"/>
          <w:left w:w="0" w:type="dxa"/>
          <w:bottom w:w="0" w:type="dxa"/>
          <w:right w:w="0" w:type="dxa"/>
        </w:tblCellMar>
      </w:tblPr>
      <w:tblGrid>
        <w:gridCol w:w="5461"/>
        <w:gridCol w:w="346"/>
        <w:gridCol w:w="211"/>
        <w:gridCol w:w="1141"/>
        <w:gridCol w:w="346"/>
        <w:gridCol w:w="211"/>
        <w:gridCol w:w="1246"/>
      </w:tblGrid>
      <w:tr>
        <w:trPr/>
        <w:tc>
          <w:tcPr>
            <w:tcW w:w="5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3467735" cy="175260"/>
                      <wp:effectExtent l="0" t="0" r="0" b="0"/>
                      <wp:wrapNone/>
                      <wp:docPr id="184" name="Frame184"/>
                      <a:graphic xmlns:a="http://schemas.openxmlformats.org/drawingml/2006/main">
                        <a:graphicData uri="http://schemas.microsoft.com/office/word/2010/wordprocessingShape">
                          <wps:wsp>
                            <wps:cNvSpPr txBox="1"/>
                            <wps:spPr>
                              <a:xfrm>
                                <a:off x="0" y="0"/>
                                <a:ext cx="3467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85" name="Frame1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33985" cy="175260"/>
                      <wp:effectExtent l="0" t="0" r="0" b="0"/>
                      <wp:wrapNone/>
                      <wp:docPr id="186" name="Frame1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724535" cy="175260"/>
                      <wp:effectExtent l="0" t="0" r="0" b="0"/>
                      <wp:wrapNone/>
                      <wp:docPr id="187" name="Frame18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8"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33985" cy="175260"/>
                      <wp:effectExtent l="0" t="0" r="0" b="0"/>
                      <wp:wrapNone/>
                      <wp:docPr id="189" name="Frame1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791210" cy="175260"/>
                      <wp:effectExtent l="0" t="0" r="0" b="0"/>
                      <wp:wrapNone/>
                      <wp:docPr id="190" name="Frame190"/>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4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315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54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4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4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160,580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16,915</w:t>
            </w:r>
          </w:p>
        </w:tc>
      </w:tr>
      <w:tr>
        <w:trPr/>
        <w:tc>
          <w:tcPr>
            <w:tcW w:w="54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46" w:type="dxa"/>
            <w:tcBorders/>
            <w:vAlign w:val="center"/>
          </w:tcPr>
          <w:p>
            <w:pPr>
              <w:pStyle w:val="TableContents"/>
              <w:bidi w:val="0"/>
              <w:spacing w:before="0" w:after="1"/>
              <w:ind w:left="0" w:right="0" w:hanging="0"/>
              <w:jc w:val="right"/>
              <w:rPr/>
            </w:pPr>
            <w:r>
              <w:rPr/>
              <w:t>  ​</w:t>
            </w:r>
          </w:p>
        </w:tc>
      </w:tr>
      <w:tr>
        <w:trPr/>
        <w:tc>
          <w:tcPr>
            <w:tcW w:w="5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production</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85,241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12,002</w:t>
            </w:r>
          </w:p>
        </w:tc>
      </w:tr>
      <w:tr>
        <w:trPr/>
        <w:tc>
          <w:tcPr>
            <w:tcW w:w="5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25,323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18,298</w:t>
            </w:r>
          </w:p>
        </w:tc>
      </w:tr>
      <w:tr>
        <w:trPr/>
        <w:tc>
          <w:tcPr>
            <w:tcW w:w="5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5,576</w:t>
            </w:r>
          </w:p>
        </w:tc>
      </w:tr>
      <w:tr>
        <w:trPr/>
        <w:tc>
          <w:tcPr>
            <w:tcW w:w="5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51,200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45,798</w:t>
            </w:r>
          </w:p>
        </w:tc>
      </w:tr>
      <w:tr>
        <w:trPr/>
        <w:tc>
          <w:tcPr>
            <w:tcW w:w="5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Project development costs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11,655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18,166</w:t>
            </w:r>
          </w:p>
        </w:tc>
      </w:tr>
      <w:tr>
        <w:trPr/>
        <w:tc>
          <w:tcPr>
            <w:tcW w:w="5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 related costs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4,438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4,932</w:t>
            </w:r>
          </w:p>
        </w:tc>
      </w:tr>
      <w:tr>
        <w:trPr/>
        <w:tc>
          <w:tcPr>
            <w:tcW w:w="5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Facility idling costs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2,967</w:t>
            </w:r>
          </w:p>
        </w:tc>
      </w:tr>
      <w:tr>
        <w:trPr/>
        <w:tc>
          <w:tcPr>
            <w:tcW w:w="5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disposal of assets, net</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5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180,792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107,739</w:t>
            </w:r>
          </w:p>
        </w:tc>
      </w:tr>
      <w:tr>
        <w:trPr/>
        <w:tc>
          <w:tcPr>
            <w:tcW w:w="5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(20,212)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(90,824)</w:t>
            </w:r>
          </w:p>
        </w:tc>
      </w:tr>
      <w:tr>
        <w:trPr/>
        <w:tc>
          <w:tcPr>
            <w:tcW w:w="54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(expense) income</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46" w:type="dxa"/>
            <w:tcBorders/>
            <w:shd w:fill="CCEEFF" w:val="clear"/>
            <w:vAlign w:val="center"/>
          </w:tcPr>
          <w:p>
            <w:pPr>
              <w:pStyle w:val="TableContents"/>
              <w:bidi w:val="0"/>
              <w:spacing w:before="0" w:after="1"/>
              <w:ind w:left="0" w:right="0" w:hanging="0"/>
              <w:jc w:val="right"/>
              <w:rPr/>
            </w:pPr>
            <w:r>
              <w:rPr/>
              <w:t>  ​</w:t>
            </w:r>
          </w:p>
        </w:tc>
      </w:tr>
      <w:tr>
        <w:trPr/>
        <w:tc>
          <w:tcPr>
            <w:tcW w:w="5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(17,560)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(3,879)</w:t>
            </w:r>
          </w:p>
        </w:tc>
      </w:tr>
      <w:tr>
        <w:trPr/>
        <w:tc>
          <w:tcPr>
            <w:tcW w:w="5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investment income</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15,740</w:t>
            </w:r>
          </w:p>
        </w:tc>
      </w:tr>
      <w:tr>
        <w:trPr/>
        <w:tc>
          <w:tcPr>
            <w:tcW w:w="5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w:t>
            </w:r>
          </w:p>
        </w:tc>
      </w:tr>
      <w:tr>
        <w:trPr/>
        <w:tc>
          <w:tcPr>
            <w:tcW w:w="5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(expense) income, net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(12,417)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12,184</w:t>
            </w:r>
          </w:p>
        </w:tc>
      </w:tr>
      <w:tr>
        <w:trPr/>
        <w:tc>
          <w:tcPr>
            <w:tcW w:w="54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(32,629)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(78,640)</w:t>
            </w:r>
          </w:p>
        </w:tc>
      </w:tr>
      <w:tr>
        <w:trPr/>
        <w:tc>
          <w:tcPr>
            <w:tcW w:w="54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 attributable to redeemable non-controlling interest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54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 attributed to Gevo, Inc.</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(33,836)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(78,640)</w:t>
            </w:r>
          </w:p>
        </w:tc>
      </w:tr>
      <w:tr>
        <w:trPr/>
        <w:tc>
          <w:tcPr>
            <w:tcW w:w="546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46" w:type="dxa"/>
            <w:tcBorders/>
            <w:shd w:fill="CCEEFF" w:val="clear"/>
            <w:vAlign w:val="center"/>
          </w:tcPr>
          <w:p>
            <w:pPr>
              <w:pStyle w:val="TableContents"/>
              <w:bidi w:val="0"/>
              <w:spacing w:before="0" w:after="1"/>
              <w:ind w:left="0" w:right="0" w:hanging="0"/>
              <w:jc w:val="right"/>
              <w:rPr/>
            </w:pPr>
            <w:r>
              <w:rPr/>
              <w:t>​</w:t>
            </w:r>
          </w:p>
        </w:tc>
      </w:tr>
      <w:tr>
        <w:trPr/>
        <w:tc>
          <w:tcPr>
            <w:tcW w:w="5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per share - basic and diluted</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(0.34)</w:t>
            </w:r>
          </w:p>
        </w:tc>
      </w:tr>
      <w:tr>
        <w:trPr/>
        <w:tc>
          <w:tcPr>
            <w:tcW w:w="5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common shares outstanding - basic and 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234,008,574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4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231,674,716</w:t>
            </w:r>
          </w:p>
        </w:tc>
      </w:tr>
    </w:tbl>
    <w:p>
      <w:pPr>
        <w:pStyle w:val="TextBody"/>
        <w:bidi w:val="0"/>
        <w:spacing w:before="0" w:after="200"/>
        <w:ind w:left="0" w:right="0" w:hanging="0"/>
        <w:jc w:val="left"/>
        <w:rPr/>
      </w:pPr>
      <w:r>
        <w:rPr/>
        <w:t>​</w:t>
      </w:r>
    </w:p>
    <w:p>
      <w:pPr>
        <w:pStyle w:val="TextBody"/>
        <w:bidi w:val="0"/>
        <w:spacing w:before="0" w:after="200"/>
        <w:ind w:left="0" w:right="0" w:firstLine="720"/>
        <w:jc w:val="center"/>
        <w:rPr>
          <w:rFonts w:ascii="Times New Roman;Times;serif" w:hAnsi="Times New Roman;Times;serif"/>
          <w:sz w:val="20"/>
        </w:rPr>
      </w:pPr>
      <w:r>
        <w:rPr>
          <w:rFonts w:ascii="Times New Roman;Times;serif" w:hAnsi="Times New Roman;Times;serif"/>
          <w:sz w:val="20"/>
        </w:rPr>
        <w:t>See the accompanying Notes to the Consolidated Financial Statements.</w:t>
      </w:r>
    </w:p>
    <w:p>
      <w:pPr>
        <w:pStyle w:val="TextBody"/>
        <w:bidi w:val="0"/>
        <w:spacing w:before="0" w:after="0"/>
        <w:ind w:left="0" w:right="0" w:hanging="0"/>
        <w:jc w:val="left"/>
        <w:rPr/>
      </w:pPr>
      <w:r>
        <w:rPr/>
        <w:t>​</w:t>
      </w:r>
    </w:p>
    <w:p>
      <w:pPr>
        <w:pStyle w:val="TextBody"/>
        <w:bidi w:val="0"/>
        <w:spacing w:before="0" w:after="20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73" w:name="_2a1336c8_2c24_4ace_b21e_41eca8073759"/>
      <w:bookmarkEnd w:id="273"/>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bookmarkStart w:id="274" w:name="CONSOLIDATEDSTATEMENTSOFSTOCKHOLDERSEQUI"/>
      <w:bookmarkEnd w:id="274"/>
      <w:r>
        <w:rPr>
          <w:rFonts w:ascii="Times New Roman;Times;serif" w:hAnsi="Times New Roman;Times;serif"/>
          <w:b/>
          <w:sz w:val="20"/>
        </w:rPr>
        <w:t>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amounts)</w:t>
      </w:r>
    </w:p>
    <w:p>
      <w:pPr>
        <w:pStyle w:val="TextBody"/>
        <w:bidi w:val="0"/>
        <w:spacing w:before="0" w:after="200"/>
        <w:ind w:left="0" w:right="0" w:hanging="0"/>
        <w:jc w:val="center"/>
        <w:rPr/>
      </w:pPr>
      <w:r>
        <w:rPr/>
        <w:t>​</w:t>
      </w:r>
    </w:p>
    <w:p>
      <w:pPr>
        <w:pStyle w:val="Normal"/>
        <w:bidi w:val="0"/>
        <w:spacing w:before="0" w:after="0"/>
        <w:jc w:val="left"/>
        <w:rPr>
          <w:sz w:val="4"/>
          <w:szCs w:val="4"/>
        </w:rPr>
      </w:pPr>
      <w:r>
        <w:rPr>
          <w:sz w:val="4"/>
          <w:szCs w:val="4"/>
        </w:rPr>
      </w:r>
      <w:bookmarkStart w:id="275" w:name="Tc_Dwm9wFX0wkmW1lJTJ_ysDw_23_17"/>
      <w:bookmarkStart w:id="276" w:name="Tc_Bn5Tn_RCUkiRY3DwMIsJMg_23_16"/>
      <w:bookmarkStart w:id="277" w:name="Tc_-x3sO9VFlEmnYq4nu0hwfw_23_13"/>
      <w:bookmarkStart w:id="278" w:name="Tc_Xf67UzjmY0aMz2alDhSDgg_23_10"/>
      <w:bookmarkStart w:id="279" w:name="Tc_6VRYkEBBpkGlLlCvyMESBQ_23_7"/>
      <w:bookmarkStart w:id="280" w:name="Tc_dQvedPoEOUe2uhHJnNyzog_23_4"/>
      <w:bookmarkStart w:id="281" w:name="Tc_9dc3WKKi0Eykrt3hPtYngg_23_0"/>
      <w:bookmarkStart w:id="282" w:name="Tc_DsiQNo7OVUWyGNe8NNKBXw_22_17"/>
      <w:bookmarkStart w:id="283" w:name="Tc_RFikwFOHZUGyFhKbSHa3fQ_22_8"/>
      <w:bookmarkStart w:id="284" w:name="Tc_JwYMemKXX0m3jkMefPEkfQ_22_5"/>
      <w:bookmarkStart w:id="285" w:name="Tc_WMvtYfptRUWxCeJ9suFT9Q_22_2"/>
      <w:bookmarkStart w:id="286" w:name="Tc_78rcgbq-l0CRsaaFesLGlQ_22_0"/>
      <w:bookmarkStart w:id="287" w:name="Tc_Hs3D3VFVI0KCWiUrJUEaYQ_21_17"/>
      <w:bookmarkStart w:id="288" w:name="Tc_f8HDT0_JL0KCIvrqEkagYQ_21_11"/>
      <w:bookmarkStart w:id="289" w:name="Tc_h0lxODy9bEypXpW-aMuMkg_21_0"/>
      <w:bookmarkStart w:id="290" w:name="Tc_4uA5vlsiMEuBpOxe1XudXQ_20_17"/>
      <w:bookmarkStart w:id="291" w:name="Tc_J6Ieyjy9MEmaPnJYSlgutA_20_11"/>
      <w:bookmarkStart w:id="292" w:name="Tc_kz9FN6Hjg0mxVl5PPmC3-Q_20_0"/>
      <w:bookmarkStart w:id="293" w:name="Tc_-q5mWD7r0EmJ_YpeSRZV0A_19_17"/>
      <w:bookmarkStart w:id="294" w:name="Tc_KSH3mjlBkkeV8jIL43YLkw_19_11"/>
      <w:bookmarkStart w:id="295" w:name="Tc_-k4vfAlGeEyG2QypA5sWgA_19_0"/>
      <w:bookmarkStart w:id="296" w:name="Tc_cKv79i0n8kqecMTf1lxl8Q_18_17"/>
      <w:bookmarkStart w:id="297" w:name="Tc_vNbxlP1gvkGlFbU45FlUkQ_18_11"/>
      <w:bookmarkStart w:id="298" w:name="Tc_YOjd4hdC1UqZsXzYrfELQg_18_5"/>
      <w:bookmarkStart w:id="299" w:name="Tc_8PedY6M37020EIb725vrOw_18_2"/>
      <w:bookmarkStart w:id="300" w:name="Tc_l-D82ZUkH0CpJ1UHVa8V5w_18_0"/>
      <w:bookmarkStart w:id="301" w:name="Tc_1Na5v8P26kGIiVaySYMKWg_17_17"/>
      <w:bookmarkStart w:id="302" w:name="Tc_HLKuMp4y9Uq2V1bbg-KH2A_17_13"/>
      <w:bookmarkStart w:id="303" w:name="Tc_4RN61BRXZ0y2srxnSu_VDg_17_10"/>
      <w:bookmarkStart w:id="304" w:name="Tc_1-XaB_SSHEicrly94E09Jw_17_7"/>
      <w:bookmarkStart w:id="305" w:name="Tc_zmosMvvhWUa1qQ4s3es4xw_17_4"/>
      <w:bookmarkStart w:id="306" w:name="Tc__SVxs44G5k6Pb3Uwnv34NQ_17_0"/>
      <w:bookmarkStart w:id="307" w:name="Tc_j9wg05PLAESFT3nrCtJBlA_15_16"/>
      <w:bookmarkStart w:id="308" w:name="Tc_1wdErDIKzU6CK1IYtSVTGA_15_13"/>
      <w:bookmarkStart w:id="309" w:name="Tc_VGfJk66WnkykVS71Q8J_mQ_15_10"/>
      <w:bookmarkStart w:id="310" w:name="Tc_U32OKy7mLkqWvPYZqX5luw_15_7"/>
      <w:bookmarkStart w:id="311" w:name="Tc_F5lg0-LaBkaPmlrXlf0ZOw_15_4"/>
      <w:bookmarkStart w:id="312" w:name="Tc_otSQMXrb8EuVCCHXKlT4nQ_15_0"/>
      <w:bookmarkStart w:id="313" w:name="Tc_EvU_3uHOCE2rWGP4f6njCw_14_8"/>
      <w:bookmarkStart w:id="314" w:name="Tc_u_xmyehJL0e_g33reH21Tg_14_5"/>
      <w:bookmarkStart w:id="315" w:name="Tc_QnOhELpUF0GyTJbxJaENeQ_14_2"/>
      <w:bookmarkStart w:id="316" w:name="Tc_xrDNyiuRAk63p_IRg1EJsA_14_0"/>
      <w:bookmarkStart w:id="317" w:name="Tc_jV32tA0r1ECOBpGrOqYf5A_13_8"/>
      <w:bookmarkStart w:id="318" w:name="Tc_ZoYlqXM3UkW7i_V9MSNp8w_13_5"/>
      <w:bookmarkStart w:id="319" w:name="Tc_aHR3DpjdSUeujIpN233Epw_13_2"/>
      <w:bookmarkStart w:id="320" w:name="Tc_2NLDIkIYKkaibXshwlm3nw_13_0"/>
      <w:bookmarkStart w:id="321" w:name="Tc_JLYOCC2hEkeV6n-WAeNC-g_12_14"/>
      <w:bookmarkStart w:id="322" w:name="Tc_EwI5vrT36EygbzVLUzBFig_12_11"/>
      <w:bookmarkStart w:id="323" w:name="Tc_zJpe7pfntUG6ybs7zYIN2Q_12_8"/>
      <w:bookmarkStart w:id="324" w:name="Tc_MxxeuE2I-UW5SplEZwYnYw_12_5"/>
      <w:bookmarkStart w:id="325" w:name="Tc__tQBYpZvDkyPedNk_hUpAw_12_2"/>
      <w:bookmarkStart w:id="326" w:name="Tc_5ho5iRFZoU6BQUOX6EqLFQ_12_0"/>
      <w:bookmarkStart w:id="327" w:name="Tc_Eajh0IfMJE-TKRBWOa_f9Q_11_17"/>
      <w:bookmarkStart w:id="328" w:name="Tc_uCbg2S0X-kyqbbal7Zz5fg_11_11"/>
      <w:bookmarkStart w:id="329" w:name="Tc_CPFTDRZDMUCP5kinhbKQ6g_11_0"/>
      <w:bookmarkStart w:id="330" w:name="Tc_qLirnudVlUK6rjTkS1l6bQ_10_17"/>
      <w:bookmarkStart w:id="331" w:name="Tc_MpaFEBzwKkiu4Kkuj9a8cg_10_11"/>
      <w:bookmarkStart w:id="332" w:name="Tc_OY_1VhfVqEqt_39XTwzZVQ_10_0"/>
      <w:bookmarkStart w:id="333" w:name="Tc_2skaV_3LqkOdfv-wlOjqDA_9_17"/>
      <w:bookmarkStart w:id="334" w:name="Tc_tfb1YArzdUiI-gOu041giw_9_11"/>
      <w:bookmarkStart w:id="335" w:name="Tc_HiTNt_giMUyfsnwkEc4Guw_9_5"/>
      <w:bookmarkStart w:id="336" w:name="Tc_enxuGL_3SkeaEeZfKkw9Ig_9_2"/>
      <w:bookmarkStart w:id="337" w:name="Tc_2zXpWu0sCEOS_IXrXpIICQ_9_0"/>
      <w:bookmarkStart w:id="338" w:name="Tc_VPEe4KQFdkWd-WJtYCdZ2A_8_14"/>
      <w:bookmarkStart w:id="339" w:name="Tc_5VGIYMEzi0akiKEmiACB4g_8_11"/>
      <w:bookmarkStart w:id="340" w:name="Tc_ESx3v4J2o0qck8t3ThbTZQ_8_8"/>
      <w:bookmarkStart w:id="341" w:name="Tc_hlcIxlWig0aQTISEZBXmVg_8_5"/>
      <w:bookmarkStart w:id="342" w:name="Tc_-Ek4OhGnyk2pSydSh0E0yg_8_2"/>
      <w:bookmarkStart w:id="343" w:name="Tc_1PzO8sqNU0a6msJCtSkt9g_8_0"/>
      <w:bookmarkStart w:id="344" w:name="Tc_wWoCxFuekEq_KQ10yBKH7Q_7_17"/>
      <w:bookmarkStart w:id="345" w:name="Tc_YLEGWRKIj0mkGYGSY35J6Q_7_16"/>
      <w:bookmarkStart w:id="346" w:name="Tc_fC2O99hhiUK3AaVkrgMAnQ_7_13"/>
      <w:bookmarkStart w:id="347" w:name="Tc_FM50muyhUUq8dUVXcBk00w_7_10"/>
      <w:bookmarkStart w:id="348" w:name="Tc_SCy_UCSFOUC2npA5RG7dLw_7_7"/>
      <w:bookmarkStart w:id="349" w:name="Tc_uJXmVKMBz0iQsjas84OJtA_7_4"/>
      <w:bookmarkStart w:id="350" w:name="Tc_U7NmT8iKe02Xdjiq_3grLg_7_0"/>
      <w:bookmarkStart w:id="351" w:name="Tc_DR6hmShCcUqEW_1UxmLcdg_6_16"/>
      <w:bookmarkStart w:id="352" w:name="Tc_EmdYdKFjMk6WyJ1F4F79Zw_6_13"/>
      <w:bookmarkStart w:id="353" w:name="Tc__cS6lk366ke5PzKjyHrvMQ_6_10"/>
      <w:bookmarkStart w:id="354" w:name="Tc_zoAQZR6cjUKiQMQAc5jTgA_6_7"/>
      <w:bookmarkStart w:id="355" w:name="Tc_zFwkg9FwuUSJY5CUhpVsRg_6_4"/>
      <w:bookmarkStart w:id="356" w:name="Tc_xeHes1eAek2u_4-JL2XLlg_6_2"/>
      <w:bookmarkStart w:id="357" w:name="Tc_RgEFqaaJH025jVFYtXctwQ_5_16"/>
      <w:bookmarkStart w:id="358" w:name="Tc_kiuJaGz11E2Bl8Icu558SA_5_13"/>
      <w:bookmarkStart w:id="359" w:name="Tc_Z0ocJ-ERaESkyvBBiV652Q_5_10"/>
      <w:bookmarkStart w:id="360" w:name="Tc_b9SnZaSevk-eKUI4oSXyOQ_5_7"/>
      <w:bookmarkStart w:id="361" w:name="Tc_J2PV9CdSHkaEwTEl2vmcjg_5_2"/>
      <w:bookmarkStart w:id="362" w:name="Tc_TGRiYYnMIUScKL3Qz_0YmA_4_16"/>
      <w:bookmarkStart w:id="363" w:name="Tc_QLh7K6g8QE6QucPn1JM6xg_3_16"/>
      <w:bookmarkStart w:id="364" w:name="Tc_KiXRtqKLjkmdDN0RMQ89lw_3_2"/>
      <w:bookmarkStart w:id="365" w:name="Tc_Mt9KImfPHEmgX9ADzqlvoQ_2_16"/>
      <w:bookmarkStart w:id="366" w:name="Tc_CeWgNPoMyEGqH-beH8RuBg_1_2"/>
      <w:bookmarkStart w:id="367" w:name="_a05a1bec_55f4_47a3_ad3d_f271ebe27ea0"/>
      <w:bookmarkStart w:id="368" w:name="Tc_Dwm9wFX0wkmW1lJTJ_ysDw_23_17"/>
      <w:bookmarkStart w:id="369" w:name="Tc_Bn5Tn_RCUkiRY3DwMIsJMg_23_16"/>
      <w:bookmarkStart w:id="370" w:name="Tc_-x3sO9VFlEmnYq4nu0hwfw_23_13"/>
      <w:bookmarkStart w:id="371" w:name="Tc_Xf67UzjmY0aMz2alDhSDgg_23_10"/>
      <w:bookmarkStart w:id="372" w:name="Tc_6VRYkEBBpkGlLlCvyMESBQ_23_7"/>
      <w:bookmarkStart w:id="373" w:name="Tc_dQvedPoEOUe2uhHJnNyzog_23_4"/>
      <w:bookmarkStart w:id="374" w:name="Tc_9dc3WKKi0Eykrt3hPtYngg_23_0"/>
      <w:bookmarkStart w:id="375" w:name="Tc_DsiQNo7OVUWyGNe8NNKBXw_22_17"/>
      <w:bookmarkStart w:id="376" w:name="Tc_RFikwFOHZUGyFhKbSHa3fQ_22_8"/>
      <w:bookmarkStart w:id="377" w:name="Tc_JwYMemKXX0m3jkMefPEkfQ_22_5"/>
      <w:bookmarkStart w:id="378" w:name="Tc_WMvtYfptRUWxCeJ9suFT9Q_22_2"/>
      <w:bookmarkStart w:id="379" w:name="Tc_78rcgbq-l0CRsaaFesLGlQ_22_0"/>
      <w:bookmarkStart w:id="380" w:name="Tc_Hs3D3VFVI0KCWiUrJUEaYQ_21_17"/>
      <w:bookmarkStart w:id="381" w:name="Tc_f8HDT0_JL0KCIvrqEkagYQ_21_11"/>
      <w:bookmarkStart w:id="382" w:name="Tc_h0lxODy9bEypXpW-aMuMkg_21_0"/>
      <w:bookmarkStart w:id="383" w:name="Tc_4uA5vlsiMEuBpOxe1XudXQ_20_17"/>
      <w:bookmarkStart w:id="384" w:name="Tc_J6Ieyjy9MEmaPnJYSlgutA_20_11"/>
      <w:bookmarkStart w:id="385" w:name="Tc_kz9FN6Hjg0mxVl5PPmC3-Q_20_0"/>
      <w:bookmarkStart w:id="386" w:name="Tc_-q5mWD7r0EmJ_YpeSRZV0A_19_17"/>
      <w:bookmarkStart w:id="387" w:name="Tc_KSH3mjlBkkeV8jIL43YLkw_19_11"/>
      <w:bookmarkStart w:id="388" w:name="Tc_-k4vfAlGeEyG2QypA5sWgA_19_0"/>
      <w:bookmarkStart w:id="389" w:name="Tc_cKv79i0n8kqecMTf1lxl8Q_18_17"/>
      <w:bookmarkStart w:id="390" w:name="Tc_vNbxlP1gvkGlFbU45FlUkQ_18_11"/>
      <w:bookmarkStart w:id="391" w:name="Tc_YOjd4hdC1UqZsXzYrfELQg_18_5"/>
      <w:bookmarkStart w:id="392" w:name="Tc_8PedY6M37020EIb725vrOw_18_2"/>
      <w:bookmarkStart w:id="393" w:name="Tc_l-D82ZUkH0CpJ1UHVa8V5w_18_0"/>
      <w:bookmarkStart w:id="394" w:name="Tc_1Na5v8P26kGIiVaySYMKWg_17_17"/>
      <w:bookmarkStart w:id="395" w:name="Tc_HLKuMp4y9Uq2V1bbg-KH2A_17_13"/>
      <w:bookmarkStart w:id="396" w:name="Tc_4RN61BRXZ0y2srxnSu_VDg_17_10"/>
      <w:bookmarkStart w:id="397" w:name="Tc_1-XaB_SSHEicrly94E09Jw_17_7"/>
      <w:bookmarkStart w:id="398" w:name="Tc_zmosMvvhWUa1qQ4s3es4xw_17_4"/>
      <w:bookmarkStart w:id="399" w:name="Tc__SVxs44G5k6Pb3Uwnv34NQ_17_0"/>
      <w:bookmarkStart w:id="400" w:name="Tc_j9wg05PLAESFT3nrCtJBlA_15_16"/>
      <w:bookmarkStart w:id="401" w:name="Tc_1wdErDIKzU6CK1IYtSVTGA_15_13"/>
      <w:bookmarkStart w:id="402" w:name="Tc_VGfJk66WnkykVS71Q8J_mQ_15_10"/>
      <w:bookmarkStart w:id="403" w:name="Tc_U32OKy7mLkqWvPYZqX5luw_15_7"/>
      <w:bookmarkStart w:id="404" w:name="Tc_F5lg0-LaBkaPmlrXlf0ZOw_15_4"/>
      <w:bookmarkStart w:id="405" w:name="Tc_otSQMXrb8EuVCCHXKlT4nQ_15_0"/>
      <w:bookmarkStart w:id="406" w:name="Tc_EvU_3uHOCE2rWGP4f6njCw_14_8"/>
      <w:bookmarkStart w:id="407" w:name="Tc_u_xmyehJL0e_g33reH21Tg_14_5"/>
      <w:bookmarkStart w:id="408" w:name="Tc_QnOhELpUF0GyTJbxJaENeQ_14_2"/>
      <w:bookmarkStart w:id="409" w:name="Tc_xrDNyiuRAk63p_IRg1EJsA_14_0"/>
      <w:bookmarkStart w:id="410" w:name="Tc_jV32tA0r1ECOBpGrOqYf5A_13_8"/>
      <w:bookmarkStart w:id="411" w:name="Tc_ZoYlqXM3UkW7i_V9MSNp8w_13_5"/>
      <w:bookmarkStart w:id="412" w:name="Tc_aHR3DpjdSUeujIpN233Epw_13_2"/>
      <w:bookmarkStart w:id="413" w:name="Tc_2NLDIkIYKkaibXshwlm3nw_13_0"/>
      <w:bookmarkStart w:id="414" w:name="Tc_JLYOCC2hEkeV6n-WAeNC-g_12_14"/>
      <w:bookmarkStart w:id="415" w:name="Tc_EwI5vrT36EygbzVLUzBFig_12_11"/>
      <w:bookmarkStart w:id="416" w:name="Tc_zJpe7pfntUG6ybs7zYIN2Q_12_8"/>
      <w:bookmarkStart w:id="417" w:name="Tc_MxxeuE2I-UW5SplEZwYnYw_12_5"/>
      <w:bookmarkStart w:id="418" w:name="Tc__tQBYpZvDkyPedNk_hUpAw_12_2"/>
      <w:bookmarkStart w:id="419" w:name="Tc_5ho5iRFZoU6BQUOX6EqLFQ_12_0"/>
      <w:bookmarkStart w:id="420" w:name="Tc_Eajh0IfMJE-TKRBWOa_f9Q_11_17"/>
      <w:bookmarkStart w:id="421" w:name="Tc_uCbg2S0X-kyqbbal7Zz5fg_11_11"/>
      <w:bookmarkStart w:id="422" w:name="Tc_CPFTDRZDMUCP5kinhbKQ6g_11_0"/>
      <w:bookmarkStart w:id="423" w:name="Tc_qLirnudVlUK6rjTkS1l6bQ_10_17"/>
      <w:bookmarkStart w:id="424" w:name="Tc_MpaFEBzwKkiu4Kkuj9a8cg_10_11"/>
      <w:bookmarkStart w:id="425" w:name="Tc_OY_1VhfVqEqt_39XTwzZVQ_10_0"/>
      <w:bookmarkStart w:id="426" w:name="Tc_2skaV_3LqkOdfv-wlOjqDA_9_17"/>
      <w:bookmarkStart w:id="427" w:name="Tc_tfb1YArzdUiI-gOu041giw_9_11"/>
      <w:bookmarkStart w:id="428" w:name="Tc_HiTNt_giMUyfsnwkEc4Guw_9_5"/>
      <w:bookmarkStart w:id="429" w:name="Tc_enxuGL_3SkeaEeZfKkw9Ig_9_2"/>
      <w:bookmarkStart w:id="430" w:name="Tc_2zXpWu0sCEOS_IXrXpIICQ_9_0"/>
      <w:bookmarkStart w:id="431" w:name="Tc_VPEe4KQFdkWd-WJtYCdZ2A_8_14"/>
      <w:bookmarkStart w:id="432" w:name="Tc_5VGIYMEzi0akiKEmiACB4g_8_11"/>
      <w:bookmarkStart w:id="433" w:name="Tc_ESx3v4J2o0qck8t3ThbTZQ_8_8"/>
      <w:bookmarkStart w:id="434" w:name="Tc_hlcIxlWig0aQTISEZBXmVg_8_5"/>
      <w:bookmarkStart w:id="435" w:name="Tc_-Ek4OhGnyk2pSydSh0E0yg_8_2"/>
      <w:bookmarkStart w:id="436" w:name="Tc_1PzO8sqNU0a6msJCtSkt9g_8_0"/>
      <w:bookmarkStart w:id="437" w:name="Tc_wWoCxFuekEq_KQ10yBKH7Q_7_17"/>
      <w:bookmarkStart w:id="438" w:name="Tc_YLEGWRKIj0mkGYGSY35J6Q_7_16"/>
      <w:bookmarkStart w:id="439" w:name="Tc_fC2O99hhiUK3AaVkrgMAnQ_7_13"/>
      <w:bookmarkStart w:id="440" w:name="Tc_FM50muyhUUq8dUVXcBk00w_7_10"/>
      <w:bookmarkStart w:id="441" w:name="Tc_SCy_UCSFOUC2npA5RG7dLw_7_7"/>
      <w:bookmarkStart w:id="442" w:name="Tc_uJXmVKMBz0iQsjas84OJtA_7_4"/>
      <w:bookmarkStart w:id="443" w:name="Tc_U7NmT8iKe02Xdjiq_3grLg_7_0"/>
      <w:bookmarkStart w:id="444" w:name="Tc_DR6hmShCcUqEW_1UxmLcdg_6_16"/>
      <w:bookmarkStart w:id="445" w:name="Tc_EmdYdKFjMk6WyJ1F4F79Zw_6_13"/>
      <w:bookmarkStart w:id="446" w:name="Tc__cS6lk366ke5PzKjyHrvMQ_6_10"/>
      <w:bookmarkStart w:id="447" w:name="Tc_zoAQZR6cjUKiQMQAc5jTgA_6_7"/>
      <w:bookmarkStart w:id="448" w:name="Tc_zFwkg9FwuUSJY5CUhpVsRg_6_4"/>
      <w:bookmarkStart w:id="449" w:name="Tc_xeHes1eAek2u_4-JL2XLlg_6_2"/>
      <w:bookmarkStart w:id="450" w:name="Tc_RgEFqaaJH025jVFYtXctwQ_5_16"/>
      <w:bookmarkStart w:id="451" w:name="Tc_kiuJaGz11E2Bl8Icu558SA_5_13"/>
      <w:bookmarkStart w:id="452" w:name="Tc_Z0ocJ-ERaESkyvBBiV652Q_5_10"/>
      <w:bookmarkStart w:id="453" w:name="Tc_b9SnZaSevk-eKUI4oSXyOQ_5_7"/>
      <w:bookmarkStart w:id="454" w:name="Tc_J2PV9CdSHkaEwTEl2vmcjg_5_2"/>
      <w:bookmarkStart w:id="455" w:name="Tc_TGRiYYnMIUScKL3Qz_0YmA_4_16"/>
      <w:bookmarkStart w:id="456" w:name="Tc_QLh7K6g8QE6QucPn1JM6xg_3_16"/>
      <w:bookmarkStart w:id="457" w:name="Tc_KiXRtqKLjkmdDN0RMQ89lw_3_2"/>
      <w:bookmarkStart w:id="458" w:name="Tc_Mt9KImfPHEmgX9ADzqlvoQ_2_16"/>
      <w:bookmarkStart w:id="459" w:name="Tc_CeWgNPoMyEGqH-beH8RuBg_1_2"/>
      <w:bookmarkStart w:id="460" w:name="_a05a1bec_55f4_47a3_ad3d_f271ebe27ea0"/>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p>
    <w:tbl>
      <w:tblPr>
        <w:tblW w:w="10205" w:type="dxa"/>
        <w:jc w:val="left"/>
        <w:tblInd w:w="0" w:type="dxa"/>
        <w:tblLayout w:type="fixed"/>
        <w:tblCellMar>
          <w:top w:w="0" w:type="dxa"/>
          <w:left w:w="0" w:type="dxa"/>
          <w:bottom w:w="0" w:type="dxa"/>
          <w:right w:w="0" w:type="dxa"/>
        </w:tblCellMar>
      </w:tblPr>
      <w:tblGrid>
        <w:gridCol w:w="2124"/>
        <w:gridCol w:w="346"/>
        <w:gridCol w:w="1006"/>
        <w:gridCol w:w="346"/>
        <w:gridCol w:w="196"/>
        <w:gridCol w:w="511"/>
        <w:gridCol w:w="346"/>
        <w:gridCol w:w="236"/>
        <w:gridCol w:w="995"/>
        <w:gridCol w:w="346"/>
        <w:gridCol w:w="226"/>
        <w:gridCol w:w="870"/>
        <w:gridCol w:w="109"/>
        <w:gridCol w:w="231"/>
        <w:gridCol w:w="819"/>
        <w:gridCol w:w="146"/>
        <w:gridCol w:w="325"/>
        <w:gridCol w:w="1027"/>
      </w:tblGrid>
      <w:tr>
        <w:trPr/>
        <w:tc>
          <w:tcPr>
            <w:tcW w:w="2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48740" cy="175260"/>
                      <wp:effectExtent l="0" t="0" r="0" b="0"/>
                      <wp:wrapNone/>
                      <wp:docPr id="191" name="Frame191"/>
                      <a:graphic xmlns:a="http://schemas.openxmlformats.org/drawingml/2006/main">
                        <a:graphicData uri="http://schemas.microsoft.com/office/word/2010/wordprocessingShape">
                          <wps:wsp>
                            <wps:cNvSpPr txBox="1"/>
                            <wps:spPr>
                              <a:xfrm>
                                <a:off x="0" y="0"/>
                                <a:ext cx="1348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19710" cy="175260"/>
                      <wp:effectExtent l="0" t="0" r="0" b="0"/>
                      <wp:wrapNone/>
                      <wp:docPr id="192" name="Frame1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38810" cy="175260"/>
                      <wp:effectExtent l="0" t="0" r="0" b="0"/>
                      <wp:wrapNone/>
                      <wp:docPr id="193" name="Frame193"/>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19710" cy="175260"/>
                      <wp:effectExtent l="0" t="0" r="0" b="0"/>
                      <wp:wrapNone/>
                      <wp:docPr id="194"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24460" cy="175260"/>
                      <wp:effectExtent l="0" t="0" r="0" b="0"/>
                      <wp:wrapNone/>
                      <wp:docPr id="195" name="Frame19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324485" cy="175260"/>
                      <wp:effectExtent l="0" t="0" r="0" b="0"/>
                      <wp:wrapNone/>
                      <wp:docPr id="196" name="Frame19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19710" cy="175260"/>
                      <wp:effectExtent l="0" t="0" r="0" b="0"/>
                      <wp:wrapNone/>
                      <wp:docPr id="197" name="Frame1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49860" cy="175260"/>
                      <wp:effectExtent l="0" t="0" r="0" b="0"/>
                      <wp:wrapNone/>
                      <wp:docPr id="198" name="Frame198"/>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31825" cy="175260"/>
                      <wp:effectExtent l="0" t="0" r="0" b="0"/>
                      <wp:wrapNone/>
                      <wp:docPr id="199" name="Frame199"/>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200" name="Frame2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43510" cy="175260"/>
                      <wp:effectExtent l="0" t="0" r="0" b="0"/>
                      <wp:wrapNone/>
                      <wp:docPr id="201" name="Frame20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552450" cy="175260"/>
                      <wp:effectExtent l="0" t="0" r="0" b="0"/>
                      <wp:wrapNone/>
                      <wp:docPr id="202" name="Frame202"/>
                      <a:graphic xmlns:a="http://schemas.openxmlformats.org/drawingml/2006/main">
                        <a:graphicData uri="http://schemas.microsoft.com/office/word/2010/wordprocessingShape">
                          <wps:wsp>
                            <wps:cNvSpPr txBox="1"/>
                            <wps:spPr>
                              <a:xfrm>
                                <a:off x="0" y="0"/>
                                <a:ext cx="552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9215" cy="175260"/>
                      <wp:effectExtent l="0" t="0" r="0" b="0"/>
                      <wp:wrapNone/>
                      <wp:docPr id="203" name="Frame2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46685" cy="175260"/>
                      <wp:effectExtent l="0" t="0" r="0" b="0"/>
                      <wp:wrapNone/>
                      <wp:docPr id="204" name="Frame204"/>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520065" cy="175260"/>
                      <wp:effectExtent l="0" t="0" r="0" b="0"/>
                      <wp:wrapNone/>
                      <wp:docPr id="205" name="Frame205"/>
                      <a:graphic xmlns:a="http://schemas.openxmlformats.org/drawingml/2006/main">
                        <a:graphicData uri="http://schemas.microsoft.com/office/word/2010/wordprocessingShape">
                          <wps:wsp>
                            <wps:cNvSpPr txBox="1"/>
                            <wps:spPr>
                              <a:xfrm>
                                <a:off x="0" y="0"/>
                                <a:ext cx="520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92710" cy="175260"/>
                      <wp:effectExtent l="0" t="0" r="0" b="0"/>
                      <wp:wrapNone/>
                      <wp:docPr id="206" name="Frame20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6375" cy="175260"/>
                      <wp:effectExtent l="0" t="0" r="0" b="0"/>
                      <wp:wrapNone/>
                      <wp:docPr id="207" name="Frame207"/>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52145" cy="175260"/>
                      <wp:effectExtent l="0" t="0" r="0" b="0"/>
                      <wp:wrapNone/>
                      <wp:docPr id="208" name="Frame208"/>
                      <a:graphic xmlns:a="http://schemas.openxmlformats.org/drawingml/2006/main">
                        <a:graphicData uri="http://schemas.microsoft.com/office/word/2010/wordprocessingShape">
                          <wps:wsp>
                            <wps:cNvSpPr txBox="1"/>
                            <wps:spPr>
                              <a:xfrm>
                                <a:off x="0" y="0"/>
                                <a:ext cx="652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2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735"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2025 and 2024</w:t>
            </w:r>
          </w:p>
        </w:tc>
      </w:tr>
      <w:tr>
        <w:trPr/>
        <w:tc>
          <w:tcPr>
            <w:tcW w:w="212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36" w:type="dxa"/>
            <w:tcBorders/>
            <w:vAlign w:val="center"/>
          </w:tcPr>
          <w:p>
            <w:pPr>
              <w:pStyle w:val="TableContents"/>
              <w:bidi w:val="0"/>
              <w:spacing w:before="0" w:after="1"/>
              <w:ind w:left="0" w:right="0" w:hanging="0"/>
              <w:jc w:val="center"/>
              <w:rPr/>
            </w:pPr>
            <w:r>
              <w:rPr/>
              <w:t>​</w:t>
            </w:r>
          </w:p>
        </w:tc>
        <w:tc>
          <w:tcPr>
            <w:tcW w:w="99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870"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31" w:type="dxa"/>
            <w:tcBorders/>
            <w:vAlign w:val="center"/>
          </w:tcPr>
          <w:p>
            <w:pPr>
              <w:pStyle w:val="TableContents"/>
              <w:bidi w:val="0"/>
              <w:spacing w:before="0" w:after="1"/>
              <w:ind w:left="0" w:right="0" w:hanging="0"/>
              <w:jc w:val="center"/>
              <w:rPr/>
            </w:pPr>
            <w:r>
              <w:rPr/>
              <w:t>​</w:t>
            </w:r>
          </w:p>
        </w:tc>
        <w:tc>
          <w:tcPr>
            <w:tcW w:w="819"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w:t>
            </w:r>
          </w:p>
        </w:tc>
        <w:tc>
          <w:tcPr>
            <w:tcW w:w="13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Mezzanine</w:t>
            </w:r>
          </w:p>
        </w:tc>
      </w:tr>
      <w:tr>
        <w:trPr/>
        <w:tc>
          <w:tcPr>
            <w:tcW w:w="212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237" w:type="dxa"/>
            <w:gridSpan w:val="1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 Equity</w:t>
            </w:r>
          </w:p>
        </w:tc>
        <w:tc>
          <w:tcPr>
            <w:tcW w:w="146" w:type="dxa"/>
            <w:tcBorders/>
            <w:vAlign w:val="center"/>
          </w:tcPr>
          <w:p>
            <w:pPr>
              <w:pStyle w:val="TableContents"/>
              <w:bidi w:val="0"/>
              <w:spacing w:before="0" w:after="1"/>
              <w:ind w:left="0" w:right="0" w:hanging="0"/>
              <w:jc w:val="center"/>
              <w:rPr/>
            </w:pPr>
            <w:r>
              <w:rPr/>
              <w:t>​</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12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36" w:type="dxa"/>
            <w:tcBorders/>
            <w:vAlign w:val="center"/>
          </w:tcPr>
          <w:p>
            <w:pPr>
              <w:pStyle w:val="TableContents"/>
              <w:bidi w:val="0"/>
              <w:spacing w:before="0" w:after="1"/>
              <w:ind w:left="0" w:right="0" w:hanging="0"/>
              <w:jc w:val="center"/>
              <w:rPr/>
            </w:pPr>
            <w:r>
              <w:rPr/>
              <w:t>​</w:t>
            </w:r>
          </w:p>
        </w:tc>
        <w:tc>
          <w:tcPr>
            <w:tcW w:w="99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870"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31" w:type="dxa"/>
            <w:tcBorders/>
            <w:vAlign w:val="center"/>
          </w:tcPr>
          <w:p>
            <w:pPr>
              <w:pStyle w:val="TableContents"/>
              <w:bidi w:val="0"/>
              <w:spacing w:before="0" w:after="1"/>
              <w:ind w:left="0" w:right="0" w:hanging="0"/>
              <w:jc w:val="center"/>
              <w:rPr/>
            </w:pPr>
            <w:r>
              <w:rPr/>
              <w:t>​</w:t>
            </w:r>
          </w:p>
        </w:tc>
        <w:tc>
          <w:tcPr>
            <w:tcW w:w="819"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w:t>
            </w:r>
          </w:p>
        </w:tc>
        <w:tc>
          <w:tcPr>
            <w:tcW w:w="13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Redeemable</w:t>
            </w:r>
          </w:p>
        </w:tc>
      </w:tr>
      <w:tr>
        <w:trPr/>
        <w:tc>
          <w:tcPr>
            <w:tcW w:w="212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5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1"/>
              <w:ind w:left="0" w:right="0" w:hanging="0"/>
              <w:jc w:val="left"/>
              <w:rPr/>
            </w:pPr>
            <w:r>
              <w:rPr/>
              <w:t>​</w:t>
            </w:r>
          </w:p>
        </w:tc>
        <w:tc>
          <w:tcPr>
            <w:tcW w:w="12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1"/>
              <w:ind w:left="0" w:right="0" w:hanging="0"/>
              <w:jc w:val="left"/>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109" w:type="dxa"/>
            <w:tcBorders/>
            <w:vAlign w:val="center"/>
          </w:tcPr>
          <w:p>
            <w:pPr>
              <w:pStyle w:val="TableContents"/>
              <w:bidi w:val="0"/>
              <w:spacing w:before="0" w:after="1"/>
              <w:ind w:left="0" w:right="0" w:hanging="0"/>
              <w:jc w:val="center"/>
              <w:rPr/>
            </w:pPr>
            <w:r>
              <w:rPr/>
              <w:t>​</w:t>
            </w:r>
          </w:p>
        </w:tc>
        <w:tc>
          <w:tcPr>
            <w:tcW w:w="105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c>
          <w:tcPr>
            <w:tcW w:w="146" w:type="dxa"/>
            <w:tcBorders/>
            <w:vAlign w:val="center"/>
          </w:tcPr>
          <w:p>
            <w:pPr>
              <w:pStyle w:val="TableContents"/>
              <w:bidi w:val="0"/>
              <w:spacing w:before="0" w:after="1"/>
              <w:ind w:left="0" w:right="0" w:hanging="0"/>
              <w:jc w:val="center"/>
              <w:rPr/>
            </w:pPr>
            <w:r>
              <w:rPr/>
              <w:t> </w:t>
            </w:r>
          </w:p>
        </w:tc>
        <w:tc>
          <w:tcPr>
            <w:tcW w:w="13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Non-Controlling</w:t>
            </w:r>
          </w:p>
        </w:tc>
      </w:tr>
      <w:tr>
        <w:trPr/>
        <w:tc>
          <w:tcPr>
            <w:tcW w:w="212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12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346" w:type="dxa"/>
            <w:tcBorders/>
            <w:vAlign w:val="center"/>
          </w:tcPr>
          <w:p>
            <w:pPr>
              <w:pStyle w:val="TableContents"/>
              <w:bidi w:val="0"/>
              <w:spacing w:before="0" w:after="1"/>
              <w:ind w:left="0" w:right="0" w:hanging="0"/>
              <w:jc w:val="left"/>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109" w:type="dxa"/>
            <w:tcBorders/>
            <w:vAlign w:val="center"/>
          </w:tcPr>
          <w:p>
            <w:pPr>
              <w:pStyle w:val="TableContents"/>
              <w:bidi w:val="0"/>
              <w:spacing w:before="0" w:after="1"/>
              <w:ind w:left="0" w:right="0" w:hanging="0"/>
              <w:jc w:val="center"/>
              <w:rPr/>
            </w:pPr>
            <w:r>
              <w:rPr/>
              <w:t>​</w:t>
            </w:r>
          </w:p>
        </w:tc>
        <w:tc>
          <w:tcPr>
            <w:tcW w:w="10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146" w:type="dxa"/>
            <w:tcBorders/>
            <w:vAlign w:val="center"/>
          </w:tcPr>
          <w:p>
            <w:pPr>
              <w:pStyle w:val="TableContents"/>
              <w:bidi w:val="0"/>
              <w:spacing w:before="0" w:after="1"/>
              <w:ind w:left="0" w:right="0" w:hanging="0"/>
              <w:jc w:val="left"/>
              <w:rPr/>
            </w:pPr>
            <w:r>
              <w:rPr/>
              <w:t>​</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w:t>
            </w:r>
          </w:p>
        </w:tc>
      </w:tr>
      <w:tr>
        <w:trPr/>
        <w:tc>
          <w:tcPr>
            <w:tcW w:w="2124"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December 31, 2024</w:t>
            </w:r>
          </w:p>
        </w:tc>
        <w:tc>
          <w:tcPr>
            <w:tcW w:w="346" w:type="dxa"/>
            <w:tcBorders/>
            <w:shd w:fill="CCEEFF" w:val="clear"/>
            <w:vAlign w:val="center"/>
          </w:tcPr>
          <w:p>
            <w:pPr>
              <w:pStyle w:val="TableContents"/>
              <w:bidi w:val="0"/>
              <w:spacing w:before="0" w:after="1"/>
              <w:ind w:left="0" w:right="0" w:hanging="0"/>
              <w:jc w:val="left"/>
              <w:rPr/>
            </w:pPr>
            <w:r>
              <w:rPr/>
              <w:t>  ​ ​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239,176,293</w:t>
            </w:r>
          </w:p>
        </w:tc>
        <w:tc>
          <w:tcPr>
            <w:tcW w:w="346" w:type="dxa"/>
            <w:tcBorders/>
            <w:shd w:fill="CCEEFF" w:val="clear"/>
            <w:vAlign w:val="center"/>
          </w:tcPr>
          <w:p>
            <w:pPr>
              <w:pStyle w:val="TableContents"/>
              <w:bidi w:val="0"/>
              <w:spacing w:before="0" w:after="1"/>
              <w:ind w:left="0" w:right="0" w:hanging="0"/>
              <w:jc w:val="left"/>
              <w:rPr/>
            </w:pPr>
            <w:r>
              <w:rPr/>
              <w:t>  ​ ​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2,392</w:t>
            </w:r>
          </w:p>
        </w:tc>
        <w:tc>
          <w:tcPr>
            <w:tcW w:w="346" w:type="dxa"/>
            <w:tcBorders/>
            <w:shd w:fill="CCEEFF" w:val="clear"/>
            <w:vAlign w:val="center"/>
          </w:tcPr>
          <w:p>
            <w:pPr>
              <w:pStyle w:val="TableContents"/>
              <w:bidi w:val="0"/>
              <w:spacing w:before="0" w:after="1"/>
              <w:ind w:left="0" w:right="0" w:hanging="0"/>
              <w:jc w:val="left"/>
              <w:rPr/>
            </w:pPr>
            <w:r>
              <w:rPr/>
              <w:t>  ​ ​ ​</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9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1,287,333</w:t>
            </w:r>
          </w:p>
        </w:tc>
        <w:tc>
          <w:tcPr>
            <w:tcW w:w="346" w:type="dxa"/>
            <w:tcBorders/>
            <w:shd w:fill="CCEEFF" w:val="clear"/>
            <w:vAlign w:val="center"/>
          </w:tcPr>
          <w:p>
            <w:pPr>
              <w:pStyle w:val="TableContents"/>
              <w:bidi w:val="0"/>
              <w:spacing w:before="0" w:after="1"/>
              <w:ind w:left="0" w:right="0" w:hanging="0"/>
              <w:jc w:val="left"/>
              <w:rPr/>
            </w:pPr>
            <w:r>
              <w:rPr/>
              <w:t>  ​ ​ ​</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(800,237)</w:t>
            </w:r>
          </w:p>
        </w:tc>
        <w:tc>
          <w:tcPr>
            <w:tcW w:w="109" w:type="dxa"/>
            <w:tcBorders/>
            <w:shd w:fill="CCEEFF" w:val="clear"/>
            <w:vAlign w:val="center"/>
          </w:tcPr>
          <w:p>
            <w:pPr>
              <w:pStyle w:val="TableContents"/>
              <w:bidi w:val="0"/>
              <w:spacing w:before="0" w:after="1"/>
              <w:ind w:left="0" w:right="0" w:hanging="0"/>
              <w:jc w:val="righ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489,488</w:t>
            </w:r>
          </w:p>
        </w:tc>
        <w:tc>
          <w:tcPr>
            <w:tcW w:w="14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27" w:type="dxa"/>
            <w:tcBorders/>
            <w:shd w:fill="CCEEFF" w:val="clear"/>
            <w:vAlign w:val="center"/>
          </w:tcPr>
          <w:p>
            <w:pPr>
              <w:pStyle w:val="TableContents"/>
              <w:bidi w:val="0"/>
              <w:spacing w:before="0" w:after="1"/>
              <w:ind w:left="0" w:right="0" w:hanging="0"/>
              <w:jc w:val="right"/>
              <w:rPr/>
            </w:pPr>
            <w:r>
              <w:rPr/>
              <w:t>—</w:t>
            </w:r>
          </w:p>
        </w:tc>
      </w:tr>
      <w:tr>
        <w:trPr/>
        <w:tc>
          <w:tcPr>
            <w:tcW w:w="212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redeemable non-controlling interest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99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7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31" w:type="dxa"/>
            <w:tcBorders/>
            <w:vAlign w:val="center"/>
          </w:tcPr>
          <w:p>
            <w:pPr>
              <w:pStyle w:val="TableContents"/>
              <w:bidi w:val="0"/>
              <w:spacing w:before="0" w:after="1"/>
              <w:ind w:left="0" w:right="0" w:hanging="0"/>
              <w:jc w:val="left"/>
              <w:rPr/>
            </w:pPr>
            <w:r>
              <w:rPr/>
              <w:t>​</w:t>
            </w:r>
          </w:p>
        </w:tc>
        <w:tc>
          <w:tcPr>
            <w:tcW w:w="819"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w:t>
            </w:r>
          </w:p>
        </w:tc>
        <w:tc>
          <w:tcPr>
            <w:tcW w:w="10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5,000</w:t>
            </w:r>
          </w:p>
        </w:tc>
      </w:tr>
      <w:tr>
        <w:trPr/>
        <w:tc>
          <w:tcPr>
            <w:tcW w:w="212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Non-cash stock-based compensation</w:t>
            </w:r>
          </w:p>
        </w:tc>
        <w:tc>
          <w:tcPr>
            <w:tcW w:w="34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99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9,209</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870"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1" w:type="dxa"/>
            <w:tcBorders/>
            <w:shd w:fill="CCEEFF" w:val="clear"/>
            <w:vAlign w:val="center"/>
          </w:tcPr>
          <w:p>
            <w:pPr>
              <w:pStyle w:val="TableContents"/>
              <w:bidi w:val="0"/>
              <w:spacing w:before="0" w:after="1"/>
              <w:ind w:left="0" w:right="0" w:hanging="0"/>
              <w:jc w:val="left"/>
              <w:rPr/>
            </w:pPr>
            <w:r>
              <w:rPr/>
              <w:t> </w:t>
            </w:r>
          </w:p>
        </w:tc>
        <w:tc>
          <w:tcPr>
            <w:tcW w:w="81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9,209</w:t>
            </w:r>
          </w:p>
        </w:tc>
        <w:tc>
          <w:tcPr>
            <w:tcW w:w="14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pPr>
            <w:r>
              <w:rPr/>
              <w:t>​</w:t>
            </w:r>
          </w:p>
        </w:tc>
        <w:tc>
          <w:tcPr>
            <w:tcW w:w="1027" w:type="dxa"/>
            <w:tcBorders/>
            <w:shd w:fill="CCEEFF" w:val="clear"/>
            <w:vAlign w:val="center"/>
          </w:tcPr>
          <w:p>
            <w:pPr>
              <w:pStyle w:val="TableContents"/>
              <w:bidi w:val="0"/>
              <w:spacing w:before="0" w:after="1"/>
              <w:ind w:left="0" w:right="0" w:hanging="0"/>
              <w:jc w:val="right"/>
              <w:rPr/>
            </w:pPr>
            <w:r>
              <w:rPr/>
              <w:t>—</w:t>
            </w:r>
          </w:p>
        </w:tc>
      </w:tr>
      <w:tr>
        <w:trPr/>
        <w:tc>
          <w:tcPr>
            <w:tcW w:w="212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awards and related share issuances, net</w:t>
            </w:r>
          </w:p>
        </w:tc>
        <w:tc>
          <w:tcPr>
            <w:tcW w:w="3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2,325,570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99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734</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87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31" w:type="dxa"/>
            <w:tcBorders/>
            <w:vAlign w:val="center"/>
          </w:tcPr>
          <w:p>
            <w:pPr>
              <w:pStyle w:val="TableContents"/>
              <w:bidi w:val="0"/>
              <w:spacing w:before="0" w:after="1"/>
              <w:ind w:left="0" w:right="0" w:hanging="0"/>
              <w:jc w:val="left"/>
              <w:rPr/>
            </w:pPr>
            <w:r>
              <w:rPr/>
              <w:t> </w:t>
            </w:r>
          </w:p>
        </w:tc>
        <w:tc>
          <w:tcPr>
            <w:tcW w:w="81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757</w:t>
            </w:r>
          </w:p>
        </w:tc>
        <w:tc>
          <w:tcPr>
            <w:tcW w:w="14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w:t>
            </w:r>
          </w:p>
        </w:tc>
        <w:tc>
          <w:tcPr>
            <w:tcW w:w="1027" w:type="dxa"/>
            <w:tcBorders/>
            <w:vAlign w:val="center"/>
          </w:tcPr>
          <w:p>
            <w:pPr>
              <w:pStyle w:val="TableContents"/>
              <w:bidi w:val="0"/>
              <w:spacing w:before="0" w:after="1"/>
              <w:ind w:left="0" w:right="0" w:hanging="0"/>
              <w:jc w:val="right"/>
              <w:rPr/>
            </w:pPr>
            <w:r>
              <w:rPr/>
              <w:t>—</w:t>
            </w:r>
          </w:p>
        </w:tc>
      </w:tr>
      <w:tr>
        <w:trPr/>
        <w:tc>
          <w:tcPr>
            <w:tcW w:w="212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exercise of stock options</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962,607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99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788</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70"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81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798</w:t>
            </w:r>
          </w:p>
        </w:tc>
        <w:tc>
          <w:tcPr>
            <w:tcW w:w="14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pPr>
            <w:r>
              <w:rPr/>
              <w:t>​</w:t>
            </w:r>
          </w:p>
        </w:tc>
        <w:tc>
          <w:tcPr>
            <w:tcW w:w="1027" w:type="dxa"/>
            <w:tcBorders/>
            <w:shd w:fill="CCEEFF" w:val="clear"/>
            <w:vAlign w:val="center"/>
          </w:tcPr>
          <w:p>
            <w:pPr>
              <w:pStyle w:val="TableContents"/>
              <w:bidi w:val="0"/>
              <w:spacing w:before="0" w:after="1"/>
              <w:ind w:left="0" w:right="0" w:hanging="0"/>
              <w:jc w:val="right"/>
              <w:rPr/>
            </w:pPr>
            <w:r>
              <w:rPr/>
              <w:t>—</w:t>
            </w:r>
          </w:p>
        </w:tc>
      </w:tr>
      <w:tr>
        <w:trPr/>
        <w:tc>
          <w:tcPr>
            <w:tcW w:w="212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Distribution to non-controlling interest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99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7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31" w:type="dxa"/>
            <w:tcBorders/>
            <w:vAlign w:val="center"/>
          </w:tcPr>
          <w:p>
            <w:pPr>
              <w:pStyle w:val="TableContents"/>
              <w:bidi w:val="0"/>
              <w:spacing w:before="0" w:after="1"/>
              <w:ind w:left="0" w:right="0" w:hanging="0"/>
              <w:jc w:val="left"/>
              <w:rPr/>
            </w:pPr>
            <w:r>
              <w:rPr/>
              <w:t>​</w:t>
            </w:r>
          </w:p>
        </w:tc>
        <w:tc>
          <w:tcPr>
            <w:tcW w:w="819"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w:t>
            </w:r>
          </w:p>
        </w:tc>
        <w:tc>
          <w:tcPr>
            <w:tcW w:w="10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(1,454)</w:t>
            </w:r>
          </w:p>
        </w:tc>
      </w:tr>
      <w:tr>
        <w:trPr/>
        <w:tc>
          <w:tcPr>
            <w:tcW w:w="212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 in redemption value of redeemable non-controlling interest</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99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w:t>
            </w:r>
          </w:p>
        </w:tc>
        <w:tc>
          <w:tcPr>
            <w:tcW w:w="109" w:type="dxa"/>
            <w:tcBorders/>
            <w:shd w:fill="CCEEFF" w:val="clear"/>
            <w:vAlign w:val="center"/>
          </w:tcPr>
          <w:p>
            <w:pPr>
              <w:pStyle w:val="TableContents"/>
              <w:bidi w:val="0"/>
              <w:spacing w:before="0" w:after="1"/>
              <w:ind w:left="0" w:right="0" w:hanging="0"/>
              <w:jc w:val="righ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81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w:t>
            </w:r>
          </w:p>
        </w:tc>
        <w:tc>
          <w:tcPr>
            <w:tcW w:w="14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pPr>
            <w:r>
              <w:rPr/>
              <w:t>​</w:t>
            </w:r>
          </w:p>
        </w:tc>
        <w:tc>
          <w:tcPr>
            <w:tcW w:w="10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w:t>
            </w:r>
          </w:p>
        </w:tc>
      </w:tr>
      <w:tr>
        <w:trPr/>
        <w:tc>
          <w:tcPr>
            <w:tcW w:w="212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46" w:type="dxa"/>
            <w:tcBorders/>
            <w:vAlign w:val="center"/>
          </w:tcPr>
          <w:p>
            <w:pPr>
              <w:pStyle w:val="TableContents"/>
              <w:bidi w:val="0"/>
              <w:spacing w:before="0" w:after="1"/>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(33,836)</w:t>
            </w:r>
          </w:p>
        </w:tc>
        <w:tc>
          <w:tcPr>
            <w:tcW w:w="109" w:type="dxa"/>
            <w:tcBorders/>
            <w:vAlign w:val="center"/>
          </w:tcPr>
          <w:p>
            <w:pPr>
              <w:pStyle w:val="TableContents"/>
              <w:bidi w:val="0"/>
              <w:spacing w:before="0" w:after="1"/>
              <w:ind w:left="0" w:right="0" w:hanging="0"/>
              <w:jc w:val="righ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(33,836)</w:t>
            </w:r>
          </w:p>
        </w:tc>
        <w:tc>
          <w:tcPr>
            <w:tcW w:w="146" w:type="dxa"/>
            <w:tcBorders/>
            <w:vAlign w:val="center"/>
          </w:tcPr>
          <w:p>
            <w:pPr>
              <w:pStyle w:val="TableContents"/>
              <w:bidi w:val="0"/>
              <w:spacing w:before="0" w:after="1"/>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1,207</w:t>
            </w:r>
          </w:p>
        </w:tc>
      </w:tr>
      <w:tr>
        <w:trPr/>
        <w:tc>
          <w:tcPr>
            <w:tcW w:w="2124"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242,464,470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2,425</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9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1,298,064</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7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(834,152)</w:t>
            </w:r>
          </w:p>
        </w:tc>
        <w:tc>
          <w:tcPr>
            <w:tcW w:w="109" w:type="dxa"/>
            <w:tcBorders/>
            <w:shd w:fill="CCEEFF" w:val="clear"/>
            <w:vAlign w:val="center"/>
          </w:tcPr>
          <w:p>
            <w:pPr>
              <w:pStyle w:val="TableContents"/>
              <w:bidi w:val="0"/>
              <w:spacing w:before="0" w:after="1"/>
              <w:ind w:left="0" w:right="0" w:hanging="0"/>
              <w:jc w:val="righ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466,337</w:t>
            </w:r>
          </w:p>
        </w:tc>
        <w:tc>
          <w:tcPr>
            <w:tcW w:w="146" w:type="dxa"/>
            <w:tcBorders/>
            <w:shd w:fill="CCEEFF" w:val="clear"/>
            <w:vAlign w:val="center"/>
          </w:tcPr>
          <w:p>
            <w:pPr>
              <w:pStyle w:val="TableContents"/>
              <w:bidi w:val="0"/>
              <w:spacing w:before="0" w:after="1"/>
              <w:ind w:left="0" w:right="0" w:hanging="0"/>
              <w:jc w:val="left"/>
              <w:rPr/>
            </w:pPr>
            <w:r>
              <w:rPr/>
              <w:t>​</w:t>
            </w:r>
          </w:p>
        </w:tc>
        <w:tc>
          <w:tcPr>
            <w:tcW w:w="3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2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4,832</w:t>
            </w:r>
          </w:p>
        </w:tc>
      </w:tr>
      <w:tr>
        <w:trPr/>
        <w:tc>
          <w:tcPr>
            <w:tcW w:w="212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99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7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31" w:type="dxa"/>
            <w:tcBorders/>
            <w:vAlign w:val="center"/>
          </w:tcPr>
          <w:p>
            <w:pPr>
              <w:pStyle w:val="TableContents"/>
              <w:bidi w:val="0"/>
              <w:spacing w:before="0" w:after="1"/>
              <w:ind w:left="0" w:right="0" w:hanging="0"/>
              <w:jc w:val="left"/>
              <w:rPr/>
            </w:pPr>
            <w:r>
              <w:rPr/>
              <w:t>​</w:t>
            </w:r>
          </w:p>
        </w:tc>
        <w:tc>
          <w:tcPr>
            <w:tcW w:w="819"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w:t>
            </w:r>
          </w:p>
        </w:tc>
        <w:tc>
          <w:tcPr>
            <w:tcW w:w="1027" w:type="dxa"/>
            <w:tcBorders/>
            <w:vAlign w:val="center"/>
          </w:tcPr>
          <w:p>
            <w:pPr>
              <w:pStyle w:val="TableContents"/>
              <w:bidi w:val="0"/>
              <w:spacing w:before="0" w:after="1"/>
              <w:ind w:left="0" w:right="0" w:hanging="0"/>
              <w:jc w:val="left"/>
              <w:rPr/>
            </w:pPr>
            <w:r>
              <w:rPr/>
              <w:t>​</w:t>
            </w:r>
          </w:p>
        </w:tc>
      </w:tr>
      <w:tr>
        <w:trPr/>
        <w:tc>
          <w:tcPr>
            <w:tcW w:w="2124"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December 31, 2023</w:t>
            </w:r>
          </w:p>
        </w:tc>
        <w:tc>
          <w:tcPr>
            <w:tcW w:w="346" w:type="dxa"/>
            <w:tcBorders/>
            <w:shd w:fill="CCEEFF" w:val="clear"/>
            <w:vAlign w:val="center"/>
          </w:tcPr>
          <w:p>
            <w:pPr>
              <w:pStyle w:val="TableContents"/>
              <w:bidi w:val="0"/>
              <w:spacing w:before="0" w:after="1"/>
              <w:ind w:left="0" w:right="0" w:hanging="0"/>
              <w:jc w:val="left"/>
              <w:rPr/>
            </w:pPr>
            <w:r>
              <w:rPr/>
              <w:t>  ​ ​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240,499,833</w:t>
            </w:r>
          </w:p>
        </w:tc>
        <w:tc>
          <w:tcPr>
            <w:tcW w:w="346" w:type="dxa"/>
            <w:tcBorders/>
            <w:shd w:fill="CCEEFF" w:val="clear"/>
            <w:vAlign w:val="center"/>
          </w:tcPr>
          <w:p>
            <w:pPr>
              <w:pStyle w:val="TableContents"/>
              <w:bidi w:val="0"/>
              <w:spacing w:before="0" w:after="1"/>
              <w:ind w:left="0" w:right="0" w:hanging="0"/>
              <w:jc w:val="left"/>
              <w:rPr/>
            </w:pPr>
            <w:r>
              <w:rPr/>
              <w:t>  ​ ​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2,405</w:t>
            </w:r>
          </w:p>
        </w:tc>
        <w:tc>
          <w:tcPr>
            <w:tcW w:w="346" w:type="dxa"/>
            <w:tcBorders/>
            <w:shd w:fill="CCEEFF" w:val="clear"/>
            <w:vAlign w:val="center"/>
          </w:tcPr>
          <w:p>
            <w:pPr>
              <w:pStyle w:val="TableContents"/>
              <w:bidi w:val="0"/>
              <w:spacing w:before="0" w:after="1"/>
              <w:ind w:left="0" w:right="0" w:hanging="0"/>
              <w:jc w:val="left"/>
              <w:rPr/>
            </w:pPr>
            <w:r>
              <w:rPr/>
              <w:t>  ​ ​ ​</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9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1,276,581</w:t>
            </w:r>
          </w:p>
        </w:tc>
        <w:tc>
          <w:tcPr>
            <w:tcW w:w="346" w:type="dxa"/>
            <w:tcBorders/>
            <w:shd w:fill="CCEEFF" w:val="clear"/>
            <w:vAlign w:val="center"/>
          </w:tcPr>
          <w:p>
            <w:pPr>
              <w:pStyle w:val="TableContents"/>
              <w:bidi w:val="0"/>
              <w:spacing w:before="0" w:after="1"/>
              <w:ind w:left="0" w:right="0" w:hanging="0"/>
              <w:jc w:val="left"/>
              <w:rPr/>
            </w:pPr>
            <w:r>
              <w:rPr/>
              <w:t>  ​ ​ ​</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(721,597)</w:t>
            </w:r>
          </w:p>
        </w:tc>
        <w:tc>
          <w:tcPr>
            <w:tcW w:w="109" w:type="dxa"/>
            <w:tcBorders/>
            <w:shd w:fill="CCEEFF" w:val="clear"/>
            <w:vAlign w:val="center"/>
          </w:tcPr>
          <w:p>
            <w:pPr>
              <w:pStyle w:val="TableContents"/>
              <w:bidi w:val="0"/>
              <w:spacing w:before="0" w:after="1"/>
              <w:ind w:left="0" w:right="0" w:hanging="0"/>
              <w:jc w:val="righ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557,389</w:t>
            </w:r>
          </w:p>
        </w:tc>
        <w:tc>
          <w:tcPr>
            <w:tcW w:w="14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pPr>
            <w:r>
              <w:rPr/>
              <w:t>​</w:t>
            </w:r>
          </w:p>
        </w:tc>
        <w:tc>
          <w:tcPr>
            <w:tcW w:w="1027" w:type="dxa"/>
            <w:tcBorders/>
            <w:shd w:fill="CCEEFF" w:val="clear"/>
            <w:vAlign w:val="center"/>
          </w:tcPr>
          <w:p>
            <w:pPr>
              <w:pStyle w:val="TableContents"/>
              <w:bidi w:val="0"/>
              <w:spacing w:before="0" w:after="1"/>
              <w:ind w:left="0" w:right="0" w:hanging="0"/>
              <w:jc w:val="right"/>
              <w:rPr/>
            </w:pPr>
            <w:r>
              <w:rPr/>
              <w:t>—</w:t>
            </w:r>
          </w:p>
        </w:tc>
      </w:tr>
      <w:tr>
        <w:trPr/>
        <w:tc>
          <w:tcPr>
            <w:tcW w:w="212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Non-cash stock-based compensation</w:t>
            </w:r>
          </w:p>
        </w:tc>
        <w:tc>
          <w:tcPr>
            <w:tcW w:w="3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99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14,847</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87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31" w:type="dxa"/>
            <w:tcBorders/>
            <w:vAlign w:val="center"/>
          </w:tcPr>
          <w:p>
            <w:pPr>
              <w:pStyle w:val="TableContents"/>
              <w:bidi w:val="0"/>
              <w:spacing w:before="0" w:after="1"/>
              <w:ind w:left="0" w:right="0" w:hanging="0"/>
              <w:jc w:val="left"/>
              <w:rPr/>
            </w:pPr>
            <w:r>
              <w:rPr/>
              <w:t> </w:t>
            </w:r>
          </w:p>
        </w:tc>
        <w:tc>
          <w:tcPr>
            <w:tcW w:w="81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14,847</w:t>
            </w:r>
          </w:p>
        </w:tc>
        <w:tc>
          <w:tcPr>
            <w:tcW w:w="14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w:t>
            </w:r>
          </w:p>
        </w:tc>
        <w:tc>
          <w:tcPr>
            <w:tcW w:w="1027" w:type="dxa"/>
            <w:tcBorders/>
            <w:vAlign w:val="center"/>
          </w:tcPr>
          <w:p>
            <w:pPr>
              <w:pStyle w:val="TableContents"/>
              <w:bidi w:val="0"/>
              <w:spacing w:before="0" w:after="1"/>
              <w:ind w:left="0" w:right="0" w:hanging="0"/>
              <w:jc w:val="right"/>
              <w:rPr/>
            </w:pPr>
            <w:r>
              <w:rPr/>
              <w:t>—</w:t>
            </w:r>
          </w:p>
        </w:tc>
      </w:tr>
      <w:tr>
        <w:trPr/>
        <w:tc>
          <w:tcPr>
            <w:tcW w:w="212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awards and related share issuances, net</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5,784,668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99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495</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870"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1" w:type="dxa"/>
            <w:tcBorders/>
            <w:shd w:fill="CCEEFF" w:val="clear"/>
            <w:vAlign w:val="center"/>
          </w:tcPr>
          <w:p>
            <w:pPr>
              <w:pStyle w:val="TableContents"/>
              <w:bidi w:val="0"/>
              <w:spacing w:before="0" w:after="1"/>
              <w:ind w:left="0" w:right="0" w:hanging="0"/>
              <w:jc w:val="left"/>
              <w:rPr/>
            </w:pPr>
            <w:r>
              <w:rPr/>
              <w:t> </w:t>
            </w:r>
          </w:p>
        </w:tc>
        <w:tc>
          <w:tcPr>
            <w:tcW w:w="81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553</w:t>
            </w:r>
          </w:p>
        </w:tc>
        <w:tc>
          <w:tcPr>
            <w:tcW w:w="14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pPr>
            <w:r>
              <w:rPr/>
              <w:t>​</w:t>
            </w:r>
          </w:p>
        </w:tc>
        <w:tc>
          <w:tcPr>
            <w:tcW w:w="1027" w:type="dxa"/>
            <w:tcBorders/>
            <w:shd w:fill="CCEEFF" w:val="clear"/>
            <w:vAlign w:val="center"/>
          </w:tcPr>
          <w:p>
            <w:pPr>
              <w:pStyle w:val="TableContents"/>
              <w:bidi w:val="0"/>
              <w:spacing w:before="0" w:after="1"/>
              <w:ind w:left="0" w:right="0" w:hanging="0"/>
              <w:jc w:val="right"/>
              <w:rPr/>
            </w:pPr>
            <w:r>
              <w:rPr/>
              <w:t>—</w:t>
            </w:r>
          </w:p>
        </w:tc>
      </w:tr>
      <w:tr>
        <w:trPr/>
        <w:tc>
          <w:tcPr>
            <w:tcW w:w="212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Repurchase of common stock</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(7,190,006)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99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(4,638)</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7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31" w:type="dxa"/>
            <w:tcBorders/>
            <w:vAlign w:val="center"/>
          </w:tcPr>
          <w:p>
            <w:pPr>
              <w:pStyle w:val="TableContents"/>
              <w:bidi w:val="0"/>
              <w:spacing w:before="0" w:after="1"/>
              <w:ind w:left="0" w:right="0" w:hanging="0"/>
              <w:jc w:val="left"/>
              <w:rPr/>
            </w:pPr>
            <w:r>
              <w:rPr/>
              <w:t>​</w:t>
            </w:r>
          </w:p>
        </w:tc>
        <w:tc>
          <w:tcPr>
            <w:tcW w:w="81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(4,710)</w:t>
            </w:r>
          </w:p>
        </w:tc>
        <w:tc>
          <w:tcPr>
            <w:tcW w:w="14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w:t>
            </w:r>
          </w:p>
        </w:tc>
        <w:tc>
          <w:tcPr>
            <w:tcW w:w="1027" w:type="dxa"/>
            <w:tcBorders/>
            <w:vAlign w:val="center"/>
          </w:tcPr>
          <w:p>
            <w:pPr>
              <w:pStyle w:val="TableContents"/>
              <w:bidi w:val="0"/>
              <w:spacing w:before="0" w:after="1"/>
              <w:ind w:left="0" w:right="0" w:hanging="0"/>
              <w:jc w:val="right"/>
              <w:rPr/>
            </w:pPr>
            <w:r>
              <w:rPr/>
              <w:t>—</w:t>
            </w:r>
          </w:p>
        </w:tc>
      </w:tr>
      <w:tr>
        <w:trPr/>
        <w:tc>
          <w:tcPr>
            <w:tcW w:w="212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stock upon exercise of warrants</w:t>
            </w:r>
          </w:p>
        </w:tc>
        <w:tc>
          <w:tcPr>
            <w:tcW w:w="34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81,798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99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870"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1" w:type="dxa"/>
            <w:tcBorders/>
            <w:shd w:fill="CCEEFF" w:val="clear"/>
            <w:vAlign w:val="center"/>
          </w:tcPr>
          <w:p>
            <w:pPr>
              <w:pStyle w:val="TableContents"/>
              <w:bidi w:val="0"/>
              <w:spacing w:before="0" w:after="1"/>
              <w:ind w:left="0" w:right="0" w:hanging="0"/>
              <w:jc w:val="left"/>
              <w:rPr/>
            </w:pPr>
            <w:r>
              <w:rPr/>
              <w:t> </w:t>
            </w:r>
          </w:p>
        </w:tc>
        <w:tc>
          <w:tcPr>
            <w:tcW w:w="81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w:t>
            </w:r>
          </w:p>
        </w:tc>
        <w:tc>
          <w:tcPr>
            <w:tcW w:w="14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pPr>
            <w:r>
              <w:rPr/>
              <w:t>​</w:t>
            </w:r>
          </w:p>
        </w:tc>
        <w:tc>
          <w:tcPr>
            <w:tcW w:w="1027" w:type="dxa"/>
            <w:tcBorders/>
            <w:shd w:fill="CCEEFF" w:val="clear"/>
            <w:vAlign w:val="center"/>
          </w:tcPr>
          <w:p>
            <w:pPr>
              <w:pStyle w:val="TableContents"/>
              <w:bidi w:val="0"/>
              <w:spacing w:before="0" w:after="1"/>
              <w:ind w:left="0" w:right="0" w:hanging="0"/>
              <w:jc w:val="right"/>
              <w:rPr/>
            </w:pPr>
            <w:r>
              <w:rPr/>
              <w:t>—</w:t>
            </w:r>
          </w:p>
        </w:tc>
      </w:tr>
      <w:tr>
        <w:trPr/>
        <w:tc>
          <w:tcPr>
            <w:tcW w:w="212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vAlign w:val="center"/>
          </w:tcPr>
          <w:p>
            <w:pPr>
              <w:pStyle w:val="TableContents"/>
              <w:bidi w:val="0"/>
              <w:spacing w:before="0" w:after="1"/>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(78,640)</w:t>
            </w:r>
          </w:p>
        </w:tc>
        <w:tc>
          <w:tcPr>
            <w:tcW w:w="109" w:type="dxa"/>
            <w:tcBorders/>
            <w:vAlign w:val="center"/>
          </w:tcPr>
          <w:p>
            <w:pPr>
              <w:pStyle w:val="TableContents"/>
              <w:bidi w:val="0"/>
              <w:spacing w:before="0" w:after="1"/>
              <w:ind w:left="0" w:right="0" w:hanging="0"/>
              <w:jc w:val="righ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(78,640)</w:t>
            </w:r>
          </w:p>
        </w:tc>
        <w:tc>
          <w:tcPr>
            <w:tcW w:w="146" w:type="dxa"/>
            <w:tcBorders/>
            <w:vAlign w:val="center"/>
          </w:tcPr>
          <w:p>
            <w:pPr>
              <w:pStyle w:val="TableContents"/>
              <w:bidi w:val="0"/>
              <w:spacing w:before="0" w:after="1"/>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2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124"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December 31, 2024</w:t>
            </w:r>
          </w:p>
        </w:tc>
        <w:tc>
          <w:tcPr>
            <w:tcW w:w="346" w:type="dxa"/>
            <w:tcBorders/>
            <w:shd w:fill="CCEEFF" w:val="clear"/>
            <w:vAlign w:val="center"/>
          </w:tcPr>
          <w:p>
            <w:pPr>
              <w:pStyle w:val="TableContents"/>
              <w:bidi w:val="0"/>
              <w:spacing w:before="0" w:after="1"/>
              <w:ind w:left="0" w:right="0" w:hanging="0"/>
              <w:jc w:val="lef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239,176,293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2,392</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9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1,287,333</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7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(800,237)</w:t>
            </w:r>
          </w:p>
        </w:tc>
        <w:tc>
          <w:tcPr>
            <w:tcW w:w="109" w:type="dxa"/>
            <w:tcBorders/>
            <w:shd w:fill="CCEEFF" w:val="clear"/>
            <w:vAlign w:val="center"/>
          </w:tcPr>
          <w:p>
            <w:pPr>
              <w:pStyle w:val="TableContents"/>
              <w:bidi w:val="0"/>
              <w:spacing w:before="0" w:after="1"/>
              <w:ind w:left="0" w:right="0" w:hanging="0"/>
              <w:jc w:val="righ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489,488</w:t>
            </w:r>
          </w:p>
        </w:tc>
        <w:tc>
          <w:tcPr>
            <w:tcW w:w="146" w:type="dxa"/>
            <w:tcBorders/>
            <w:shd w:fill="CCEEFF" w:val="clear"/>
            <w:vAlign w:val="center"/>
          </w:tcPr>
          <w:p>
            <w:pPr>
              <w:pStyle w:val="TableContents"/>
              <w:bidi w:val="0"/>
              <w:spacing w:before="0" w:after="1"/>
              <w:ind w:left="0" w:right="0" w:hanging="0"/>
              <w:jc w:val="left"/>
              <w:rPr/>
            </w:pPr>
            <w:r>
              <w:rPr/>
              <w:t>​</w:t>
            </w:r>
          </w:p>
        </w:tc>
        <w:tc>
          <w:tcPr>
            <w:tcW w:w="3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2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00"/>
        <w:ind w:left="0" w:right="0" w:firstLine="720"/>
        <w:jc w:val="left"/>
        <w:rPr/>
      </w:pPr>
      <w:r>
        <w:rPr/>
        <w:t>​</w:t>
      </w:r>
    </w:p>
    <w:p>
      <w:pPr>
        <w:pStyle w:val="TextBody"/>
        <w:bidi w:val="0"/>
        <w:spacing w:before="0" w:after="200"/>
        <w:ind w:left="0" w:right="0" w:firstLine="720"/>
        <w:jc w:val="center"/>
        <w:rPr>
          <w:rFonts w:ascii="Times New Roman;Times;serif" w:hAnsi="Times New Roman;Times;serif"/>
          <w:sz w:val="20"/>
        </w:rPr>
      </w:pPr>
      <w:r>
        <w:rPr>
          <w:rFonts w:ascii="Times New Roman;Times;serif" w:hAnsi="Times New Roman;Times;serif"/>
          <w:sz w:val="20"/>
        </w:rPr>
        <w:t>See the accompanying Notes to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61" w:name="_acaa32db_0352_4693_b1d7_653fb4d2dfe4"/>
      <w:bookmarkEnd w:id="461"/>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bookmarkStart w:id="462" w:name="CONSOLIDATEDSTATEMENTSOFCASHFLOWS_931173"/>
      <w:bookmarkEnd w:id="462"/>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63" w:name="Tc_aX_kM3rQpEKblZZN7cfHlw_43_5"/>
      <w:bookmarkStart w:id="464" w:name="Tc_LKPKYwTiJ02AzOv-W9Yqgg_43_2"/>
      <w:bookmarkStart w:id="465" w:name="Tc_e3pOtzeMekCTZdPcnjKzsg_43_0"/>
      <w:bookmarkStart w:id="466" w:name="Tc_fsQ_1gkbxEW16fzd4Y2MtQ_42_0"/>
      <w:bookmarkStart w:id="467" w:name="Tc_GSF1Rxw5YUuAs--qSa3RFA_41_0"/>
      <w:bookmarkStart w:id="468" w:name="Tc_silVBw3YYkGafiPWygch4g_40_0"/>
      <w:bookmarkStart w:id="469" w:name="Tc_wL4-LAqKKEGNILK8QPEBLw_39_3"/>
      <w:bookmarkStart w:id="470" w:name="Tc_XKN0fyVQ1Ues84Yq_MyQ-g_39_0"/>
      <w:bookmarkStart w:id="471" w:name="Tc_xlI80gZI7E2Te9hszffsDw_38_0"/>
      <w:bookmarkStart w:id="472" w:name="Tc_rdYpSeecck2s_pEXpfg2Ug_37_0"/>
      <w:bookmarkStart w:id="473" w:name="Tc_zsKU6CDNq0e8RE5ZqpGOCQ_36_6"/>
      <w:bookmarkStart w:id="474" w:name="Tc_5M-2ho5wDEu62qIklgcTHQ_36_0"/>
      <w:bookmarkStart w:id="475" w:name="Tc_FODcFxPPK0G3FuXzCtJWRg_35_3"/>
      <w:bookmarkStart w:id="476" w:name="Tc_D5Io_mCLF0OICgYOGUVjLA_35_0"/>
      <w:bookmarkStart w:id="477" w:name="Tc_wcA9eDcdPUy9cKjZudbJyQ_34_6"/>
      <w:bookmarkStart w:id="478" w:name="Tc_-KprEN3BJUC4ADQDs9oAxg_34_0"/>
      <w:bookmarkStart w:id="479" w:name="Tc_hyJbu7c_z0C0-zDTsoKGLg_33_6"/>
      <w:bookmarkStart w:id="480" w:name="Tc_3ikU0_f0FkOnanmyF370GQ_33_0"/>
      <w:bookmarkStart w:id="481" w:name="Tc_kfaEPkwH2katHiJinJ606w_32_0"/>
      <w:bookmarkStart w:id="482" w:name="Tc_RzoKzvTWdUCMpHAm6jGyrg_31_6"/>
      <w:bookmarkStart w:id="483" w:name="Tc_2FIUtxIOLkCaj906WWDDRQ_31_0"/>
      <w:bookmarkStart w:id="484" w:name="Tc_KsTXCKXx20C8OWvv6YN5jQ_30_0"/>
      <w:bookmarkStart w:id="485" w:name="Tc_NtsrAHOpME2Nj5OLMWPXGQ_29_0"/>
      <w:bookmarkStart w:id="486" w:name="Tc_ZFQdWguAtkeK34kMzuU-vw_28_0"/>
      <w:bookmarkStart w:id="487" w:name="Tc_iDz33AgJxUu4JL5FoORk1A_27_0"/>
      <w:bookmarkStart w:id="488" w:name="Tc_HCCtLMhsik-PUs17-KsJSQ_26_3"/>
      <w:bookmarkStart w:id="489" w:name="Tc_EH80KHfX7E2mMELxbEFhfA_26_0"/>
      <w:bookmarkStart w:id="490" w:name="Tc_3Y-S3oGSyUOEmyhAAzTjKg_25_3"/>
      <w:bookmarkStart w:id="491" w:name="Tc_NsAveCKNf0SHkxCElUSr3g_25_0"/>
      <w:bookmarkStart w:id="492" w:name="Tc_k10yQjSV-ECrcGYCXSRzOw_24_3"/>
      <w:bookmarkStart w:id="493" w:name="Tc_TX6gGjf7XEWFbVKI6F5cPQ_24_0"/>
      <w:bookmarkStart w:id="494" w:name="Tc_mmP1bKGJyE2J91nfAJ_FGw_23_6"/>
      <w:bookmarkStart w:id="495" w:name="Tc_Qu3yPFkKKE-9pcjrxyuAqA_23_0"/>
      <w:bookmarkStart w:id="496" w:name="Tc_bS600y8o-0uDPLu147PpEg_22_6"/>
      <w:bookmarkStart w:id="497" w:name="Tc_rigm2dW8rUOoFlw2GoCO8Q_22_0"/>
      <w:bookmarkStart w:id="498" w:name="Tc_sTjWQodgnkC-bnFYBxbxow_21_0"/>
      <w:bookmarkStart w:id="499" w:name="Tc_p8N1GZBsXUiiEtS35MeaKQ_20_0"/>
      <w:bookmarkStart w:id="500" w:name="Tc_MWaiGXMRtEaB1i14vxhSfA_19_0"/>
      <w:bookmarkStart w:id="501" w:name="Tc_j03wZITy-EeDGbA3NWa72w_18_6"/>
      <w:bookmarkStart w:id="502" w:name="Tc_6Q2az-5WAUOtIAdVQJGlVg_18_0"/>
      <w:bookmarkStart w:id="503" w:name="Tc_sHAMv_VtK0OnKBBNaRdLNg_17_0"/>
      <w:bookmarkStart w:id="504" w:name="Tc_ZFq6vrxz8UGg7sH3KguatQ_16_0"/>
      <w:bookmarkStart w:id="505" w:name="Tc_jA-nI4Tco06FAGWqgRHx4w_15_0"/>
      <w:bookmarkStart w:id="506" w:name="Tc_w4j3FH7oB0OJxg3VxuKM2Q_14_0"/>
      <w:bookmarkStart w:id="507" w:name="Tc_OmNVgYdT4USLKmtfcmjFqw_13_0"/>
      <w:bookmarkStart w:id="508" w:name="Tc_Osqeo9c5Nke7kCiiAXY2eg_12_0"/>
      <w:bookmarkStart w:id="509" w:name="Tc_Ueyj4r1jaU6INmfuYCXLjA_11_6"/>
      <w:bookmarkStart w:id="510" w:name="Tc_BmtI7PE2r0mW9ae7WeHVyQ_11_0"/>
      <w:bookmarkStart w:id="511" w:name="Tc_N6_eqhrRR0KsSdyQtPiTNg_10_6"/>
      <w:bookmarkStart w:id="512" w:name="Tc_jtsabJ3b-kyWhNFs3J68_Q_10_0"/>
      <w:bookmarkStart w:id="513" w:name="Tc_r5rov5YG-keJ4t1Fyauekg_9_6"/>
      <w:bookmarkStart w:id="514" w:name="Tc_SkSTlN1ZhEqRqPgL8EOTEg_9_0"/>
      <w:bookmarkStart w:id="515" w:name="Tc_nXpmFDpagEKgEfV82Th86g_8_0"/>
      <w:bookmarkStart w:id="516" w:name="Tc_OhJfjaplQUyJZIORj0wklA_7_0"/>
      <w:bookmarkStart w:id="517" w:name="Tc_VwNDTgVq2kKsP4mG2drpZw_6_6"/>
      <w:bookmarkStart w:id="518" w:name="Tc_TqrEMofQB0WMsHGkoxJdgA_6_0"/>
      <w:bookmarkStart w:id="519" w:name="Tc_1idAKXuiJUmCDMIHVtjj4g_5_0"/>
      <w:bookmarkStart w:id="520" w:name="Tc_G2dMIiMBj0unBjaYrxVuCw_4_5"/>
      <w:bookmarkStart w:id="521" w:name="Tc_GVanDPkKO0-KWXMzNgg6mg_4_2"/>
      <w:bookmarkStart w:id="522" w:name="Tc_14Fxiujb50etmSZMiqCpyA_4_0"/>
      <w:bookmarkStart w:id="523" w:name="Tc_zdn9R8bLnE28kFYYoRgcRw_3_0"/>
      <w:bookmarkStart w:id="524" w:name="Tc__sYYt0284kWYUrljmBkuig_2_5"/>
      <w:bookmarkStart w:id="525" w:name="Tc_hH5obhujakCDCtjQ0bMxAQ_2_2"/>
      <w:bookmarkStart w:id="526" w:name="Tc_0zEY0oS_TUq7P3WGygE_lA_1_2"/>
      <w:bookmarkStart w:id="527" w:name="_43e2e7df_b780_44fd_9189_09090d3c7cee"/>
      <w:bookmarkStart w:id="528" w:name="Tc_aX_kM3rQpEKblZZN7cfHlw_43_5"/>
      <w:bookmarkStart w:id="529" w:name="Tc_LKPKYwTiJ02AzOv-W9Yqgg_43_2"/>
      <w:bookmarkStart w:id="530" w:name="Tc_e3pOtzeMekCTZdPcnjKzsg_43_0"/>
      <w:bookmarkStart w:id="531" w:name="Tc_fsQ_1gkbxEW16fzd4Y2MtQ_42_0"/>
      <w:bookmarkStart w:id="532" w:name="Tc_GSF1Rxw5YUuAs--qSa3RFA_41_0"/>
      <w:bookmarkStart w:id="533" w:name="Tc_silVBw3YYkGafiPWygch4g_40_0"/>
      <w:bookmarkStart w:id="534" w:name="Tc_wL4-LAqKKEGNILK8QPEBLw_39_3"/>
      <w:bookmarkStart w:id="535" w:name="Tc_XKN0fyVQ1Ues84Yq_MyQ-g_39_0"/>
      <w:bookmarkStart w:id="536" w:name="Tc_xlI80gZI7E2Te9hszffsDw_38_0"/>
      <w:bookmarkStart w:id="537" w:name="Tc_rdYpSeecck2s_pEXpfg2Ug_37_0"/>
      <w:bookmarkStart w:id="538" w:name="Tc_zsKU6CDNq0e8RE5ZqpGOCQ_36_6"/>
      <w:bookmarkStart w:id="539" w:name="Tc_5M-2ho5wDEu62qIklgcTHQ_36_0"/>
      <w:bookmarkStart w:id="540" w:name="Tc_FODcFxPPK0G3FuXzCtJWRg_35_3"/>
      <w:bookmarkStart w:id="541" w:name="Tc_D5Io_mCLF0OICgYOGUVjLA_35_0"/>
      <w:bookmarkStart w:id="542" w:name="Tc_wcA9eDcdPUy9cKjZudbJyQ_34_6"/>
      <w:bookmarkStart w:id="543" w:name="Tc_-KprEN3BJUC4ADQDs9oAxg_34_0"/>
      <w:bookmarkStart w:id="544" w:name="Tc_hyJbu7c_z0C0-zDTsoKGLg_33_6"/>
      <w:bookmarkStart w:id="545" w:name="Tc_3ikU0_f0FkOnanmyF370GQ_33_0"/>
      <w:bookmarkStart w:id="546" w:name="Tc_kfaEPkwH2katHiJinJ606w_32_0"/>
      <w:bookmarkStart w:id="547" w:name="Tc_RzoKzvTWdUCMpHAm6jGyrg_31_6"/>
      <w:bookmarkStart w:id="548" w:name="Tc_2FIUtxIOLkCaj906WWDDRQ_31_0"/>
      <w:bookmarkStart w:id="549" w:name="Tc_KsTXCKXx20C8OWvv6YN5jQ_30_0"/>
      <w:bookmarkStart w:id="550" w:name="Tc_NtsrAHOpME2Nj5OLMWPXGQ_29_0"/>
      <w:bookmarkStart w:id="551" w:name="Tc_ZFQdWguAtkeK34kMzuU-vw_28_0"/>
      <w:bookmarkStart w:id="552" w:name="Tc_iDz33AgJxUu4JL5FoORk1A_27_0"/>
      <w:bookmarkStart w:id="553" w:name="Tc_HCCtLMhsik-PUs17-KsJSQ_26_3"/>
      <w:bookmarkStart w:id="554" w:name="Tc_EH80KHfX7E2mMELxbEFhfA_26_0"/>
      <w:bookmarkStart w:id="555" w:name="Tc_3Y-S3oGSyUOEmyhAAzTjKg_25_3"/>
      <w:bookmarkStart w:id="556" w:name="Tc_NsAveCKNf0SHkxCElUSr3g_25_0"/>
      <w:bookmarkStart w:id="557" w:name="Tc_k10yQjSV-ECrcGYCXSRzOw_24_3"/>
      <w:bookmarkStart w:id="558" w:name="Tc_TX6gGjf7XEWFbVKI6F5cPQ_24_0"/>
      <w:bookmarkStart w:id="559" w:name="Tc_mmP1bKGJyE2J91nfAJ_FGw_23_6"/>
      <w:bookmarkStart w:id="560" w:name="Tc_Qu3yPFkKKE-9pcjrxyuAqA_23_0"/>
      <w:bookmarkStart w:id="561" w:name="Tc_bS600y8o-0uDPLu147PpEg_22_6"/>
      <w:bookmarkStart w:id="562" w:name="Tc_rigm2dW8rUOoFlw2GoCO8Q_22_0"/>
      <w:bookmarkStart w:id="563" w:name="Tc_sTjWQodgnkC-bnFYBxbxow_21_0"/>
      <w:bookmarkStart w:id="564" w:name="Tc_p8N1GZBsXUiiEtS35MeaKQ_20_0"/>
      <w:bookmarkStart w:id="565" w:name="Tc_MWaiGXMRtEaB1i14vxhSfA_19_0"/>
      <w:bookmarkStart w:id="566" w:name="Tc_j03wZITy-EeDGbA3NWa72w_18_6"/>
      <w:bookmarkStart w:id="567" w:name="Tc_6Q2az-5WAUOtIAdVQJGlVg_18_0"/>
      <w:bookmarkStart w:id="568" w:name="Tc_sHAMv_VtK0OnKBBNaRdLNg_17_0"/>
      <w:bookmarkStart w:id="569" w:name="Tc_ZFq6vrxz8UGg7sH3KguatQ_16_0"/>
      <w:bookmarkStart w:id="570" w:name="Tc_jA-nI4Tco06FAGWqgRHx4w_15_0"/>
      <w:bookmarkStart w:id="571" w:name="Tc_w4j3FH7oB0OJxg3VxuKM2Q_14_0"/>
      <w:bookmarkStart w:id="572" w:name="Tc_OmNVgYdT4USLKmtfcmjFqw_13_0"/>
      <w:bookmarkStart w:id="573" w:name="Tc_Osqeo9c5Nke7kCiiAXY2eg_12_0"/>
      <w:bookmarkStart w:id="574" w:name="Tc_Ueyj4r1jaU6INmfuYCXLjA_11_6"/>
      <w:bookmarkStart w:id="575" w:name="Tc_BmtI7PE2r0mW9ae7WeHVyQ_11_0"/>
      <w:bookmarkStart w:id="576" w:name="Tc_N6_eqhrRR0KsSdyQtPiTNg_10_6"/>
      <w:bookmarkStart w:id="577" w:name="Tc_jtsabJ3b-kyWhNFs3J68_Q_10_0"/>
      <w:bookmarkStart w:id="578" w:name="Tc_r5rov5YG-keJ4t1Fyauekg_9_6"/>
      <w:bookmarkStart w:id="579" w:name="Tc_SkSTlN1ZhEqRqPgL8EOTEg_9_0"/>
      <w:bookmarkStart w:id="580" w:name="Tc_nXpmFDpagEKgEfV82Th86g_8_0"/>
      <w:bookmarkStart w:id="581" w:name="Tc_OhJfjaplQUyJZIORj0wklA_7_0"/>
      <w:bookmarkStart w:id="582" w:name="Tc_VwNDTgVq2kKsP4mG2drpZw_6_6"/>
      <w:bookmarkStart w:id="583" w:name="Tc_TqrEMofQB0WMsHGkoxJdgA_6_0"/>
      <w:bookmarkStart w:id="584" w:name="Tc_1idAKXuiJUmCDMIHVtjj4g_5_0"/>
      <w:bookmarkStart w:id="585" w:name="Tc_G2dMIiMBj0unBjaYrxVuCw_4_5"/>
      <w:bookmarkStart w:id="586" w:name="Tc_GVanDPkKO0-KWXMzNgg6mg_4_2"/>
      <w:bookmarkStart w:id="587" w:name="Tc_14Fxiujb50etmSZMiqCpyA_4_0"/>
      <w:bookmarkStart w:id="588" w:name="Tc_zdn9R8bLnE28kFYYoRgcRw_3_0"/>
      <w:bookmarkStart w:id="589" w:name="Tc__sYYt0284kWYUrljmBkuig_2_5"/>
      <w:bookmarkStart w:id="590" w:name="Tc_hH5obhujakCDCtjQ0bMxAQ_2_2"/>
      <w:bookmarkStart w:id="591" w:name="Tc_0zEY0oS_TUq7P3WGygE_lA_1_2"/>
      <w:bookmarkStart w:id="592" w:name="_43e2e7df_b780_44fd_9189_09090d3c7cee"/>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tbl>
      <w:tblPr>
        <w:tblW w:w="8992" w:type="dxa"/>
        <w:jc w:val="left"/>
        <w:tblInd w:w="0" w:type="dxa"/>
        <w:tblLayout w:type="fixed"/>
        <w:tblCellMar>
          <w:top w:w="0" w:type="dxa"/>
          <w:left w:w="0" w:type="dxa"/>
          <w:bottom w:w="0" w:type="dxa"/>
          <w:right w:w="0" w:type="dxa"/>
        </w:tblCellMar>
      </w:tblPr>
      <w:tblGrid>
        <w:gridCol w:w="6031"/>
        <w:gridCol w:w="346"/>
        <w:gridCol w:w="211"/>
        <w:gridCol w:w="901"/>
        <w:gridCol w:w="346"/>
        <w:gridCol w:w="211"/>
        <w:gridCol w:w="946"/>
      </w:tblGrid>
      <w:tr>
        <w:trPr/>
        <w:tc>
          <w:tcPr>
            <w:tcW w:w="6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3829685" cy="175260"/>
                      <wp:effectExtent l="0" t="0" r="0" b="0"/>
                      <wp:wrapNone/>
                      <wp:docPr id="209" name="Frame209"/>
                      <a:graphic xmlns:a="http://schemas.openxmlformats.org/drawingml/2006/main">
                        <a:graphicData uri="http://schemas.microsoft.com/office/word/2010/wordprocessingShape">
                          <wps:wsp>
                            <wps:cNvSpPr txBox="1"/>
                            <wps:spPr>
                              <a:xfrm>
                                <a:off x="0" y="0"/>
                                <a:ext cx="3829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19710" cy="175260"/>
                      <wp:effectExtent l="0" t="0" r="0" b="0"/>
                      <wp:wrapNone/>
                      <wp:docPr id="210" name="Frame2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33985" cy="175260"/>
                      <wp:effectExtent l="0" t="0" r="0" b="0"/>
                      <wp:wrapNone/>
                      <wp:docPr id="211" name="Frame2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572135" cy="175260"/>
                      <wp:effectExtent l="0" t="0" r="0" b="0"/>
                      <wp:wrapNone/>
                      <wp:docPr id="212" name="Frame21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9710" cy="175260"/>
                      <wp:effectExtent l="0" t="0" r="0" b="0"/>
                      <wp:wrapNone/>
                      <wp:docPr id="213"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33985" cy="175260"/>
                      <wp:effectExtent l="0" t="0" r="0" b="0"/>
                      <wp:wrapNone/>
                      <wp:docPr id="214" name="Frame2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00710" cy="175260"/>
                      <wp:effectExtent l="0" t="0" r="0" b="0"/>
                      <wp:wrapNone/>
                      <wp:docPr id="215" name="Frame215"/>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0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60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Operating Activities</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  ​</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loss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(78,640)</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Adjustments to reconcile net loss to net cash used in operating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pPr>
            <w:r>
              <w:rPr/>
              <w:t>  ​</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Gain on sale of Agri-Energy assets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Stock-based compensation</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14,733</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Depreciation and amortization</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25,323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18,298</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Production tax credits generated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(52,030)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Amortization of deferred financing costs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Lease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 non-cash expense</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2,497</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Changes in operating assets and liabilities, net of effects of acquisition:</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Accounts receivable</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417</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Inventories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(706)</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Prepaid expenses and other current assets, deposits and other assets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(6,557)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(19,050)</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Accounts payable, accrued expenses and non-current liabilities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5,280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5,068</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Deferred clean fuel production tax credits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41,115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Net cash used in operating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(13,401)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(57,383)</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Investing Activities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pPr>
            <w:r>
              <w:rPr/>
              <w:t>  ​</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Acquisitions of property, plant and equipment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(30,113)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(51,085)</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Acquisition of Red Trail Energy, net of cash acquired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(198,461)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Proceeds from sale of Agri-Energy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Proceeds from sale of investment tax credit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15,336</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Payment of earnest money deposit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Acquisition of CultivateAI, net of cash acquired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(6,070)</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Net cash used in investing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(226,574)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(51,819)</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Financing Activities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pPr>
            <w:r>
              <w:rPr/>
              <w:t>  ​</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Proceeds from issuance of bonds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68,155</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Redemption of bonds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(40,000)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(68,155)</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Loan proceeds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105,000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Payment of debt issuance costs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(9,676)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(1,665)</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Non-controlling interest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Distribution to non-controlling interest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Proceeds from the exercise of warrants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Proceeds from the exercise of stock options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Payment of loans payable</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Payment of finance lease liabilities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(906)</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Repurchases of common stock</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(4,710)</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Net cash provided by (used in) financing activities</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97,881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(7,362)</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decrease in cash and cash equivalents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(142,094)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(116,564)</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Cash, cash equivalents and restricted cash at beginning of period</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259,033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375,597</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Cash, cash equivalents and restricted cash at end of period</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116,939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259,033</w:t>
            </w:r>
          </w:p>
        </w:tc>
      </w:tr>
    </w:tbl>
    <w:p>
      <w:pPr>
        <w:pStyle w:val="TextBody"/>
        <w:bidi w:val="0"/>
        <w:spacing w:before="0" w:after="200"/>
        <w:ind w:left="0" w:right="0" w:hanging="0"/>
        <w:jc w:val="left"/>
        <w:rPr/>
      </w:pPr>
      <w:r>
        <w:rPr/>
        <w:t>​</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See the accompanying Notes to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CASH FLOWS—(Continued)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93" w:name="Tc_NyMOu93fZEu8IdGjHQpeKA_6_5"/>
      <w:bookmarkStart w:id="594" w:name="Tc_x-2ZZUdYYE-uyXxjVn_yZw_6_2"/>
      <w:bookmarkStart w:id="595" w:name="Tc_el1Xn2Ar5UCY_1fqGTF4iQ_6_0"/>
      <w:bookmarkStart w:id="596" w:name="Tc_z88xRc1tIUe57A8C77m4Yw_5_0"/>
      <w:bookmarkStart w:id="597" w:name="Tc_ueNMmQSqBkuZA58_wpsVhg_4_0"/>
      <w:bookmarkStart w:id="598" w:name="Tc_POSRPMK-FUWi3wyu8T_feA_3_5"/>
      <w:bookmarkStart w:id="599" w:name="Tc_dEvumW4dREqof-21QbyYLA_3_2"/>
      <w:bookmarkStart w:id="600" w:name="Tc_LEM4WPS_KkCZkknR__aiqA_3_0"/>
      <w:bookmarkStart w:id="601" w:name="Tc_Zl3c2n9sPEecvL5dQ7an3w_2_5"/>
      <w:bookmarkStart w:id="602" w:name="Tc_5hKu3OsMcEmuYED1SRkNoQ_2_2"/>
      <w:bookmarkStart w:id="603" w:name="Tc_eF9JlhJpXUWP3VyJpW01TQ_2_0"/>
      <w:bookmarkStart w:id="604" w:name="Tc_NwARXjp7JEmAoTTyxcgEyw_1_2"/>
      <w:bookmarkStart w:id="605" w:name="_b1c90eca_4a7c_46b6_b357_3638d387e4d3"/>
      <w:bookmarkStart w:id="606" w:name="Tc_NyMOu93fZEu8IdGjHQpeKA_6_5"/>
      <w:bookmarkStart w:id="607" w:name="Tc_x-2ZZUdYYE-uyXxjVn_yZw_6_2"/>
      <w:bookmarkStart w:id="608" w:name="Tc_el1Xn2Ar5UCY_1fqGTF4iQ_6_0"/>
      <w:bookmarkStart w:id="609" w:name="Tc_z88xRc1tIUe57A8C77m4Yw_5_0"/>
      <w:bookmarkStart w:id="610" w:name="Tc_ueNMmQSqBkuZA58_wpsVhg_4_0"/>
      <w:bookmarkStart w:id="611" w:name="Tc_POSRPMK-FUWi3wyu8T_feA_3_5"/>
      <w:bookmarkStart w:id="612" w:name="Tc_dEvumW4dREqof-21QbyYLA_3_2"/>
      <w:bookmarkStart w:id="613" w:name="Tc_LEM4WPS_KkCZkknR__aiqA_3_0"/>
      <w:bookmarkStart w:id="614" w:name="Tc_Zl3c2n9sPEecvL5dQ7an3w_2_5"/>
      <w:bookmarkStart w:id="615" w:name="Tc_5hKu3OsMcEmuYED1SRkNoQ_2_2"/>
      <w:bookmarkStart w:id="616" w:name="Tc_eF9JlhJpXUWP3VyJpW01TQ_2_0"/>
      <w:bookmarkStart w:id="617" w:name="Tc_NwARXjp7JEmAoTTyxcgEyw_1_2"/>
      <w:bookmarkStart w:id="618" w:name="_b1c90eca_4a7c_46b6_b357_3638d387e4d3"/>
      <w:bookmarkEnd w:id="606"/>
      <w:bookmarkEnd w:id="607"/>
      <w:bookmarkEnd w:id="608"/>
      <w:bookmarkEnd w:id="609"/>
      <w:bookmarkEnd w:id="610"/>
      <w:bookmarkEnd w:id="611"/>
      <w:bookmarkEnd w:id="612"/>
      <w:bookmarkEnd w:id="613"/>
      <w:bookmarkEnd w:id="614"/>
      <w:bookmarkEnd w:id="615"/>
      <w:bookmarkEnd w:id="616"/>
      <w:bookmarkEnd w:id="617"/>
      <w:bookmarkEnd w:id="618"/>
    </w:p>
    <w:tbl>
      <w:tblPr>
        <w:tblW w:w="6892" w:type="dxa"/>
        <w:jc w:val="left"/>
        <w:tblInd w:w="0" w:type="dxa"/>
        <w:tblLayout w:type="fixed"/>
        <w:tblCellMar>
          <w:top w:w="0" w:type="dxa"/>
          <w:left w:w="0" w:type="dxa"/>
          <w:bottom w:w="0" w:type="dxa"/>
          <w:right w:w="0" w:type="dxa"/>
        </w:tblCellMar>
      </w:tblPr>
      <w:tblGrid>
        <w:gridCol w:w="4111"/>
        <w:gridCol w:w="346"/>
        <w:gridCol w:w="211"/>
        <w:gridCol w:w="781"/>
        <w:gridCol w:w="346"/>
        <w:gridCol w:w="211"/>
        <w:gridCol w:w="886"/>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610485" cy="175260"/>
                      <wp:effectExtent l="0" t="0" r="0" b="0"/>
                      <wp:wrapNone/>
                      <wp:docPr id="216" name="Frame216"/>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9710" cy="175260"/>
                      <wp:effectExtent l="0" t="0" r="0" b="0"/>
                      <wp:wrapNone/>
                      <wp:docPr id="217" name="Frame2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33985" cy="175260"/>
                      <wp:effectExtent l="0" t="0" r="0" b="0"/>
                      <wp:wrapNone/>
                      <wp:docPr id="218" name="Frame2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495935" cy="175260"/>
                      <wp:effectExtent l="0" t="0" r="0" b="0"/>
                      <wp:wrapNone/>
                      <wp:docPr id="219" name="Frame21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9710" cy="175260"/>
                      <wp:effectExtent l="0" t="0" r="0" b="0"/>
                      <wp:wrapNone/>
                      <wp:docPr id="220" name="Frame2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33985" cy="175260"/>
                      <wp:effectExtent l="0" t="0" r="0" b="0"/>
                      <wp:wrapNone/>
                      <wp:docPr id="221" name="Frame2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562610" cy="175260"/>
                      <wp:effectExtent l="0" t="0" r="0" b="0"/>
                      <wp:wrapNone/>
                      <wp:docPr id="222" name="Frame22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4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Schedule of cash, cash equivalents and restricted cash</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189,389</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Restricted cash (current)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28,770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1,489</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Restricted cash (non-current)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68,155</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Total cash, cash equivalents and restricted cash</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116,939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259,033</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619" w:name="Tc_hZpuS9F32Uq3VEYxB00K0w_7_5"/>
      <w:bookmarkStart w:id="620" w:name="Tc_R4GfvgBHyEu2S9fTy4SHLA_7_2"/>
      <w:bookmarkStart w:id="621" w:name="Tc_vuzygLOOmkWXkGMsoHsVVQ_7_0"/>
      <w:bookmarkStart w:id="622" w:name="Tc_b07L_IERm06ef3h5lXqXZA_6_5"/>
      <w:bookmarkStart w:id="623" w:name="Tc_Bc3Ozvz_C06hPKwV5wNNmA_6_2"/>
      <w:bookmarkStart w:id="624" w:name="Tc_ZtlDYhAHYUmpB4P3Lnxk_w_6_0"/>
      <w:bookmarkStart w:id="625" w:name="Tc_PthGEaVjOkeMXxI5LvlYZg_5_5"/>
      <w:bookmarkStart w:id="626" w:name="Tc_u_HEnwZbuEi7COWAAeX3hQ_5_2"/>
      <w:bookmarkStart w:id="627" w:name="Tc__nVfibcL3E-s4bPVPAL1Zg_5_0"/>
      <w:bookmarkStart w:id="628" w:name="Tc_XmnDbEHsQ0Kl2l9wPANSLA_4_6"/>
      <w:bookmarkStart w:id="629" w:name="Tc_IX89SpispkKSW9qScCvn_Q_4_5"/>
      <w:bookmarkStart w:id="630" w:name="Tc_0W9c2DSn7k-z5eiwR6RgRQ_4_2"/>
      <w:bookmarkStart w:id="631" w:name="Tc_mIzaCN0wN0uDyDmE2XNyNQ_4_0"/>
      <w:bookmarkStart w:id="632" w:name="Tc___4RkC2Zck-4qUdVhEO7zg_3_5"/>
      <w:bookmarkStart w:id="633" w:name="Tc_EdCXPqeuBUe29bfBR44oHQ_3_2"/>
      <w:bookmarkStart w:id="634" w:name="Tc_ZDzL-Q_fpk6_pxLujlHA2A_3_0"/>
      <w:bookmarkStart w:id="635" w:name="Tc_J-Yhdd-yH0CE4bE3fcPeIA_2_5"/>
      <w:bookmarkStart w:id="636" w:name="Tc_BPq0T-aNtkuinYroyhbXRw_2_2"/>
      <w:bookmarkStart w:id="637" w:name="Tc_StT3Qv2-3UCwJ9yMBtVAUw_2_0"/>
      <w:bookmarkStart w:id="638" w:name="Tc_C8mOydfyXk6sNmzNysBJqQ_1_2"/>
      <w:bookmarkStart w:id="639" w:name="_89c5b786_5121_4c8c_9bc8_b5ef8aa25d7c"/>
      <w:bookmarkStart w:id="640" w:name="Tc_hZpuS9F32Uq3VEYxB00K0w_7_5"/>
      <w:bookmarkStart w:id="641" w:name="Tc_R4GfvgBHyEu2S9fTy4SHLA_7_2"/>
      <w:bookmarkStart w:id="642" w:name="Tc_vuzygLOOmkWXkGMsoHsVVQ_7_0"/>
      <w:bookmarkStart w:id="643" w:name="Tc_b07L_IERm06ef3h5lXqXZA_6_5"/>
      <w:bookmarkStart w:id="644" w:name="Tc_Bc3Ozvz_C06hPKwV5wNNmA_6_2"/>
      <w:bookmarkStart w:id="645" w:name="Tc_ZtlDYhAHYUmpB4P3Lnxk_w_6_0"/>
      <w:bookmarkStart w:id="646" w:name="Tc_PthGEaVjOkeMXxI5LvlYZg_5_5"/>
      <w:bookmarkStart w:id="647" w:name="Tc_u_HEnwZbuEi7COWAAeX3hQ_5_2"/>
      <w:bookmarkStart w:id="648" w:name="Tc__nVfibcL3E-s4bPVPAL1Zg_5_0"/>
      <w:bookmarkStart w:id="649" w:name="Tc_XmnDbEHsQ0Kl2l9wPANSLA_4_6"/>
      <w:bookmarkStart w:id="650" w:name="Tc_IX89SpispkKSW9qScCvn_Q_4_5"/>
      <w:bookmarkStart w:id="651" w:name="Tc_0W9c2DSn7k-z5eiwR6RgRQ_4_2"/>
      <w:bookmarkStart w:id="652" w:name="Tc_mIzaCN0wN0uDyDmE2XNyNQ_4_0"/>
      <w:bookmarkStart w:id="653" w:name="Tc___4RkC2Zck-4qUdVhEO7zg_3_5"/>
      <w:bookmarkStart w:id="654" w:name="Tc_EdCXPqeuBUe29bfBR44oHQ_3_2"/>
      <w:bookmarkStart w:id="655" w:name="Tc_ZDzL-Q_fpk6_pxLujlHA2A_3_0"/>
      <w:bookmarkStart w:id="656" w:name="Tc_J-Yhdd-yH0CE4bE3fcPeIA_2_5"/>
      <w:bookmarkStart w:id="657" w:name="Tc_BPq0T-aNtkuinYroyhbXRw_2_2"/>
      <w:bookmarkStart w:id="658" w:name="Tc_StT3Qv2-3UCwJ9yMBtVAUw_2_0"/>
      <w:bookmarkStart w:id="659" w:name="Tc_C8mOydfyXk6sNmzNysBJqQ_1_2"/>
      <w:bookmarkStart w:id="660" w:name="_89c5b786_5121_4c8c_9bc8_b5ef8aa25d7c"/>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p>
    <w:tbl>
      <w:tblPr>
        <w:tblW w:w="8040" w:type="dxa"/>
        <w:jc w:val="left"/>
        <w:tblInd w:w="0" w:type="dxa"/>
        <w:tblLayout w:type="fixed"/>
        <w:tblCellMar>
          <w:top w:w="0" w:type="dxa"/>
          <w:left w:w="0" w:type="dxa"/>
          <w:bottom w:w="0" w:type="dxa"/>
          <w:right w:w="0" w:type="dxa"/>
        </w:tblCellMar>
      </w:tblPr>
      <w:tblGrid>
        <w:gridCol w:w="5611"/>
        <w:gridCol w:w="346"/>
        <w:gridCol w:w="213"/>
        <w:gridCol w:w="684"/>
        <w:gridCol w:w="350"/>
        <w:gridCol w:w="213"/>
        <w:gridCol w:w="623"/>
      </w:tblGrid>
      <w:tr>
        <w:trPr/>
        <w:tc>
          <w:tcPr>
            <w:tcW w:w="5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3562985" cy="175260"/>
                      <wp:effectExtent l="0" t="0" r="0" b="0"/>
                      <wp:wrapNone/>
                      <wp:docPr id="223" name="Frame223"/>
                      <a:graphic xmlns:a="http://schemas.openxmlformats.org/drawingml/2006/main">
                        <a:graphicData uri="http://schemas.microsoft.com/office/word/2010/wordprocessingShape">
                          <wps:wsp>
                            <wps:cNvSpPr txBox="1"/>
                            <wps:spPr>
                              <a:xfrm>
                                <a:off x="0" y="0"/>
                                <a:ext cx="3562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19710" cy="175260"/>
                      <wp:effectExtent l="0" t="0" r="0" b="0"/>
                      <wp:wrapNone/>
                      <wp:docPr id="224" name="Frame2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35255" cy="175260"/>
                      <wp:effectExtent l="0" t="0" r="0" b="0"/>
                      <wp:wrapNone/>
                      <wp:docPr id="225" name="Frame225"/>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434340" cy="175260"/>
                      <wp:effectExtent l="0" t="0" r="0" b="0"/>
                      <wp:wrapNone/>
                      <wp:docPr id="226" name="Frame226"/>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22250" cy="175260"/>
                      <wp:effectExtent l="0" t="0" r="0" b="0"/>
                      <wp:wrapNone/>
                      <wp:docPr id="227" name="Frame227"/>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5255" cy="175260"/>
                      <wp:effectExtent l="0" t="0" r="0" b="0"/>
                      <wp:wrapNone/>
                      <wp:docPr id="228" name="Frame228"/>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395605" cy="175260"/>
                      <wp:effectExtent l="0" t="0" r="0" b="0"/>
                      <wp:wrapNone/>
                      <wp:docPr id="229" name="Frame229"/>
                      <a:graphic xmlns:a="http://schemas.openxmlformats.org/drawingml/2006/main">
                        <a:graphicData uri="http://schemas.microsoft.com/office/word/2010/wordprocessingShape">
                          <wps:wsp>
                            <wps:cNvSpPr txBox="1"/>
                            <wps:spPr>
                              <a:xfrm>
                                <a:off x="0" y="0"/>
                                <a:ext cx="395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0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5611"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Supplemental disclosures of cash and non-cash investing and financing transactions</w:t>
            </w:r>
          </w:p>
        </w:tc>
        <w:tc>
          <w:tcPr>
            <w:tcW w:w="346" w:type="dxa"/>
            <w:tcBorders/>
            <w:vAlign w:val="center"/>
          </w:tcPr>
          <w:p>
            <w:pPr>
              <w:pStyle w:val="TableContents"/>
              <w:bidi w:val="0"/>
              <w:spacing w:before="0" w:after="0"/>
              <w:ind w:left="0" w:right="0" w:hanging="0"/>
              <w:jc w:val="center"/>
              <w:rPr/>
            </w:pPr>
            <w:r>
              <w:rPr/>
              <w:t>​</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50" w:type="dxa"/>
            <w:tcBorders/>
            <w:vAlign w:val="center"/>
          </w:tcPr>
          <w:p>
            <w:pPr>
              <w:pStyle w:val="TableContents"/>
              <w:bidi w:val="0"/>
              <w:spacing w:before="0" w:after="0"/>
              <w:ind w:left="0" w:right="0" w:hanging="0"/>
              <w:jc w:val="center"/>
              <w:rPr/>
            </w:pPr>
            <w:r>
              <w:rPr/>
              <w:t>  ​ ​ ​</w:t>
            </w:r>
          </w:p>
        </w:tc>
        <w:tc>
          <w:tcPr>
            <w:tcW w:w="8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6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paid for interest, net of amounts capitalized</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12,557</w:t>
            </w:r>
          </w:p>
        </w:tc>
        <w:tc>
          <w:tcPr>
            <w:tcW w:w="350"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1,619</w:t>
            </w:r>
          </w:p>
        </w:tc>
      </w:tr>
      <w:tr>
        <w:trPr/>
        <w:tc>
          <w:tcPr>
            <w:tcW w:w="56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Capitalized interest included in property, plant and equipment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50"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3" w:type="dxa"/>
            <w:tcBorders/>
            <w:vAlign w:val="center"/>
          </w:tcPr>
          <w:p>
            <w:pPr>
              <w:pStyle w:val="TableContents"/>
              <w:bidi w:val="0"/>
              <w:spacing w:before="0" w:after="0"/>
              <w:ind w:left="0" w:right="0" w:hanging="0"/>
              <w:jc w:val="right"/>
              <w:rPr/>
            </w:pPr>
            <w:r>
              <w:rPr/>
              <w:t>—</w:t>
            </w:r>
          </w:p>
        </w:tc>
      </w:tr>
      <w:tr>
        <w:trPr/>
        <w:tc>
          <w:tcPr>
            <w:tcW w:w="56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Non-cash purchase of property, plant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6,207</w:t>
            </w:r>
          </w:p>
        </w:tc>
        <w:tc>
          <w:tcPr>
            <w:tcW w:w="350"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2,595</w:t>
            </w:r>
          </w:p>
        </w:tc>
      </w:tr>
      <w:tr>
        <w:trPr/>
        <w:tc>
          <w:tcPr>
            <w:tcW w:w="56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Right-of-use asset purchased with financing leases</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c>
          <w:tcPr>
            <w:tcW w:w="350"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2,731</w:t>
            </w:r>
          </w:p>
        </w:tc>
      </w:tr>
      <w:tr>
        <w:trPr/>
        <w:tc>
          <w:tcPr>
            <w:tcW w:w="56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Right-of-use asset purchased with operating lease</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350"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3"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32</w:t>
            </w:r>
          </w:p>
        </w:tc>
      </w:tr>
    </w:tbl>
    <w:p>
      <w:pPr>
        <w:pStyle w:val="TextBody"/>
        <w:bidi w:val="0"/>
        <w:spacing w:before="0" w:after="0"/>
        <w:ind w:left="0" w:right="0" w:hanging="0"/>
        <w:jc w:val="left"/>
        <w:rPr/>
      </w:pPr>
      <w:r>
        <w:rPr/>
        <w:t>​</w:t>
      </w:r>
    </w:p>
    <w:p>
      <w:pPr>
        <w:pStyle w:val="TextBody"/>
        <w:bidi w:val="0"/>
        <w:spacing w:before="0" w:after="200"/>
        <w:ind w:left="0" w:right="0" w:firstLine="720"/>
        <w:jc w:val="center"/>
        <w:rPr>
          <w:rFonts w:ascii="Times New Roman;Times;serif" w:hAnsi="Times New Roman;Times;serif"/>
          <w:sz w:val="20"/>
        </w:rPr>
      </w:pPr>
      <w:r>
        <w:rPr>
          <w:rFonts w:ascii="Times New Roman;Times;serif" w:hAnsi="Times New Roman;Times;serif"/>
          <w:sz w:val="20"/>
        </w:rPr>
        <w:t>See the accompanying Notes to the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00"/>
        <w:ind w:left="0" w:right="0" w:hanging="0"/>
        <w:jc w:val="left"/>
        <w:rPr>
          <w:rFonts w:ascii="Times New Roman;Times;serif" w:hAnsi="Times New Roman;Times;serif"/>
          <w:b/>
          <w:sz w:val="20"/>
        </w:rPr>
      </w:pPr>
      <w:bookmarkStart w:id="661" w:name="a1NatureofBusinessFinancialConditionandB"/>
      <w:bookmarkEnd w:id="661"/>
      <w:r>
        <w:rPr>
          <w:rFonts w:ascii="Times New Roman;Times;serif" w:hAnsi="Times New Roman;Times;serif"/>
          <w:b/>
          <w:sz w:val="20"/>
        </w:rPr>
        <w:t>1. Nature of Business, Financial Condition and Basis of Presentation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 xml:space="preserve">Nature of business. </w:t>
      </w:r>
      <w:r>
        <w:rPr>
          <w:rFonts w:ascii="Times New Roman;Times;serif" w:hAnsi="Times New Roman;Times;serif"/>
          <w:sz w:val="20"/>
        </w:rPr>
        <w:t>Gevo, Inc. (Nasdaq: GEVO) (“Gevo”, “we”, “us”, “our”, or the “Company,” which, unless otherwise indicated, refers to Gevo, Inc. and its subsidiaries), a Delaware corporation founded in 2005, is a growth-oriented, carbon abatement company with the mission of solving greenhouse gas (“GHG”) emissions for those sectors of the transportation industry that are not amenable to electrification or hydrogen.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Company is focused on transforming renewable energy and carbon derived from photosynthesis into energy-dense liquid, drop-in and cost-effective hydrocarbon fuels. These fuels include jet fuel, gasoline and diesel. The Company’s technology and development activities are intended to enable additional domestic energy production, support the construction of new manufacturing facilities, create employment opportunities, expand agricultural markets, and contribute to broader economic growth.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Gevo’s production facility in North Dakota (“Gevo North Dakota” or “GevoND”) currently produces low-carbon ethanol, animal feed, and corn oil. Gevo North Dakota consists of an ethanol production plant with approximately 67 million gallons per year of capacity, a carbon capture and sequestration (“CCS”) well injecting approximately 165,000 metric tons of CO₂ per year, and leases which give us rights to use additional pore space for carbon capture with an estimated capacity of one million metric tons per year. We view this asset as a strategic growth platform.</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Gevo North Dakota was acquired when Gevo acquired substantially all of the assets and assumed certain liabilities of Red Trail Energy, LLC (“Red Trail Energy”) in an acquisition completed on January 31, 2025, for a purchase price of $210 million, subject to customary adjustments, including a working capital adjustment. The acquired assets are now known as Gevo North Dakota.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Company has a renewable natural gas (“RNG”) facility in Northwest Iowa (“NW Iowa RNG”). NW Iowa RNG produces RNG from dairy cow manure, which is supplied by three local dairies. Animal manure can be digested anaerobically by microorganisms to produce biogas, which is then upgraded to pipeline quality gas. </w:t>
      </w:r>
      <w:r>
        <w:rPr>
          <w:rFonts w:ascii="Times New Roman;Times;serif" w:hAnsi="Times New Roman;Times;serif"/>
          <w:color w:val="212529"/>
          <w:sz w:val="20"/>
          <w:shd w:fill="FFFFFF" w:val="clear"/>
        </w:rPr>
        <w:t>In 2024, we completed an expansion to the RNG business to increase its annual expected output from</w:t>
      </w:r>
      <w:r>
        <w:rPr>
          <w:rFonts w:ascii="Times New Roman;Times;serif" w:hAnsi="Times New Roman;Times;serif"/>
          <w:sz w:val="20"/>
        </w:rPr>
        <w:t xml:space="preserve"> 355,000 million British thermal units (“MMBtu”) to 400,000 MMBtu. We sell our RNG to the California market through an agreement with BP Canada Energy Marketing Corp. and BP Products North America Inc. (collectively, “BP”). In addition, we generate and sell LCFS credits, and D3 Renewable Identification Numbers (“RINs”) (collectively, “environmental attributes”). </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Principles of Consolidation</w:t>
      </w:r>
      <w:r>
        <w:rPr>
          <w:rFonts w:ascii="Times New Roman;Times;serif" w:hAnsi="Times New Roman;Times;serif"/>
          <w:sz w:val="20"/>
        </w:rPr>
        <w:t>. The Consolidated Financial Statements of Gevo include the accounts of its wholly owned subsidiaries. All intercompany balances and transactions have been eliminated in consolidation.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Basis of Presentation.</w:t>
      </w:r>
      <w:r>
        <w:rPr>
          <w:rFonts w:ascii="Times New Roman;Times;serif" w:hAnsi="Times New Roman;Times;serif"/>
          <w:sz w:val="20"/>
        </w:rPr>
        <w:t xml:space="preserve"> The Consolidated Financial Statements of the Company have been prepared pursuant to the rules and regulations of the U.S. Securities and Exchange Commission (the “SEC”) and accounting principles generally accepted in the U.S. (“U.S. GAAP”). These statements reflect all normal and recurring adjustments which, in the opinion of management, are necessary to present fairly the financial position, results of operations and cash flows of the Company</w:t>
      </w:r>
      <w:r>
        <w:rPr>
          <w:rFonts w:ascii="Times New Roman;Times;serif" w:hAnsi="Times New Roman;Times;serif"/>
          <w:i/>
          <w:sz w:val="20"/>
        </w:rPr>
        <w:t>.</w:t>
      </w:r>
      <w:r>
        <w:rPr>
          <w:rFonts w:ascii="Times New Roman;Times;serif" w:hAnsi="Times New Roman;Times;serif"/>
          <w:sz w:val="20"/>
        </w:rPr>
        <w:t xml:space="preserve"> The Company had no components of other comprehensive income (loss) for the periods presented. Accordingly, net income (loss) equals comprehensive income (loss). </w:t>
      </w:r>
    </w:p>
    <w:p>
      <w:pPr>
        <w:pStyle w:val="TextBody"/>
        <w:bidi w:val="0"/>
        <w:spacing w:before="0" w:after="20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Use of Estimates</w:t>
      </w:r>
      <w:r>
        <w:rPr>
          <w:rFonts w:ascii="Times New Roman;Times;serif" w:hAnsi="Times New Roman;Times;serif"/>
          <w:sz w:val="20"/>
        </w:rPr>
        <w:t>. The preparation of financial statements in conformity with U.S. GAAP requires management to make estimates and assumptions that affect the reported amounts of assets, liabilities, revenues, expenses, and related disclosures. These estimates and assumptions are inherently subject to uncertainty, and actual results could differ from these estimates. Significant areas requiring estimates and assumptions include, but are not limited to, the determination of useful lives of property, plant and equipment, inventory, asset retirement obligations, the recognition of revenue, the valuation of business combinations, impairment of long-lived assets, goodwill and intangible assets, and the fair value of clean fuel production credits (“PTC”). Management regularly reviews our estimates based on the most current available information. Changes in facts and circumstances may result in revised estimates.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Concentrations of Credit Risk and Major Customers</w:t>
      </w:r>
      <w:r>
        <w:rPr>
          <w:rFonts w:ascii="Times New Roman;Times;serif" w:hAnsi="Times New Roman;Times;serif"/>
          <w:sz w:val="20"/>
        </w:rPr>
        <w:t>. The Company’s financial instruments that are exposed to concentrations of credit risk consist of cash and cash equivalents in excess of the federally insured limits. The Company’s cash and cash equivalents are deposited with high credit-quality financial institutions and are primarily in demand deposit accounts and money market funds. As of December 31, 2025, and 2024, one customer accounted for 46% and 86% of trade accounts receivable, net, and 80% and 93% of total revenue, respectively.</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Cash, Cash Equivalents and Restricted Cash</w:t>
      </w:r>
      <w:r>
        <w:rPr>
          <w:rFonts w:ascii="Times New Roman;Times;serif" w:hAnsi="Times New Roman;Times;serif"/>
          <w:sz w:val="20"/>
        </w:rPr>
        <w:t xml:space="preserve">. The Company maintains its cash and cash equivalents in highly liquid interest-bearing money market accounts or non-interest-bearing demand accounts. The Company considers all highly liquid investments purchased with a maturity of three months or less at the date of acquisition to be cash equivalents. Restricted cash is classified as current or non-current based on the terms of the underlying agreements and represents cash held as deposits in reserve accounts for our Series 2025A Bonds and cash collateral for financial letters of credit securing our Remarketed Bonds.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Trade Accounts Receivable, net</w:t>
      </w:r>
      <w:r>
        <w:rPr>
          <w:rFonts w:ascii="Times New Roman;Times;serif" w:hAnsi="Times New Roman;Times;serif"/>
          <w:sz w:val="20"/>
        </w:rPr>
        <w:t>. The Company records receivables for products shipped but for which payment has not yet been received. The Company records an allowance for expected credit losses on accounts receivable; however, such amounts have historically been immaterial.</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Inventories</w:t>
      </w:r>
      <w:r>
        <w:rPr>
          <w:rFonts w:ascii="Times New Roman;Times;serif" w:hAnsi="Times New Roman;Times;serif"/>
          <w:sz w:val="20"/>
        </w:rPr>
        <w:t>. Inventory is stated at the lower of cost or net realizable value. Raw materials inventory consists primarily of corn and other materials and supplies and is valued using the first-in, first-out (FIFO) method. Finished goods inventory includes ethanol, isobutanol, and other co-products of the production process. Work-in-process inventory includes unfinished ethanol, isobutanol, and renewable hydrocarbon products. Spare parts inventory consists of parts required to maintain the Company’s production facilities. Each reporting period, the Company evaluates inventory balances to assess recoverability through future sales and records adjustments, as necessary, to reflect the lower of cost or net realizable value.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 xml:space="preserve">Environmental Attribute Inventory. </w:t>
      </w:r>
      <w:r>
        <w:rPr>
          <w:rFonts w:ascii="Times New Roman;Times;serif" w:hAnsi="Times New Roman;Times;serif"/>
          <w:sz w:val="20"/>
        </w:rPr>
        <w:t>The Company generates D3 Renewable Identification Numbers (“RINs”) and Low Carbon Fuel Standard (“LCFS”) credits and carbon removal credits (collectively, “environmental attributes”) through the production of RNG used for transportation purposes as prescribed under the Renewable Fuels Standard program (“RFS”) as well as through the carbon sequestration process at our GevoND business. Our carbon removal credits are certified by Puro Earth (“Puro”), an independent third-party carbon credit registry. The GevoND facility produces Carbon Dioxide Removal Certificates (CORCs) via Bioenergy with Carbon Capture and Storage (BECCS), which represent permanent carbon sequestration from ethanol production. Environmental attribute inventory is included as a component of “Inventories” on the Consolidated Balance Sheets. The Company intends to actively market and sell environmental attributes and as such records them as inventory. Accordingly, the Company allocates the costs of production based on the relative sales value of all revenue items for the NW Iowa RNG operations. The value of the environmental attributes is reviewed for potential write-downs based on the net realizable value methodology. Revenue is recognized on these environmental attributes when there is an agreement in place to monetize the credits at an agreed upon price with a customer based upon defined third party market prices and a transfer of control has occurred.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Business Combinations</w:t>
      </w:r>
      <w:r>
        <w:rPr>
          <w:rFonts w:ascii="Times New Roman;Times;serif" w:hAnsi="Times New Roman;Times;serif"/>
          <w:sz w:val="20"/>
        </w:rPr>
        <w:t>. The Company accounts for its business combinations in accordance with the provisions of Accounting Standards Codification (“ASC”) Topic 805-10, Business Combinations ("ASC 805-10"). ASC 805-10 mandates the use of the purchase method of accounting for all business combinations. Under this method, assets acquired and liabilities assumed are recorded at their respective fair values as of the acquisition date. For transactions meeting the definition of business combinations, the Company evaluates the recognition of goodwill. Goodwill represents the excess of the purchase price over the fair value of the identifiable tangible and intangible assets acquired, and liabilities assumed, in a business combination. ASC 805-10 further stipulates criteria that intangible assets acquired in a business combination must meet in order to be recognized and reported separately from goodwill. Acquisition-related costs, including transaction fees, are recognized separately from the business combination and expensed as incurred.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determination of the fair value of net assets acquired, including the allocation of fair value to identifiable assets and liabilities, is based on established valuation techniques. Fair value is defined as the price that would be received to sell an asset or paid to transfer a liability in an orderly transaction between market participants at the measurement date. In the context of purchase accounting, determining fair value often requires significant judgments and estimates by management, including the selection of appropriate valuation methodologies, estimates of future revenues, costs, cash flows, discount rates, and the identification of comparable companies. The estimated fair values of assets acquired and liabilities assumed are based on management's judgment, supplemented by the expertise of third-party valuation specialists engaged to assist in determining fair value. The allocation of fair value to the identifiable assets and liabilities is based on available information at the acquisition date and assumptions deemed reasonable by management. However, changes in facts and circumstances may result in adjustments to the initial fair value estimates during the measurement period, which may not exceed one year from the acquisition date.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Derivative Financial Instruments.</w:t>
      </w:r>
      <w:r>
        <w:rPr>
          <w:rFonts w:ascii="Times New Roman;Times;serif" w:hAnsi="Times New Roman;Times;serif"/>
          <w:sz w:val="20"/>
        </w:rPr>
        <w:t xml:space="preserve"> After acquiring an ethanol operating facility in the first quarter of 2025, the Company integrated commodity-based derivative transactions, specifically corn futures contracts, into its hedging strategy to manage its exposure to commodity price fluctuations. This strategy aims to protect cash flows associated with the increased exposure to commodity price volatility arising from its GevoND operations, which include corn-based production and procurement activities. These derivative contracts are intended to economically hedge the Company’s cash flow exposure to changes in corn prices, which directly impact the cost of raw materials used in production.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does not apply hedge accounting to these instruments under Financial Accounting Standards Board (“FASB”) ASC 815, Derivatives and Hedging. As such, all derivative instruments are recorded at fair value on the consolidated balance sheet, and changes in the fair value of these instruments are recognized in earnings in the period in which they occur. Gains and losses resulting from changes in the fair value of corn derivative contracts are included in the cost of goods sold in the consolidated statements of operations, as they directly relate to the Company’s inventory procurement and production activities. The fair value of the derivative contracts is included in prepaid and other current assets on the consolidated balance sheets. These instruments may create volatility in earnings from period to period, as the timing of derivative gains or losses may not align with the recognition of the related exposure in the financial statements. The Company does not use derivative instruments for speculative purposes.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Property, Plant and Equipment</w:t>
      </w:r>
      <w:r>
        <w:rPr>
          <w:rFonts w:ascii="Times New Roman;Times;serif" w:hAnsi="Times New Roman;Times;serif"/>
          <w:sz w:val="20"/>
        </w:rPr>
        <w:t>. Property, plant and equipment are recorded at cost less accumulated depreciation and amortization. Leasehold improvements are amortized over the term of the lease agreement or the service lives of the improvements, whichever is shorter. Assets under construction are depreciated when they are placed into service. Maintenance and repairs are charged to expense as incurred and expenditures for major improvements are capitalized.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 xml:space="preserve">Construction in Progress. </w:t>
      </w:r>
      <w:r>
        <w:rPr>
          <w:rFonts w:ascii="Times New Roman;Times;serif" w:hAnsi="Times New Roman;Times;serif"/>
          <w:sz w:val="20"/>
        </w:rPr>
        <w:t>Construction in progress represents expenditures necessary to bring an asset, project, new facilities or equipment to the condition and location necessary for its intended use and are capitalized and recorded at cost. Once completed and ready for its intended use, the asset is transferred to property, plant and equipment to be depreciated or amortized.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Depreciation and Amortization.</w:t>
      </w:r>
      <w:r>
        <w:rPr>
          <w:rFonts w:ascii="Times New Roman;Times;serif" w:hAnsi="Times New Roman;Times;serif"/>
          <w:sz w:val="20"/>
        </w:rPr>
        <w:t xml:space="preserve"> Capitalized costs are depreciated or amortized using the straight-line method at rates sufficient to depreciate such costs over the shorter of estimated productive lives of such assets or the useful life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individual assets. The estimates of productive lives may change, possibly in the near term, resulting in changes to depreciation and amortization rates in future reporting periods.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Impairment of Long-Lived Assets</w:t>
      </w:r>
      <w:r>
        <w:rPr>
          <w:rFonts w:ascii="Times New Roman;Times;serif" w:hAnsi="Times New Roman;Times;serif"/>
          <w:sz w:val="20"/>
        </w:rPr>
        <w:t>. The Company evaluates the recoverability of the recorded amount of long-lived assets, including property, plant and equipment, licenses, patents, operating lease right-of-use assets, and finance lease right-of-use assets when events or changes in circumstances indicate that their carrying amount may not be recoverable. The carrying amount of a long-lived asset is considered to be impaired if it exceeds the sum of the undiscounted cash flows expected to result from the use and eventual disposition of the assets. If the Company determines that an asset is impaired, it measures the impairment to be recognized as the amount by which the recorded amount of the asset exceeds its fair value. No impairment losses on tangible and intangible assets were recorded for the years ended December 31, 2025, and 2024.</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Asset Retirement Obligations</w:t>
      </w:r>
      <w:r>
        <w:rPr>
          <w:rFonts w:ascii="Times New Roman;Times;serif" w:hAnsi="Times New Roman;Times;serif"/>
          <w:sz w:val="20"/>
        </w:rPr>
        <w:t xml:space="preserve">. The fair value of an asset retirement obligation (“ARO”) is recognized in the period in which it is incurred, provided that a reasonable estimate of fair value can be made. The Company’s ARO is primarily related to commitments to restore or decommission property subject to operating leases associated with its GevoND and RNG operations.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January 2025, Gevo completed the acquisition of substantially all of the assets and certain liabilities of Red Trail Energy. As part of the acquisition, management recorded the ARO related to the Broom Creek formation pore space, which includes plugging injection wells, sealing the site, and post-closure monitoring, as required by regulatory and environmental standards to ensure long-term CO₂ containment. These requirements are driven by both regulatory mandates and industry best practices to ensure long-term environmental safety and mitigate the risk of CO₂ leakage.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capitalized ARO costs included in property, plant, and equipment are depreciated over the shorter of the useful life of the related asset or the term of the associated lease. ARO liabilities are accreted over time using the credit-adjusted risk-free rate applied at initial recognition and recorded in operations expense on the depreciation and amortization expense on the </w:t>
      </w:r>
      <w:r>
        <w:rPr>
          <w:rFonts w:ascii="Times New Roman;Times;serif" w:hAnsi="Times New Roman;Times;serif"/>
          <w:sz w:val="20"/>
          <w:shd w:fill="FFFFFF" w:val="clear"/>
        </w:rPr>
        <w:t>Consolidated Statement of Operations</w:t>
      </w:r>
      <w:r>
        <w:rPr>
          <w:rFonts w:ascii="Times New Roman;Times;serif" w:hAnsi="Times New Roman;Times;serif"/>
          <w:sz w:val="20"/>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 xml:space="preserve">Leases, Right-of-Use Assets and Related Liabilities. </w:t>
      </w:r>
      <w:r>
        <w:rPr>
          <w:rFonts w:ascii="Times New Roman;Times;serif" w:hAnsi="Times New Roman;Times;serif"/>
          <w:sz w:val="20"/>
        </w:rPr>
        <w:t>The Company enters into various arrangements which constitute a lease as defined by Accounting Standards Codification (“ASC”) 842, Leases, as part of its ongoing business activities and operations. Leases represent a contract or part of a contract that conveys the right to control the use of identified property, plant or equipment (an identified asset) for a period of time in exchange for consideration. Such contracts result in both (a) right-of-use assets, which represent the Company’s right to use an underlying asset for the term of the contract; and (b) a corresponding lease liability which represents the Company’s obligation to make the lease payments arising from the contract. The Company has elected not to recognize a right-of-use asset and lease liability for any lease with an original lease term of 12 months or less. Lease expense for such leases is recognized on a straight-line basis over the lease term.</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 lease is classified as a finance lease when one or more of the following criteria are met: (i) the lease transfers ownership of the asset by the end of the lease term, (ii) the lease contains an option to purchase the asset that is reasonably certain to be exercised, (iii) the lease term is for a major part of the remaining useful life of the asset, (iv) the present value of the lease payments equals or exceeds substantially all of the fair value of the asset, or (v) the asset is of such a specialized nature that it is expected to have no alternative use to the lessor at the end of the lease term. If a lease does not meet any of these criteria, the lease is classified as an operating lease.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Lease liabilities are initially measured at the lease commencement date based on the present value of lease payments over the lease term, discounted using an estimate of the Company’s incremental borrowing rate for a collateralized loan with the same term and payment as the lease. Right-of-use assets are measured based on the amount of the lease liability adjusted for any lease payments made to the lessor at or before the lease commencement date less any lease incentives received. All right-of-use assets are evaluated for impairment in accordance with accounting standards applicable to long-lived assets.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Renewal options are included in the calculation of our right-of-use assets and lease liabilities when the Company determines that the option is reasonably certain of exercise based on an analysis of the relevant facts and circumstances. Certain of the Company’s leases require variable lease payments that do not depend on an index or rate and such payments are excluded from the calculation of the right-of-use asset and lease liability and are recognized as variable lease cost when incurred.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Lease cost for operating leases consists of the fixed lease payments recognized on a straight-line basis over the lease term plus variable lease payments as incurred. Lease cost for finance leases consists of amortization of the right-of-use assets on a straight-line basis over the lease term, interest expense on the lease liability and variable lease payments as incurred.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has elected the practical expedient to account for the lease and non-lease components as a single lease component for its corporate office lease asset class.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 xml:space="preserve">Intangible assets. </w:t>
      </w:r>
      <w:r>
        <w:rPr>
          <w:rFonts w:ascii="Times New Roman;Times;serif" w:hAnsi="Times New Roman;Times;serif"/>
          <w:sz w:val="20"/>
        </w:rPr>
        <w:t xml:space="preserve">Intangible assets consist of patents, </w:t>
      </w:r>
      <w:r>
        <w:rPr>
          <w:rFonts w:ascii="Times New Roman;Times;serif" w:hAnsi="Times New Roman;Times;serif"/>
          <w:color w:val="212529"/>
          <w:sz w:val="20"/>
        </w:rPr>
        <w:t>developed technology, customer-related intangibles, trade names, and 45Z production tax credits</w:t>
      </w:r>
      <w:r>
        <w:rPr>
          <w:rFonts w:ascii="Times New Roman;Times;serif" w:hAnsi="Times New Roman;Times;serif"/>
          <w:sz w:val="20"/>
        </w:rPr>
        <w:t xml:space="preserve">. Costs related to patents, including legal fees, </w:t>
      </w:r>
      <w:r>
        <w:rPr>
          <w:rFonts w:ascii="Times New Roman;Times;serif" w:hAnsi="Times New Roman;Times;serif"/>
          <w:color w:val="212529"/>
          <w:sz w:val="20"/>
        </w:rPr>
        <w:t>customer-related intangible, and trade names</w:t>
      </w:r>
      <w:r>
        <w:rPr>
          <w:rFonts w:ascii="Times New Roman;Times;serif" w:hAnsi="Times New Roman;Times;serif"/>
          <w:sz w:val="20"/>
        </w:rPr>
        <w:t xml:space="preserve"> are capitalized and amortized over the estimated useful lives using the straight-line method. Amortization expense is recorded in “Depreciation and amortization” in the Operating expenses section of the Consolidated Statements of Operations. For intangibles purchased in acquisitions, the useful life is determined by valuation estimates of remaining economic life. The Company periodically evaluates the amortization period and carrying value of its intangible assets to determine whether any events or circumstances warrant revised estimated useful life or reduction in value. The 45Z production tax credits have indefinite lives and are not amortized. The intangible asset is reduced upon transfer to the purchaser of the credit.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 xml:space="preserve">Capitalized Software Costs. </w:t>
      </w:r>
      <w:r>
        <w:rPr>
          <w:rFonts w:ascii="Times New Roman;Times;serif" w:hAnsi="Times New Roman;Times;serif"/>
          <w:sz w:val="20"/>
        </w:rPr>
        <w:t>The Company capitalizes significant costs incurred in the development of software for internal use, including the costs of the software, materials, consultants, and payroll and payroll related costs for employees incurred in developing internal use computer software. Planning costs incurred prior to the development of software and costs not qualifying for capitalization are charged to expense. The Company amortizes capitalized software over a period of five years, which is the expected useful life of the software.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 xml:space="preserve">Goodwill. </w:t>
      </w:r>
      <w:r>
        <w:rPr>
          <w:rFonts w:ascii="Times New Roman;Times;serif" w:hAnsi="Times New Roman;Times;serif"/>
          <w:sz w:val="20"/>
        </w:rPr>
        <w:t xml:space="preserve">Goodwill is not amortized but is tested for impairment annually or whenever indications of impairment exist. Impairment exists when the carrying amount of a reporting unit exceeds its estimated fair value, resulting in an impairment charge for this excess, with the maximum charge limited to the carrying value of goodwill allocated to that reporting unit. Our annual impairment testing date is August 1st. Gevo has allocated goodwill of $39.8 million to the GevoND reporting unit and $3.8 million to the software and services reporting unit within the Gevo segment. A quantitative step 1 assessment was prepared at August 1, 2025 to test the goodwill at the GevoND reporting unit. We </w:t>
      </w:r>
      <w:r>
        <w:rPr>
          <w:rFonts w:ascii="Times New Roman;Times;serif" w:hAnsi="Times New Roman;Times;serif"/>
          <w:sz w:val="20"/>
          <w:shd w:fill="FFFFFF" w:val="clear"/>
        </w:rPr>
        <w:t xml:space="preserve">used a combination of the income approach, which included significant assumptions about the future operating results and cash flows of GevoND, and the market approach, which was based upon multiples of revenue. The goodwill recorded at the software and services reporting unit was tested for impairment using a </w:t>
      </w:r>
      <w:r>
        <w:rPr>
          <w:rFonts w:ascii="Times New Roman;Times;serif" w:hAnsi="Times New Roman;Times;serif"/>
          <w:sz w:val="20"/>
        </w:rPr>
        <w:t xml:space="preserve">quantitative step 1 assessment using a market approach. Both assessments indicated that goodwill at each reporting unit was not impaired. </w:t>
      </w:r>
    </w:p>
    <w:p>
      <w:pPr>
        <w:pStyle w:val="TextBody"/>
        <w:bidi w:val="0"/>
        <w:spacing w:before="0" w:after="0"/>
        <w:ind w:left="0" w:right="0" w:hanging="0"/>
        <w:jc w:val="left"/>
        <w:rPr>
          <w:shd w:fill="FFFFFF" w:val="clear"/>
        </w:rPr>
      </w:pPr>
      <w:r>
        <w:rPr>
          <w:shd w:fill="FFFFFF" w:val="clea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 xml:space="preserve">Interest Expense. </w:t>
      </w:r>
      <w:r>
        <w:rPr>
          <w:rFonts w:ascii="Times New Roman;Times;serif" w:hAnsi="Times New Roman;Times;serif"/>
          <w:sz w:val="20"/>
        </w:rPr>
        <w:t>The interest expense directly attributable to the acquisition and construction of an asset that needs a substantially long period of time for its intended use to begin are capitalized and recorded as part of the cost of the asset when expenditures for the asset and borrowing costs have been incurred, and the activities relating to the acquisition and construction that are necessary to prepare the asset for its intended use have commenced. The capitalization of interest ceases when the asset under acquisition or construction becomes ready for its intended use and the interest incurred thereafter is recognized in profit or loss for the current period. The capitalization of interest is suspended during periods in which the acquisition or construction of an asset is interrupted abnormally and the interruption lasts for more than three months, until the acquisition or construction is resumed.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Debt Issuance Costs and Debt Discounts/Premiums</w:t>
      </w:r>
      <w:r>
        <w:rPr>
          <w:rFonts w:ascii="Times New Roman;Times;serif" w:hAnsi="Times New Roman;Times;serif"/>
          <w:sz w:val="20"/>
        </w:rPr>
        <w:t xml:space="preserve">. Debt issuance costs are costs with third parties incurred in connection with the Company’s debt financings that have been capitalized and are being amortized over the stated maturity period or estimated life of the related debt using the effective interest method. Debt issuance costs are presented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as a direct reduction of the carrying amount of the related debt. Debt discounts, including fees paid to lenders, and debt premiums are amortized over the life of the related debt using the effective interest method. Debt discounts and premiums are presented as a reduction and increase, respectively, in the carrying amount of the related debt. Amortization of debt issuance costs, discounts and premiums is included in interest expense.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 xml:space="preserve">Warrants. </w:t>
      </w:r>
      <w:r>
        <w:rPr>
          <w:rFonts w:ascii="Times New Roman;Times;serif" w:hAnsi="Times New Roman;Times;serif"/>
          <w:sz w:val="20"/>
        </w:rPr>
        <w:t>Warrants are classified as a component of permanent equity when they are freestanding financial instruments that are legally detachable and separately exercisable from the shares of common stock with which they were issued, are immediately exercisable, do not embody an obligation for the Company to repurchase its shares, permit the holders to receive a fixed number of shares of common stock upon exercise and do not provide any guarantee of value or return.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shd w:fill="FFFFFF" w:val="clear"/>
        </w:rPr>
        <w:t>Variable Interest Entities.</w:t>
      </w:r>
      <w:r>
        <w:rPr>
          <w:rFonts w:ascii="Times New Roman;Times;serif" w:hAnsi="Times New Roman;Times;serif"/>
          <w:sz w:val="20"/>
          <w:shd w:fill="FFFFFF" w:val="clear"/>
        </w:rPr>
        <w:t> The Company enters into agreements with special purpose entities (“SPEs”), some of which are variable interest entities (“VIEs”), in the ordinary course of business. A legal entity is considered a VIE if it has either a total equity investment that is insufficient to finance its operations without additional subordinated financial support or whose equity holders lack the characteristics of a controlling financial interest. The Company’s variable interests arise from contractual or other monetary interests in the entity. The typical condition for a controlling financial interest ownership is holding a majority of the voting interests of an entity; however, a controlling financial interest may also exist in entities, such as VIEs, through arrangements that do not involve controlling voting interests.</w:t>
      </w:r>
    </w:p>
    <w:p>
      <w:pPr>
        <w:pStyle w:val="TextBody"/>
        <w:bidi w:val="0"/>
        <w:spacing w:before="0" w:after="20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Company consolidates a VIE if it is deemed to be the primary beneficiary. The Company determines it is the primary beneficiary if it has the power to direct the activities that most significantly impact the VIEs’ economic performance and has the obligation to absorb losses or has the right to receive benefits of the VIE that could potentially be significant to the VIE. The Company evaluates its relationships with its VIEs on an ongoing basis to determine whether it is the primary beneficiary. See Footnote 25 below for further information.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Redeemable Noncontrolling Interest.</w:t>
      </w:r>
      <w:r>
        <w:rPr>
          <w:rFonts w:ascii="Times New Roman;Times;serif" w:hAnsi="Times New Roman;Times;serif"/>
          <w:sz w:val="20"/>
        </w:rPr>
        <w:t xml:space="preserve"> In connection with the Company's acquisition of substantially all of the assets and certain liabilities of Red Trail Energy, Gevo Intermediate HoldCo, LLC (“HoldCo”), a wholly owned subsidiary of Gevo entered into a membership subscription agreement with Orion Infrastructure Capital (“OIC”), a U.S.-based private investment firm, pursuant to which OIC purchased equity units. The subscription agreement includes put and call options (the "Put/Call Option") related to the non-controlling interest. Specifically, the Company has the right to exercise a call option to purchase all outstanding units, and OIC holds a put option requiring the Company to purchase the outstanding units at fair value. These options are exercisable for a period of three years (the "Option Period") following the date on which all indebtedness under the related credit agreement with an affiliate of OIC has been paid.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Under applicable accounting guidance, an equity instrument that is redeemable for cash or other assets must be classified outside of permanent equity if it is redeemable (a) at a fixed or determinable price on a fixed or determinable date, (b) at the option of the holder, or (c) upon the occurrence of an event not solely within the control of the issuer. As a result of the Put/Call Option feature, the Company has classified the non-controlling interest as redeemable and reported it within temporary equity on the Consolidated Balance Sheets, initially at its fair value as of the acquisition date.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redeemable non-controlling interest is adjusted each reporting period to reflect income (or loss) attributable to the redeemable non-controlling interest, as well as any applicable distributions. A measurement period adjustment, if necessary, is made to adjust the redeemable non-controlling interest to the higher of its redemption value (fair value) or carrying value as of each reporting date. These fair value adjustments are recognized through equity and are not reflected in the Company's Consolidated Statements of Income.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For earnings per share calculations, the Company adjusts net income attributable to the Company for the measurement period adjustment to the extent the redemption value exceeds the fair value of the redeemable non-controlling interest on a cumulative basis.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fair value of the redeemable non-controlling interest is determined using a combination of a market approach and an income approach using a discounted cash flow method. As of December 31, 2025, the fair value of the redeemable non-controlling interest has been adjusted to its estimated redemption value with a related adjustment to accumulated deficit.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Revenue Recognition</w:t>
      </w:r>
      <w:r>
        <w:rPr>
          <w:rFonts w:ascii="Times New Roman;Times;serif" w:hAnsi="Times New Roman;Times;serif"/>
          <w:sz w:val="20"/>
        </w:rPr>
        <w:t>. The Company recognizes revenue in accordance with ASC 606, Revenue from Contracts with Customers (“ASC 606”). Revenue from the Company’s point in time product sales is recognized when products are transferred, or services are invoiced and control transferred. The Company has presented the disclosures required by ASC 606, see Note 6, Revenues from Contracts with Customers and Other Revenue.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Cost of Production</w:t>
      </w:r>
      <w:r>
        <w:rPr>
          <w:rFonts w:ascii="Times New Roman;Times;serif" w:hAnsi="Times New Roman;Times;serif"/>
          <w:sz w:val="20"/>
        </w:rPr>
        <w:t>. Cost of production includes costs incurred in operations for the production of ethanol, ethanol related products, RNG, environmental attributes and isobutanol, as well as costs for direct materials, direct labor and certain plant overhead costs, and plant utilities including natural gas and wind power. Direct materials consist of manure feedstock and process chemicals. Direct labor includes compensation of personnel directly involved in production operations. Cost of production is reduced by generation of CFPCs.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Research and Development</w:t>
      </w:r>
      <w:r>
        <w:rPr>
          <w:rFonts w:ascii="Times New Roman;Times;serif" w:hAnsi="Times New Roman;Times;serif"/>
          <w:sz w:val="20"/>
        </w:rPr>
        <w:t>. Research and development costs are expensed as incurred. The Company’s research and development costs consist of expenses incurred to identify, develop, and test its technologies for the production of isobutanol and the development of downstream applications thereof. Research and development expense includes personnel costs (including stock-based compensation), consultants and related contract research, facility costs, supplies, license fees and milestone payments paid to third parties for use of their intellectual property and patent rights and other direct and allocated expenses incurred to support the Company’s overall research and development programs.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General and Administrative.</w:t>
      </w:r>
      <w:r>
        <w:rPr>
          <w:rFonts w:ascii="Times New Roman;Times;serif" w:hAnsi="Times New Roman;Times;serif"/>
          <w:sz w:val="20"/>
        </w:rPr>
        <w:t xml:space="preserve"> General and administrative expenses are expensed as incurred. The Company’s general and administrative costs consist of personnel costs (including stock-based compensation), consulting and service provider expenses, legal fees, marketing costs, insurance costs, occupancy-related costs, travel and relocation expenses and hiring expenses. Our corporate personnel, consisting of subject matter experts, including chemists, engineers, and sustainability experts, dedicate the majority of their time and efforts for the development of our projects.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Project Development Costs.</w:t>
      </w:r>
      <w:r>
        <w:rPr>
          <w:rFonts w:ascii="Times New Roman;Times;serif" w:hAnsi="Times New Roman;Times;serif"/>
          <w:sz w:val="20"/>
        </w:rPr>
        <w:t xml:space="preserve"> Project development costs consist of consulting, preliminary engineering costs, and personnel costs, including stock-based compensation.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Stock-Based Compensation</w:t>
      </w:r>
      <w:r>
        <w:rPr>
          <w:rFonts w:ascii="Times New Roman;Times;serif" w:hAnsi="Times New Roman;Times;serif"/>
          <w:sz w:val="20"/>
        </w:rPr>
        <w:t>. The Company’s stock-based compensation expense includes expenses associated with share-based awards granted to employees and board members. Our stock-based compensation is classified as either an equity award or a liability award. The fair value of an equity-classified award is determined at the grant date and is amortized on a straight-line basis over the requisite service period. The fair value of a liability-classified award is determined on a quarterly basis through the final vesting date and is amortized based on the current fair value of the award and the percentage of vesting period incurred to date.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Company accounts for stock-based employee compensation plans under the fair value recognition and measurement provisions in accordance with applicable accounting standards, which require all stock-based payments to employees, including grants of stock options and restricted stock awards, to be measured based on the grant date fair value of the awards. The grant date fair value for stock option awards is estimated using the Black-Scholes option pricing model and the grant date fair value for restricted stock awards is based upon the closing price of the Company’s common stock on the date of grant. The Company recognizes compensation costs for share-based payment awards granted to employees net of actual forfeitures and recognizes stock-based compensation expense on a straight-line basis over the requisite service period of the award, which is currently the vesting term of up to </w:t>
      </w:r>
      <w:r>
        <w:rPr>
          <w:rFonts w:ascii="Times New Roman;Times;serif" w:hAnsi="Times New Roman;Times;serif"/>
          <w:b w:val="false"/>
          <w:i w:val="false"/>
          <w:caps w:val="false"/>
          <w:smallCaps w:val="false"/>
          <w:sz w:val="20"/>
        </w:rPr>
        <w:t>three years</w:t>
      </w:r>
      <w:r>
        <w:rPr>
          <w:rFonts w:ascii="Times New Roman;Times;serif" w:hAnsi="Times New Roman;Times;serif"/>
          <w:sz w:val="20"/>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Governmental Grants.</w:t>
      </w:r>
      <w:r>
        <w:rPr>
          <w:rFonts w:ascii="Times New Roman;Times;serif" w:hAnsi="Times New Roman;Times;serif"/>
          <w:sz w:val="20"/>
        </w:rPr>
        <w:t xml:space="preserve"> There is no U.S. GAAP that explicitly covers accounting for government "grants" to for-profit entities, with the exception of certain agricultural subsidies. In the absence of authoritative U.S. GAAP guidance, the Company considered the application of other authoritative accounting guidance by analogy and concluded that the guidance outlined in International Accounting Standard 20 – Accounting for Government Grants and Disclosures of Government Assistance (“IAS 20”) was the most appropriate analogy for the purpose of recording and classifying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federal funds received by the Company. Under IAS 20, once it is reasonably assured that the entity will comply with the conditions of the grant, the grant money should be recognized on a systematic basis over the periods in which the entity recognizes the related expenses or losses for which the grant money is intended to compensate.</w:t>
      </w:r>
    </w:p>
    <w:p>
      <w:pPr>
        <w:pStyle w:val="TextBody"/>
        <w:bidi w:val="0"/>
        <w:spacing w:before="0" w:after="200"/>
        <w:ind w:left="0" w:right="0" w:firstLine="72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recognizes grants once both of the following conditions are met: (1) the Company is able to comply with the relevant conditions of the grant and (2) the grant is probable of being received. Further, IAS 20 permits for the recognition in earnings either (1) separately under a general heading such as other income, or (2) as a reduction of the related expenses. The Company records such grants either as a reduction of the related expense, a reduction of the cost of the related asset, or as other income depending upon the nature of the grant.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Income Taxes</w:t>
      </w:r>
      <w:r>
        <w:rPr>
          <w:rFonts w:ascii="Times New Roman;Times;serif" w:hAnsi="Times New Roman;Times;serif"/>
          <w:sz w:val="20"/>
        </w:rPr>
        <w:t>. The Company adopted ASU 2023-09 in the fourth quarter of 2025. ASU 2023-09 requires enhanced income tax disclosures to provide transparency and improve usefulness primarily through changes to the rate reconciliation and income taxes paid information. In preparing the Consolidated Financial Statements, the Company estimates the actual amount of taxes currently payable or receivable as well as deferred tax assets and liabilities attributable to temporary differences between the financial statement carrying amounts of existing assets and liabilities and their respective tax bases. Deferred tax assets and liabilities are measured using currently enacted tax rates in effect in the years in which those temporary differences are expected to reverse. Deferred tax assets are reduced by a valuation allowance if, based on the weight of available evidence, it is more likely than not that some portion or all of the deferred tax assets will not be realized. Changes in deferred tax assets and liabilities generally have a direct impact on earnings in the period of the changes. Where applicable tax laws and regulations are either unclear or subject to varying interpretations, it is possible that changes in these estimates could occur that materially affect the amounts of deferred income tax assets and liabilities recorded in the Consolidated Financial Statements.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Each period, we evaluate the likelihood of whether or not some portion or all of each deferred tax asset will be realized and provide a valuation allowance for those deferred tax assets for which it is more likely than </w:t>
      </w:r>
      <w:r>
        <w:rPr>
          <w:rFonts w:ascii="Times New Roman;Times;serif" w:hAnsi="Times New Roman;Times;serif"/>
          <w:i/>
          <w:sz w:val="20"/>
        </w:rPr>
        <w:t>not</w:t>
      </w:r>
      <w:r>
        <w:rPr>
          <w:rFonts w:ascii="Times New Roman;Times;serif" w:hAnsi="Times New Roman;Times;serif"/>
          <w:sz w:val="20"/>
        </w:rPr>
        <w:t xml:space="preserve"> that the related benefits will </w:t>
      </w:r>
      <w:r>
        <w:rPr>
          <w:rFonts w:ascii="Times New Roman;Times;serif" w:hAnsi="Times New Roman;Times;serif"/>
          <w:i/>
          <w:sz w:val="20"/>
        </w:rPr>
        <w:t>not</w:t>
      </w:r>
      <w:r>
        <w:rPr>
          <w:rFonts w:ascii="Times New Roman;Times;serif" w:hAnsi="Times New Roman;Times;serif"/>
          <w:sz w:val="20"/>
        </w:rPr>
        <w:t xml:space="preserve"> be realized. When evaluating our valuation allowance, we consider historic and future expected levels of taxable income, the pattern and timing of reversals of taxable temporary timing differences that give rise to deferred tax liabilities, and tax planning initiatives. Levels of future taxable income are affected by, among other things, production costs, interest rates, and federal and local legislation. If we determine that all or a portion of the deferred tax assets will not be realized, a valuation allowance will be recorded with a charge to income tax expense. Conversely, if we determine that we will ultimately be able to realize all or a portion of the related benefits for which a valuation allowance has been provided, all or a portion of the related valuation allowance will be reduced with a credit to income tax expense.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addition, the calculation of income tax expense involves significant management estimation and judgment involving a number of assumptions. In determining these amounts, management interprets tax legislation in each of the jurisdictions in which we operate and makes estimates of the expected timing of the reversal of future tax assets and liabilities. We also make assumptions about future earnings, tax planning strategies and the extent to which potential future tax benefits will be used. We are also subject to assessments by various taxation authorities which may interpret tax legislation differently, which could affect the final amount or the timing of tax payments.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may from time to time be assessed interest or penalties by major tax jurisdictions, although there have been no such assessments historically with any material impact to its financial results. The Company would recognize interest and penalties related to unrecognized tax benefits within the income tax expense line in the accompanying Consolidated Statements of Operations. Accrued interest and penalties would be included within the related tax liability line in the Consolidated Balance Sheets.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Tax Credits -</w:t>
      </w:r>
      <w:r>
        <w:rPr>
          <w:rFonts w:ascii="Times New Roman;Times;serif" w:hAnsi="Times New Roman;Times;serif"/>
          <w:sz w:val="20"/>
        </w:rPr>
        <w:t xml:space="preserve"> The U.S. federal government has introduced tax incentives to promote the production of low-carbon fuels and reduce GHG emissions, enhance energy security, and support the rural agricultural economy.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On August 16, 2022, the Inflation Reduction Act (“IRA’) was signed into law. The IRA includes significant extensions, expansions, and enhancements of numerous energy-related tax credits and also creates new credits in multiple categories. The law provides an election to transfer (i.e., sell) certain credits to another taxpayer in an effort to monetize them. The Company might achieve a better economic benefit by selling the credit in situations where sufficient taxable income is not available to use all or a portion of the income tax credit or in which using such credits might take multiple tax years.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scope of Accounting Standards Codification (“ASC”) 740: Income Taxes (“ASC 740”) does not directly address how to account for transferable tax credits, however multiple acceptable views to account for transferable credits exists including accounting for the entire credit outside of income taxes in the Consolidated Statements of Operations, analogous treatment to governmental grants under IAS 20.</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recognizes tax credits associated with the U.S. federal clean fuel production incentives under Section 45Z of the Internal Revenue Code (“IRC”) (“Section 45Z tax credits” or “Clean Fuel Production Credits”) in accordance with IAS 20 - Accounting for Government Grants and Disclosure of Government Assistance (“IAS 20”). In accordance with IAS 20, the tax incentive is recognized when it is probable that the Company will comply with the provisions of the incentive and that the incentive will be earned. These credits are recognized in “Intangible assets, net” on the Company’s Consolidated Balance Sheets and as a reduction to Cost of production in the Consolidated Statements of Operations, reflecting their role in offsetting the production costs of low-carbon fuels.  The intangible is reduced upon final transfer of the credit to the purchaser. During the year ended December 31, 2025, the Company generated CFPCs of $52.0 million. Also, during 2025, the Company entered into tax credit transfer agreements with three financial institutions pursuant to which it agreed to sell and transfer CFPCs generated from qualifying ethanol production. The Company received cash proceeds totaling $41.1 million related to these transfers, which is included in Deferred Clean Fuel Production Tax Credits, a component of current liabilities on our Consolidated Balance Sheet at December 31, 2025.</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Company’s capital investment in the RNG project generated a tax credit under Section 48 of the IRC, which provides an energy tax credit for investments in renewable energy property. (“Investment Tax Credits” or “ITCs”) . The Company has elected to apply a policy similar to the accounting method described in IAS 20 and recorded the transferable tax credit as a credit against the related asset, thus, reducing the amount of depreciation expense to be recognized over the remaining useful life of the associated asset. </w:t>
      </w:r>
    </w:p>
    <w:p>
      <w:pPr>
        <w:pStyle w:val="TextBody"/>
        <w:bidi w:val="0"/>
        <w:spacing w:before="0" w:after="20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Recently Issued, Not Yet Adopted Accounting Pronouncements </w:t>
      </w:r>
    </w:p>
    <w:p>
      <w:pPr>
        <w:pStyle w:val="TextBody"/>
        <w:bidi w:val="0"/>
        <w:spacing w:before="0" w:after="200"/>
        <w:ind w:left="0" w:right="0" w:firstLine="720"/>
        <w:jc w:val="left"/>
        <w:rPr>
          <w:rFonts w:ascii="Times New Roman;Times;serif" w:hAnsi="Times New Roman;Times;serif"/>
          <w:b/>
          <w:i/>
          <w:sz w:val="20"/>
        </w:rPr>
      </w:pPr>
      <w:r>
        <w:rPr>
          <w:rFonts w:ascii="Times New Roman;Times;serif" w:hAnsi="Times New Roman;Times;serif"/>
          <w:b w:val="false"/>
          <w:i/>
          <w:sz w:val="20"/>
        </w:rPr>
        <w:t>Income Statement Disclosures.</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In November 2024, the FASB issued ASU No. 2024-03, Income Statement—Reporting Comprehensive Income—Expense Disaggregation Disclosures (Subtopic 220-40) ("ASU 2024-03"). ASU 2024-03 will require companies to disaggregate, within the notes to the financial statements, certain expenses presented on the face of the financial statements to enhance transparency and help investors better understand an entity's performance. The amendment will specifically require that an entity disclose the amounts related to purchases of inventory, employee compensation, depreciation and intangible asset amortization. Entities will also be required to provide a qualitative description of the amounts remaining in relevant expense captions that are not separately disaggregated quantitatively, disclose the total amount of selling expenses and, in annual reporting periods, provide a definition of what constitutes selling expenses. The amendments in ASU 2024-03 are effective for fiscal years beginning after December 15, 2026, and interim periods within fiscal years beginning after December 15, 2027, with early adoption permitted. The Company is currently evaluating the impact of the adoption of ASU 2024-03 on the Company’s financial statement disclosures.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 xml:space="preserve">Internal Use Software. </w:t>
      </w:r>
      <w:r>
        <w:rPr>
          <w:rFonts w:ascii="Times New Roman;Times;serif" w:hAnsi="Times New Roman;Times;serif"/>
          <w:sz w:val="20"/>
        </w:rPr>
        <w:t xml:space="preserve">In September 2025, the FASB issued ASU No. 2025-06, Intangibles - Goodwill and Other - Internal-Use Software (Subtopic 350-40): Targeted Improvements to the Accounting for Internal-Use Software ("ASU 2025-06"). ASU 2025-06 amends certain aspects of the accounting and disclosure of software costs. ASU 2025-06, which can be applied prospectively, retrospectively, or with a modified transition approach, is effective for annual reporting period beginning after December 15, 2027 and interim periods within those annual reporting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periods. Early adoption is permitted. The Company is currently evaluating the impact that the adoption of this standard will have on its consolidated financial statements and disclosures.</w:t>
      </w:r>
    </w:p>
    <w:p>
      <w:pPr>
        <w:pStyle w:val="TextBody"/>
        <w:bidi w:val="0"/>
        <w:spacing w:before="0" w:after="20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Recently Adopted Accounting Pronouncements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Income Taxes.</w:t>
      </w:r>
      <w:r>
        <w:rPr>
          <w:rFonts w:ascii="Times New Roman;Times;serif" w:hAnsi="Times New Roman;Times;serif"/>
          <w:sz w:val="20"/>
        </w:rPr>
        <w:t xml:space="preserve"> In December 2023, the FASB issued ASU 2023-09, "Income Taxes (Topic 740): Improvements to Income Tax Disclosures". ASU 2023-09 is intended to enhance the transparency and decision usefulness of income tax disclosures. The amendments in ASU 2023-09 address investor requests for enhanced income tax information primarily through changes to the rate reconciliation and income taxes paid information. The Company adopted ASU 2023-09 retrospectively in the fourth quarter of 2025. We modified the disclosures related to our rate reconciliation and the details of our cash taxes paid included in Note 20, Income taxes. </w:t>
      </w:r>
    </w:p>
    <w:p>
      <w:pPr>
        <w:pStyle w:val="TextBody"/>
        <w:bidi w:val="0"/>
        <w:spacing w:before="0" w:after="200"/>
        <w:ind w:left="0" w:right="0" w:hanging="0"/>
        <w:jc w:val="left"/>
        <w:rPr>
          <w:rFonts w:ascii="Times New Roman;Times;serif" w:hAnsi="Times New Roman;Times;serif"/>
          <w:b/>
          <w:sz w:val="20"/>
        </w:rPr>
      </w:pPr>
      <w:bookmarkStart w:id="662" w:name="Tc_tvlvzemRkE-hBMYd9_1kPg_8_0"/>
      <w:bookmarkStart w:id="663" w:name="Tc_x7Z_h_79SUqpDRZkXQHoHg_7_0"/>
      <w:bookmarkStart w:id="664" w:name="Tc_AH2bSCm0zU6GqK55SMoB3A_6_0"/>
      <w:bookmarkStart w:id="665" w:name="Tc_yuacbGq030OAN7Mc-4e6Cw_5_2"/>
      <w:bookmarkStart w:id="666" w:name="Tc_Cyo9A4gvYkOHaid7UuQvyw_5_0"/>
      <w:bookmarkStart w:id="667" w:name="Tc_DZqgkLmXWk2P277lpYClrQ_4_0"/>
      <w:bookmarkStart w:id="668" w:name="Tc_LcMDBY6rM06xdFA_Yzj2UA_3_2"/>
      <w:bookmarkStart w:id="669" w:name="Tc_Rh19mUy5yUebsaYUaSJfAw_2_2"/>
      <w:bookmarkStart w:id="670" w:name="Tc_T41anocOEUajgV-YqTk0dw_1_2"/>
      <w:bookmarkStart w:id="671" w:name="_777fae86_709b_48ea_86c0_59fa78e935e6"/>
      <w:bookmarkEnd w:id="662"/>
      <w:bookmarkEnd w:id="663"/>
      <w:bookmarkEnd w:id="664"/>
      <w:bookmarkEnd w:id="665"/>
      <w:bookmarkEnd w:id="666"/>
      <w:bookmarkEnd w:id="667"/>
      <w:bookmarkEnd w:id="668"/>
      <w:bookmarkEnd w:id="669"/>
      <w:bookmarkEnd w:id="670"/>
      <w:bookmarkEnd w:id="671"/>
      <w:r>
        <w:rPr>
          <w:rFonts w:ascii="Times New Roman;Times;serif" w:hAnsi="Times New Roman;Times;serif"/>
          <w:b/>
          <w:sz w:val="20"/>
        </w:rPr>
        <w:t>3. Business Combinations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Acquisition of Red Trail Energy</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On September 10, 2024, Gevo and its subsidiaries entered into an Asset Purchase Agreement (the “Red Trail Purchase Agreement”) with Red Trail Energy to acquire substantially all of its assets and assume certain liabilities. The acquisition was completed on January 31, 2025 (the “Closing Date”). Gevo’s acquisition of Red Trail Energy was a strategic move aimed at accelerating its production of renewable fuels, particularly SAF, while also enabling additional co-located projects. This acquisition aligns with Gevo’s broader goal of reducing carbon emissions and promoting sustainability in the energy and transportation sectors. Furthermore, the acquisition grants access to critical CCS assets.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transaction met the requirements to be considered a business combination under FASB ASC 805: Business Combinations (“ASC 805”). The assets and liabilities acquired from Red Trail Energy, affected for preliminary adjustments to reflect the fair market values assigned to assets purchased and liabilities assumed, and results of operations, are included in the Company’s consolidated financial statements from the Closing Date. The Company has allocated the purchase price to the tangible and identifiable intangible assets and liabilities assumed based on their estimated fair market values at the Closing Date as required under ASC 805.</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Red Trail Purchase Agreement was accounted for using the acquisition method of accounting. The purchase price per the Red Trail Purchase Agreement was $210 million and was adjusted to $208.4 million at the Closing Date, based on minor adjustments to the purchase price and an estimated working capital adjustment (the “Purchase Price”). The Purchase Price was adjusted further based on the final net working capital amount of $1.9 million. The purchase price as of December 31, 2025 is $210.3 million. The Purchase Price was funded through a combination of $103.9 million in cash, of which $10.0 million was paid in escrow in 2024, $99.5 million senior secured term loan facility, net of discount and financing costs, and $5.0 million in the form of a redeemable non-controlling interest investment from OIC.</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incurred approximately $4.5 million of direct acquisition-related expenditures for the year ended December 31, 2025, which are recognized in project development costs in the Consolidated Statements of Operations.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sets forth the fair values of the assets acquired and liabilities assumed in connection with the Red Trail Purchase Agreement (in thousands): </w:t>
      </w:r>
    </w:p>
    <w:tbl>
      <w:tblPr>
        <w:tblW w:w="4552" w:type="dxa"/>
        <w:jc w:val="left"/>
        <w:tblInd w:w="0" w:type="dxa"/>
        <w:tblLayout w:type="fixed"/>
        <w:tblCellMar>
          <w:top w:w="0" w:type="dxa"/>
          <w:left w:w="0" w:type="dxa"/>
          <w:bottom w:w="0" w:type="dxa"/>
          <w:right w:w="0" w:type="dxa"/>
        </w:tblCellMar>
      </w:tblPr>
      <w:tblGrid>
        <w:gridCol w:w="3451"/>
        <w:gridCol w:w="109"/>
        <w:gridCol w:w="211"/>
        <w:gridCol w:w="781"/>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91385" cy="175260"/>
                      <wp:effectExtent l="0" t="0" r="0" b="0"/>
                      <wp:wrapNone/>
                      <wp:docPr id="230" name="Frame230"/>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9215" cy="175260"/>
                      <wp:effectExtent l="0" t="0" r="0" b="0"/>
                      <wp:wrapNone/>
                      <wp:docPr id="231" name="Frame2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33985" cy="175260"/>
                      <wp:effectExtent l="0" t="0" r="0" b="0"/>
                      <wp:wrapNone/>
                      <wp:docPr id="232" name="Frame2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495935" cy="175260"/>
                      <wp:effectExtent l="0" t="0" r="0" b="0"/>
                      <wp:wrapNone/>
                      <wp:docPr id="233" name="Frame23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Red Trail</w:t>
            </w:r>
          </w:p>
        </w:tc>
      </w:tr>
      <w:tr>
        <w:trPr/>
        <w:tc>
          <w:tcPr>
            <w:tcW w:w="345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Acquisition</w:t>
            </w:r>
          </w:p>
        </w:tc>
      </w:tr>
      <w:tr>
        <w:trPr/>
        <w:tc>
          <w:tcPr>
            <w:tcW w:w="345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accounts receivable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4,970</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11,558</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16,740</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Normal"/>
        <w:bidi w:val="0"/>
        <w:spacing w:before="0" w:after="0"/>
        <w:jc w:val="left"/>
        <w:rPr>
          <w:sz w:val="4"/>
          <w:szCs w:val="4"/>
        </w:rPr>
      </w:pPr>
      <w:r>
        <w:rPr>
          <w:sz w:val="4"/>
          <w:szCs w:val="4"/>
        </w:rPr>
      </w:r>
      <w:bookmarkStart w:id="672" w:name="Tc_EBuVsKs3pk-P6TY4PYj4Jw_4_0"/>
      <w:bookmarkStart w:id="673" w:name="Tc_VHWFxTf8Tky4dHUf2pTJ-w_3_5"/>
      <w:bookmarkStart w:id="674" w:name="Tc_NyiNWpgP0k-VLg7xW7Kb5w_3_2"/>
      <w:bookmarkStart w:id="675" w:name="Tc_BQwoOC_vHkmM5LhgrmIvjQ_3_0"/>
      <w:bookmarkStart w:id="676" w:name="Tc_x6DUpIYjGkauap-zncMJNA_2_5"/>
      <w:bookmarkStart w:id="677" w:name="Tc_yRzQOwE9qkilR39UwHjlCA_2_2"/>
      <w:bookmarkStart w:id="678" w:name="Tc_LYPhyz5x8EWcdp9b4OXQUQ_1_2"/>
      <w:bookmarkStart w:id="679" w:name="Tc_leaOQBtURU23Ar1JyMewXg_5_2"/>
      <w:bookmarkStart w:id="680" w:name="Tc_gKEVoEvyz0-H01-RhU1wtw_5_0"/>
      <w:bookmarkStart w:id="681" w:name="Tc_e0qAE528_0OKnUTqm-iPow_4_2"/>
      <w:bookmarkStart w:id="682" w:name="Tc_wnqHQNxpuE6rXO_47zXRYQ_4_0"/>
      <w:bookmarkStart w:id="683" w:name="Tc_2wJSfNeh_0Kpccw3cNH2vA_3_5"/>
      <w:bookmarkStart w:id="684" w:name="Tc_4ht-9YDMPUa3zHqbCWmbtw_3_2"/>
      <w:bookmarkStart w:id="685" w:name="Tc_PXFh73wjg0iAMfDsuSnCsw_2_5"/>
      <w:bookmarkStart w:id="686" w:name="Tc_Zvq17TZp7E-d_Yfvl4CZUg_2_2"/>
      <w:bookmarkStart w:id="687" w:name="Tc_1Qw_LvXO7k-4SORFoa8cSQ_1_5"/>
      <w:bookmarkStart w:id="688" w:name="Tc_ZP-XiJ0CdkazgIeGwLw9rA_1_2"/>
      <w:bookmarkStart w:id="689" w:name="_2d8f142f_38f7_469b_a19f_fd2ba0f0cbad"/>
      <w:bookmarkStart w:id="690" w:name="Tc_BUmWZAjFtEe5xS32l1Za4Q_23_2"/>
      <w:bookmarkStart w:id="691" w:name="Tc_oNZpf4hjcU2cQZ1IDs5p0A_23_0"/>
      <w:bookmarkStart w:id="692" w:name="Tc_rmvxn6R9tEKdOQIOVSxTqA_22_0"/>
      <w:bookmarkStart w:id="693" w:name="Tc_wbDJ7uSrqEiZhYHHlAlyzQ_21_0"/>
      <w:bookmarkStart w:id="694" w:name="Tc_0Y4KDwuEQ0qq8L043wmWzA_20_0"/>
      <w:bookmarkStart w:id="695" w:name="Tc_yyJvyHj8kkGEu4cnyirGlg_19_0"/>
      <w:bookmarkStart w:id="696" w:name="Tc_id_RmVWYG0-DZjxsb9n_yg_18_0"/>
      <w:bookmarkStart w:id="697" w:name="Tc_-3mVbNb08kOY2AMDRu8y3Q_17_0"/>
      <w:bookmarkStart w:id="698" w:name="Tc_d-GnRor0kUCx4ESlvkwlcg_16_0"/>
      <w:bookmarkStart w:id="699" w:name="Tc_KJ28E1jf_UiNMTw451FqzQ_15_0"/>
      <w:bookmarkStart w:id="700" w:name="Tc_pPZcHP7vPke0M5Q012ko8w_14_0"/>
      <w:bookmarkStart w:id="701" w:name="Tc_lgYw-IQza0G_n_SW8mbnWQ_13_0"/>
      <w:bookmarkStart w:id="702" w:name="Tc_2YigIkx8y06-PmQErVCMJg_12_0"/>
      <w:bookmarkStart w:id="703" w:name="Tc_Jlvl81GBAkaq2UUgLxIPsw_11_0"/>
      <w:bookmarkStart w:id="704" w:name="Tc_HsDV4TEKvUyDFLRXIB1TKQ_10_0"/>
      <w:bookmarkStart w:id="705" w:name="Tc_qCHGWhv_mkWbg5T5dueXRA_9_0"/>
      <w:bookmarkStart w:id="706" w:name="Tc_EBuVsKs3pk-P6TY4PYj4Jw_4_0"/>
      <w:bookmarkStart w:id="707" w:name="Tc_VHWFxTf8Tky4dHUf2pTJ-w_3_5"/>
      <w:bookmarkStart w:id="708" w:name="Tc_NyiNWpgP0k-VLg7xW7Kb5w_3_2"/>
      <w:bookmarkStart w:id="709" w:name="Tc_BQwoOC_vHkmM5LhgrmIvjQ_3_0"/>
      <w:bookmarkStart w:id="710" w:name="Tc_x6DUpIYjGkauap-zncMJNA_2_5"/>
      <w:bookmarkStart w:id="711" w:name="Tc_yRzQOwE9qkilR39UwHjlCA_2_2"/>
      <w:bookmarkStart w:id="712" w:name="Tc_LYPhyz5x8EWcdp9b4OXQUQ_1_2"/>
      <w:bookmarkStart w:id="713" w:name="Tc_leaOQBtURU23Ar1JyMewXg_5_2"/>
      <w:bookmarkStart w:id="714" w:name="Tc_gKEVoEvyz0-H01-RhU1wtw_5_0"/>
      <w:bookmarkStart w:id="715" w:name="Tc_e0qAE528_0OKnUTqm-iPow_4_2"/>
      <w:bookmarkStart w:id="716" w:name="Tc_wnqHQNxpuE6rXO_47zXRYQ_4_0"/>
      <w:bookmarkStart w:id="717" w:name="Tc_2wJSfNeh_0Kpccw3cNH2vA_3_5"/>
      <w:bookmarkStart w:id="718" w:name="Tc_4ht-9YDMPUa3zHqbCWmbtw_3_2"/>
      <w:bookmarkStart w:id="719" w:name="Tc_PXFh73wjg0iAMfDsuSnCsw_2_5"/>
      <w:bookmarkStart w:id="720" w:name="Tc_Zvq17TZp7E-d_Yfvl4CZUg_2_2"/>
      <w:bookmarkStart w:id="721" w:name="Tc_1Qw_LvXO7k-4SORFoa8cSQ_1_5"/>
      <w:bookmarkStart w:id="722" w:name="Tc_ZP-XiJ0CdkazgIeGwLw9rA_1_2"/>
      <w:bookmarkStart w:id="723" w:name="_2d8f142f_38f7_469b_a19f_fd2ba0f0cbad"/>
      <w:bookmarkStart w:id="724" w:name="Tc_BUmWZAjFtEe5xS32l1Za4Q_23_2"/>
      <w:bookmarkStart w:id="725" w:name="Tc_oNZpf4hjcU2cQZ1IDs5p0A_23_0"/>
      <w:bookmarkStart w:id="726" w:name="Tc_rmvxn6R9tEKdOQIOVSxTqA_22_0"/>
      <w:bookmarkStart w:id="727" w:name="Tc_wbDJ7uSrqEiZhYHHlAlyzQ_21_0"/>
      <w:bookmarkStart w:id="728" w:name="Tc_0Y4KDwuEQ0qq8L043wmWzA_20_0"/>
      <w:bookmarkStart w:id="729" w:name="Tc_yyJvyHj8kkGEu4cnyirGlg_19_0"/>
      <w:bookmarkStart w:id="730" w:name="Tc_id_RmVWYG0-DZjxsb9n_yg_18_0"/>
      <w:bookmarkStart w:id="731" w:name="Tc_-3mVbNb08kOY2AMDRu8y3Q_17_0"/>
      <w:bookmarkStart w:id="732" w:name="Tc_d-GnRor0kUCx4ESlvkwlcg_16_0"/>
      <w:bookmarkStart w:id="733" w:name="Tc_KJ28E1jf_UiNMTw451FqzQ_15_0"/>
      <w:bookmarkStart w:id="734" w:name="Tc_pPZcHP7vPke0M5Q012ko8w_14_0"/>
      <w:bookmarkStart w:id="735" w:name="Tc_lgYw-IQza0G_n_SW8mbnWQ_13_0"/>
      <w:bookmarkStart w:id="736" w:name="Tc_2YigIkx8y06-PmQErVCMJg_12_0"/>
      <w:bookmarkStart w:id="737" w:name="Tc_Jlvl81GBAkaq2UUgLxIPsw_11_0"/>
      <w:bookmarkStart w:id="738" w:name="Tc_HsDV4TEKvUyDFLRXIB1TKQ_10_0"/>
      <w:bookmarkStart w:id="739" w:name="Tc_qCHGWhv_mkWbg5T5dueXRA_9_0"/>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p>
    <w:tbl>
      <w:tblPr>
        <w:tblW w:w="4927" w:type="dxa"/>
        <w:jc w:val="left"/>
        <w:tblInd w:w="0" w:type="dxa"/>
        <w:tblLayout w:type="fixed"/>
        <w:tblCellMar>
          <w:top w:w="0" w:type="dxa"/>
          <w:left w:w="0" w:type="dxa"/>
          <w:bottom w:w="0" w:type="dxa"/>
          <w:right w:w="0" w:type="dxa"/>
        </w:tblCellMar>
      </w:tblPr>
      <w:tblGrid>
        <w:gridCol w:w="3721"/>
        <w:gridCol w:w="109"/>
        <w:gridCol w:w="211"/>
        <w:gridCol w:w="886"/>
      </w:tblGrid>
      <w:tr>
        <w:trPr/>
        <w:tc>
          <w:tcPr>
            <w:tcW w:w="3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plant and equipment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110,841</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46,300</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39,767</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Right-of use assets (operating and finance)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1,359</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 acquired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215,047</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1,678</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liabilities (operating and finance)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668</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2,661</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liabilities (operating and finance)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1,044</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 retirement obligation</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1,018</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 assumed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4,723</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 acquired and liabilities assumed</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210,324</w:t>
            </w:r>
          </w:p>
        </w:tc>
      </w:tr>
    </w:tbl>
    <w:p>
      <w:pPr>
        <w:pStyle w:val="TextBody"/>
        <w:bidi w:val="0"/>
        <w:spacing w:before="0" w:after="200"/>
        <w:ind w:left="0" w:right="0" w:firstLine="720"/>
        <w:jc w:val="left"/>
        <w:rPr/>
      </w:pPr>
      <w:r>
        <w:rPr/>
        <w:t>​</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Fair Value of Net Assets Acquired and Intangibles</w:t>
      </w:r>
    </w:p>
    <w:p>
      <w:pPr>
        <w:pStyle w:val="TextBody"/>
        <w:bidi w:val="0"/>
        <w:spacing w:before="240" w:after="200"/>
        <w:ind w:left="0" w:right="0" w:firstLine="720"/>
        <w:jc w:val="left"/>
        <w:rPr>
          <w:rFonts w:ascii="Times New Roman;Times;serif" w:hAnsi="Times New Roman;Times;serif"/>
          <w:sz w:val="20"/>
        </w:rPr>
      </w:pPr>
      <w:r>
        <w:rPr>
          <w:rFonts w:ascii="Times New Roman;Times;serif" w:hAnsi="Times New Roman;Times;serif"/>
          <w:sz w:val="20"/>
        </w:rPr>
        <w:t>The assets and liabilities were recorded at their respective fair values as of the Closing Date. The Company marked the inventory to fair value based on the market prices adjusted for various factors. The property, plant and equipment assets were valued using the cost and market approaches as of the acquisition date. The Company developed the fair value of the customer-related intangible assets using the multi-period excess earnings method. For all other major assets and liabilities acquired, the Company determined that book value approximated fair value. Goodwill represents the future economic benefits that the Company expects to achieve as a result of the acquisition of the human capital and assets acquired. The goodwill resulting from this acquisition is expected to be deductible for tax purposes. The fair value of net assets acquired, intangibles, and goodwill, were assigned to the Company’s GevoND segment.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sets forth the intangible assets acquired in the Red Trail Purchase Agreement (in thousands): </w:t>
      </w:r>
    </w:p>
    <w:tbl>
      <w:tblPr>
        <w:tblW w:w="5095" w:type="dxa"/>
        <w:jc w:val="left"/>
        <w:tblInd w:w="0" w:type="dxa"/>
        <w:tblLayout w:type="fixed"/>
        <w:tblCellMar>
          <w:top w:w="0" w:type="dxa"/>
          <w:left w:w="0" w:type="dxa"/>
          <w:bottom w:w="0" w:type="dxa"/>
          <w:right w:w="0" w:type="dxa"/>
        </w:tblCellMar>
      </w:tblPr>
      <w:tblGrid>
        <w:gridCol w:w="2401"/>
        <w:gridCol w:w="109"/>
        <w:gridCol w:w="381"/>
        <w:gridCol w:w="1224"/>
        <w:gridCol w:w="109"/>
        <w:gridCol w:w="871"/>
      </w:tblGrid>
      <w:tr>
        <w:trPr/>
        <w:tc>
          <w:tcPr>
            <w:tcW w:w="2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524635" cy="175260"/>
                      <wp:effectExtent l="0" t="0" r="0" b="0"/>
                      <wp:wrapNone/>
                      <wp:docPr id="234" name="Frame234"/>
                      <a:graphic xmlns:a="http://schemas.openxmlformats.org/drawingml/2006/main">
                        <a:graphicData uri="http://schemas.microsoft.com/office/word/2010/wordprocessingShape">
                          <wps:wsp>
                            <wps:cNvSpPr txBox="1"/>
                            <wps:spPr>
                              <a:xfrm>
                                <a:off x="0" y="0"/>
                                <a:ext cx="1524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9215" cy="175260"/>
                      <wp:effectExtent l="0" t="0" r="0" b="0"/>
                      <wp:wrapNone/>
                      <wp:docPr id="235" name="Frame2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41935" cy="175260"/>
                      <wp:effectExtent l="0" t="0" r="0" b="0"/>
                      <wp:wrapNone/>
                      <wp:docPr id="236" name="Frame236"/>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777240" cy="175260"/>
                      <wp:effectExtent l="0" t="0" r="0" b="0"/>
                      <wp:wrapNone/>
                      <wp:docPr id="237" name="Frame237"/>
                      <a:graphic xmlns:a="http://schemas.openxmlformats.org/drawingml/2006/main">
                        <a:graphicData uri="http://schemas.microsoft.com/office/word/2010/wordprocessingShape">
                          <wps:wsp>
                            <wps:cNvSpPr txBox="1"/>
                            <wps:spPr>
                              <a:xfrm>
                                <a:off x="0" y="0"/>
                                <a:ext cx="777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9215" cy="175260"/>
                      <wp:effectExtent l="0" t="0" r="0" b="0"/>
                      <wp:wrapNone/>
                      <wp:docPr id="238" name="Frame2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553085" cy="175260"/>
                      <wp:effectExtent l="0" t="0" r="0" b="0"/>
                      <wp:wrapNone/>
                      <wp:docPr id="239" name="Frame239"/>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Red Trail</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24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Purchase Agreement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w:t>
            </w:r>
          </w:p>
        </w:tc>
      </w:tr>
      <w:tr>
        <w:trPr/>
        <w:tc>
          <w:tcPr>
            <w:tcW w:w="24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09" w:type="dxa"/>
            <w:tcBorders/>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r>
      <w:tr>
        <w:trPr/>
        <w:tc>
          <w:tcPr>
            <w:tcW w:w="24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Customer-related intangible</w:t>
            </w:r>
          </w:p>
        </w:tc>
        <w:tc>
          <w:tcPr>
            <w:tcW w:w="109" w:type="dxa"/>
            <w:tcBorders/>
            <w:shd w:fill="CCEEFF" w:val="clear"/>
            <w:vAlign w:val="center"/>
          </w:tcPr>
          <w:p>
            <w:pPr>
              <w:pStyle w:val="TableContents"/>
              <w:bidi w:val="0"/>
              <w:spacing w:before="0" w:after="1"/>
              <w:ind w:left="0" w:right="0" w:hanging="0"/>
              <w:jc w:val="left"/>
              <w:rPr/>
            </w:pPr>
            <w:r>
              <w:rPr/>
              <w:t>​</w:t>
            </w:r>
          </w:p>
        </w:tc>
        <w:tc>
          <w:tcPr>
            <w:tcW w:w="3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46,300</w:t>
            </w:r>
          </w:p>
        </w:tc>
        <w:tc>
          <w:tcPr>
            <w:tcW w:w="109"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24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intangible assets</w:t>
            </w:r>
          </w:p>
        </w:tc>
        <w:tc>
          <w:tcPr>
            <w:tcW w:w="109" w:type="dxa"/>
            <w:tcBorders/>
            <w:vAlign w:val="center"/>
          </w:tcPr>
          <w:p>
            <w:pPr>
              <w:pStyle w:val="TableContents"/>
              <w:bidi w:val="0"/>
              <w:spacing w:before="0" w:after="1"/>
              <w:ind w:left="0" w:right="0" w:hanging="0"/>
              <w:jc w:val="left"/>
              <w:rPr/>
            </w:pPr>
            <w:r>
              <w:rPr/>
              <w:t>​</w:t>
            </w:r>
          </w:p>
        </w:tc>
        <w:tc>
          <w:tcPr>
            <w:tcW w:w="3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46,300</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r>
    </w:tbl>
    <w:p>
      <w:pPr>
        <w:pStyle w:val="TextBody"/>
        <w:bidi w:val="0"/>
        <w:spacing w:before="0" w:after="200"/>
        <w:ind w:left="0" w:right="0" w:firstLine="720"/>
        <w:jc w:val="left"/>
        <w:rPr/>
      </w:pPr>
      <w:r>
        <w:rPr/>
        <w:t>​</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Pro Forma Financial Information</w:t>
      </w:r>
    </w:p>
    <w:p>
      <w:pPr>
        <w:pStyle w:val="TextBody"/>
        <w:bidi w:val="0"/>
        <w:spacing w:before="240" w:after="200"/>
        <w:ind w:left="0" w:right="0" w:firstLine="720"/>
        <w:jc w:val="left"/>
        <w:rPr>
          <w:rFonts w:ascii="Times New Roman;Times;serif" w:hAnsi="Times New Roman;Times;serif"/>
          <w:sz w:val="20"/>
        </w:rPr>
      </w:pPr>
      <w:r>
        <w:rPr>
          <w:rFonts w:ascii="Times New Roman;Times;serif" w:hAnsi="Times New Roman;Times;serif"/>
          <w:sz w:val="20"/>
        </w:rPr>
        <w:t xml:space="preserve">The pro forma financial information (in thousands) presented in the following table was computed by combining the historical financial information of Gevo along with the effects from business combination accounting and the associated debt resulting from this acquisition as if the companies were combined on January 1, 2024. This information is presented for informational purposes only and is not necessarily indicative of the operating results that would have occurred if the acquisition had been consummated as of that date. This information should not be used as a predictive measure of our future financial position, results of operations, or liquidity. </w:t>
      </w:r>
    </w:p>
    <w:p>
      <w:pPr>
        <w:pStyle w:val="TextBody"/>
        <w:bidi w:val="0"/>
        <w:spacing w:before="0" w:after="0"/>
        <w:ind w:left="0" w:right="0" w:hanging="0"/>
        <w:jc w:val="left"/>
        <w:rPr/>
      </w:pPr>
      <w:r>
        <w:rPr/>
        <w:t>​</w:t>
      </w:r>
    </w:p>
    <w:tbl>
      <w:tblPr>
        <w:tblW w:w="3835" w:type="dxa"/>
        <w:jc w:val="left"/>
        <w:tblInd w:w="0" w:type="dxa"/>
        <w:tblLayout w:type="fixed"/>
        <w:tblCellMar>
          <w:top w:w="0" w:type="dxa"/>
          <w:left w:w="0" w:type="dxa"/>
          <w:bottom w:w="0" w:type="dxa"/>
          <w:right w:w="0" w:type="dxa"/>
        </w:tblCellMar>
      </w:tblPr>
      <w:tblGrid>
        <w:gridCol w:w="1321"/>
        <w:gridCol w:w="346"/>
        <w:gridCol w:w="211"/>
        <w:gridCol w:w="796"/>
        <w:gridCol w:w="109"/>
        <w:gridCol w:w="211"/>
        <w:gridCol w:w="841"/>
      </w:tblGrid>
      <w:tr>
        <w:trPr/>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838835" cy="175260"/>
                      <wp:effectExtent l="0" t="0" r="0" b="0"/>
                      <wp:wrapNone/>
                      <wp:docPr id="240" name="Frame240"/>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19710" cy="175260"/>
                      <wp:effectExtent l="0" t="0" r="0" b="0"/>
                      <wp:wrapNone/>
                      <wp:docPr id="241" name="Frame2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33985" cy="175260"/>
                      <wp:effectExtent l="0" t="0" r="0" b="0"/>
                      <wp:wrapNone/>
                      <wp:docPr id="242" name="Frame2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505460" cy="175260"/>
                      <wp:effectExtent l="0" t="0" r="0" b="0"/>
                      <wp:wrapNone/>
                      <wp:docPr id="243" name="Frame24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9215" cy="175260"/>
                      <wp:effectExtent l="0" t="0" r="0" b="0"/>
                      <wp:wrapNone/>
                      <wp:docPr id="244" name="Frame2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33985" cy="175260"/>
                      <wp:effectExtent l="0" t="0" r="0" b="0"/>
                      <wp:wrapNone/>
                      <wp:docPr id="245" name="Frame2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534035" cy="175260"/>
                      <wp:effectExtent l="0" t="0" r="0" b="0"/>
                      <wp:wrapNone/>
                      <wp:docPr id="246" name="Frame24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6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13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175,119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157,397</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(30,728)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(81,984)</w:t>
            </w:r>
          </w:p>
        </w:tc>
      </w:tr>
    </w:tbl>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Acquisition of Cultivate Agricultural Intelligence, LLC</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On September 25, 2024 (the “Cultivate Acquisition Date”), the Company acquired all of the issued and outstanding membership interests of Cultivate Agricultural Intelligence, LLC (“Cultivate”) pursuant to the terms of the Membership Interest Purchase Agreement between the Company and Cultivate, as well as Cultivate’s individual members (the “Cultivate Acquisition”). The Cultivate Acquisition was accounted for using the acquisition method of accounting. The total fair value of the consideration transferred was $6.9 million, including estimated contingent consideration totaling $0.7 million (the “Cultivate Earn-out liability”), for which the Company may be required to pay additional cash consideration contingent on future net profit-based performance targets between the closing date and the fourth anniversary of the closing date, up to a maximum of $2.0 million. As of December 31, 2025 and 2024, the Cultivate Earn-out liability was $0.4 million and $0.7 million, respectively and is recorded in Other long-term liabilities on the Consolidated Balance Sheets.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Cultivate Acquisition met the requirements to be considered a business combination under ASC 805: Business Combinations (“ASC 805”). The assets and liabilities acquired from Cultivate, affected for preliminary adjustments to reflect the fair market values assigned to assets purchased and liabilities assumed, and results of operations, are included in the Company’s consolidated financial statements from the Cultivate Acquisition Date. The Company has allocated the purchase price to the tangible and identifiable intangible assets and liabilities assumed based on their estimated fair market values at the Cultivate Acquisition Date as required under ASC 805. The Company has not presented pro forma results because the Cultivate Acquisition was not deemed significant at the date of closing. Amounts related to the Cultivate Acquisition included in Consolidated Statements of Operations are insignificant.</w:t>
      </w:r>
    </w:p>
    <w:p>
      <w:pPr>
        <w:pStyle w:val="TextBody"/>
        <w:pBdr/>
        <w:bidi w:val="0"/>
        <w:spacing w:before="0" w:after="200"/>
        <w:ind w:left="0" w:right="0" w:hanging="360"/>
        <w:jc w:val="left"/>
        <w:rPr>
          <w:rFonts w:ascii="Times New Roman;Times;serif" w:hAnsi="Times New Roman;Times;serif"/>
          <w:b/>
          <w:sz w:val="20"/>
        </w:rPr>
      </w:pPr>
      <w:bookmarkStart w:id="740" w:name="Tc_OuDPlICRwECyOzAbBWtX6A_15_2"/>
      <w:bookmarkStart w:id="741" w:name="Tc_T9yqAyCakkC8X8bH4RBBaQ_15_0"/>
      <w:bookmarkStart w:id="742" w:name="Tc_NSujo7JOJU2DwRUY8-dftw_13_0"/>
      <w:bookmarkStart w:id="743" w:name="Tc_AQTt86KESU6fi61iNRKGxA_11_0"/>
      <w:bookmarkStart w:id="744" w:name="Tc_OBgrNI2Pakqe8LspESQdrw_10_0"/>
      <w:bookmarkStart w:id="745" w:name="Tc_i1vGTTrlg02xpaxEb1CbzQ_9_0"/>
      <w:bookmarkStart w:id="746" w:name="Tc_Uq9XRDHYc0Wm1iZF3yGwbQ_8_0"/>
      <w:bookmarkStart w:id="747" w:name="Tc_g3MU_nf6xkuf3zKDqjocng_7_0"/>
      <w:bookmarkStart w:id="748" w:name="Tc_L3FdVY03U0Wrh4oH9XKiFg_6_0"/>
      <w:bookmarkStart w:id="749" w:name="Tc_y75Jr4gCfkanw8UPp2PdOg_4_0"/>
      <w:bookmarkStart w:id="750" w:name="Tc_pxoyrsgkwk6yAbfLFHKf2Q_3_0"/>
      <w:bookmarkStart w:id="751" w:name="Tc_AV5wlBY9F0Gu1jjcQD-COA_2_2"/>
      <w:bookmarkStart w:id="752" w:name="Tc_2cWwM6DckU-FuyEGQoP32w_2_0"/>
      <w:bookmarkStart w:id="753" w:name="Tc_d3gyvtrzSkC8NCj1NcytSw_1_2"/>
      <w:bookmarkStart w:id="754" w:name="_98c0b160_cb7e_4168_aa7a_a740f62c622f"/>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r>
        <w:rPr>
          <w:rFonts w:ascii="Times New Roman;Times;serif" w:hAnsi="Times New Roman;Times;serif"/>
          <w:b/>
          <w:sz w:val="20"/>
        </w:rPr>
        <w:t>4. Disposition of Assets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October 31, 2025, </w:t>
      </w:r>
      <w:r>
        <w:rPr>
          <w:rFonts w:ascii="Times New Roman;Times;serif" w:hAnsi="Times New Roman;Times;serif"/>
          <w:sz w:val="20"/>
          <w:shd w:fill="FFFFFF" w:val="clear"/>
        </w:rPr>
        <w:t>we sold our subsidiary Agri-Energy, LLC, which owned an 18 million gallon-per-year ethanol production facility located in Luverne, Minnesota (the “Luverne Facility”) to A.E. Innovation LLC. The sales price was $7.0 million, consisting of a $2 million cash payment, received on the transaction closing date and a $5.0 million note receivable. The note receivable accrues interest at the Federal Funds Rate with principal payment of $1.0 million due annually, beginning October 31, 2026 and ending on October 31, 2030. The Company recorded a $1.6 million discount on the note receivable at issuance to adjust it to fair value. As part of the transaction, the Company retained certain assets at the Luverne Facility including certain isobutanol production assets and associated infrastructure.</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0" w:after="200"/>
        <w:ind w:left="0" w:right="0" w:firstLine="720"/>
        <w:jc w:val="left"/>
        <w:rPr>
          <w:shd w:fill="FFFFFF" w:val="clear"/>
        </w:rPr>
      </w:pPr>
      <w:r>
        <w:rPr>
          <w:shd w:fill="FFFFFF" w:val="clear"/>
        </w:rPr>
        <w:t>​</w:t>
      </w:r>
    </w:p>
    <w:p>
      <w:pPr>
        <w:pStyle w:val="TextBody"/>
        <w:bidi w:val="0"/>
        <w:spacing w:before="0" w:after="20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Following is the calculation of the gain on sale of Agri-Energy, LLC (in thousands):</w:t>
      </w:r>
    </w:p>
    <w:tbl>
      <w:tblPr>
        <w:tblW w:w="4684" w:type="dxa"/>
        <w:jc w:val="left"/>
        <w:tblInd w:w="0" w:type="dxa"/>
        <w:tblLayout w:type="fixed"/>
        <w:tblCellMar>
          <w:top w:w="0" w:type="dxa"/>
          <w:left w:w="0" w:type="dxa"/>
          <w:bottom w:w="0" w:type="dxa"/>
          <w:right w:w="0" w:type="dxa"/>
        </w:tblCellMar>
      </w:tblPr>
      <w:tblGrid>
        <w:gridCol w:w="3451"/>
        <w:gridCol w:w="346"/>
        <w:gridCol w:w="211"/>
        <w:gridCol w:w="676"/>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191385" cy="175260"/>
                      <wp:effectExtent l="0" t="0" r="0" b="0"/>
                      <wp:wrapNone/>
                      <wp:docPr id="247" name="Frame247"/>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19710" cy="175260"/>
                      <wp:effectExtent l="0" t="0" r="0" b="0"/>
                      <wp:wrapNone/>
                      <wp:docPr id="248" name="Frame2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33985" cy="175260"/>
                      <wp:effectExtent l="0" t="0" r="0" b="0"/>
                      <wp:wrapNone/>
                      <wp:docPr id="249" name="Frame2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429260" cy="175260"/>
                      <wp:effectExtent l="0" t="0" r="0" b="0"/>
                      <wp:wrapNone/>
                      <wp:docPr id="250" name="Frame25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consideration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Note receivable, net of discount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3,403</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fair value of consideration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5,403</w:t>
            </w:r>
          </w:p>
        </w:tc>
      </w:tr>
      <w:tr>
        <w:trPr/>
        <w:tc>
          <w:tcPr>
            <w:tcW w:w="3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Carrying values of assets disposed: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Machinery and equipment,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1,620</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value of assets disposed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2,018</w:t>
            </w:r>
          </w:p>
        </w:tc>
      </w:tr>
      <w:tr>
        <w:trPr/>
        <w:tc>
          <w:tcPr>
            <w:tcW w:w="3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 costs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w:t>
            </w:r>
          </w:p>
        </w:tc>
      </w:tr>
      <w:tr>
        <w:trPr/>
        <w:tc>
          <w:tcPr>
            <w:tcW w:w="3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disposition of Agri-Energy, LLC</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3,091</w:t>
            </w:r>
          </w:p>
        </w:tc>
      </w:tr>
    </w:tbl>
    <w:p>
      <w:pPr>
        <w:pStyle w:val="TextBody"/>
        <w:bidi w:val="0"/>
        <w:spacing w:before="0" w:after="0"/>
        <w:ind w:left="0" w:right="0" w:firstLine="720"/>
        <w:jc w:val="left"/>
        <w:rPr/>
      </w:pPr>
      <w:r>
        <w:rPr/>
        <w:t>​</w:t>
      </w:r>
    </w:p>
    <w:p>
      <w:pPr>
        <w:pStyle w:val="TextBody"/>
        <w:bidi w:val="0"/>
        <w:spacing w:before="0" w:after="20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pBdr/>
        <w:bidi w:val="0"/>
        <w:spacing w:before="0" w:after="200"/>
        <w:ind w:left="0" w:right="0" w:hanging="360"/>
        <w:jc w:val="left"/>
        <w:rPr>
          <w:rFonts w:ascii="Times New Roman;Times;serif" w:hAnsi="Times New Roman;Times;serif"/>
          <w:b/>
          <w:sz w:val="20"/>
        </w:rPr>
      </w:pPr>
      <w:r>
        <w:rPr>
          <w:rFonts w:ascii="Times New Roman;Times;serif" w:hAnsi="Times New Roman;Times;serif"/>
          <w:b/>
          <w:sz w:val="20"/>
        </w:rPr>
        <w:t>5. Tax Credit Recognition and Sales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U.S. federal government has introduced tax incentives to promote the production of low-carbon fuels and reduce GHG emissions, enhance energy security, and support the rural agricultural economy. </w:t>
      </w:r>
    </w:p>
    <w:p>
      <w:pPr>
        <w:pStyle w:val="TextBody"/>
        <w:bidi w:val="0"/>
        <w:spacing w:before="0" w:after="200"/>
        <w:ind w:left="0" w:right="0" w:firstLine="720"/>
        <w:jc w:val="left"/>
        <w:rPr>
          <w:rFonts w:ascii="Times New Roman;Times;serif" w:hAnsi="Times New Roman;Times;serif"/>
          <w:sz w:val="24"/>
        </w:rPr>
      </w:pPr>
      <w:r>
        <w:rPr>
          <w:rFonts w:ascii="Times New Roman;Times;serif" w:hAnsi="Times New Roman;Times;serif"/>
          <w:sz w:val="20"/>
        </w:rPr>
        <w:t>On September 18, 2024, we sold approximately $15.3</w:t>
      </w:r>
      <w:r>
        <w:rPr>
          <w:rFonts w:ascii="Times New Roman;Times;serif" w:hAnsi="Times New Roman;Times;serif"/>
          <w:sz w:val="24"/>
        </w:rPr>
        <w:t xml:space="preserve"> </w:t>
      </w:r>
      <w:r>
        <w:rPr>
          <w:rFonts w:ascii="Times New Roman;Times;serif" w:hAnsi="Times New Roman;Times;serif"/>
          <w:sz w:val="20"/>
        </w:rPr>
        <w:t>million in ITCs to a corporate buyer. This transaction monetized IRA Investment Tax Credits generated from the commercialization of the RNG Project by Gevo NW Iowa RNG, LLC and provided net cash proceeds of approximately $14.0</w:t>
      </w:r>
      <w:r>
        <w:rPr>
          <w:rFonts w:ascii="Times New Roman;Times;serif" w:hAnsi="Times New Roman;Times;serif"/>
          <w:sz w:val="24"/>
        </w:rPr>
        <w:t xml:space="preserve"> </w:t>
      </w:r>
      <w:r>
        <w:rPr>
          <w:rFonts w:ascii="Times New Roman;Times;serif" w:hAnsi="Times New Roman;Times;serif"/>
          <w:sz w:val="20"/>
        </w:rPr>
        <w:t>million to us after transaction fees. As of December 31, 2024, the Company recorded $15.3</w:t>
      </w:r>
      <w:r>
        <w:rPr>
          <w:rFonts w:ascii="Times New Roman;Times;serif" w:hAnsi="Times New Roman;Times;serif"/>
          <w:sz w:val="24"/>
        </w:rPr>
        <w:t xml:space="preserve"> </w:t>
      </w:r>
      <w:r>
        <w:rPr>
          <w:rFonts w:ascii="Times New Roman;Times;serif" w:hAnsi="Times New Roman;Times;serif"/>
          <w:sz w:val="20"/>
        </w:rPr>
        <w:t xml:space="preserve">million as a reduction to </w:t>
      </w:r>
      <w:r>
        <w:rPr>
          <w:rFonts w:ascii="Times New Roman;Times;serif" w:hAnsi="Times New Roman;Times;serif"/>
          <w:b w:val="false"/>
          <w:i w:val="false"/>
          <w:caps w:val="false"/>
          <w:smallCaps w:val="false"/>
          <w:sz w:val="20"/>
        </w:rPr>
        <w:t>Property, plant, and equipment</w:t>
      </w:r>
      <w:r>
        <w:rPr>
          <w:rFonts w:ascii="Times New Roman;Times;serif" w:hAnsi="Times New Roman;Times;serif"/>
          <w:sz w:val="20"/>
        </w:rPr>
        <w:t>, net on the Consolidated Balance Sheet.</w:t>
      </w:r>
      <w:r>
        <w:rPr>
          <w:rFonts w:ascii="Times New Roman;Times;serif" w:hAnsi="Times New Roman;Times;serif"/>
          <w:sz w:val="24"/>
        </w:rPr>
        <w:t xml:space="preserve">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Effective January 1, 2025, the IRA replaces Section 6426 of the Internal Revenue Code with Section 45Z, providing CFPCs for the years 2025 through 2027. This was further updated and extended on July 4, 2025, under the OBBBA extending the credit through 2029. Producers of liquid transportation fuels, including SAF, are eligible to qualify for up to $1 per gallon, while producers of non-SAF transportation fuels could claim an amount exceeding $1 per gallon for significant CI reductions, with the credit amount indexed annually for inflation.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Our GevoND and RNG production facilities became eligible for these federal tax credits during 2025. For the year ended December 31, 2025, the Company generated and recognized $52.0 million of Section 45Z tax credits, which were recorded as a reduction to Cost of production and a nonmonetary asset recorded within Intangible assets, net. The Company monetizes these tax credits through sale of such credits to third parties.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During 2025, the Company entered into multiple tax credit transfer agreements pursuant to which it agreed to sell and transfer CFPCs generated from qualifying ethanol production.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On June 30, 2025, the Company entered into a Tax Credit Transfer Agreement with a financial institution pursuant to which the Company agreed to transfer approximately $22.0 million of CFPCs generated from ethanol production at the Company’s GevoND facility during the period from January 31, 2025 through December 31, 2025 at a price of $0.935 per credit. Under the agreement, the credits were transferred to the transferee in one or more deliveries occurring between June 30, 2025 and December 10, 2025. The financial institution was granted two additional rights: (i) a right of offer for up to $20.0 million of additional credits generated by GevoND between January 31, 2025 and December 31, 2025, and (ii) a right of first refusal to purchase all credits generated by GevoND during the year ended December 31, 2026 at the same price and on substantially the same terms as those set forth in the June 30, 2025 agreement. The first right was not exercised. The financial institution had until February 28, 2026 to exercise the second right. Under the agreement, if the Company fails to transfer at least 90% of the credits on any Transfer Date, the Company must pay an under-delivery fee to the financial institution calculated as $0.05 per credit for the difference between 90% of the Max Credits, as defined, and the actual number of credits transferred. At January 15, 2026, if the Company had not transferred $19.8 million of credits, the Company would have been required to pay an under-delivery-fee calculated as $0.05 of the difference between $20.0 million and the dollar amount of credits which have been transferred less any Under-Delivery-Fees paid to date. As of March 5, 2026, no under-delivery-fees were required to be paid.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October 30, 2025, the Company entered into a Tax Credit Transfer Agreement with another financial institution pursuant to which the Company agreed to transfer $20.0 million of CFPCs generated from the ethanol production at the Company’s GevoND facility during the period from January 31, 2025 to December 31, 2025, at a price of $0.935 per credit. The agreement provides for the transfer of the credits in three separate tranches, with deliveries scheduled to occur between October 30, 2025 and February 20, 2026. The financial institution was granted the option to purchase an additional $35.0 million of credits generated by GevoND or the Company’s RNG plant, during the year ended December 31, 2026 under the same terms and conditions as the October 30, 2025 agreement. The financial institution was required to exercise this option by January, 31, 2026. The financial institution did not exercise this option. Further, under the agreement, if the Company fails to deliver equal to or greater than 90% of the Max Credits, as defined, for any specified transfer date, then the Company must pay an under-delivery-fee to the financial institution calculated as $0.05 credit for the difference between 90% of the credits. At February 20, 2026, if the Company had not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transferred $20.0 million of credits, the Company would have been required to pay an under-delivery-fee calculated as $0.05 of the difference between $20.0 million and the dollar amount of credits which have been transferred less any Under-Delivery-Fees paid to date. As of March 5, 2026, no under-delivery-fees were required to be paid.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On November 4, 2025, the Company entered into a third Tax Credit Transfer Agreement with another financial institution pursuant to which the Company agreed to sell $10.0 million of credits generated from the Company’s GevoND operations between January 31, 2025 and December 31, 2025, with transfers occurring between November 4, 2025 and the date the Gevo Intermediate HoldCo, LLC tax return is filed.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During the year ended December 31, 2025, the Company received cash totaling $41.1 million related to these transfers, which is included in Deferred clean fuel production tax credits on our Consolidated Balance Sheet at December 31, 2025 as the credits cannot be formally transferred to the buyer until the Transfer Election Statement affixed to the corporate tax return is filed, which is expected to occur in October 2026.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Company’s ability to generate and transfer CFPCs is dependent on qualifying production volumes, compliance with applicable tax laws and regulations, and satisfaction of the conditions set forth in the applicable transfer agreements. Changes in regulatory guidance, production levels, or counterparty performance could affect the amount and timing of tax credits transferred.</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6. Revenues from Contracts with Customers and Other Revenue</w:t>
      </w:r>
    </w:p>
    <w:p>
      <w:pPr>
        <w:pStyle w:val="TextBody"/>
        <w:bidi w:val="0"/>
        <w:spacing w:before="0" w:after="20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Ethanol and Related Products</w:t>
      </w:r>
    </w:p>
    <w:p>
      <w:pPr>
        <w:pStyle w:val="TextBody"/>
        <w:bidi w:val="0"/>
        <w:spacing w:before="280" w:after="0"/>
        <w:ind w:left="0" w:right="0" w:hanging="0"/>
        <w:jc w:val="left"/>
        <w:rPr>
          <w:rFonts w:ascii="Times New Roman;Times;serif" w:hAnsi="Times New Roman;Times;serif"/>
          <w:sz w:val="20"/>
        </w:rPr>
      </w:pPr>
      <w:r>
        <w:rPr>
          <w:rFonts w:ascii="Times New Roman;Times;serif" w:hAnsi="Times New Roman;Times;serif"/>
          <w:sz w:val="20"/>
        </w:rPr>
        <w:t>The Company recognizes revenue from sales of ethanol and co-products at the point in time when the performance obligations in the Company's contracts with customers are met, which is when the customer obtains control of such products and typically occurs upon shipment (depending on the terms of the underlying contracts). Revenue is measured as the amount of consideration expected to be received in exchange for transferring goods or providing services. Pricing is based on either fixed terms or index-based formulas as specified in the contract. Pricing under index-based contracts is tied to observable market indices and reflects prevailing market prices at the time of delivery. In some instances, the Company enters into contracts with customers that contain multiple performance obligations to deliver specified volumes of co-products over a contractual period of less than 12 months. In such instances, the Company allocates the transaction price to each performance obligation identified in the contract based on relative standalone selling prices and recognizes the related revenue when control of each individual product is transferred to the customer in satisfaction of the corresponding performance obligation.</w:t>
      </w:r>
    </w:p>
    <w:p>
      <w:pPr>
        <w:pStyle w:val="TextBody"/>
        <w:bidi w:val="0"/>
        <w:spacing w:before="280" w:after="20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RNG Revenue</w:t>
      </w:r>
    </w:p>
    <w:p>
      <w:pPr>
        <w:pStyle w:val="TextBody"/>
        <w:bidi w:val="0"/>
        <w:spacing w:before="0" w:after="20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Company’s RNG revenues relate to the sale of RNG produced at the NW Iowa RNG facility under long-term contracts with customers. Revenue is recognized at a point in time when the Company transfers the product to its customer. The customer obtains control of the product upon RNG delivery into a gas pipeline system. The Company generally has multiple performance obligations in our arrangements with customers. The Company’s performance obligation related to the sales of RNG are satisfied at a point in time upon delivery to the customer. Revenue is measured as the amount of consideration the Company expects to receive in exchange for transferring its products. There is no variable consideration present in the Company’s performance obligations. Consideration for each transaction is based upon quoted market prices at the time of delivery. All material contracts have payment terms of between one to three months and there are no return or refund rights.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00"/>
        <w:ind w:left="0" w:right="0" w:hanging="0"/>
        <w:jc w:val="left"/>
        <w:rPr>
          <w:rFonts w:ascii="Times New Roman;Times;serif" w:hAnsi="Times New Roman;Times;serif"/>
          <w:sz w:val="20"/>
          <w:shd w:fill="FFFFFF" w:val="clear"/>
        </w:rPr>
      </w:pPr>
      <w:bookmarkStart w:id="755" w:name="Tc_ecpBQvdvkkaPdInpb0QFSQ_9_5"/>
      <w:bookmarkStart w:id="756" w:name="Tc_joPqlVwftEqYLEnDbDYkrw_9_2"/>
      <w:bookmarkStart w:id="757" w:name="Tc_n22BWLYsb0mD0Uvps_zJ7g_9_0"/>
      <w:bookmarkStart w:id="758" w:name="Tc_qBGz_YCfuEGtttiwf6w10g_8_0"/>
      <w:bookmarkStart w:id="759" w:name="Tc_zJgiIccCb0anO_Djc68u0w_7_0"/>
      <w:bookmarkStart w:id="760" w:name="Tc_0TJrQsicmE62CUmBC-lxqg_6_0"/>
      <w:bookmarkStart w:id="761" w:name="Tc_JRMCI4t1-kCGtq1wIA8OIA_5_0"/>
      <w:bookmarkStart w:id="762" w:name="Tc_IPs1zdPPRUKuYELMfLf-jg_4_6"/>
      <w:bookmarkStart w:id="763" w:name="Tc_r1IHW8Io-EeLQldlwnW1fw_4_0"/>
      <w:bookmarkStart w:id="764" w:name="Tc_t2e3Vb2re02JLzzdVP3GFg_3_6"/>
      <w:bookmarkStart w:id="765" w:name="Tc_ir840nJ17USaZKNciysq9Q_3_5"/>
      <w:bookmarkStart w:id="766" w:name="Tc_ibmB-HvQWUKP6jBby1JpfA_3_2"/>
      <w:bookmarkStart w:id="767" w:name="Tc_zOhpbcTvIUi5ZyoiqBAqkw_3_0"/>
      <w:bookmarkStart w:id="768" w:name="Tc_x488-IVVE02yjyJsA5hbKw_2_5"/>
      <w:bookmarkStart w:id="769" w:name="Tc_kqWLSYRO6Um3lPLEvsfXlw_2_2"/>
      <w:bookmarkStart w:id="770" w:name="Tc_yPMTkrZ5ekKpyOZY3nobbw_2_0"/>
      <w:bookmarkStart w:id="771" w:name="Tc_xyUs2xFhvkmJioqI2b-ecQ_1_2"/>
      <w:bookmarkStart w:id="772" w:name="_7d185f99_2ea7_4bea_886c_582d56980823"/>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r>
        <w:rPr>
          <w:rFonts w:ascii="Times New Roman;Times;serif" w:hAnsi="Times New Roman;Times;serif"/>
          <w:sz w:val="20"/>
          <w:shd w:fill="FFFFFF" w:val="clear"/>
        </w:rPr>
        <w:t>Environmental Attribute Revenue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The Company’s environmental attribute revenue represents </w:t>
      </w:r>
      <w:r>
        <w:rPr>
          <w:rFonts w:ascii="Times New Roman;Times;serif" w:hAnsi="Times New Roman;Times;serif"/>
          <w:sz w:val="20"/>
          <w:shd w:fill="FFFFFF" w:val="clear"/>
        </w:rPr>
        <w:t>the sale of RNG related environmental attributes produced at the NW Iowa RNG facility and the generation of CORCs at GevoND. The title and control for the environmental attributes are transferred to the customer subsequent to the issuance of such attributes by the relevant regulatory agency. The Company generally has multiple performance obligations in our arrangements with customers. The Company’s performance obligations related to the sales of environmental attributes are satisfied at a point in time upon delivery to the customer. Revenue is measured as the amount of consideration the Company expects to receive in exchange for transferring the environmental attributes. There is no variable consideration present in the Company’s performance obligations. Consideration for each transaction is based upon either quoted market prices at the time of delivery or fixed prices per the contract terms. All material contracts have payment terms of between one to three months and there are no return or refund rights.</w:t>
      </w:r>
    </w:p>
    <w:p>
      <w:pPr>
        <w:pStyle w:val="TextBody"/>
        <w:bidi w:val="0"/>
        <w:spacing w:before="0" w:after="20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Hydrocarbon Revenue</w:t>
      </w:r>
    </w:p>
    <w:p>
      <w:pPr>
        <w:pStyle w:val="TextBody"/>
        <w:bidi w:val="0"/>
        <w:spacing w:before="0" w:after="20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Company’s hydrocarbon revenue represents sales of renewable, low-carbon intensity blendstocks for motorsports and isooctane isooctane The sales were on a free-on-board shipping point basis (recognized at a point in time), were independent transactions, did not provide post-sale support or promises to deliver future goods, and were single performance obligations.</w:t>
      </w:r>
    </w:p>
    <w:p>
      <w:pPr>
        <w:pStyle w:val="TextBody"/>
        <w:bidi w:val="0"/>
        <w:spacing w:before="0" w:after="20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Other</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Company’s other revenue represents licensing and development revenue and software services revenue. The Company’s licensing revenue is related to a joint development agreement with LG Chem, Ltd. ("LG Chem") to develop bio-propylene for renewable chemicals using Gevo’s Ethanol-to-Olefins ("ETO") technology. As the contractually promised intellectual properties (“IP”) are not individually distinct, the Company combined each individual IP noted in the contract into a bundle of IP (“IP Rights”) that is distinct and accounted for all of the IP Rights promised in the contract as a single performance obligation. The IP Rights granted were “functional IP rights” that have significant standalone functionality. The Company’s subsequent activities do not substantively change that functionality and do not significantly affect the utility of the IP to which the licensee has rights. The Company has no further obligation with respect to the grant of IP Rights, including no expressed or implied obligation to maintain or upgrade the technology, or provide future support or services. The earnings process is complete when the licensee obtains control of the IP and revenue is recognized upon the achievement of certain project milestones, when collectability is probable and all other revenue recognition criteria have been met. </w:t>
      </w:r>
      <w:r>
        <w:rPr>
          <w:rFonts w:ascii="Times New Roman;Times;serif" w:hAnsi="Times New Roman;Times;serif"/>
          <w:sz w:val="20"/>
          <w:shd w:fill="FFFFFF" w:val="clear"/>
        </w:rPr>
        <w:t xml:space="preserve">The Company’s software and services revenue represents annual support fees and services for customers of Verity and Cultivate AI.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tables display the Company’s revenue by major source based on product type (in thousands):</w:t>
      </w:r>
    </w:p>
    <w:p>
      <w:pPr>
        <w:pStyle w:val="TextBody"/>
        <w:bidi w:val="0"/>
        <w:spacing w:before="0" w:after="0"/>
        <w:ind w:left="0" w:right="0" w:hanging="0"/>
        <w:jc w:val="left"/>
        <w:rPr/>
      </w:pPr>
      <w:r>
        <w:rPr/>
        <w:t>​</w:t>
      </w:r>
    </w:p>
    <w:tbl>
      <w:tblPr>
        <w:tblW w:w="4822" w:type="dxa"/>
        <w:jc w:val="left"/>
        <w:tblInd w:w="0" w:type="dxa"/>
        <w:tblLayout w:type="fixed"/>
        <w:tblCellMar>
          <w:top w:w="0" w:type="dxa"/>
          <w:left w:w="0" w:type="dxa"/>
          <w:bottom w:w="0" w:type="dxa"/>
          <w:right w:w="0" w:type="dxa"/>
        </w:tblCellMar>
      </w:tblPr>
      <w:tblGrid>
        <w:gridCol w:w="2146"/>
        <w:gridCol w:w="346"/>
        <w:gridCol w:w="211"/>
        <w:gridCol w:w="781"/>
        <w:gridCol w:w="346"/>
        <w:gridCol w:w="211"/>
        <w:gridCol w:w="781"/>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362710" cy="175260"/>
                      <wp:effectExtent l="0" t="0" r="0" b="0"/>
                      <wp:wrapNone/>
                      <wp:docPr id="251" name="Frame251"/>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19710" cy="175260"/>
                      <wp:effectExtent l="0" t="0" r="0" b="0"/>
                      <wp:wrapNone/>
                      <wp:docPr id="252" name="Frame2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33985" cy="175260"/>
                      <wp:effectExtent l="0" t="0" r="0" b="0"/>
                      <wp:wrapNone/>
                      <wp:docPr id="253" name="Frame2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495935" cy="175260"/>
                      <wp:effectExtent l="0" t="0" r="0" b="0"/>
                      <wp:wrapNone/>
                      <wp:docPr id="254" name="Frame25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19710" cy="175260"/>
                      <wp:effectExtent l="0" t="0" r="0" b="0"/>
                      <wp:wrapNone/>
                      <wp:docPr id="255" name="Frame2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33985" cy="175260"/>
                      <wp:effectExtent l="0" t="0" r="0" b="0"/>
                      <wp:wrapNone/>
                      <wp:docPr id="256" name="Frame2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495935" cy="175260"/>
                      <wp:effectExtent l="0" t="0" r="0" b="0"/>
                      <wp:wrapNone/>
                      <wp:docPr id="257" name="Frame25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21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Major Goods/Service Line</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Ethanol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105,176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Ethanol related products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Environmental attributes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15,105</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Renewable natural gas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Hydrocarbons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160,580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16,915</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 xml:space="preserve">Contract Assets and Trade Receivables. </w:t>
      </w:r>
      <w:r>
        <w:rPr>
          <w:rFonts w:ascii="Times New Roman;Times;serif" w:hAnsi="Times New Roman;Times;serif"/>
          <w:sz w:val="20"/>
        </w:rPr>
        <w:t xml:space="preserve">As of December 31, 2025, and 2024, there were no contract assets or liabilities as all customer amounts owed to the Company are unconditional and the Company does not receive payment in advance for its products. Accordingly, amounts owed by customers are included in “Trade accounts receivable, net” on the Company’s Consolidated Balance Sheets. In addition, due to the nature of the Company’s contracts, there are no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costs incurred or to be paid in the future that qualify for asset recognition as a cost to fulfill or obtain a contract. No allowance for credit losses was recorded for each of the years ended December 31, 2025, and 2024.</w:t>
      </w:r>
    </w:p>
    <w:p>
      <w:pPr>
        <w:pStyle w:val="TextBody"/>
        <w:bidi w:val="0"/>
        <w:spacing w:before="0" w:after="200"/>
        <w:ind w:left="0" w:right="0" w:hanging="0"/>
        <w:jc w:val="left"/>
        <w:rPr>
          <w:rFonts w:ascii="Times New Roman;Times;serif" w:hAnsi="Times New Roman;Times;serif"/>
          <w:b/>
          <w:sz w:val="20"/>
        </w:rPr>
      </w:pPr>
      <w:bookmarkStart w:id="773" w:name="Tc_k3ErdG45RUmBqjZDkNRbAw_6_0"/>
      <w:bookmarkStart w:id="774" w:name="Tc_4_gT15VVO0ivFwer7NpHAA_5_0"/>
      <w:bookmarkStart w:id="775" w:name="Tc_QRkobgZVU0Kw_YC1mjjrUQ_4_0"/>
      <w:bookmarkStart w:id="776" w:name="Tc_5CTfAcjTHEeeRc5rH45z0Q_3_0"/>
      <w:bookmarkStart w:id="777" w:name="Tc_WaSU0VUNrkCHD88SXfxuYg_2_5"/>
      <w:bookmarkStart w:id="778" w:name="Tc_1gGa_kG5aE25SdLFjmMrtA_2_2"/>
      <w:bookmarkStart w:id="779" w:name="Tc_iX8Bzo76r0-nVmMmRohPeg_1_2"/>
      <w:bookmarkStart w:id="780" w:name="Tc_bgirHQc3UEm393F_u0zN2Q_5_5"/>
      <w:bookmarkStart w:id="781" w:name="Tc_jLJT4R7QpUyBYrL1kE6Byw_5_2"/>
      <w:bookmarkStart w:id="782" w:name="Tc_WeO6t6iy6E-wYGvSV__BQA_5_0"/>
      <w:bookmarkStart w:id="783" w:name="Tc_Zow_lVhBq06BiJg-D7tRtg_4_0"/>
      <w:bookmarkStart w:id="784" w:name="Tc_epSUhnI5zEiAK0x4KGAXqg_3_5"/>
      <w:bookmarkStart w:id="785" w:name="Tc_9XONMAa1rkK7qsSfQdZgwQ_3_2"/>
      <w:bookmarkStart w:id="786" w:name="Tc_1BTxKMzJrUm9QOV4krbztw_3_0"/>
      <w:bookmarkStart w:id="787" w:name="Tc_HDM3KU8500C1r4Wp4jm4ZA_2_5"/>
      <w:bookmarkStart w:id="788" w:name="Tc_klM1CbXWZEeTNtO8Enq-4Q_2_2"/>
      <w:bookmarkStart w:id="789" w:name="Tc_ZtPHpxs6NUKPwo8mofQFWQ_1_2"/>
      <w:bookmarkStart w:id="790" w:name="_add96d7f_f35c_4aa5_b93d_74675d3b2389"/>
      <w:bookmarkStart w:id="791" w:name="_4ac6def4_feed_453f_8fd9_fc8a4e05808d"/>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r>
        <w:rPr>
          <w:rFonts w:ascii="Times New Roman;Times;serif" w:hAnsi="Times New Roman;Times;serif"/>
          <w:b/>
          <w:sz w:val="20"/>
        </w:rPr>
        <w:t>7</w:t>
      </w:r>
      <w:r>
        <w:rPr>
          <w:rFonts w:ascii="Times New Roman;Times;serif" w:hAnsi="Times New Roman;Times;serif"/>
          <w:b/>
          <w:i/>
          <w:sz w:val="20"/>
        </w:rPr>
        <w:t xml:space="preserve">. </w:t>
      </w:r>
      <w:r>
        <w:rPr>
          <w:rFonts w:ascii="Times New Roman;Times;serif" w:hAnsi="Times New Roman;Times;serif"/>
          <w:b/>
          <w:sz w:val="20"/>
        </w:rPr>
        <w:t>Net Loss per Share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Basic net loss per share is calculated by dividing net loss by the weighted average number of common shares outstanding for the respective periods. Diluted loss per share is calculated using the diluted weighted average number of common shares outstanding, which includes the effect of potentially dilutive securities. These potentially dilutive securities for this calculation consist of unexercised warrants, stock options and unvested restricted stock awards, all of which are measured using the treasury stock method. Potentially dilutive securities are not considered to be dilutive in periods in which a net loss is reported. See Note 19, Stock-Based Compensation, for discussion of our stock options and restricted stock awards and Note 24, Stockholders’ Equity, for discussion of our warrants.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Basic and diluted net loss per share is calculated as follows (net loss in thousands):</w:t>
      </w:r>
    </w:p>
    <w:tbl>
      <w:tblPr>
        <w:tblW w:w="7057" w:type="dxa"/>
        <w:jc w:val="left"/>
        <w:tblInd w:w="0" w:type="dxa"/>
        <w:tblLayout w:type="fixed"/>
        <w:tblCellMar>
          <w:top w:w="0" w:type="dxa"/>
          <w:left w:w="0" w:type="dxa"/>
          <w:bottom w:w="0" w:type="dxa"/>
          <w:right w:w="0" w:type="dxa"/>
        </w:tblCellMar>
      </w:tblPr>
      <w:tblGrid>
        <w:gridCol w:w="3616"/>
        <w:gridCol w:w="346"/>
        <w:gridCol w:w="211"/>
        <w:gridCol w:w="1141"/>
        <w:gridCol w:w="346"/>
        <w:gridCol w:w="211"/>
        <w:gridCol w:w="1186"/>
      </w:tblGrid>
      <w:tr>
        <w:trPr/>
        <w:tc>
          <w:tcPr>
            <w:tcW w:w="3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296160" cy="175260"/>
                      <wp:effectExtent l="0" t="0" r="0" b="0"/>
                      <wp:wrapNone/>
                      <wp:docPr id="258" name="Frame258"/>
                      <a:graphic xmlns:a="http://schemas.openxmlformats.org/drawingml/2006/main">
                        <a:graphicData uri="http://schemas.microsoft.com/office/word/2010/wordprocessingShape">
                          <wps:wsp>
                            <wps:cNvSpPr txBox="1"/>
                            <wps:spPr>
                              <a:xfrm>
                                <a:off x="0" y="0"/>
                                <a:ext cx="2296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19710" cy="175260"/>
                      <wp:effectExtent l="0" t="0" r="0" b="0"/>
                      <wp:wrapNone/>
                      <wp:docPr id="259"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33985" cy="175260"/>
                      <wp:effectExtent l="0" t="0" r="0" b="0"/>
                      <wp:wrapNone/>
                      <wp:docPr id="260" name="Frame2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724535" cy="175260"/>
                      <wp:effectExtent l="0" t="0" r="0" b="0"/>
                      <wp:wrapNone/>
                      <wp:docPr id="261" name="Frame26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19710" cy="175260"/>
                      <wp:effectExtent l="0" t="0" r="0" b="0"/>
                      <wp:wrapNone/>
                      <wp:docPr id="262" name="Frame2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33985" cy="175260"/>
                      <wp:effectExtent l="0" t="0" r="0" b="0"/>
                      <wp:wrapNone/>
                      <wp:docPr id="263" name="Frame2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753110" cy="175260"/>
                      <wp:effectExtent l="0" t="0" r="0" b="0"/>
                      <wp:wrapNone/>
                      <wp:docPr id="264" name="Frame264"/>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309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36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3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6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(33,836)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(78,640)</w:t>
            </w:r>
          </w:p>
        </w:tc>
      </w:tr>
      <w:tr>
        <w:trPr/>
        <w:tc>
          <w:tcPr>
            <w:tcW w:w="36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weighted-average shares outstanding</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234,008,574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231,674,716</w:t>
            </w:r>
          </w:p>
        </w:tc>
      </w:tr>
      <w:tr>
        <w:trPr/>
        <w:tc>
          <w:tcPr>
            <w:tcW w:w="36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per share - basic and 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(0.34)</w:t>
            </w:r>
          </w:p>
        </w:tc>
      </w:tr>
    </w:tbl>
    <w:p>
      <w:pPr>
        <w:pStyle w:val="TextBody"/>
        <w:bidi w:val="0"/>
        <w:spacing w:before="0" w:after="200"/>
        <w:ind w:left="0" w:right="0" w:firstLine="72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For the years ended December 31, 2025 and 2024, potentially dilutive securities excluded from the calculation of diluted weighted average shares outstanding because they were anti-dilutive are as follows:</w:t>
      </w:r>
    </w:p>
    <w:p>
      <w:pPr>
        <w:pStyle w:val="TextBody"/>
        <w:bidi w:val="0"/>
        <w:spacing w:before="0" w:after="0"/>
        <w:ind w:left="0" w:right="0" w:hanging="0"/>
        <w:jc w:val="left"/>
        <w:rPr/>
      </w:pPr>
      <w:r>
        <w:rPr/>
        <w:t>​</w:t>
      </w:r>
    </w:p>
    <w:tbl>
      <w:tblPr>
        <w:tblW w:w="5578" w:type="dxa"/>
        <w:jc w:val="left"/>
        <w:tblInd w:w="0" w:type="dxa"/>
        <w:tblLayout w:type="fixed"/>
        <w:tblCellMar>
          <w:top w:w="0" w:type="dxa"/>
          <w:left w:w="0" w:type="dxa"/>
          <w:bottom w:w="0" w:type="dxa"/>
          <w:right w:w="0" w:type="dxa"/>
        </w:tblCellMar>
      </w:tblPr>
      <w:tblGrid>
        <w:gridCol w:w="2761"/>
        <w:gridCol w:w="346"/>
        <w:gridCol w:w="109"/>
        <w:gridCol w:w="931"/>
        <w:gridCol w:w="346"/>
        <w:gridCol w:w="109"/>
        <w:gridCol w:w="976"/>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753235" cy="175260"/>
                      <wp:effectExtent l="0" t="0" r="0" b="0"/>
                      <wp:wrapNone/>
                      <wp:docPr id="265" name="Frame265"/>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19710" cy="175260"/>
                      <wp:effectExtent l="0" t="0" r="0" b="0"/>
                      <wp:wrapNone/>
                      <wp:docPr id="266" name="Frame2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9215" cy="175260"/>
                      <wp:effectExtent l="0" t="0" r="0" b="0"/>
                      <wp:wrapNone/>
                      <wp:docPr id="267" name="Frame2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591185" cy="175260"/>
                      <wp:effectExtent l="0" t="0" r="0" b="0"/>
                      <wp:wrapNone/>
                      <wp:docPr id="268" name="Frame26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19710" cy="175260"/>
                      <wp:effectExtent l="0" t="0" r="0" b="0"/>
                      <wp:wrapNone/>
                      <wp:docPr id="269" name="Frame2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9215" cy="175260"/>
                      <wp:effectExtent l="0" t="0" r="0" b="0"/>
                      <wp:wrapNone/>
                      <wp:docPr id="270" name="Frame2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19760" cy="175260"/>
                      <wp:effectExtent l="0" t="0" r="0" b="0"/>
                      <wp:wrapNone/>
                      <wp:docPr id="271" name="Frame271"/>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47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276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1040" w:type="dxa"/>
            <w:gridSpan w:val="2"/>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shd w:fill="CCEEFF" w:val="clear"/>
            <w:vAlign w:val="center"/>
          </w:tcPr>
          <w:p>
            <w:pPr>
              <w:pStyle w:val="TableContents"/>
              <w:bidi w:val="0"/>
              <w:spacing w:before="0" w:after="1"/>
              <w:ind w:left="0" w:right="0" w:hanging="0"/>
              <w:jc w:val="center"/>
              <w:rPr/>
            </w:pPr>
            <w:r>
              <w:rPr/>
              <w:t>  ​ ​ ​</w:t>
            </w:r>
          </w:p>
        </w:tc>
        <w:tc>
          <w:tcPr>
            <w:tcW w:w="1085" w:type="dxa"/>
            <w:gridSpan w:val="2"/>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Warrants</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1,357</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27,010</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2,277,369</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3,036</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restricted stock awards</w:t>
            </w:r>
          </w:p>
        </w:tc>
        <w:tc>
          <w:tcPr>
            <w:tcW w:w="346" w:type="dxa"/>
            <w:tcBorders/>
            <w:vAlign w:val="center"/>
          </w:tcPr>
          <w:p>
            <w:pPr>
              <w:pStyle w:val="TableContents"/>
              <w:bidi w:val="0"/>
              <w:spacing w:before="0" w:after="1"/>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4,246,732</w:t>
            </w:r>
          </w:p>
        </w:tc>
        <w:tc>
          <w:tcPr>
            <w:tcW w:w="346" w:type="dxa"/>
            <w:tcBorders/>
            <w:vAlign w:val="center"/>
          </w:tcPr>
          <w:p>
            <w:pPr>
              <w:pStyle w:val="TableContents"/>
              <w:bidi w:val="0"/>
              <w:spacing w:before="0" w:after="1"/>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1,714,600</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6,525,457</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1,744,646</w:t>
            </w:r>
          </w:p>
        </w:tc>
      </w:tr>
      <w:tr>
        <w:trPr/>
        <w:tc>
          <w:tcPr>
            <w:tcW w:w="27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pPr>
            <w:r>
              <w:rPr/>
              <w:t>​</w:t>
            </w:r>
          </w:p>
        </w:tc>
      </w:tr>
    </w:tbl>
    <w:p>
      <w:pPr>
        <w:pStyle w:val="TextBody"/>
        <w:bidi w:val="0"/>
        <w:spacing w:before="0" w:after="200"/>
        <w:ind w:left="0" w:right="0" w:firstLine="720"/>
        <w:jc w:val="left"/>
        <w:rPr/>
      </w:pPr>
      <w:r>
        <w:rPr/>
        <w:t>​</w:t>
      </w:r>
    </w:p>
    <w:p>
      <w:pPr>
        <w:pStyle w:val="TextBody"/>
        <w:bidi w:val="0"/>
        <w:spacing w:before="0" w:after="200"/>
        <w:ind w:left="0" w:right="0" w:firstLine="72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8. Restricted Cash</w:t>
      </w:r>
    </w:p>
    <w:p>
      <w:pPr>
        <w:pStyle w:val="TextBody"/>
        <w:bidi w:val="0"/>
        <w:spacing w:before="0" w:after="200"/>
        <w:ind w:left="0" w:right="0" w:firstLine="720"/>
        <w:jc w:val="left"/>
        <w:rPr/>
      </w:pPr>
      <w:r>
        <w:rPr>
          <w:rFonts w:ascii="Times New Roman;Times;serif" w:hAnsi="Times New Roman;Times;serif"/>
          <w:sz w:val="20"/>
        </w:rPr>
        <w:t xml:space="preserve">As of December 31, 2025 and 2024, the Company has restricted cash balances of $35.8 million and $69.6 million, respectively. Of the $35.8 million restricted balance as of December 31, 2025, $28.8 million is included in current assets and $7.0 million is included in non-current assets on the Consolidated Balance Sheet. The current portion of the restricted cash represents collateral for a letter of credit to provide financing support for the Company’s Remarketed Bonds, (“the New Bond Letter of Credit”), which support the development and construction of NW Iowa RNG (see </w:t>
      </w:r>
      <w:hyperlink w:anchor="_18._Debt">
        <w:r>
          <w:rPr>
            <w:rStyle w:val="InternetLink"/>
            <w:rFonts w:ascii="Times New Roman;Times;serif" w:hAnsi="Times New Roman;Times;serif"/>
            <w:b w:val="false"/>
            <w:i w:val="false"/>
            <w:caps w:val="false"/>
            <w:smallCaps w:val="false"/>
            <w:sz w:val="20"/>
          </w:rPr>
          <w:t>Note 18, Debt</w:t>
        </w:r>
      </w:hyperlink>
      <w:r>
        <w:rPr>
          <w:rFonts w:ascii="Times New Roman;Times;serif" w:hAnsi="Times New Roman;Times;serif"/>
          <w:sz w:val="20"/>
        </w:rPr>
        <w:t xml:space="preserve">). The New Bond Letter of Credit has a fee of 0.75% annually and expires April 6, 2026, unless terminated earlier. The restricted cash balance as of December 31, 2024, represented the cash collateral for the New Bond Letter of Credit. With the refinancing of the Remarketed Bonds on July 10, 2025, $40.8 million of restricted cash collateral was released to the Company. As of December 31, 2025 and 2024, no amounts had been drawn under the New Bond Letter of Credit. In addition, related to the refinancing of $40.0 million of the Remarketed Bonds, in July 2025, the Company established a debt service reserve and an operating and maintenance reserve totaling $7.0 million.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is entitled to receive interest income on the restricted cash, and recorded interest income $2.7 million and $3.4 million for the years ended December 31, 2025, and 2024, respectively, included in “Other (expense) income, net” in the Consolidated Statements of Operations.</w:t>
      </w:r>
    </w:p>
    <w:p>
      <w:pPr>
        <w:pStyle w:val="TextBody"/>
        <w:bidi w:val="0"/>
        <w:spacing w:before="0" w:after="20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00"/>
        <w:ind w:left="0" w:right="0" w:hanging="0"/>
        <w:jc w:val="left"/>
        <w:rPr>
          <w:rFonts w:ascii="Times New Roman;Times;serif" w:hAnsi="Times New Roman;Times;serif"/>
          <w:b/>
          <w:sz w:val="20"/>
        </w:rPr>
      </w:pPr>
      <w:bookmarkStart w:id="792" w:name="Tc_5q9-FYU0nU2OQA8VBeAM5A_10_5"/>
      <w:bookmarkStart w:id="793" w:name="Tc_v9L_0itAGUyqnm5y1gz2Ow_10_2"/>
      <w:bookmarkStart w:id="794" w:name="Tc_FDWyRsMbmE23AazcP4Bd9Q_10_0"/>
      <w:bookmarkStart w:id="795" w:name="Tc_qSdUk9KvNkOfs7LZNaojxg_9_0"/>
      <w:bookmarkStart w:id="796" w:name="Tc_PFshkuvVxky847V50fg0XQ_8_0"/>
      <w:bookmarkStart w:id="797" w:name="Tc_YgvVv24wpUC1Y96xaZ2FwA_7_0"/>
      <w:bookmarkStart w:id="798" w:name="Tc_8Bjhz7VzqEWUhDHaxHi8yA_6_0"/>
      <w:bookmarkStart w:id="799" w:name="Tc_GJOla-KtIUyGNcNtNhC_fQ_5_0"/>
      <w:bookmarkStart w:id="800" w:name="Tc_nBiCqgG5W0WRvcjRqiMRdw_4_0"/>
      <w:bookmarkStart w:id="801" w:name="Tc_rS4iKVIwOkOhshVULUSUHg_3_5"/>
      <w:bookmarkStart w:id="802" w:name="Tc__l9ThWk_sUSQZuvtJp697g_3_2"/>
      <w:bookmarkStart w:id="803" w:name="Tc_hvGOzsv8JE643WHMvIJw_w_3_0"/>
      <w:bookmarkStart w:id="804" w:name="Tc_kRRlkZz9mk-A9YbpEu1ZUQ_2_5"/>
      <w:bookmarkStart w:id="805" w:name="Tc_TZ1QmmCGR0KkP2LogYK1Pg_2_2"/>
      <w:bookmarkStart w:id="806" w:name="Tc_hTUwVyI1eUq3gm2b4z4Dbg_1_2"/>
      <w:bookmarkStart w:id="807" w:name="_a6c1aa75_e5c5_418b_9079_4f8a80dfdd84"/>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r>
        <w:rPr>
          <w:rFonts w:ascii="Times New Roman;Times;serif" w:hAnsi="Times New Roman;Times;serif"/>
          <w:b/>
          <w:sz w:val="20"/>
        </w:rPr>
        <w:t>9</w:t>
      </w:r>
      <w:r>
        <w:rPr>
          <w:rFonts w:ascii="Times New Roman;Times;serif" w:hAnsi="Times New Roman;Times;serif"/>
          <w:b/>
          <w:i/>
          <w:sz w:val="20"/>
        </w:rPr>
        <w:t xml:space="preserve">. </w:t>
      </w:r>
      <w:r>
        <w:rPr>
          <w:rFonts w:ascii="Times New Roman;Times;serif" w:hAnsi="Times New Roman;Times;serif"/>
          <w:b/>
          <w:sz w:val="20"/>
        </w:rPr>
        <w:t>Prepaid and Other Current Assets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components of the Company’s prepaid and other current assets (in thousands) as of:</w:t>
      </w:r>
    </w:p>
    <w:p>
      <w:pPr>
        <w:pStyle w:val="TextBody"/>
        <w:bidi w:val="0"/>
        <w:spacing w:before="0" w:after="0"/>
        <w:ind w:left="0" w:right="0" w:hanging="0"/>
        <w:jc w:val="left"/>
        <w:rPr/>
      </w:pPr>
      <w:r>
        <w:rPr/>
        <w:t>​</w:t>
      </w:r>
    </w:p>
    <w:tbl>
      <w:tblPr>
        <w:tblW w:w="6292" w:type="dxa"/>
        <w:jc w:val="left"/>
        <w:tblInd w:w="0" w:type="dxa"/>
        <w:tblLayout w:type="fixed"/>
        <w:tblCellMar>
          <w:top w:w="0" w:type="dxa"/>
          <w:left w:w="0" w:type="dxa"/>
          <w:bottom w:w="0" w:type="dxa"/>
          <w:right w:w="0" w:type="dxa"/>
        </w:tblCellMar>
      </w:tblPr>
      <w:tblGrid>
        <w:gridCol w:w="3931"/>
        <w:gridCol w:w="346"/>
        <w:gridCol w:w="211"/>
        <w:gridCol w:w="571"/>
        <w:gridCol w:w="346"/>
        <w:gridCol w:w="211"/>
        <w:gridCol w:w="676"/>
      </w:tblGrid>
      <w:tr>
        <w:trPr/>
        <w:tc>
          <w:tcPr>
            <w:tcW w:w="3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496185" cy="175260"/>
                      <wp:effectExtent l="0" t="0" r="0" b="0"/>
                      <wp:wrapNone/>
                      <wp:docPr id="272" name="Frame272"/>
                      <a:graphic xmlns:a="http://schemas.openxmlformats.org/drawingml/2006/main">
                        <a:graphicData uri="http://schemas.microsoft.com/office/word/2010/wordprocessingShape">
                          <wps:wsp>
                            <wps:cNvSpPr txBox="1"/>
                            <wps:spPr>
                              <a:xfrm>
                                <a:off x="0" y="0"/>
                                <a:ext cx="2496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19710" cy="175260"/>
                      <wp:effectExtent l="0" t="0" r="0" b="0"/>
                      <wp:wrapNone/>
                      <wp:docPr id="273" name="Frame2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33985" cy="175260"/>
                      <wp:effectExtent l="0" t="0" r="0" b="0"/>
                      <wp:wrapNone/>
                      <wp:docPr id="274" name="Frame2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362585" cy="175260"/>
                      <wp:effectExtent l="0" t="0" r="0" b="0"/>
                      <wp:wrapNone/>
                      <wp:docPr id="275" name="Frame27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19710" cy="175260"/>
                      <wp:effectExtent l="0" t="0" r="0" b="0"/>
                      <wp:wrapNone/>
                      <wp:docPr id="276" name="Frame2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33985" cy="175260"/>
                      <wp:effectExtent l="0" t="0" r="0" b="0"/>
                      <wp:wrapNone/>
                      <wp:docPr id="277" name="Frame2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429260" cy="175260"/>
                      <wp:effectExtent l="0" t="0" r="0" b="0"/>
                      <wp:wrapNone/>
                      <wp:docPr id="278" name="Frame27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0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insurance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1,520</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Corn derivative contracts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730</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feedstock</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1,097</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Note Receivable - A.E. Innovation- current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prepaid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2,573</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prepaid expenses and other current assets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5,920</w:t>
            </w:r>
          </w:p>
        </w:tc>
      </w:tr>
    </w:tbl>
    <w:p>
      <w:pPr>
        <w:pStyle w:val="TextBody"/>
        <w:bidi w:val="0"/>
        <w:spacing w:before="0" w:after="200"/>
        <w:ind w:left="0" w:right="0" w:firstLine="72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10</w:t>
      </w:r>
      <w:r>
        <w:rPr>
          <w:rFonts w:ascii="Times New Roman;Times;serif" w:hAnsi="Times New Roman;Times;serif"/>
          <w:b/>
          <w:i/>
          <w:sz w:val="20"/>
        </w:rPr>
        <w:t xml:space="preserve">. </w:t>
      </w:r>
      <w:r>
        <w:rPr>
          <w:rFonts w:ascii="Times New Roman;Times;serif" w:hAnsi="Times New Roman;Times;serif"/>
          <w:b/>
          <w:sz w:val="20"/>
        </w:rPr>
        <w:t>Leases, Right-of-Use Assets and Related Liabilities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Company is party to an operating lease for the Company’s office and research facility in Englewood, Colorado, which expires in January 2029 and an additional lease in Albuquerque, New Mexico, which expired in 2025. The Company’s office facility lease contains an option to extend the lease which is not included in the length of the term as management does not reasonably expect to exercise the option.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In connection with the Company’s sale of Agri-Energy, in October 2025, the Company entered into a </w:t>
      </w:r>
      <w:r>
        <w:rPr>
          <w:rFonts w:ascii="Times New Roman;Times;serif" w:hAnsi="Times New Roman;Times;serif"/>
          <w:b w:val="false"/>
          <w:i w:val="false"/>
          <w:caps w:val="false"/>
          <w:smallCaps w:val="false"/>
          <w:sz w:val="20"/>
        </w:rPr>
        <w:t>30-year</w:t>
      </w:r>
      <w:r>
        <w:rPr>
          <w:rFonts w:ascii="Times New Roman;Times;serif" w:hAnsi="Times New Roman;Times;serif"/>
          <w:sz w:val="20"/>
        </w:rPr>
        <w:t xml:space="preserve"> ground lease with the buyer to provide the Company access to assets retained at the Luverne Facility for the potential future production of isobutanol at the facility. The lease payments total $1.00 for the entire </w:t>
      </w:r>
      <w:r>
        <w:rPr>
          <w:rFonts w:ascii="Times New Roman;Times;serif" w:hAnsi="Times New Roman;Times;serif"/>
          <w:b w:val="false"/>
          <w:i w:val="false"/>
          <w:caps w:val="false"/>
          <w:smallCaps w:val="false"/>
          <w:sz w:val="20"/>
        </w:rPr>
        <w:t>30-year</w:t>
      </w:r>
      <w:r>
        <w:rPr>
          <w:rFonts w:ascii="Times New Roman;Times;serif" w:hAnsi="Times New Roman;Times;serif"/>
          <w:sz w:val="20"/>
        </w:rPr>
        <w:t xml:space="preserve"> period. There are two options to renew the lease, each for an additional 20-year period, which the Company expects to exercise. In addition, the Company has the right to terminate the lease at any time and for any reason with 12 months’ notice to the lessor.</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In connection with the Company’s acquisition of substantially all the assets and certain liabilities of Red Trail Energy, the Company assumed rail car lease agreements used to transport dried distillers grains, all of which are classified as operating leases.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Company has four finance leases for land and one for a processing facility. The land leases are for NW Iowa RNG. The Company leases land from dairy farmers on which it has built three anaerobic digesters, and a gas upgrade facility to condition raw biogas from cow manure provided by the farmers. These leases expire at various dates between 2031 and 2050.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During 2025, the Company entered into a </w:t>
      </w:r>
      <w:r>
        <w:rPr>
          <w:rFonts w:ascii="Times New Roman;Times;serif" w:hAnsi="Times New Roman;Times;serif"/>
          <w:b w:val="false"/>
          <w:i w:val="false"/>
          <w:caps w:val="false"/>
          <w:smallCaps w:val="false"/>
          <w:sz w:val="20"/>
        </w:rPr>
        <w:t>four-year</w:t>
      </w:r>
      <w:r>
        <w:rPr>
          <w:rFonts w:ascii="Times New Roman;Times;serif" w:hAnsi="Times New Roman;Times;serif"/>
          <w:sz w:val="20"/>
        </w:rPr>
        <w:t xml:space="preserve"> finance lease for a wheel loader at our Gevo North Dakota location. The lease expires in 2029.</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Company accounts for lease components separately from non-lease components for the Company’s dairy lease asset class. The total consideration in the lease agreement is allocated to the lease and non-lease components based on their relative standalone selling prices. These leases contain options to extend the leases, which management reasonably expects to exercise and are included in the length of the terms.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00"/>
        <w:ind w:left="0" w:right="0" w:firstLine="720"/>
        <w:jc w:val="left"/>
        <w:rPr>
          <w:rFonts w:ascii="Times New Roman;Times;serif" w:hAnsi="Times New Roman;Times;serif"/>
          <w:sz w:val="20"/>
        </w:rPr>
      </w:pPr>
      <w:bookmarkStart w:id="808" w:name="Tc_gyPt1DOG10qO_i27sFJhhA_12_5"/>
      <w:bookmarkStart w:id="809" w:name="Tc_6bfmU_7bg0GqNm1w1cMzUQ_12_2"/>
      <w:bookmarkStart w:id="810" w:name="Tc_4bIBUoT1UUmlsNbAs685ag_12_0"/>
      <w:bookmarkStart w:id="811" w:name="Tc_QZRmuRyTO0G3MOysEIIAMw_11_0"/>
      <w:bookmarkStart w:id="812" w:name="Tc_gUq5VS36XEmX2Mc3kIKaNw_10_0"/>
      <w:bookmarkStart w:id="813" w:name="Tc_VKK1Xe-5RU69oPDhmdXxTA_9_0"/>
      <w:bookmarkStart w:id="814" w:name="Tc_uGNs0KXfF0enidGI0JlDOA_8_0"/>
      <w:bookmarkStart w:id="815" w:name="Tc_IFTy_eiCu026M6sYxhE2Ew_7_3"/>
      <w:bookmarkStart w:id="816" w:name="Tc_Pcr5cKR9XEK1ojCuOPuh7A_7_0"/>
      <w:bookmarkStart w:id="817" w:name="Tc_gWwnUY4n2E-uEuXeMlFh5w_6_0"/>
      <w:bookmarkStart w:id="818" w:name="Tc_9CqYSYCX5kWD4akjLe-5-Q_5_0"/>
      <w:bookmarkStart w:id="819" w:name="Tc_ttbS3lTgkUqiga0nxgc8EQ_4_0"/>
      <w:bookmarkStart w:id="820" w:name="Tc_1WtIYIvm1EiCFC67M_1-Ug_3_0"/>
      <w:bookmarkStart w:id="821" w:name="Tc_NA0wQZqNb0uXqZBl9bdBnQ_2_5"/>
      <w:bookmarkStart w:id="822" w:name="Tc_gEofgofbvkmHXOZRvMj6_g_2_2"/>
      <w:bookmarkStart w:id="823" w:name="Tc_dIreXVR9BUG785eRK5OpBg_2_0"/>
      <w:bookmarkStart w:id="824" w:name="Tc_GfOSVy__ykOK-n2oc4-37A_1_5"/>
      <w:bookmarkStart w:id="825" w:name="Tc_vLqnUGLY70i53DwJRJw7jA_1_2"/>
      <w:bookmarkStart w:id="826" w:name="Tc_CVL8qnoEFECwBnweVqUW2g_13_7"/>
      <w:bookmarkStart w:id="827" w:name="Tc_WchEKuZsKEK0g9Sa9Gy8nQ_13_4"/>
      <w:bookmarkStart w:id="828" w:name="Tc_UHTyvdvo1kCZ9E-wHGel_w_13_0"/>
      <w:bookmarkStart w:id="829" w:name="Tc_OHyCbf9FhEa9L5hT64lBCQ_12_7"/>
      <w:bookmarkStart w:id="830" w:name="Tc_mb0wHWY14k68Z5zEKBdYLg_12_4"/>
      <w:bookmarkStart w:id="831" w:name="Tc_UnRRGfZ72UqNN3R8uOdg8w_12_0"/>
      <w:bookmarkStart w:id="832" w:name="Tc_XfOLfCvhgk2NghSsOx7Dng_11_0"/>
      <w:bookmarkStart w:id="833" w:name="Tc_98v75SMHNk-3mb8MHOjPZA_10_0"/>
      <w:bookmarkStart w:id="834" w:name="Tc_ccS9EphUfkubdeJMufvrKA_9_5"/>
      <w:bookmarkStart w:id="835" w:name="Tc_K7cZrR8_l0CLeaNqE2ZEAw_9_2"/>
      <w:bookmarkStart w:id="836" w:name="Tc_sZxxOPb29kSaGrPAbzd8ng_9_0"/>
      <w:bookmarkStart w:id="837" w:name="Tc_ky6PXOI25E-jfdWXzuNpvQ_8_5"/>
      <w:bookmarkStart w:id="838" w:name="Tc_djtmDA-9uEW_9-zL1jLYwA_8_2"/>
      <w:bookmarkStart w:id="839" w:name="Tc_lHd-M-fSWEi5AhxPJihYGQ_8_0"/>
      <w:bookmarkStart w:id="840" w:name="Tc_ucSNB5dh2k26chWH7GlA2w_7_5"/>
      <w:bookmarkStart w:id="841" w:name="Tc_2QWzIxCrEk6kdLRb4LBcbA_7_2"/>
      <w:bookmarkStart w:id="842" w:name="Tc_Wx1N4HO1Z0Oivsub2hDhTw_7_0"/>
      <w:bookmarkStart w:id="843" w:name="Tc_EX6mEx9Ce0-k23OGFl8OJw_6_5"/>
      <w:bookmarkStart w:id="844" w:name="Tc_4qpygRzYFUOb384omtWJ-w_6_2"/>
      <w:bookmarkStart w:id="845" w:name="Tc_dLANnI4tlUWhiGxAO9Fi2w_6_0"/>
      <w:bookmarkStart w:id="846" w:name="Tc_QPJhzwWbbkK4j1GZTEvKAQ_5_5"/>
      <w:bookmarkStart w:id="847" w:name="Tc_P7HD5_ofbUWYp3ucRBHb9Q_5_2"/>
      <w:bookmarkStart w:id="848" w:name="Tc_ib8f4YWre0GTI7wOkCS3sg_5_0"/>
      <w:bookmarkStart w:id="849" w:name="Tc_53LFrV2M_0WSTA8FXx9omQ_4_0"/>
      <w:bookmarkStart w:id="850" w:name="Tc_IxOjr-4UvEiwisVEgD4sHw_3_0"/>
      <w:bookmarkStart w:id="851" w:name="Tc_VkFH7sC500-E2chI1vrwMg_2_5"/>
      <w:bookmarkStart w:id="852" w:name="Tc__2hDm_5uqEmw6ba1JZO7Qg_2_2"/>
      <w:bookmarkStart w:id="853" w:name="Tc_nerX_wDkcU6w-O71fB2LmQ_1_2"/>
      <w:bookmarkStart w:id="854" w:name="_5874b44b_3eef_4d01_a862_a378b819bd28"/>
      <w:bookmarkStart w:id="855" w:name="Tc_Vai9kZ5pJkq-z71Z8MJQ7Q_7_5"/>
      <w:bookmarkStart w:id="856" w:name="Tc_B7XZOCxFWkOxEnZ2jB9emw_7_2"/>
      <w:bookmarkStart w:id="857" w:name="Tc_QQapnDbMrkiEzN8c_7Rqqg_7_0"/>
      <w:bookmarkStart w:id="858" w:name="Tc_XHXh-JrgVUqjTYZlaK72SQ_6_0"/>
      <w:bookmarkStart w:id="859" w:name="Tc_n2wQY3dKF0ad7MKEByYxng_5_0"/>
      <w:bookmarkStart w:id="860" w:name="Tc_GCnmndvOPkaMeacLwO6E2A_4_0"/>
      <w:bookmarkStart w:id="861" w:name="Tc_phDz57wClUG4GQ6ne65ruw_3_5"/>
      <w:bookmarkStart w:id="862" w:name="Tc_qTChFk3T6UKs_yf9i62yiQ_3_2"/>
      <w:bookmarkStart w:id="863" w:name="Tc_QkSZoq9rqk2MWdJKNE_hBQ_3_0"/>
      <w:bookmarkStart w:id="864" w:name="Tc_CgsPvuCO8UaAbn52gt2wCw_2_5"/>
      <w:bookmarkStart w:id="865" w:name="Tc_yB7gJpVoS0mkact1LOqdbA_2_2"/>
      <w:bookmarkStart w:id="866" w:name="Tc_BMIK5X4GUEKiXIc58pkBxQ_1_2"/>
      <w:bookmarkStart w:id="867" w:name="_73a3bc79_42e6_4d84_b588_042e74afafde"/>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r>
        <w:rPr>
          <w:rFonts w:ascii="Times New Roman;Times;serif" w:hAnsi="Times New Roman;Times;serif"/>
          <w:sz w:val="20"/>
        </w:rPr>
        <w:t xml:space="preserve">In August 2024, the Company entered into an amendment that extended the term of an existing agreement to use a third-party processing facility beyond the previous </w:t>
      </w:r>
      <w:r>
        <w:rPr>
          <w:rFonts w:ascii="Times New Roman;Times;serif" w:hAnsi="Times New Roman;Times;serif"/>
          <w:b w:val="false"/>
          <w:i w:val="false"/>
          <w:caps w:val="false"/>
          <w:smallCaps w:val="false"/>
          <w:sz w:val="20"/>
        </w:rPr>
        <w:t>12-month</w:t>
      </w:r>
      <w:r>
        <w:rPr>
          <w:rFonts w:ascii="Times New Roman;Times;serif" w:hAnsi="Times New Roman;Times;serif"/>
          <w:sz w:val="20"/>
        </w:rPr>
        <w:t xml:space="preserve"> term, which resulted in the agreement being recorded as a lease. The agreement for the leased facility expired in 2025, with no option to extend the lease term. Lease amortization for the third-party processing facility was recorded as a component of Project development costs on the Consolidated Statement of Operations prior to the signing of a customer offtake agreement in August 2024, and after which it is included as a component of work-in-progress inventory, to be expended as a component of Cost of production as sales are made in future periods.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tables present the (i) costs by lease category, (ii) other quantitative information, and (iii) future minimum payments under non-cancelable financing and operating leases as they relate to the Company’s leases (in thousands, except for weighted averages):</w:t>
      </w:r>
    </w:p>
    <w:tbl>
      <w:tblPr>
        <w:tblW w:w="4730" w:type="dxa"/>
        <w:jc w:val="left"/>
        <w:tblInd w:w="0" w:type="dxa"/>
        <w:tblLayout w:type="fixed"/>
        <w:tblCellMar>
          <w:top w:w="0" w:type="dxa"/>
          <w:left w:w="0" w:type="dxa"/>
          <w:bottom w:w="0" w:type="dxa"/>
          <w:right w:w="0" w:type="dxa"/>
        </w:tblCellMar>
      </w:tblPr>
      <w:tblGrid>
        <w:gridCol w:w="2476"/>
        <w:gridCol w:w="109"/>
        <w:gridCol w:w="237"/>
        <w:gridCol w:w="599"/>
        <w:gridCol w:w="363"/>
        <w:gridCol w:w="237"/>
        <w:gridCol w:w="709"/>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572260" cy="175260"/>
                      <wp:effectExtent l="0" t="0" r="0" b="0"/>
                      <wp:wrapNone/>
                      <wp:docPr id="279" name="Frame279"/>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9215" cy="175260"/>
                      <wp:effectExtent l="0" t="0" r="0" b="0"/>
                      <wp:wrapNone/>
                      <wp:docPr id="280" name="Frame2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50495" cy="175260"/>
                      <wp:effectExtent l="0" t="0" r="0" b="0"/>
                      <wp:wrapNone/>
                      <wp:docPr id="281" name="Frame281"/>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380365" cy="175260"/>
                      <wp:effectExtent l="0" t="0" r="0" b="0"/>
                      <wp:wrapNone/>
                      <wp:docPr id="282" name="Frame282"/>
                      <a:graphic xmlns:a="http://schemas.openxmlformats.org/drawingml/2006/main">
                        <a:graphicData uri="http://schemas.microsoft.com/office/word/2010/wordprocessingShape">
                          <wps:wsp>
                            <wps:cNvSpPr txBox="1"/>
                            <wps:spPr>
                              <a:xfrm>
                                <a:off x="0" y="0"/>
                                <a:ext cx="380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30505" cy="175260"/>
                      <wp:effectExtent l="0" t="0" r="0" b="0"/>
                      <wp:wrapNone/>
                      <wp:docPr id="283" name="Frame283"/>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50495" cy="175260"/>
                      <wp:effectExtent l="0" t="0" r="0" b="0"/>
                      <wp:wrapNone/>
                      <wp:docPr id="284" name="Frame284"/>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450215" cy="175260"/>
                      <wp:effectExtent l="0" t="0" r="0" b="0"/>
                      <wp:wrapNone/>
                      <wp:docPr id="285" name="Frame285"/>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24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3" w:type="dxa"/>
            <w:tcBorders/>
            <w:vAlign w:val="center"/>
          </w:tcPr>
          <w:p>
            <w:pPr>
              <w:pStyle w:val="TableContents"/>
              <w:bidi w:val="0"/>
              <w:spacing w:before="0" w:after="0"/>
              <w:ind w:left="0" w:right="0" w:hanging="0"/>
              <w:jc w:val="left"/>
              <w:rPr/>
            </w:pPr>
            <w:r>
              <w:rPr/>
              <w:t>  ​ ​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5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w:t>
            </w:r>
          </w:p>
        </w:tc>
        <w:tc>
          <w:tcPr>
            <w:tcW w:w="363"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r>
      <w:tr>
        <w:trPr/>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expense:</w:t>
            </w:r>
          </w:p>
        </w:tc>
        <w:tc>
          <w:tcPr>
            <w:tcW w:w="10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599"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left"/>
              <w:rPr/>
            </w:pPr>
            <w:r>
              <w:rPr/>
              <w:t>​</w:t>
            </w:r>
          </w:p>
        </w:tc>
      </w:tr>
      <w:tr>
        <w:trPr/>
        <w:tc>
          <w:tcPr>
            <w:tcW w:w="2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leased assets</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5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1,434</w:t>
            </w:r>
          </w:p>
        </w:tc>
        <w:tc>
          <w:tcPr>
            <w:tcW w:w="363"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1,069</w:t>
            </w:r>
          </w:p>
        </w:tc>
      </w:tr>
      <w:tr>
        <w:trPr/>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on lease liabilities</w:t>
            </w:r>
          </w:p>
        </w:tc>
        <w:tc>
          <w:tcPr>
            <w:tcW w:w="109"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c>
          <w:tcPr>
            <w:tcW w:w="363"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r>
      <w:tr>
        <w:trPr/>
        <w:tc>
          <w:tcPr>
            <w:tcW w:w="2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5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2,218</w:t>
            </w:r>
          </w:p>
        </w:tc>
        <w:tc>
          <w:tcPr>
            <w:tcW w:w="363" w:type="dxa"/>
            <w:tcBorders/>
            <w:shd w:fill="CCEEFF" w:val="clear"/>
            <w:vAlign w:val="center"/>
          </w:tcPr>
          <w:p>
            <w:pPr>
              <w:pStyle w:val="TableContents"/>
              <w:bidi w:val="0"/>
              <w:spacing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0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1,665</w:t>
            </w:r>
          </w:p>
        </w:tc>
      </w:tr>
    </w:tbl>
    <w:p>
      <w:pPr>
        <w:pStyle w:val="TextBody"/>
        <w:bidi w:val="0"/>
        <w:spacing w:before="0" w:after="0"/>
        <w:ind w:left="0" w:right="0" w:hanging="0"/>
        <w:jc w:val="left"/>
        <w:rPr/>
      </w:pPr>
      <w:r>
        <w:rPr/>
        <w:t>​</w:t>
      </w:r>
    </w:p>
    <w:tbl>
      <w:tblPr>
        <w:tblW w:w="8883" w:type="dxa"/>
        <w:jc w:val="left"/>
        <w:tblInd w:w="0" w:type="dxa"/>
        <w:tblLayout w:type="fixed"/>
        <w:tblCellMar>
          <w:top w:w="0" w:type="dxa"/>
          <w:left w:w="0" w:type="dxa"/>
          <w:bottom w:w="0" w:type="dxa"/>
          <w:right w:w="0" w:type="dxa"/>
        </w:tblCellMar>
      </w:tblPr>
      <w:tblGrid>
        <w:gridCol w:w="6121"/>
        <w:gridCol w:w="346"/>
        <w:gridCol w:w="230"/>
        <w:gridCol w:w="623"/>
        <w:gridCol w:w="394"/>
        <w:gridCol w:w="230"/>
        <w:gridCol w:w="623"/>
        <w:gridCol w:w="316"/>
      </w:tblGrid>
      <w:tr>
        <w:trPr/>
        <w:tc>
          <w:tcPr>
            <w:tcW w:w="6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3886835" cy="175260"/>
                      <wp:effectExtent l="0" t="0" r="0" b="0"/>
                      <wp:wrapNone/>
                      <wp:docPr id="286" name="Frame286"/>
                      <a:graphic xmlns:a="http://schemas.openxmlformats.org/drawingml/2006/main">
                        <a:graphicData uri="http://schemas.microsoft.com/office/word/2010/wordprocessingShape">
                          <wps:wsp>
                            <wps:cNvSpPr txBox="1"/>
                            <wps:spPr>
                              <a:xfrm>
                                <a:off x="0" y="0"/>
                                <a:ext cx="3886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19710" cy="175260"/>
                      <wp:effectExtent l="0" t="0" r="0" b="0"/>
                      <wp:wrapNone/>
                      <wp:docPr id="287" name="Frame2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46050" cy="175260"/>
                      <wp:effectExtent l="0" t="0" r="0" b="0"/>
                      <wp:wrapNone/>
                      <wp:docPr id="288" name="Frame288"/>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395605" cy="175260"/>
                      <wp:effectExtent l="0" t="0" r="0" b="0"/>
                      <wp:wrapNone/>
                      <wp:docPr id="289" name="Frame289"/>
                      <a:graphic xmlns:a="http://schemas.openxmlformats.org/drawingml/2006/main">
                        <a:graphicData uri="http://schemas.microsoft.com/office/word/2010/wordprocessingShape">
                          <wps:wsp>
                            <wps:cNvSpPr txBox="1"/>
                            <wps:spPr>
                              <a:xfrm>
                                <a:off x="0" y="0"/>
                                <a:ext cx="395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50190" cy="175260"/>
                      <wp:effectExtent l="0" t="0" r="0" b="0"/>
                      <wp:wrapNone/>
                      <wp:docPr id="290" name="Frame290"/>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46050" cy="175260"/>
                      <wp:effectExtent l="0" t="0" r="0" b="0"/>
                      <wp:wrapNone/>
                      <wp:docPr id="291" name="Frame291"/>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395605" cy="175260"/>
                      <wp:effectExtent l="0" t="0" r="0" b="0"/>
                      <wp:wrapNone/>
                      <wp:docPr id="292" name="Frame292"/>
                      <a:graphic xmlns:a="http://schemas.openxmlformats.org/drawingml/2006/main">
                        <a:graphicData uri="http://schemas.microsoft.com/office/word/2010/wordprocessingShape">
                          <wps:wsp>
                            <wps:cNvSpPr txBox="1"/>
                            <wps:spPr>
                              <a:xfrm>
                                <a:off x="0" y="0"/>
                                <a:ext cx="395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00660" cy="175260"/>
                      <wp:effectExtent l="0" t="0" r="0" b="0"/>
                      <wp:wrapNone/>
                      <wp:docPr id="293" name="Frame29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1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1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c>
          <w:tcPr>
            <w:tcW w:w="316" w:type="dxa"/>
            <w:tcBorders/>
            <w:vAlign w:val="center"/>
          </w:tcPr>
          <w:p>
            <w:pPr>
              <w:pStyle w:val="TableContents"/>
              <w:bidi w:val="0"/>
              <w:spacing w:before="0" w:after="1"/>
              <w:ind w:left="0" w:right="0" w:hanging="0"/>
              <w:jc w:val="center"/>
              <w:rPr/>
            </w:pPr>
            <w:r>
              <w:rPr/>
              <w:t> </w:t>
            </w:r>
          </w:p>
        </w:tc>
      </w:tr>
      <w:tr>
        <w:trPr/>
        <w:tc>
          <w:tcPr>
            <w:tcW w:w="61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4" w:type="dxa"/>
            <w:tcBorders/>
            <w:vAlign w:val="center"/>
          </w:tcPr>
          <w:p>
            <w:pPr>
              <w:pStyle w:val="TableContents"/>
              <w:bidi w:val="0"/>
              <w:spacing w:before="0" w:after="1"/>
              <w:ind w:left="0" w:right="0" w:hanging="0"/>
              <w:jc w:val="left"/>
              <w:rPr/>
            </w:pPr>
            <w:r>
              <w:rPr/>
              <w:t>  ​ ​ ​</w:t>
            </w:r>
          </w:p>
        </w:tc>
        <w:tc>
          <w:tcPr>
            <w:tcW w:w="8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16" w:type="dxa"/>
            <w:tcBorders/>
            <w:vAlign w:val="center"/>
          </w:tcPr>
          <w:p>
            <w:pPr>
              <w:pStyle w:val="TableContents"/>
              <w:bidi w:val="0"/>
              <w:spacing w:before="0" w:after="1"/>
              <w:ind w:left="0" w:right="0" w:hanging="0"/>
              <w:jc w:val="center"/>
              <w:rPr/>
            </w:pPr>
            <w:r>
              <w:rPr/>
              <w:t> </w:t>
            </w:r>
          </w:p>
        </w:tc>
      </w:tr>
      <w:tr>
        <w:trPr/>
        <w:tc>
          <w:tcPr>
            <w:tcW w:w="6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Information</w:t>
            </w:r>
          </w:p>
        </w:tc>
        <w:tc>
          <w:tcPr>
            <w:tcW w:w="346" w:type="dxa"/>
            <w:tcBorders/>
            <w:shd w:fill="CCEEFF" w:val="clear"/>
            <w:vAlign w:val="center"/>
          </w:tcPr>
          <w:p>
            <w:pPr>
              <w:pStyle w:val="TableContents"/>
              <w:bidi w:val="0"/>
              <w:spacing w:before="0" w:after="1"/>
              <w:ind w:left="0" w:right="0" w:hanging="0"/>
              <w:jc w:val="left"/>
              <w:rPr/>
            </w:pPr>
            <w:r>
              <w:rPr/>
              <w:t> </w:t>
            </w:r>
          </w:p>
        </w:tc>
        <w:tc>
          <w:tcPr>
            <w:tcW w:w="230" w:type="dxa"/>
            <w:tcBorders/>
            <w:shd w:fill="CCEEFF" w:val="clear"/>
            <w:vAlign w:val="center"/>
          </w:tcPr>
          <w:p>
            <w:pPr>
              <w:pStyle w:val="TableContents"/>
              <w:bidi w:val="0"/>
              <w:spacing w:before="0" w:after="1"/>
              <w:ind w:left="0" w:right="0" w:hanging="0"/>
              <w:jc w:val="left"/>
              <w:rPr/>
            </w:pPr>
            <w:r>
              <w:rPr/>
              <w:t>​</w:t>
            </w:r>
          </w:p>
        </w:tc>
        <w:tc>
          <w:tcPr>
            <w:tcW w:w="623" w:type="dxa"/>
            <w:tcBorders/>
            <w:shd w:fill="CCEEFF" w:val="clear"/>
            <w:vAlign w:val="center"/>
          </w:tcPr>
          <w:p>
            <w:pPr>
              <w:pStyle w:val="TableContents"/>
              <w:bidi w:val="0"/>
              <w:spacing w:before="0" w:after="1"/>
              <w:ind w:left="0" w:right="0" w:hanging="0"/>
              <w:jc w:val="right"/>
              <w:rPr/>
            </w:pPr>
            <w:r>
              <w:rPr/>
              <w:t>  ​</w:t>
            </w:r>
          </w:p>
        </w:tc>
        <w:tc>
          <w:tcPr>
            <w:tcW w:w="394" w:type="dxa"/>
            <w:tcBorders/>
            <w:shd w:fill="CCEEFF" w:val="clear"/>
            <w:vAlign w:val="center"/>
          </w:tcPr>
          <w:p>
            <w:pPr>
              <w:pStyle w:val="TableContents"/>
              <w:bidi w:val="0"/>
              <w:spacing w:before="0" w:after="1"/>
              <w:ind w:left="0" w:right="0" w:hanging="0"/>
              <w:jc w:val="left"/>
              <w:rPr/>
            </w:pPr>
            <w:r>
              <w:rPr/>
              <w:t> </w:t>
            </w:r>
          </w:p>
        </w:tc>
        <w:tc>
          <w:tcPr>
            <w:tcW w:w="230" w:type="dxa"/>
            <w:tcBorders/>
            <w:shd w:fill="CCEEFF" w:val="clear"/>
            <w:vAlign w:val="center"/>
          </w:tcPr>
          <w:p>
            <w:pPr>
              <w:pStyle w:val="TableContents"/>
              <w:bidi w:val="0"/>
              <w:spacing w:before="0" w:after="1"/>
              <w:ind w:left="0" w:right="0" w:hanging="0"/>
              <w:jc w:val="left"/>
              <w:rPr/>
            </w:pPr>
            <w:r>
              <w:rPr/>
              <w:t>​</w:t>
            </w:r>
          </w:p>
        </w:tc>
        <w:tc>
          <w:tcPr>
            <w:tcW w:w="623"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6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346" w:type="dxa"/>
            <w:tcBorders/>
            <w:vAlign w:val="center"/>
          </w:tcPr>
          <w:p>
            <w:pPr>
              <w:pStyle w:val="TableContents"/>
              <w:bidi w:val="0"/>
              <w:spacing w:before="0" w:after="1"/>
              <w:ind w:left="0" w:right="0" w:hanging="0"/>
              <w:jc w:val="left"/>
              <w:rPr/>
            </w:pPr>
            <w:r>
              <w:rPr/>
              <w:t> </w:t>
            </w:r>
          </w:p>
        </w:tc>
        <w:tc>
          <w:tcPr>
            <w:tcW w:w="230" w:type="dxa"/>
            <w:tcBorders/>
            <w:vAlign w:val="center"/>
          </w:tcPr>
          <w:p>
            <w:pPr>
              <w:pStyle w:val="TableContents"/>
              <w:bidi w:val="0"/>
              <w:spacing w:before="0" w:after="1"/>
              <w:ind w:left="0" w:right="0" w:hanging="0"/>
              <w:jc w:val="left"/>
              <w:rPr/>
            </w:pPr>
            <w:r>
              <w:rPr/>
              <w:t>​</w:t>
            </w:r>
          </w:p>
        </w:tc>
        <w:tc>
          <w:tcPr>
            <w:tcW w:w="623" w:type="dxa"/>
            <w:tcBorders/>
            <w:vAlign w:val="center"/>
          </w:tcPr>
          <w:p>
            <w:pPr>
              <w:pStyle w:val="TableContents"/>
              <w:bidi w:val="0"/>
              <w:spacing w:before="0" w:after="1"/>
              <w:ind w:left="0" w:right="0" w:hanging="0"/>
              <w:jc w:val="right"/>
              <w:rPr/>
            </w:pPr>
            <w:r>
              <w:rPr/>
              <w:t>  ​</w:t>
            </w:r>
          </w:p>
        </w:tc>
        <w:tc>
          <w:tcPr>
            <w:tcW w:w="394" w:type="dxa"/>
            <w:tcBorders/>
            <w:vAlign w:val="center"/>
          </w:tcPr>
          <w:p>
            <w:pPr>
              <w:pStyle w:val="TableContents"/>
              <w:bidi w:val="0"/>
              <w:spacing w:before="0" w:after="1"/>
              <w:ind w:left="0" w:right="0" w:hanging="0"/>
              <w:jc w:val="left"/>
              <w:rPr/>
            </w:pPr>
            <w:r>
              <w:rPr/>
              <w:t> </w:t>
            </w:r>
          </w:p>
        </w:tc>
        <w:tc>
          <w:tcPr>
            <w:tcW w:w="230" w:type="dxa"/>
            <w:tcBorders/>
            <w:vAlign w:val="center"/>
          </w:tcPr>
          <w:p>
            <w:pPr>
              <w:pStyle w:val="TableContents"/>
              <w:bidi w:val="0"/>
              <w:spacing w:before="0" w:after="1"/>
              <w:ind w:left="0" w:right="0" w:hanging="0"/>
              <w:jc w:val="left"/>
              <w:rPr/>
            </w:pPr>
            <w:r>
              <w:rPr/>
              <w:t>​</w:t>
            </w:r>
          </w:p>
        </w:tc>
        <w:tc>
          <w:tcPr>
            <w:tcW w:w="623"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6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cash flows from finance leases</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1,933</w:t>
            </w:r>
          </w:p>
        </w:tc>
        <w:tc>
          <w:tcPr>
            <w:tcW w:w="394"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906</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6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cash flows from operating leases</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853</w:t>
            </w:r>
          </w:p>
        </w:tc>
        <w:tc>
          <w:tcPr>
            <w:tcW w:w="394"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405</w:t>
            </w:r>
          </w:p>
        </w:tc>
        <w:tc>
          <w:tcPr>
            <w:tcW w:w="316" w:type="dxa"/>
            <w:tcBorders/>
            <w:vAlign w:val="center"/>
          </w:tcPr>
          <w:p>
            <w:pPr>
              <w:pStyle w:val="TableContents"/>
              <w:bidi w:val="0"/>
              <w:spacing w:before="0" w:after="1"/>
              <w:ind w:left="0" w:right="0" w:hanging="0"/>
              <w:jc w:val="left"/>
              <w:rPr/>
            </w:pPr>
            <w:r>
              <w:rPr/>
              <w:t>​</w:t>
            </w:r>
          </w:p>
        </w:tc>
      </w:tr>
      <w:tr>
        <w:trPr/>
        <w:tc>
          <w:tcPr>
            <w:tcW w:w="6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cash flows from finance leases</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w:t>
            </w:r>
          </w:p>
        </w:tc>
        <w:tc>
          <w:tcPr>
            <w:tcW w:w="394"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6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Right-of-use asset obtained in exchange for new finance lease liabilities</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w:t>
            </w:r>
          </w:p>
        </w:tc>
        <w:tc>
          <w:tcPr>
            <w:tcW w:w="394"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2,731</w:t>
            </w:r>
          </w:p>
        </w:tc>
        <w:tc>
          <w:tcPr>
            <w:tcW w:w="316" w:type="dxa"/>
            <w:tcBorders/>
            <w:vAlign w:val="center"/>
          </w:tcPr>
          <w:p>
            <w:pPr>
              <w:pStyle w:val="TableContents"/>
              <w:bidi w:val="0"/>
              <w:spacing w:before="0" w:after="1"/>
              <w:ind w:left="0" w:right="0" w:hanging="0"/>
              <w:jc w:val="left"/>
              <w:rPr/>
            </w:pPr>
            <w:r>
              <w:rPr/>
              <w:t>​</w:t>
            </w:r>
          </w:p>
        </w:tc>
      </w:tr>
      <w:tr>
        <w:trPr/>
        <w:tc>
          <w:tcPr>
            <w:tcW w:w="6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Right-of-use asset obtained in exchange for new 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w:t>
            </w:r>
          </w:p>
        </w:tc>
        <w:tc>
          <w:tcPr>
            <w:tcW w:w="394"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6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remaining lease term, finance leases (months)</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w:t>
            </w:r>
          </w:p>
        </w:tc>
        <w:tc>
          <w:tcPr>
            <w:tcW w:w="394"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16" w:type="dxa"/>
            <w:tcBorders/>
            <w:vAlign w:val="center"/>
          </w:tcPr>
          <w:p>
            <w:pPr>
              <w:pStyle w:val="TableContents"/>
              <w:bidi w:val="0"/>
              <w:spacing w:before="0" w:after="1"/>
              <w:ind w:left="0" w:right="0" w:hanging="0"/>
              <w:jc w:val="left"/>
              <w:rPr/>
            </w:pPr>
            <w:r>
              <w:rPr/>
              <w:t>​</w:t>
            </w:r>
          </w:p>
        </w:tc>
      </w:tr>
      <w:tr>
        <w:trPr/>
        <w:tc>
          <w:tcPr>
            <w:tcW w:w="6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remaining lease term, operating leases (months)</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94"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612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Weighted-average discount rate - finance leases </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9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vAlign w:val="center"/>
          </w:tcPr>
          <w:p>
            <w:pPr>
              <w:pStyle w:val="TableContents"/>
              <w:bidi w:val="0"/>
              <w:spacing w:before="0" w:after="1"/>
              <w:ind w:left="0" w:right="0" w:hanging="0"/>
              <w:jc w:val="left"/>
              <w:rPr/>
            </w:pPr>
            <w:r>
              <w:rPr/>
              <w:t> </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12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Weighted-average discount rate - operating leases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shd w:fill="CCEEFF" w:val="clear"/>
            <w:vAlign w:val="center"/>
          </w:tcPr>
          <w:p>
            <w:pPr>
              <w:pStyle w:val="TableContents"/>
              <w:bidi w:val="0"/>
              <w:spacing w:before="0" w:after="1"/>
              <w:ind w:left="0" w:right="0" w:hanging="0"/>
              <w:jc w:val="left"/>
              <w:rPr/>
            </w:pPr>
            <w:r>
              <w:rPr/>
              <w:t> </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our leases do not provide an implicit interest rate, we calculate the lease liability at lease commencement as the present value of unpaid lease payments using our estimated incremental borrowing rate. The incremental borrowing rate represents the rate of interest that we would have to pay to borrow an amount equal to the lease payments on a collateralized basis over a similar term and is determined using a portfolio approach based on information available at the commencement date of the lease.</w:t>
            </w:r>
          </w:p>
        </w:tc>
      </w:tr>
    </w:tbl>
    <w:p>
      <w:pPr>
        <w:pStyle w:val="TextBody"/>
        <w:bidi w:val="0"/>
        <w:spacing w:before="0" w:after="0"/>
        <w:ind w:left="0" w:right="0" w:hanging="0"/>
        <w:jc w:val="left"/>
        <w:rPr/>
      </w:pPr>
      <w:r>
        <w:rPr/>
        <w:t>​</w:t>
      </w:r>
    </w:p>
    <w:tbl>
      <w:tblPr>
        <w:tblW w:w="7563" w:type="dxa"/>
        <w:jc w:val="left"/>
        <w:tblInd w:w="0" w:type="dxa"/>
        <w:tblLayout w:type="fixed"/>
        <w:tblCellMar>
          <w:top w:w="0" w:type="dxa"/>
          <w:left w:w="0" w:type="dxa"/>
          <w:bottom w:w="0" w:type="dxa"/>
          <w:right w:w="0" w:type="dxa"/>
        </w:tblCellMar>
      </w:tblPr>
      <w:tblGrid>
        <w:gridCol w:w="4276"/>
        <w:gridCol w:w="346"/>
        <w:gridCol w:w="367"/>
        <w:gridCol w:w="998"/>
        <w:gridCol w:w="346"/>
        <w:gridCol w:w="314"/>
        <w:gridCol w:w="916"/>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715260" cy="175260"/>
                      <wp:effectExtent l="0" t="0" r="0" b="0"/>
                      <wp:wrapNone/>
                      <wp:docPr id="294" name="Frame294"/>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19710" cy="175260"/>
                      <wp:effectExtent l="0" t="0" r="0" b="0"/>
                      <wp:wrapNone/>
                      <wp:docPr id="295" name="Frame2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33045" cy="175260"/>
                      <wp:effectExtent l="0" t="0" r="0" b="0"/>
                      <wp:wrapNone/>
                      <wp:docPr id="296" name="Frame296"/>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33730" cy="175260"/>
                      <wp:effectExtent l="0" t="0" r="0" b="0"/>
                      <wp:wrapNone/>
                      <wp:docPr id="297" name="Frame297"/>
                      <a:graphic xmlns:a="http://schemas.openxmlformats.org/drawingml/2006/main">
                        <a:graphicData uri="http://schemas.microsoft.com/office/word/2010/wordprocessingShape">
                          <wps:wsp>
                            <wps:cNvSpPr txBox="1"/>
                            <wps:spPr>
                              <a:xfrm>
                                <a:off x="0" y="0"/>
                                <a:ext cx="633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19710" cy="175260"/>
                      <wp:effectExtent l="0" t="0" r="0" b="0"/>
                      <wp:wrapNone/>
                      <wp:docPr id="298" name="Frame2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99390" cy="175260"/>
                      <wp:effectExtent l="0" t="0" r="0" b="0"/>
                      <wp:wrapNone/>
                      <wp:docPr id="299" name="Frame299"/>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581660" cy="175260"/>
                      <wp:effectExtent l="0" t="0" r="0" b="0"/>
                      <wp:wrapNone/>
                      <wp:docPr id="300" name="Frame300"/>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3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 Leases</w:t>
            </w:r>
          </w:p>
        </w:tc>
        <w:tc>
          <w:tcPr>
            <w:tcW w:w="346" w:type="dxa"/>
            <w:tcBorders/>
            <w:vAlign w:val="center"/>
          </w:tcPr>
          <w:p>
            <w:pPr>
              <w:pStyle w:val="TableContents"/>
              <w:bidi w:val="0"/>
              <w:spacing w:before="0" w:after="1"/>
              <w:ind w:left="0" w:right="0" w:hanging="0"/>
              <w:jc w:val="center"/>
              <w:rPr/>
            </w:pPr>
            <w:r>
              <w:rPr/>
              <w:t>  ​ ​ ​</w:t>
            </w:r>
          </w:p>
        </w:tc>
        <w:tc>
          <w:tcPr>
            <w:tcW w:w="12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Finance Leases</w:t>
            </w:r>
          </w:p>
        </w:tc>
      </w:tr>
      <w:tr>
        <w:trPr/>
        <w:tc>
          <w:tcPr>
            <w:tcW w:w="42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845</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w:t>
            </w:r>
          </w:p>
        </w:tc>
      </w:tr>
      <w:tr>
        <w:trPr/>
        <w:tc>
          <w:tcPr>
            <w:tcW w:w="42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9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788</w:t>
            </w:r>
          </w:p>
        </w:tc>
        <w:tc>
          <w:tcPr>
            <w:tcW w:w="34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42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 </w:t>
            </w:r>
          </w:p>
        </w:tc>
        <w:tc>
          <w:tcPr>
            <w:tcW w:w="9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42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9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w:t>
            </w:r>
          </w:p>
        </w:tc>
        <w:tc>
          <w:tcPr>
            <w:tcW w:w="34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w:t>
            </w:r>
          </w:p>
        </w:tc>
      </w:tr>
      <w:tr>
        <w:trPr/>
        <w:tc>
          <w:tcPr>
            <w:tcW w:w="42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 </w:t>
            </w:r>
          </w:p>
        </w:tc>
        <w:tc>
          <w:tcPr>
            <w:tcW w:w="9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42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2031 and thereafter</w:t>
            </w:r>
          </w:p>
        </w:tc>
        <w:tc>
          <w:tcPr>
            <w:tcW w:w="346" w:type="dxa"/>
            <w:tcBorders/>
            <w:vAlign w:val="center"/>
          </w:tcPr>
          <w:p>
            <w:pPr>
              <w:pStyle w:val="TableContents"/>
              <w:bidi w:val="0"/>
              <w:spacing w:before="0" w:after="1"/>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9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w:t>
            </w:r>
          </w:p>
        </w:tc>
      </w:tr>
      <w:tr>
        <w:trPr/>
        <w:tc>
          <w:tcPr>
            <w:tcW w:w="42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 </w:t>
            </w:r>
          </w:p>
        </w:tc>
        <w:tc>
          <w:tcPr>
            <w:tcW w:w="9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2,409</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1,139</w:t>
            </w:r>
          </w:p>
        </w:tc>
      </w:tr>
      <w:tr>
        <w:trPr/>
        <w:tc>
          <w:tcPr>
            <w:tcW w:w="42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amounts representing present value discounts</w:t>
            </w:r>
          </w:p>
        </w:tc>
        <w:tc>
          <w:tcPr>
            <w:tcW w:w="346" w:type="dxa"/>
            <w:tcBorders/>
            <w:vAlign w:val="center"/>
          </w:tcPr>
          <w:p>
            <w:pPr>
              <w:pStyle w:val="TableContents"/>
              <w:bidi w:val="0"/>
              <w:spacing w:before="0" w:after="1"/>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w:t>
            </w:r>
          </w:p>
        </w:tc>
        <w:tc>
          <w:tcPr>
            <w:tcW w:w="346" w:type="dxa"/>
            <w:tcBorders/>
            <w:vAlign w:val="center"/>
          </w:tcPr>
          <w:p>
            <w:pPr>
              <w:pStyle w:val="TableContents"/>
              <w:bidi w:val="0"/>
              <w:spacing w:before="0" w:after="1"/>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472</w:t>
            </w:r>
          </w:p>
        </w:tc>
      </w:tr>
      <w:tr>
        <w:trPr/>
        <w:tc>
          <w:tcPr>
            <w:tcW w:w="42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 </w:t>
            </w:r>
          </w:p>
        </w:tc>
        <w:tc>
          <w:tcPr>
            <w:tcW w:w="9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2,104</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667</w:t>
            </w:r>
          </w:p>
        </w:tc>
      </w:tr>
      <w:tr>
        <w:trPr/>
        <w:tc>
          <w:tcPr>
            <w:tcW w:w="42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current portion</w:t>
            </w:r>
          </w:p>
        </w:tc>
        <w:tc>
          <w:tcPr>
            <w:tcW w:w="346" w:type="dxa"/>
            <w:tcBorders/>
            <w:vAlign w:val="center"/>
          </w:tcPr>
          <w:p>
            <w:pPr>
              <w:pStyle w:val="TableContents"/>
              <w:bidi w:val="0"/>
              <w:spacing w:before="0" w:after="1"/>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689</w:t>
            </w:r>
          </w:p>
        </w:tc>
        <w:tc>
          <w:tcPr>
            <w:tcW w:w="346" w:type="dxa"/>
            <w:tcBorders/>
            <w:vAlign w:val="center"/>
          </w:tcPr>
          <w:p>
            <w:pPr>
              <w:pStyle w:val="TableContents"/>
              <w:bidi w:val="0"/>
              <w:spacing w:before="0" w:after="1"/>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w:t>
            </w:r>
          </w:p>
        </w:tc>
      </w:tr>
      <w:tr>
        <w:trPr/>
        <w:tc>
          <w:tcPr>
            <w:tcW w:w="42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Non-current portion</w:t>
            </w:r>
          </w:p>
        </w:tc>
        <w:tc>
          <w:tcPr>
            <w:tcW w:w="346" w:type="dxa"/>
            <w:tcBorders/>
            <w:shd w:fill="CCEEFF" w:val="clear"/>
            <w:vAlign w:val="center"/>
          </w:tcPr>
          <w:p>
            <w:pPr>
              <w:pStyle w:val="TableContents"/>
              <w:bidi w:val="0"/>
              <w:spacing w:before="0" w:after="1"/>
              <w:ind w:left="0" w:right="0" w:hanging="0"/>
              <w:jc w:val="left"/>
              <w:rPr/>
            </w:pPr>
            <w:r>
              <w:rPr/>
              <w:t>​</w:t>
            </w:r>
          </w:p>
        </w:tc>
        <w:tc>
          <w:tcPr>
            <w:tcW w:w="36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1,416</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394</w:t>
            </w:r>
          </w:p>
        </w:tc>
      </w:tr>
    </w:tbl>
    <w:p>
      <w:pPr>
        <w:pStyle w:val="TextBody"/>
        <w:bidi w:val="0"/>
        <w:spacing w:before="0" w:after="200"/>
        <w:ind w:left="0" w:right="0" w:firstLine="720"/>
        <w:jc w:val="left"/>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00"/>
        <w:ind w:left="0" w:right="0" w:hanging="0"/>
        <w:jc w:val="left"/>
        <w:rPr>
          <w:rFonts w:ascii="Times New Roman;Times;serif" w:hAnsi="Times New Roman;Times;serif"/>
          <w:b/>
          <w:sz w:val="20"/>
        </w:rPr>
      </w:pPr>
      <w:bookmarkStart w:id="868" w:name="Tc_y8kfrctSVkWJyQ5jbQJNmg_10_5"/>
      <w:bookmarkStart w:id="869" w:name="Tc_RJHJOy5r5UaUciwhYJmBWQ_10_2"/>
      <w:bookmarkStart w:id="870" w:name="Tc_NMcTtLbREkKaK5NAhpAYEQ_10_0"/>
      <w:bookmarkStart w:id="871" w:name="Tc_DaCHCWhREUadIVaSP258Qg_9_0"/>
      <w:bookmarkStart w:id="872" w:name="Tc_ScuSHKdgZke1DBWuw7V76w_8_0"/>
      <w:bookmarkStart w:id="873" w:name="Tc_ItOE9BStXEC-spj4cmwxiQ_7_0"/>
      <w:bookmarkStart w:id="874" w:name="Tc_1703xYPPqE63GMsKr7Wuqg_6_0"/>
      <w:bookmarkStart w:id="875" w:name="Tc__kFXr8YIqU2LwciiuHujYA_5_0"/>
      <w:bookmarkStart w:id="876" w:name="Tc_p0nDTYd-GEWbJcHJ8Rva1g_4_0"/>
      <w:bookmarkStart w:id="877" w:name="Tc_lyh18gxEsUWRUx4sr7JZjQ_3_5"/>
      <w:bookmarkStart w:id="878" w:name="Tc_85urjXD-4U6QazBvK319FQ_3_2"/>
      <w:bookmarkStart w:id="879" w:name="Tc_YiRsXNty9ESLUAUqEZKTxA_3_0"/>
      <w:bookmarkStart w:id="880" w:name="Tc_YBUHbvj9AE2StgJKGBQZuA_2_5"/>
      <w:bookmarkStart w:id="881" w:name="Tc_AHwS-KUeXU2n3eWNjoe_7w_2_2"/>
      <w:bookmarkStart w:id="882" w:name="Tc_hcDWl2rxW0KDy53ZwmVhTA_1_2"/>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r>
        <w:rPr>
          <w:rFonts w:ascii="Times New Roman;Times;serif" w:hAnsi="Times New Roman;Times;serif"/>
          <w:b/>
          <w:sz w:val="20"/>
        </w:rPr>
        <w:t>11</w:t>
      </w:r>
      <w:r>
        <w:rPr>
          <w:rFonts w:ascii="Times New Roman;Times;serif" w:hAnsi="Times New Roman;Times;serif"/>
          <w:b/>
          <w:i/>
          <w:sz w:val="20"/>
        </w:rPr>
        <w:t xml:space="preserve">. </w:t>
      </w:r>
      <w:r>
        <w:rPr>
          <w:rFonts w:ascii="Times New Roman;Times;serif" w:hAnsi="Times New Roman;Times;serif"/>
          <w:b/>
          <w:sz w:val="20"/>
        </w:rPr>
        <w:t>Inventories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components of the Company’s inventory balances (in thousands) as of:</w:t>
      </w:r>
    </w:p>
    <w:p>
      <w:pPr>
        <w:pStyle w:val="TextBody"/>
        <w:bidi w:val="0"/>
        <w:spacing w:before="0" w:after="0"/>
        <w:ind w:left="0" w:right="0" w:hanging="0"/>
        <w:jc w:val="left"/>
        <w:rPr/>
      </w:pPr>
      <w:r>
        <w:rPr/>
        <w:t>​</w:t>
      </w:r>
    </w:p>
    <w:tbl>
      <w:tblPr>
        <w:tblW w:w="4612" w:type="dxa"/>
        <w:jc w:val="left"/>
        <w:tblInd w:w="0" w:type="dxa"/>
        <w:tblLayout w:type="fixed"/>
        <w:tblCellMar>
          <w:top w:w="0" w:type="dxa"/>
          <w:left w:w="0" w:type="dxa"/>
          <w:bottom w:w="0" w:type="dxa"/>
          <w:right w:w="0" w:type="dxa"/>
        </w:tblCellMar>
      </w:tblPr>
      <w:tblGrid>
        <w:gridCol w:w="2146"/>
        <w:gridCol w:w="346"/>
        <w:gridCol w:w="211"/>
        <w:gridCol w:w="676"/>
        <w:gridCol w:w="346"/>
        <w:gridCol w:w="211"/>
        <w:gridCol w:w="676"/>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362710" cy="175260"/>
                      <wp:effectExtent l="0" t="0" r="0" b="0"/>
                      <wp:wrapNone/>
                      <wp:docPr id="301" name="Frame301"/>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19710" cy="175260"/>
                      <wp:effectExtent l="0" t="0" r="0" b="0"/>
                      <wp:wrapNone/>
                      <wp:docPr id="302" name="Frame3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33985" cy="175260"/>
                      <wp:effectExtent l="0" t="0" r="0" b="0"/>
                      <wp:wrapNone/>
                      <wp:docPr id="303" name="Frame3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429260" cy="175260"/>
                      <wp:effectExtent l="0" t="0" r="0" b="0"/>
                      <wp:wrapNone/>
                      <wp:docPr id="304" name="Frame30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19710" cy="175260"/>
                      <wp:effectExtent l="0" t="0" r="0" b="0"/>
                      <wp:wrapNone/>
                      <wp:docPr id="305" name="Frame3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33985" cy="175260"/>
                      <wp:effectExtent l="0" t="0" r="0" b="0"/>
                      <wp:wrapNone/>
                      <wp:docPr id="306" name="Frame3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429260" cy="175260"/>
                      <wp:effectExtent l="0" t="0" r="0" b="0"/>
                      <wp:wrapNone/>
                      <wp:docPr id="307" name="Frame30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1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1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1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8,250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w:t>
            </w:r>
          </w:p>
        </w:tc>
      </w:tr>
      <w:tr>
        <w:trPr/>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r>
      <w:tr>
        <w:trPr/>
        <w:tc>
          <w:tcPr>
            <w:tcW w:w="21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Biofuels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1,250</w:t>
            </w:r>
          </w:p>
        </w:tc>
      </w:tr>
      <w:tr>
        <w:trPr/>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Work in process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r>
      <w:tr>
        <w:trPr/>
        <w:tc>
          <w:tcPr>
            <w:tcW w:w="21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Environmental attributes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2,146</w:t>
            </w:r>
          </w:p>
        </w:tc>
      </w:tr>
      <w:tr>
        <w:trPr/>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Biofuels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w:t>
            </w:r>
          </w:p>
        </w:tc>
      </w:tr>
      <w:tr>
        <w:trPr/>
        <w:tc>
          <w:tcPr>
            <w:tcW w:w="21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Spare parts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660</w:t>
            </w:r>
          </w:p>
        </w:tc>
      </w:tr>
      <w:tr>
        <w:trPr/>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inventories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19,076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4,502</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year ended December 31, 2025, the Company recorded inventory write-downs of approximately $5.3 million related primarily to development stage co-products and other hydrocarbon products due to lower estimated net realizable value. These charges are included within cost of goods sold in the Consolidated Statements of Operations.</w:t>
      </w:r>
    </w:p>
    <w:p>
      <w:pPr>
        <w:pStyle w:val="TextBody"/>
        <w:bidi w:val="0"/>
        <w:spacing w:before="0" w:after="20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firstLine="720"/>
        <w:jc w:val="left"/>
        <w:rPr/>
      </w:pPr>
      <w:r>
        <w:rPr/>
        <w:t>​</w:t>
      </w:r>
    </w:p>
    <w:p>
      <w:pPr>
        <w:pStyle w:val="TextBody"/>
        <w:bidi w:val="0"/>
        <w:spacing w:before="0" w:after="200"/>
        <w:ind w:left="0" w:right="0" w:hanging="0"/>
        <w:jc w:val="left"/>
        <w:rPr>
          <w:rFonts w:ascii="Times New Roman;Times;serif" w:hAnsi="Times New Roman;Times;serif"/>
          <w:b/>
          <w:sz w:val="20"/>
        </w:rPr>
      </w:pPr>
      <w:bookmarkStart w:id="883" w:name="Tc_TEibJ6i9vEyCXKGGBNVC9w_4_8"/>
      <w:bookmarkStart w:id="884" w:name="Tc_xZU1bCYG3kmSiC-EeAWrvg_4_7"/>
      <w:bookmarkStart w:id="885" w:name="Tc_E66iVWSCp0GvRDhMmwuP2Q_4_4"/>
      <w:bookmarkStart w:id="886" w:name="Tc_lsbtNnxBBEyFekT3SPNflw_4_0"/>
      <w:bookmarkStart w:id="887" w:name="Tc_3sGaSQNERES3sg8Oce2RMw_3_8"/>
      <w:bookmarkStart w:id="888" w:name="Tc_lEX5eV0IHkSGk3wLLAE6VQ_3_7"/>
      <w:bookmarkStart w:id="889" w:name="Tc_c-Bg87Z1e0yZhfdR4rNMFw_3_4"/>
      <w:bookmarkStart w:id="890" w:name="Tc_gRGda79OXkKgYp8Q9w_vqA_3_0"/>
      <w:bookmarkStart w:id="891" w:name="Tc_imnp0ASgHkahNrZt4HROSg_2_7"/>
      <w:bookmarkStart w:id="892" w:name="Tc_EJeLxIM-9UWGfA1KEnZH3Q_2_4"/>
      <w:bookmarkStart w:id="893" w:name="Tc_Mujch7WmQkuCRYnUHCPggg_2_2"/>
      <w:bookmarkStart w:id="894" w:name="Tc_d_0-CH1hLkmyTSWkPNB7xg_2_0"/>
      <w:bookmarkStart w:id="895" w:name="Tc_vgPjocEzLkOGgl2_g9xOvw_1_4"/>
      <w:bookmarkStart w:id="896" w:name="_ec6c368f_1e19_4805_b6fe_fc04d618115f"/>
      <w:bookmarkStart w:id="897" w:name="Tc_JjQFKH7eS0Gsb2XziiaEog_4_7"/>
      <w:bookmarkStart w:id="898" w:name="Tc_V7nisn6fmUGNjbpkb-U8ow_4_0"/>
      <w:bookmarkStart w:id="899" w:name="Tc_ClPvWya_ykSnq_XlL6oeVg_3_7"/>
      <w:bookmarkStart w:id="900" w:name="Tc_YIn5c-k0ukeNDe6O7ZPXjA_3_5"/>
      <w:bookmarkStart w:id="901" w:name="Tc_0iPdddCOB02tj9wIDV7mVA_3_0"/>
      <w:bookmarkStart w:id="902" w:name="Tc_cnF804GJ-Uish-mrxEzy8g_2_7"/>
      <w:bookmarkStart w:id="903" w:name="Tc_5cTQ9aAu_kS-EH4xK0FZjg_2_4"/>
      <w:bookmarkStart w:id="904" w:name="Tc_q4YgJ31F60GhFCSS38qnoQ_2_2"/>
      <w:bookmarkStart w:id="905" w:name="Tc_NORu6TrXV0y5RMB-N2wsMA_2_0"/>
      <w:bookmarkStart w:id="906" w:name="Tc_ey6fYYULzkedJtIyBXPAkA_1_2"/>
      <w:bookmarkStart w:id="907" w:name="_8ef97b4d_2943_4ce4_a693_fb60f4ea581d"/>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r>
        <w:rPr>
          <w:rFonts w:ascii="Times New Roman;Times;serif" w:hAnsi="Times New Roman;Times;serif"/>
          <w:b/>
          <w:sz w:val="20"/>
        </w:rPr>
        <w:t>12. Derivative Financial Instruments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uses corn commodity-based derivative financial instruments to manage the exposure to price risk related to corn purchases. The Company does not apply hedge accounting. Accordingly, these derivative contracts are recorded on the Company’s balance sheet at fair value and changes in fair value are recognized in Cost of production on the Consolidated Statements of Operations. Changes in fair value are recognized as non-cash adjustments on the Consolidated Statement of Cash Flows.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following table provides details regarding the Company's derivative financial instruments as recorded in Prepaid expenses and other current assets on the Consolidated Balance Sheets (in thousands):</w:t>
      </w:r>
    </w:p>
    <w:tbl>
      <w:tblPr>
        <w:tblW w:w="6105" w:type="dxa"/>
        <w:jc w:val="left"/>
        <w:tblInd w:w="0" w:type="dxa"/>
        <w:tblLayout w:type="fixed"/>
        <w:tblCellMar>
          <w:top w:w="0" w:type="dxa"/>
          <w:left w:w="0" w:type="dxa"/>
          <w:bottom w:w="0" w:type="dxa"/>
          <w:right w:w="0" w:type="dxa"/>
        </w:tblCellMar>
      </w:tblPr>
      <w:tblGrid>
        <w:gridCol w:w="1366"/>
        <w:gridCol w:w="346"/>
        <w:gridCol w:w="1156"/>
        <w:gridCol w:w="146"/>
        <w:gridCol w:w="1023"/>
        <w:gridCol w:w="792"/>
        <w:gridCol w:w="346"/>
        <w:gridCol w:w="310"/>
        <w:gridCol w:w="620"/>
      </w:tblGrid>
      <w:tr>
        <w:trPr/>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867410" cy="175260"/>
                      <wp:effectExtent l="0" t="0" r="0" b="0"/>
                      <wp:wrapNone/>
                      <wp:docPr id="308" name="Frame308"/>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19710" cy="175260"/>
                      <wp:effectExtent l="0" t="0" r="0" b="0"/>
                      <wp:wrapNone/>
                      <wp:docPr id="309" name="Frame3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734060" cy="175260"/>
                      <wp:effectExtent l="0" t="0" r="0" b="0"/>
                      <wp:wrapNone/>
                      <wp:docPr id="310" name="Frame310"/>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92710" cy="175260"/>
                      <wp:effectExtent l="0" t="0" r="0" b="0"/>
                      <wp:wrapNone/>
                      <wp:docPr id="311" name="Frame31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9605" cy="175260"/>
                      <wp:effectExtent l="0" t="0" r="0" b="0"/>
                      <wp:wrapNone/>
                      <wp:docPr id="312" name="Frame312"/>
                      <a:graphic xmlns:a="http://schemas.openxmlformats.org/drawingml/2006/main">
                        <a:graphicData uri="http://schemas.microsoft.com/office/word/2010/wordprocessingShape">
                          <wps:wsp>
                            <wps:cNvSpPr txBox="1"/>
                            <wps:spPr>
                              <a:xfrm>
                                <a:off x="0" y="0"/>
                                <a:ext cx="649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502920" cy="175260"/>
                      <wp:effectExtent l="0" t="0" r="0" b="0"/>
                      <wp:wrapNone/>
                      <wp:docPr id="313" name="Frame313"/>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19710" cy="175260"/>
                      <wp:effectExtent l="0" t="0" r="0" b="0"/>
                      <wp:wrapNone/>
                      <wp:docPr id="314" name="Frame3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96850" cy="175260"/>
                      <wp:effectExtent l="0" t="0" r="0" b="0"/>
                      <wp:wrapNone/>
                      <wp:docPr id="315" name="Frame315"/>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393700" cy="175260"/>
                      <wp:effectExtent l="0" t="0" r="0" b="0"/>
                      <wp:wrapNone/>
                      <wp:docPr id="316" name="Frame316"/>
                      <a:graphic xmlns:a="http://schemas.openxmlformats.org/drawingml/2006/main">
                        <a:graphicData uri="http://schemas.microsoft.com/office/word/2010/wordprocessingShape">
                          <wps:wsp>
                            <wps:cNvSpPr txBox="1"/>
                            <wps:spPr>
                              <a:xfrm>
                                <a:off x="0" y="0"/>
                                <a:ext cx="393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4393"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13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 Type</w:t>
            </w:r>
          </w:p>
        </w:tc>
        <w:tc>
          <w:tcPr>
            <w:tcW w:w="346" w:type="dxa"/>
            <w:tcBorders/>
            <w:vAlign w:val="center"/>
          </w:tcPr>
          <w:p>
            <w:pPr>
              <w:pStyle w:val="TableContents"/>
              <w:bidi w:val="0"/>
              <w:spacing w:before="0" w:after="1"/>
              <w:ind w:left="0" w:right="0" w:hanging="0"/>
              <w:jc w:val="center"/>
              <w:rPr/>
            </w:pPr>
            <w:r>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 Contracts</w:t>
            </w:r>
          </w:p>
        </w:tc>
        <w:tc>
          <w:tcPr>
            <w:tcW w:w="146" w:type="dxa"/>
            <w:tcBorders/>
            <w:vAlign w:val="center"/>
          </w:tcPr>
          <w:p>
            <w:pPr>
              <w:pStyle w:val="TableContents"/>
              <w:bidi w:val="0"/>
              <w:spacing w:before="0" w:after="1"/>
              <w:ind w:left="0" w:right="0" w:hanging="0"/>
              <w:jc w:val="center"/>
              <w:rPr/>
            </w:pPr>
            <w:r>
              <w:rPr/>
              <w:t>​</w:t>
            </w:r>
          </w:p>
        </w:tc>
        <w:tc>
          <w:tcPr>
            <w:tcW w:w="18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Notional Amount (Qty)</w:t>
            </w:r>
          </w:p>
        </w:tc>
        <w:tc>
          <w:tcPr>
            <w:tcW w:w="346" w:type="dxa"/>
            <w:tcBorders/>
            <w:vAlign w:val="center"/>
          </w:tcPr>
          <w:p>
            <w:pPr>
              <w:pStyle w:val="TableContents"/>
              <w:bidi w:val="0"/>
              <w:spacing w:before="0" w:after="1"/>
              <w:ind w:left="0" w:right="0" w:hanging="0"/>
              <w:jc w:val="center"/>
              <w:rPr/>
            </w:pPr>
            <w:r>
              <w:rPr/>
              <w:t>  ​ ​ ​</w:t>
            </w:r>
          </w:p>
        </w:tc>
        <w:tc>
          <w:tcPr>
            <w:tcW w:w="9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3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Corn futures</w:t>
            </w:r>
          </w:p>
        </w:tc>
        <w:tc>
          <w:tcPr>
            <w:tcW w:w="346"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691</w:t>
            </w:r>
          </w:p>
        </w:tc>
        <w:tc>
          <w:tcPr>
            <w:tcW w:w="146" w:type="dxa"/>
            <w:tcBorders/>
            <w:shd w:fill="CCEEFF" w:val="clear"/>
            <w:vAlign w:val="center"/>
          </w:tcPr>
          <w:p>
            <w:pPr>
              <w:pStyle w:val="TableContents"/>
              <w:bidi w:val="0"/>
              <w:spacing w:before="0" w:after="1"/>
              <w:ind w:left="0" w:right="0" w:hanging="0"/>
              <w:jc w:val="left"/>
              <w:rPr/>
            </w:pPr>
            <w:r>
              <w:rPr/>
              <w:t> </w:t>
            </w:r>
          </w:p>
        </w:tc>
        <w:tc>
          <w:tcPr>
            <w:tcW w:w="10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3,455,000</w:t>
            </w:r>
          </w:p>
        </w:tc>
        <w:tc>
          <w:tcPr>
            <w:tcW w:w="792"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bushels</w:t>
            </w:r>
          </w:p>
        </w:tc>
        <w:tc>
          <w:tcPr>
            <w:tcW w:w="346" w:type="dxa"/>
            <w:tcBorders/>
            <w:shd w:fill="CCEEFF" w:val="clear"/>
            <w:vAlign w:val="center"/>
          </w:tcPr>
          <w:p>
            <w:pPr>
              <w:pStyle w:val="TableContents"/>
              <w:bidi w:val="0"/>
              <w:spacing w:before="0" w:after="1"/>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13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fair value</w:t>
            </w:r>
          </w:p>
        </w:tc>
        <w:tc>
          <w:tcPr>
            <w:tcW w:w="34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023" w:type="dxa"/>
            <w:tcBorders/>
            <w:vAlign w:val="center"/>
          </w:tcPr>
          <w:p>
            <w:pPr>
              <w:pStyle w:val="TableContents"/>
              <w:bidi w:val="0"/>
              <w:spacing w:before="0" w:after="1"/>
              <w:ind w:left="0" w:right="0" w:hanging="0"/>
              <w:jc w:val="right"/>
              <w:rPr/>
            </w:pPr>
            <w:r>
              <w:rPr/>
              <w:t>  ​</w:t>
            </w:r>
          </w:p>
        </w:tc>
        <w:tc>
          <w:tcPr>
            <w:tcW w:w="792"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91</w:t>
            </w:r>
          </w:p>
        </w:tc>
      </w:tr>
    </w:tbl>
    <w:p>
      <w:pPr>
        <w:pStyle w:val="TextBody"/>
        <w:bidi w:val="0"/>
        <w:spacing w:before="0" w:after="200"/>
        <w:ind w:left="0" w:right="0" w:firstLine="720"/>
        <w:jc w:val="left"/>
        <w:rPr>
          <w:shd w:fill="FFFF00" w:val="clear"/>
        </w:rPr>
      </w:pPr>
      <w:r>
        <w:rPr>
          <w:shd w:fill="FFFF00" w:val="clea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Company’s gain recognized on derivative contracts (in thousands):</w:t>
      </w:r>
    </w:p>
    <w:tbl>
      <w:tblPr>
        <w:tblW w:w="9980" w:type="dxa"/>
        <w:jc w:val="left"/>
        <w:tblInd w:w="0" w:type="dxa"/>
        <w:tblLayout w:type="fixed"/>
        <w:tblCellMar>
          <w:top w:w="0" w:type="dxa"/>
          <w:left w:w="0" w:type="dxa"/>
          <w:bottom w:w="0" w:type="dxa"/>
          <w:right w:w="0" w:type="dxa"/>
        </w:tblCellMar>
      </w:tblPr>
      <w:tblGrid>
        <w:gridCol w:w="3226"/>
        <w:gridCol w:w="346"/>
        <w:gridCol w:w="4216"/>
        <w:gridCol w:w="109"/>
        <w:gridCol w:w="245"/>
        <w:gridCol w:w="665"/>
        <w:gridCol w:w="403"/>
        <w:gridCol w:w="245"/>
        <w:gridCol w:w="525"/>
      </w:tblGrid>
      <w:tr>
        <w:trPr/>
        <w:tc>
          <w:tcPr>
            <w:tcW w:w="3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048510" cy="175260"/>
                      <wp:effectExtent l="0" t="0" r="0" b="0"/>
                      <wp:wrapNone/>
                      <wp:docPr id="317" name="Frame317"/>
                      <a:graphic xmlns:a="http://schemas.openxmlformats.org/drawingml/2006/main">
                        <a:graphicData uri="http://schemas.microsoft.com/office/word/2010/wordprocessingShape">
                          <wps:wsp>
                            <wps:cNvSpPr txBox="1"/>
                            <wps:spPr>
                              <a:xfrm>
                                <a:off x="0" y="0"/>
                                <a:ext cx="2048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19710" cy="175260"/>
                      <wp:effectExtent l="0" t="0" r="0" b="0"/>
                      <wp:wrapNone/>
                      <wp:docPr id="318" name="Frame3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677160" cy="175260"/>
                      <wp:effectExtent l="0" t="0" r="0" b="0"/>
                      <wp:wrapNone/>
                      <wp:docPr id="319" name="Frame319"/>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9215" cy="175260"/>
                      <wp:effectExtent l="0" t="0" r="0" b="0"/>
                      <wp:wrapNone/>
                      <wp:docPr id="320" name="Frame3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55575" cy="175260"/>
                      <wp:effectExtent l="0" t="0" r="0" b="0"/>
                      <wp:wrapNone/>
                      <wp:docPr id="321" name="Frame321"/>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422275" cy="175260"/>
                      <wp:effectExtent l="0" t="0" r="0" b="0"/>
                      <wp:wrapNone/>
                      <wp:docPr id="322" name="Frame322"/>
                      <a:graphic xmlns:a="http://schemas.openxmlformats.org/drawingml/2006/main">
                        <a:graphicData uri="http://schemas.microsoft.com/office/word/2010/wordprocessingShape">
                          <wps:wsp>
                            <wps:cNvSpPr txBox="1"/>
                            <wps:spPr>
                              <a:xfrm>
                                <a:off x="0" y="0"/>
                                <a:ext cx="422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55905" cy="175260"/>
                      <wp:effectExtent l="0" t="0" r="0" b="0"/>
                      <wp:wrapNone/>
                      <wp:docPr id="323" name="Frame323"/>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55575" cy="175260"/>
                      <wp:effectExtent l="0" t="0" r="0" b="0"/>
                      <wp:wrapNone/>
                      <wp:docPr id="324" name="Frame324"/>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333375" cy="175260"/>
                      <wp:effectExtent l="0" t="0" r="0" b="0"/>
                      <wp:wrapNone/>
                      <wp:docPr id="325" name="Frame325"/>
                      <a:graphic xmlns:a="http://schemas.openxmlformats.org/drawingml/2006/main">
                        <a:graphicData uri="http://schemas.microsoft.com/office/word/2010/wordprocessingShape">
                          <wps:wsp>
                            <wps:cNvSpPr txBox="1"/>
                            <wps:spPr>
                              <a:xfrm>
                                <a:off x="0" y="0"/>
                                <a:ext cx="333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42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08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32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Statement of Operations Income/(Expense)</w:t>
            </w:r>
          </w:p>
        </w:tc>
        <w:tc>
          <w:tcPr>
            <w:tcW w:w="346" w:type="dxa"/>
            <w:tcBorders/>
            <w:vAlign w:val="center"/>
          </w:tcPr>
          <w:p>
            <w:pPr>
              <w:pStyle w:val="TableContents"/>
              <w:bidi w:val="0"/>
              <w:spacing w:before="0" w:after="1"/>
              <w:ind w:left="0" w:right="0" w:hanging="0"/>
              <w:jc w:val="center"/>
              <w:rPr/>
            </w:pPr>
            <w:r>
              <w:rPr/>
              <w:t>​</w:t>
            </w:r>
          </w:p>
        </w:tc>
        <w:tc>
          <w:tcPr>
            <w:tcW w:w="421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Location of gain (loss) in fair value recognized in income</w:t>
            </w:r>
          </w:p>
        </w:tc>
        <w:tc>
          <w:tcPr>
            <w:tcW w:w="109" w:type="dxa"/>
            <w:tcBorders/>
            <w:vAlign w:val="center"/>
          </w:tcPr>
          <w:p>
            <w:pPr>
              <w:pStyle w:val="TableContents"/>
              <w:bidi w:val="0"/>
              <w:spacing w:before="0" w:after="1"/>
              <w:ind w:left="0" w:right="0" w:hanging="0"/>
              <w:jc w:val="center"/>
              <w:rPr/>
            </w:pPr>
            <w:r>
              <w:rPr/>
              <w:t>​</w:t>
            </w:r>
          </w:p>
        </w:tc>
        <w:tc>
          <w:tcPr>
            <w:tcW w:w="9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3" w:type="dxa"/>
            <w:tcBorders/>
            <w:vAlign w:val="center"/>
          </w:tcPr>
          <w:p>
            <w:pPr>
              <w:pStyle w:val="TableContents"/>
              <w:bidi w:val="0"/>
              <w:spacing w:before="0" w:after="1"/>
              <w:ind w:left="0" w:right="0" w:hanging="0"/>
              <w:jc w:val="center"/>
              <w:rPr/>
            </w:pPr>
            <w:r>
              <w:rPr/>
              <w:t>  ​ ​ ​</w:t>
            </w:r>
          </w:p>
        </w:tc>
        <w:tc>
          <w:tcPr>
            <w:tcW w:w="7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Corn futures</w:t>
            </w:r>
          </w:p>
        </w:tc>
        <w:tc>
          <w:tcPr>
            <w:tcW w:w="346" w:type="dxa"/>
            <w:tcBorders/>
            <w:shd w:fill="CCEEFF" w:val="clear"/>
            <w:vAlign w:val="center"/>
          </w:tcPr>
          <w:p>
            <w:pPr>
              <w:pStyle w:val="TableContents"/>
              <w:bidi w:val="0"/>
              <w:spacing w:before="0" w:after="1"/>
              <w:ind w:left="0" w:right="0" w:hanging="0"/>
              <w:jc w:val="left"/>
              <w:rPr/>
            </w:pPr>
            <w:r>
              <w:rPr/>
              <w:t> </w:t>
            </w:r>
          </w:p>
        </w:tc>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production</w:t>
            </w:r>
          </w:p>
        </w:tc>
        <w:tc>
          <w:tcPr>
            <w:tcW w:w="109" w:type="dxa"/>
            <w:tcBorders/>
            <w:shd w:fill="CCEEFF" w:val="clear"/>
            <w:vAlign w:val="center"/>
          </w:tcPr>
          <w:p>
            <w:pPr>
              <w:pStyle w:val="TableContents"/>
              <w:bidi w:val="0"/>
              <w:spacing w:before="0" w:after="1"/>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5,685</w:t>
            </w:r>
          </w:p>
        </w:tc>
        <w:tc>
          <w:tcPr>
            <w:tcW w:w="403" w:type="dxa"/>
            <w:tcBorders/>
            <w:shd w:fill="CCEEFF" w:val="clear"/>
            <w:vAlign w:val="center"/>
          </w:tcPr>
          <w:p>
            <w:pPr>
              <w:pStyle w:val="TableContents"/>
              <w:bidi w:val="0"/>
              <w:spacing w:before="0" w:after="1"/>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realized gain</w:t>
            </w:r>
          </w:p>
        </w:tc>
        <w:tc>
          <w:tcPr>
            <w:tcW w:w="346" w:type="dxa"/>
            <w:tcBorders/>
            <w:vAlign w:val="center"/>
          </w:tcPr>
          <w:p>
            <w:pPr>
              <w:pStyle w:val="TableContents"/>
              <w:bidi w:val="0"/>
              <w:spacing w:before="0" w:after="1"/>
              <w:ind w:left="0" w:right="0" w:hanging="0"/>
              <w:jc w:val="left"/>
              <w:rPr/>
            </w:pPr>
            <w:r>
              <w:rPr/>
              <w:t>​</w:t>
            </w:r>
          </w:p>
        </w:tc>
        <w:tc>
          <w:tcPr>
            <w:tcW w:w="42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5,685</w:t>
            </w:r>
          </w:p>
        </w:tc>
        <w:tc>
          <w:tcPr>
            <w:tcW w:w="403" w:type="dxa"/>
            <w:tcBorders/>
            <w:vAlign w:val="center"/>
          </w:tcPr>
          <w:p>
            <w:pPr>
              <w:pStyle w:val="TableContents"/>
              <w:bidi w:val="0"/>
              <w:spacing w:before="0" w:after="1"/>
              <w:ind w:left="0" w:right="0" w:hanging="0"/>
              <w:jc w:val="left"/>
              <w:rPr/>
            </w:pPr>
            <w:r>
              <w:rPr/>
              <w:t>​</w:t>
            </w:r>
          </w:p>
        </w:tc>
        <w:tc>
          <w:tcPr>
            <w:tcW w:w="24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5" w:type="dxa"/>
            <w:tcBorders>
              <w:bottom w:val="double" w:sz="6" w:space="0" w:color="000000"/>
            </w:tcBorders>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00"/>
        <w:ind w:left="0" w:right="0" w:firstLine="720"/>
        <w:jc w:val="left"/>
        <w:rPr/>
      </w:pPr>
      <w:r>
        <w:rPr/>
        <w:t>​</w:t>
      </w:r>
    </w:p>
    <w:p>
      <w:pPr>
        <w:pStyle w:val="TextBody"/>
        <w:bidi w:val="0"/>
        <w:spacing w:before="0" w:after="20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00"/>
        <w:ind w:left="0" w:right="0" w:hanging="0"/>
        <w:jc w:val="left"/>
        <w:rPr>
          <w:rFonts w:ascii="Times New Roman;Times;serif" w:hAnsi="Times New Roman;Times;serif"/>
          <w:b/>
          <w:sz w:val="20"/>
        </w:rPr>
      </w:pPr>
      <w:bookmarkStart w:id="908" w:name="Tc_9fVMJps9k0i_eD2Mid95Fw_11_7"/>
      <w:bookmarkStart w:id="909" w:name="Tc_ePCb0e_0pUSxXsCZFoXcAw_11_4"/>
      <w:bookmarkStart w:id="910" w:name="Tc_GJn32RHTV02rCY3mGyaHCg_11_0"/>
      <w:bookmarkStart w:id="911" w:name="Tc_roBr3EsIIkyIHFgztr6XVQ_10_0"/>
      <w:bookmarkStart w:id="912" w:name="Tc_2qqysmOD2ke_XQhjrTaN4Q_9_0"/>
      <w:bookmarkStart w:id="913" w:name="Tc_di4_WQK200uAL2pBsrIheg_8_0"/>
      <w:bookmarkStart w:id="914" w:name="Tc_B1pWfk37kkucdZK8Uf6RzQ_7_2"/>
      <w:bookmarkStart w:id="915" w:name="Tc_53JhpR9Vz0-_RUn36y9zwA_7_0"/>
      <w:bookmarkStart w:id="916" w:name="Tc_AZXvTvrxdEmMQO4lJ_7wWQ_6_2"/>
      <w:bookmarkStart w:id="917" w:name="Tc_sRUT3aJ_8EKks_3D8pYT8A_6_0"/>
      <w:bookmarkStart w:id="918" w:name="Tc_x2dwL0yEpE6Oos4uCN2t-w_5_2"/>
      <w:bookmarkStart w:id="919" w:name="Tc_6_R6BQE-9UGSnKISY5hW9A_5_0"/>
      <w:bookmarkStart w:id="920" w:name="Tc_TtU_0uofjE-3ePPzdtwlUw_4_2"/>
      <w:bookmarkStart w:id="921" w:name="Tc_3Mq9oBxJkU-Z_DNDUIMRlg_4_0"/>
      <w:bookmarkStart w:id="922" w:name="Tc_maCnWbsaNkqHy69m7zn_Cg_3_7"/>
      <w:bookmarkStart w:id="923" w:name="Tc_7DRY-34eHEW3jeOBPq71Ig_3_4"/>
      <w:bookmarkStart w:id="924" w:name="Tc_px2sGiFVN0WVPfIq_5bsrA_3_0"/>
      <w:bookmarkStart w:id="925" w:name="Tc_sZAbfHQJDUGbjIeJj5cEqg_2_7"/>
      <w:bookmarkStart w:id="926" w:name="Tc_Th0OLQ1pYkquktAiRcHmwg_2_4"/>
      <w:bookmarkStart w:id="927" w:name="Tc_2Z-0NhNOkkCXNSfEeWuOLA_2_2"/>
      <w:bookmarkStart w:id="928" w:name="Tc_kBdxP0HUOUOB3Zldrxh4EA_1_4"/>
      <w:bookmarkStart w:id="929" w:name="Tc_UEBI4Y2MCUOxgNucgAEieQ_1_2"/>
      <w:bookmarkStart w:id="930" w:name="_5634ace2_714a_4522_b056_b6cf8867a0a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r>
        <w:rPr>
          <w:rFonts w:ascii="Times New Roman;Times;serif" w:hAnsi="Times New Roman;Times;serif"/>
          <w:b/>
          <w:sz w:val="20"/>
        </w:rPr>
        <w:t>13</w:t>
      </w:r>
      <w:r>
        <w:rPr>
          <w:rFonts w:ascii="Times New Roman;Times;serif" w:hAnsi="Times New Roman;Times;serif"/>
          <w:b/>
          <w:i/>
          <w:sz w:val="20"/>
        </w:rPr>
        <w:t xml:space="preserve">. </w:t>
      </w:r>
      <w:r>
        <w:rPr>
          <w:rFonts w:ascii="Times New Roman;Times;serif" w:hAnsi="Times New Roman;Times;serif"/>
          <w:b/>
          <w:sz w:val="20"/>
        </w:rPr>
        <w:t>Property, Plant and Equipment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Company’s property, plant and equipment by classification (in thousands) as of:</w:t>
      </w:r>
    </w:p>
    <w:p>
      <w:pPr>
        <w:pStyle w:val="TextBody"/>
        <w:bidi w:val="0"/>
        <w:spacing w:before="0" w:after="0"/>
        <w:ind w:left="0" w:right="0" w:hanging="0"/>
        <w:jc w:val="left"/>
        <w:rPr/>
      </w:pPr>
      <w:r>
        <w:rPr/>
        <w:t>​</w:t>
      </w:r>
    </w:p>
    <w:tbl>
      <w:tblPr>
        <w:tblW w:w="8199" w:type="dxa"/>
        <w:jc w:val="left"/>
        <w:tblInd w:w="0" w:type="dxa"/>
        <w:tblLayout w:type="fixed"/>
        <w:tblCellMar>
          <w:top w:w="0" w:type="dxa"/>
          <w:left w:w="0" w:type="dxa"/>
          <w:bottom w:w="0" w:type="dxa"/>
          <w:right w:w="0" w:type="dxa"/>
        </w:tblCellMar>
      </w:tblPr>
      <w:tblGrid>
        <w:gridCol w:w="4111"/>
        <w:gridCol w:w="346"/>
        <w:gridCol w:w="886"/>
        <w:gridCol w:w="346"/>
        <w:gridCol w:w="211"/>
        <w:gridCol w:w="796"/>
        <w:gridCol w:w="346"/>
        <w:gridCol w:w="211"/>
        <w:gridCol w:w="946"/>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610485" cy="175260"/>
                      <wp:effectExtent l="0" t="0" r="0" b="0"/>
                      <wp:wrapNone/>
                      <wp:docPr id="326" name="Frame326"/>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19710" cy="175260"/>
                      <wp:effectExtent l="0" t="0" r="0" b="0"/>
                      <wp:wrapNone/>
                      <wp:docPr id="327" name="Frame3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562610" cy="175260"/>
                      <wp:effectExtent l="0" t="0" r="0" b="0"/>
                      <wp:wrapNone/>
                      <wp:docPr id="328" name="Frame32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19710" cy="175260"/>
                      <wp:effectExtent l="0" t="0" r="0" b="0"/>
                      <wp:wrapNone/>
                      <wp:docPr id="329" name="Frame3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33985" cy="175260"/>
                      <wp:effectExtent l="0" t="0" r="0" b="0"/>
                      <wp:wrapNone/>
                      <wp:docPr id="330" name="Frame3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505460" cy="175260"/>
                      <wp:effectExtent l="0" t="0" r="0" b="0"/>
                      <wp:wrapNone/>
                      <wp:docPr id="331" name="Frame33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19710" cy="175260"/>
                      <wp:effectExtent l="0" t="0" r="0" b="0"/>
                      <wp:wrapNone/>
                      <wp:docPr id="332" name="Frame3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33985" cy="175260"/>
                      <wp:effectExtent l="0" t="0" r="0" b="0"/>
                      <wp:wrapNone/>
                      <wp:docPr id="333" name="Frame3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00710" cy="175260"/>
                      <wp:effectExtent l="0" t="0" r="0" b="0"/>
                      <wp:wrapNone/>
                      <wp:docPr id="334" name="Frame334"/>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Useful Life</w:t>
            </w:r>
          </w:p>
        </w:tc>
        <w:tc>
          <w:tcPr>
            <w:tcW w:w="346" w:type="dxa"/>
            <w:tcBorders/>
            <w:vAlign w:val="center"/>
          </w:tcPr>
          <w:p>
            <w:pPr>
              <w:pStyle w:val="TableContents"/>
              <w:bidi w:val="0"/>
              <w:spacing w:before="0" w:after="1"/>
              <w:ind w:left="0" w:right="0" w:hanging="0"/>
              <w:jc w:val="center"/>
              <w:rPr/>
            </w:pPr>
            <w:r>
              <w:rPr/>
              <w:t>​</w:t>
            </w:r>
          </w:p>
        </w:tc>
        <w:tc>
          <w:tcPr>
            <w:tcW w:w="25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1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years)</w:t>
            </w:r>
          </w:p>
        </w:tc>
        <w:tc>
          <w:tcPr>
            <w:tcW w:w="346" w:type="dxa"/>
            <w:tcBorders/>
            <w:vAlign w:val="center"/>
          </w:tcPr>
          <w:p>
            <w:pPr>
              <w:pStyle w:val="TableContents"/>
              <w:bidi w:val="0"/>
              <w:spacing w:before="0" w:after="1"/>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12,232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6,592</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Plant facilities and infrastructure</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 to 20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49,352</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74,255</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Machinery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 to 20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140,552</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79,637</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Furniture and office equipment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 to 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2,731</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2,779</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Software</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 to 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8,753</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5,419</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186,641</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154,272</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property, plant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400,261</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322,954</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(46,684)</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(101,312)</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353,577</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221,642</w:t>
            </w:r>
          </w:p>
        </w:tc>
      </w:tr>
    </w:tbl>
    <w:p>
      <w:pPr>
        <w:pStyle w:val="TextBody"/>
        <w:bidi w:val="0"/>
        <w:spacing w:before="0" w:after="20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In January 2025, Gevo completed the acquisition of substantially all of the assets and assumed certain liabilities of Red Trail Energy. The fair value of the property plant and equipment acquired was $110.8 million (See Note 3, Business Combinations).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In October 2025, the Company </w:t>
      </w:r>
      <w:r>
        <w:rPr>
          <w:rFonts w:ascii="Times New Roman;Times;serif" w:hAnsi="Times New Roman;Times;serif"/>
          <w:sz w:val="20"/>
          <w:shd w:fill="FFFFFF" w:val="clear"/>
        </w:rPr>
        <w:t xml:space="preserve">sold certain property plant and equipment at our Luverne Facility as part of the sale of our wholly owned subsidiary, Agri Energy, LLC (See Note 4, Disposition of Assets). The gross assets disposed were $69.5 million, which had an accumulated depreciation balance of $67.7 million.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During the year ended December 31, 2025 and 2024, the Company recorded depreciation expense of $12.9 million and $15.9 million, respectively. Depreciation expense recorded into inventory during the year ended December 31,  2025 and 2024 was $5.7 million and $4.7 million, respectively. Depreciation expense from inventory sold was $5.8 million and $4.7 million for the years ended December 31, 2025 and 2024, respectively. The Company’s Construction in progress primarily relates to our Alcohol-to-Jet projects, in particular engineering work, design work and modularization.</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14. Intangible Assets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During the year ended December 31, 2025, the Company generated $52.7 million in CFPCs as intangible assets, related to the production and sale of low-carbon transportation fuels under Section 45Z of the IRC. See Note 5, Tax Credit Recognition and Sales. Other identifiable intangible assets consist of developed technology, customer-related intangible assets, trade name and acquired patents, which management evaluates to determine whether they (i) support current products, (ii) support planned research and development, or (iii) prevent others from competing with Gevo’s products.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During the year ended December 31, 2025, Gevo recognized approximately $46.3 million in customer-related intangible assets as part of the acquisition of substantially all the assets and certain liabilities of Red Trail Energy (see Note 3, Business Combinations, for additional information). These assets represent long-term customer relationships and commercial agreements that are expected to generate sustained revenue over time. They are being amortized over their estimated useful life of 4 years, based on the projected economic benefits derived from the underlying contracts and partnerships.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0"/>
        <w:ind w:left="0" w:right="0" w:firstLine="720"/>
        <w:jc w:val="left"/>
        <w:rPr>
          <w:rFonts w:ascii="Times New Roman;Times;serif" w:hAnsi="Times New Roman;Times;serif"/>
          <w:sz w:val="20"/>
        </w:rPr>
      </w:pPr>
      <w:bookmarkStart w:id="931" w:name="Tc_udgW6S2AmkG3lhfqObttFQ_9_17"/>
      <w:bookmarkStart w:id="932" w:name="Tc_iBZbKB-k40CCkK0hePz33w_9_14"/>
      <w:bookmarkStart w:id="933" w:name="Tc_1mVWpUnSRkel_j_QDj3F7Q_9_11"/>
      <w:bookmarkStart w:id="934" w:name="Tc_GB0U6t0-uECGEWuKdy9NTQ_9_8"/>
      <w:bookmarkStart w:id="935" w:name="Tc_BmQmIqrQ6UCQXQCks2f0Cw_9_5"/>
      <w:bookmarkStart w:id="936" w:name="Tc_ZOGvZjNkvEukCRX_o-h3iQ_9_2"/>
      <w:bookmarkStart w:id="937" w:name="Tc_AzAiBjm7x0qZ8jt6YPoRBg_9_0"/>
      <w:bookmarkStart w:id="938" w:name="Tc_Sv9FJxyqqkSiIZ3m7Znouw_8_15"/>
      <w:bookmarkStart w:id="939" w:name="Tc_7Xb7RKYGFk6iCtFdNpMB0w_8_9"/>
      <w:bookmarkStart w:id="940" w:name="Tc_N4nLe9YZJUKXAo1N_9h6cw_8_6"/>
      <w:bookmarkStart w:id="941" w:name="Tc_Y1-5j57AF0uVmmm7BS1mXg_8_3"/>
      <w:bookmarkStart w:id="942" w:name="Tc_jadiZ-p1oE6XZu73cjZ5ag_8_0"/>
      <w:bookmarkStart w:id="943" w:name="Tc_Mf7sdkKAB0WEE-vCUA8Paw_7_15"/>
      <w:bookmarkStart w:id="944" w:name="Tc_jTFjpSCijE23pwhIfukIUQ_7_9"/>
      <w:bookmarkStart w:id="945" w:name="Tc_uf15OP7TEUCAPW1-KTTLCw_7_3"/>
      <w:bookmarkStart w:id="946" w:name="Tc_W6ASNhpCIEGCkhtGim4vRg_7_0"/>
      <w:bookmarkStart w:id="947" w:name="Tc_3JigQpkK00SO7iibMa8Sjg_6_15"/>
      <w:bookmarkStart w:id="948" w:name="Tc_Wwm1g5XAfk6LORsP4DkrJw_6_0"/>
      <w:bookmarkStart w:id="949" w:name="Tc_HPtWubwjlk-n-gSaXCosUw_5_0"/>
      <w:bookmarkStart w:id="950" w:name="Tc_sCspWsKjQ0KZGI0rT75UWw_4_0"/>
      <w:bookmarkStart w:id="951" w:name="Tc_zKjTmHndJ0iVsGjjwJT0aw_3_17"/>
      <w:bookmarkStart w:id="952" w:name="Tc_FZhQDmq5LEqJibOJxGomZA_3_14"/>
      <w:bookmarkStart w:id="953" w:name="Tc_zdxGzeJRgkWvdsDo8n_v3A_3_11"/>
      <w:bookmarkStart w:id="954" w:name="Tc_fQU-Lmn-lECXf5czApcO_w_3_8"/>
      <w:bookmarkStart w:id="955" w:name="Tc_Zh1S0X-daESj8TRtqLaO_w_3_5"/>
      <w:bookmarkStart w:id="956" w:name="Tc_PUq0gc68aE6Wz1KH8QB3uw_3_2"/>
      <w:bookmarkStart w:id="957" w:name="Tc_MOf6zZSDpkyWFjUSPIjILg_3_0"/>
      <w:bookmarkStart w:id="958" w:name="Tc_DjVfoxz1TUyeb1YTfENtzA_2_17"/>
      <w:bookmarkStart w:id="959" w:name="Tc_Cto6H3sSlkSrO8JLQQpi0A_2_14"/>
      <w:bookmarkStart w:id="960" w:name="Tc_VmAV6JLtpkuFU1-JVg0MbQ_2_11"/>
      <w:bookmarkStart w:id="961" w:name="Tc_JF3xS4tmC027hulZye1RvQ_2_8"/>
      <w:bookmarkStart w:id="962" w:name="Tc_a3NTvhqSxUygJw6PdxNUng_2_5"/>
      <w:bookmarkStart w:id="963" w:name="Tc_VzJmdKwLFUGd-SXwkorcGw_2_2"/>
      <w:bookmarkStart w:id="964" w:name="Tc_xRlKqnEUeEyR-8EqgXFujA_1_14"/>
      <w:bookmarkStart w:id="965" w:name="Tc_4CQOYeQnzkSX23f5dUUtBQ_1_11"/>
      <w:bookmarkStart w:id="966" w:name="Tc_ym3f-hj-NUCyv8pHJCXEkg_1_8"/>
      <w:bookmarkStart w:id="967" w:name="Tc_sUrHbqCxTUK2GlidlTNNzA_1_5"/>
      <w:bookmarkStart w:id="968" w:name="_2e39d0d9_931b_4cb4_a427_5f82232bccdd"/>
      <w:bookmarkStart w:id="969" w:name="Tc_EqV1NQAe2EuwJNH8SLtQIQ_11_8"/>
      <w:bookmarkStart w:id="970" w:name="Tc_F_qwuMquRkKF-MwlZkcopQ_11_5"/>
      <w:bookmarkStart w:id="971" w:name="Tc_sTsMAgLeukmsYgqO1cNZxg_11_2"/>
      <w:bookmarkStart w:id="972" w:name="Tc_K7i258nB20W4BPsxV0YUwg_11_0"/>
      <w:bookmarkStart w:id="973" w:name="Tc_S6XDjaoyyU6ESFvWGXYwdQ_10_0"/>
      <w:bookmarkStart w:id="974" w:name="Tc_uc3vuW1y9kKYBDtBLfhM0g_9_0"/>
      <w:bookmarkStart w:id="975" w:name="Tc_gyUxWsLvwUG0f8NP-oAiSQ_8_0"/>
      <w:bookmarkStart w:id="976" w:name="Tc_Gt0VWwdtBEq4Ene2sCIRoQ_7_0"/>
      <w:bookmarkStart w:id="977" w:name="Tc_ge4Ie6Ap2kqgRp1Mx6vmRg_6_8"/>
      <w:bookmarkStart w:id="978" w:name="Tc_QHidF-iwUEWnJL8Ow1FptQ_6_5"/>
      <w:bookmarkStart w:id="979" w:name="Tc_yVMPoOQ0S0m87kMbpMvCUg_6_2"/>
      <w:bookmarkStart w:id="980" w:name="Tc_7mXUHa4X4UKbk5Gu_JAriQ_6_0"/>
      <w:bookmarkStart w:id="981" w:name="Tc_1XeieKByukKq3cSMGtbIbQ_5_11"/>
      <w:bookmarkStart w:id="982" w:name="Tc_TgWt3Oq3sEaJoTxjYL2YTw_5_8"/>
      <w:bookmarkStart w:id="983" w:name="Tc_rWmipU1CXk2cfy4dvoZ2QQ_5_5"/>
      <w:bookmarkStart w:id="984" w:name="Tc_E6mc-TZ2UEiiDEXQr3um7Q_5_2"/>
      <w:bookmarkStart w:id="985" w:name="Tc_FlII7dFmpEWKWd_C49TKoQ_4_11"/>
      <w:bookmarkStart w:id="986" w:name="Tc_ay3J5xiIB0yoJOPG0cvR4Q_4_8"/>
      <w:bookmarkStart w:id="987" w:name="Tc_-Nii8nTyyEmvX_D5wirilg_4_5"/>
      <w:bookmarkStart w:id="988" w:name="Tc_Dt5FHuZlDkKijdYG3yN4Uw_4_2"/>
      <w:bookmarkStart w:id="989" w:name="Tc_idYEhzlVdUG67rXXJ8psIQ_3_11"/>
      <w:bookmarkStart w:id="990" w:name="Tc_f4HLT0s3u0eqBYYfl8AsJA_3_8"/>
      <w:bookmarkStart w:id="991" w:name="Tc_UB10uN5Wn0OM7PU9brFA9Q_2_11"/>
      <w:bookmarkStart w:id="992" w:name="Tc_FzPp7STrL02huhVeoj5AUg_1_2"/>
      <w:bookmarkStart w:id="993" w:name="Tc_HE60BNw93EG1k0YZ9O_2eg_7_11"/>
      <w:bookmarkStart w:id="994" w:name="Tc_0MFBqEiVvkuVSoqbzSPb4Q_7_8"/>
      <w:bookmarkStart w:id="995" w:name="Tc_Iz1GP9aVxEaRbp7J8iop5A_7_6"/>
      <w:bookmarkStart w:id="996" w:name="Tc_VfVTOpQORkWGQyDIYiq9aA_7_5"/>
      <w:bookmarkStart w:id="997" w:name="Tc_ukdbBlL_-Uie8AyBt5AVrQ_7_2"/>
      <w:bookmarkStart w:id="998" w:name="Tc_yeJWp7fAUkiatvm1mXrNeA_7_0"/>
      <w:bookmarkStart w:id="999" w:name="Tc_0uZxkiAZtU65h5ix-OQ_Qw_6_11"/>
      <w:bookmarkStart w:id="1000" w:name="Tc_tB4xJyK4BkGP84DJP_4fwg_6_8"/>
      <w:bookmarkStart w:id="1001" w:name="Tc_fld85jOdRkSq9Jac-fr_Cw_6_6"/>
      <w:bookmarkStart w:id="1002" w:name="Tc_UVYsgpX6LkOwh_6HM-V7GQ_6_2"/>
      <w:bookmarkStart w:id="1003" w:name="Tc_r7sSIkAFnk6usNk2aBSCnQ_6_0"/>
      <w:bookmarkStart w:id="1004" w:name="Tc_ufZ6XXlW-UKX9-7gCnhtCg_5_11"/>
      <w:bookmarkStart w:id="1005" w:name="Tc_3WGBkqAZuU2I62s1D82l4Q_5_8"/>
      <w:bookmarkStart w:id="1006" w:name="Tc_5ctGsHtfwkGN33mERDxX5g_5_5"/>
      <w:bookmarkStart w:id="1007" w:name="Tc_fdYwy4PVtE2PivvyRSbb_Q_5_2"/>
      <w:bookmarkStart w:id="1008" w:name="Tc_UxlnmixASkW20Zti71Eg0A_4_11"/>
      <w:bookmarkStart w:id="1009" w:name="Tc_hgsq0Sr-4U2fE2wlBruEVw_4_8"/>
      <w:bookmarkStart w:id="1010" w:name="Tc_Q_6EL9hGx0OEkoR0nGLEyw_4_5"/>
      <w:bookmarkStart w:id="1011" w:name="Tc_Mep13mvVc0OXGAkSZ_gzbA_4_2"/>
      <w:bookmarkStart w:id="1012" w:name="Tc_spJtPCpbU0WnO6xO9SN51Q_3_11"/>
      <w:bookmarkStart w:id="1013" w:name="Tc_TVfkJe9NnE-hLYG89SxDgg_3_8"/>
      <w:bookmarkStart w:id="1014" w:name="Tc_eeUCVHeEskSex0e5nyrc4g_2_11"/>
      <w:bookmarkStart w:id="1015" w:name="Tc_TmU31OoFDEag9c2ruGB93A_1_2"/>
      <w:bookmarkStart w:id="1016" w:name="Tc_7CuQl761B0S2FrJGK3tkPg_11_8"/>
      <w:bookmarkStart w:id="1017" w:name="Tc_mDQaFUuwXkOCVYLtu76Akg_11_5"/>
      <w:bookmarkStart w:id="1018" w:name="Tc_g40QAhAweUyQScqHjrAVng_11_2"/>
      <w:bookmarkStart w:id="1019" w:name="Tc_SAwu3-SedUm-9EU4dYYTkA_11_0"/>
      <w:bookmarkStart w:id="1020" w:name="Tc_sqz-kkiPK0CCyl0kos0JMg_10_0"/>
      <w:bookmarkStart w:id="1021" w:name="Tc_GeiZVcfkFUiRbkvCvGVY5w_9_0"/>
      <w:bookmarkStart w:id="1022" w:name="Tc_T_50he9Muk-a6TGfE_5r0w_8_0"/>
      <w:bookmarkStart w:id="1023" w:name="Tc_jdfTCx4x8k6k3CVEaSp6CA_7_0"/>
      <w:bookmarkStart w:id="1024" w:name="Tc_iDrcIXaChkWYFIIwcju2SQ_6_8"/>
      <w:bookmarkStart w:id="1025" w:name="Tc_N3Fmuf-ZZUyJRkXIcMQPsQ_6_5"/>
      <w:bookmarkStart w:id="1026" w:name="Tc_EkSzefe-6ky5S3oJzR87pg_6_2"/>
      <w:bookmarkStart w:id="1027" w:name="Tc_sCw8cQWWg0CoAH97ifBqeA_6_0"/>
      <w:bookmarkStart w:id="1028" w:name="Tc_t9tD4NtEWkKVlH5ufse83A_5_11"/>
      <w:bookmarkStart w:id="1029" w:name="Tc_IUOjyZgf20W3oYSOfp7AVQ_5_8"/>
      <w:bookmarkStart w:id="1030" w:name="Tc_DfULqstNkEadTZYnR-Cajg_5_5"/>
      <w:bookmarkStart w:id="1031" w:name="Tc_Z16MWainO0ak5d68_ukU8g_5_2"/>
      <w:bookmarkStart w:id="1032" w:name="Tc_pPlZcN5g3kOnAJCetQA1Ag_4_11"/>
      <w:bookmarkStart w:id="1033" w:name="Tc_GSyPVHkxyUisIXd27GBooQ_4_8"/>
      <w:bookmarkStart w:id="1034" w:name="Tc_HXxmdkNLjUOjFMgzNmX5-Q_4_5"/>
      <w:bookmarkStart w:id="1035" w:name="Tc_glD1j49UsUePQws_sBSHhw_4_2"/>
      <w:bookmarkStart w:id="1036" w:name="Tc_ySlHSDwN10m5JoFSVba0EA_3_11"/>
      <w:bookmarkStart w:id="1037" w:name="Tc_b0V_nKMqSUeH34taCIXJtg_3_8"/>
      <w:bookmarkStart w:id="1038" w:name="Tc_qIUzGNPnUUa2ZYcWNOfbDA_2_11"/>
      <w:bookmarkStart w:id="1039" w:name="Tc_ibFZ33JjeEe9yxPQCQ113Q_1_2"/>
      <w:bookmarkStart w:id="1040" w:name="_db600307_2b96_426a_8d65_b7014d0e55bd"/>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r>
        <w:rPr>
          <w:rFonts w:ascii="Times New Roman;Times;serif" w:hAnsi="Times New Roman;Times;serif"/>
          <w:sz w:val="20"/>
        </w:rPr>
        <w:t>The following tables set forth the Company’s intangible assets by classification (in thousands) as of:</w:t>
      </w:r>
    </w:p>
    <w:p>
      <w:pPr>
        <w:pStyle w:val="TextBody"/>
        <w:bidi w:val="0"/>
        <w:spacing w:before="0" w:after="0"/>
        <w:ind w:left="0" w:right="0" w:hanging="0"/>
        <w:jc w:val="left"/>
        <w:rPr/>
      </w:pPr>
      <w:r>
        <w:rPr/>
        <w:t>​</w:t>
      </w:r>
    </w:p>
    <w:tbl>
      <w:tblPr>
        <w:tblW w:w="9188" w:type="dxa"/>
        <w:jc w:val="left"/>
        <w:tblInd w:w="0" w:type="dxa"/>
        <w:tblLayout w:type="fixed"/>
        <w:tblCellMar>
          <w:top w:w="0" w:type="dxa"/>
          <w:left w:w="0" w:type="dxa"/>
          <w:bottom w:w="0" w:type="dxa"/>
          <w:right w:w="0" w:type="dxa"/>
        </w:tblCellMar>
      </w:tblPr>
      <w:tblGrid>
        <w:gridCol w:w="2911"/>
        <w:gridCol w:w="346"/>
        <w:gridCol w:w="296"/>
        <w:gridCol w:w="949"/>
        <w:gridCol w:w="346"/>
        <w:gridCol w:w="240"/>
        <w:gridCol w:w="841"/>
        <w:gridCol w:w="346"/>
        <w:gridCol w:w="221"/>
        <w:gridCol w:w="710"/>
        <w:gridCol w:w="346"/>
        <w:gridCol w:w="1636"/>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848485" cy="175260"/>
                      <wp:effectExtent l="0" t="0" r="0" b="0"/>
                      <wp:wrapNone/>
                      <wp:docPr id="335" name="Frame335"/>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19710" cy="175260"/>
                      <wp:effectExtent l="0" t="0" r="0" b="0"/>
                      <wp:wrapNone/>
                      <wp:docPr id="336" name="Frame3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87960" cy="175260"/>
                      <wp:effectExtent l="0" t="0" r="0" b="0"/>
                      <wp:wrapNone/>
                      <wp:docPr id="337" name="Frame337"/>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02615" cy="175260"/>
                      <wp:effectExtent l="0" t="0" r="0" b="0"/>
                      <wp:wrapNone/>
                      <wp:docPr id="338" name="Frame338"/>
                      <a:graphic xmlns:a="http://schemas.openxmlformats.org/drawingml/2006/main">
                        <a:graphicData uri="http://schemas.microsoft.com/office/word/2010/wordprocessingShape">
                          <wps:wsp>
                            <wps:cNvSpPr txBox="1"/>
                            <wps:spPr>
                              <a:xfrm>
                                <a:off x="0" y="0"/>
                                <a:ext cx="602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19710" cy="175260"/>
                      <wp:effectExtent l="0" t="0" r="0" b="0"/>
                      <wp:wrapNone/>
                      <wp:docPr id="339" name="Frame3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52400" cy="175260"/>
                      <wp:effectExtent l="0" t="0" r="0" b="0"/>
                      <wp:wrapNone/>
                      <wp:docPr id="340" name="Frame340"/>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534035" cy="175260"/>
                      <wp:effectExtent l="0" t="0" r="0" b="0"/>
                      <wp:wrapNone/>
                      <wp:docPr id="341" name="Frame34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19710" cy="175260"/>
                      <wp:effectExtent l="0" t="0" r="0" b="0"/>
                      <wp:wrapNone/>
                      <wp:docPr id="342" name="Frame3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40335" cy="175260"/>
                      <wp:effectExtent l="0" t="0" r="0" b="0"/>
                      <wp:wrapNone/>
                      <wp:docPr id="343" name="Frame343"/>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450850" cy="175260"/>
                      <wp:effectExtent l="0" t="0" r="0" b="0"/>
                      <wp:wrapNone/>
                      <wp:docPr id="344" name="Frame344"/>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19710" cy="175260"/>
                      <wp:effectExtent l="0" t="0" r="0" b="0"/>
                      <wp:wrapNone/>
                      <wp:docPr id="345" name="Frame3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038860" cy="175260"/>
                      <wp:effectExtent l="0" t="0" r="0" b="0"/>
                      <wp:wrapNone/>
                      <wp:docPr id="346" name="Frame346"/>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5931"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96" w:type="dxa"/>
            <w:tcBorders/>
            <w:vAlign w:val="center"/>
          </w:tcPr>
          <w:p>
            <w:pPr>
              <w:pStyle w:val="TableContents"/>
              <w:bidi w:val="0"/>
              <w:spacing w:before="0" w:after="0"/>
              <w:ind w:left="0" w:right="0" w:hanging="0"/>
              <w:jc w:val="center"/>
              <w:rPr/>
            </w:pPr>
            <w:r>
              <w:rPr/>
              <w:t>​</w:t>
            </w:r>
          </w:p>
        </w:tc>
        <w:tc>
          <w:tcPr>
            <w:tcW w:w="94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40"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21" w:type="dxa"/>
            <w:tcBorders/>
            <w:vAlign w:val="center"/>
          </w:tcPr>
          <w:p>
            <w:pPr>
              <w:pStyle w:val="TableContents"/>
              <w:bidi w:val="0"/>
              <w:spacing w:before="0" w:after="0"/>
              <w:ind w:left="0" w:right="0" w:hanging="0"/>
              <w:jc w:val="center"/>
              <w:rPr/>
            </w:pPr>
            <w:r>
              <w:rPr/>
              <w:t>​</w:t>
            </w:r>
          </w:p>
        </w:tc>
        <w:tc>
          <w:tcPr>
            <w:tcW w:w="71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96" w:type="dxa"/>
            <w:tcBorders/>
            <w:vAlign w:val="center"/>
          </w:tcPr>
          <w:p>
            <w:pPr>
              <w:pStyle w:val="TableContents"/>
              <w:bidi w:val="0"/>
              <w:spacing w:before="0" w:after="0"/>
              <w:ind w:left="0" w:right="0" w:hanging="0"/>
              <w:jc w:val="center"/>
              <w:rPr/>
            </w:pPr>
            <w:r>
              <w:rPr/>
              <w:t>​</w:t>
            </w:r>
          </w:p>
        </w:tc>
        <w:tc>
          <w:tcPr>
            <w:tcW w:w="94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40"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Identifiable</w:t>
            </w:r>
          </w:p>
        </w:tc>
        <w:tc>
          <w:tcPr>
            <w:tcW w:w="346" w:type="dxa"/>
            <w:tcBorders/>
            <w:vAlign w:val="center"/>
          </w:tcPr>
          <w:p>
            <w:pPr>
              <w:pStyle w:val="TableContents"/>
              <w:bidi w:val="0"/>
              <w:spacing w:before="0" w:after="0"/>
              <w:ind w:left="0" w:right="0" w:hanging="0"/>
              <w:jc w:val="center"/>
              <w:rPr/>
            </w:pPr>
            <w:r>
              <w:rPr/>
              <w:t>  ​ ​ ​</w:t>
            </w:r>
          </w:p>
        </w:tc>
        <w:tc>
          <w:tcPr>
            <w:tcW w:w="16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Average Remaining </w: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46" w:type="dxa"/>
            <w:tcBorders/>
            <w:vAlign w:val="center"/>
          </w:tcPr>
          <w:p>
            <w:pPr>
              <w:pStyle w:val="TableContents"/>
              <w:bidi w:val="0"/>
              <w:spacing w:before="0" w:after="0"/>
              <w:ind w:left="0" w:right="0" w:hanging="0"/>
              <w:jc w:val="center"/>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Intangible</w:t>
            </w:r>
          </w:p>
        </w:tc>
        <w:tc>
          <w:tcPr>
            <w:tcW w:w="346" w:type="dxa"/>
            <w:tcBorders/>
            <w:vAlign w:val="center"/>
          </w:tcPr>
          <w:p>
            <w:pPr>
              <w:pStyle w:val="TableContents"/>
              <w:bidi w:val="0"/>
              <w:spacing w:before="0" w:after="0"/>
              <w:ind w:left="0" w:right="0" w:hanging="0"/>
              <w:jc w:val="center"/>
              <w:rPr/>
            </w:pPr>
            <w:r>
              <w:rPr/>
              <w:t>​</w:t>
            </w:r>
          </w:p>
        </w:tc>
        <w:tc>
          <w:tcPr>
            <w:tcW w:w="16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Useful Life</w: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0"/>
              <w:ind w:left="0" w:right="0" w:hanging="0"/>
              <w:jc w:val="center"/>
              <w:rPr/>
            </w:pPr>
            <w:r>
              <w:rPr/>
              <w:t>  ​ ​ ​</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 net</w:t>
            </w:r>
          </w:p>
        </w:tc>
        <w:tc>
          <w:tcPr>
            <w:tcW w:w="346" w:type="dxa"/>
            <w:tcBorders/>
            <w:vAlign w:val="center"/>
          </w:tcPr>
          <w:p>
            <w:pPr>
              <w:pStyle w:val="TableContents"/>
              <w:bidi w:val="0"/>
              <w:spacing w:before="0" w:after="0"/>
              <w:ind w:left="0" w:right="0" w:hanging="0"/>
              <w:jc w:val="center"/>
              <w:rPr/>
            </w:pPr>
            <w:r>
              <w:rPr/>
              <w:t>  ​ ​ ​</w:t>
            </w:r>
          </w:p>
        </w:tc>
        <w:tc>
          <w:tcPr>
            <w:tcW w:w="16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Patents</w:t>
            </w:r>
          </w:p>
        </w:tc>
        <w:tc>
          <w:tcPr>
            <w:tcW w:w="34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4,280</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(2,485)</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1,795</w:t>
            </w:r>
          </w:p>
        </w:tc>
        <w:tc>
          <w:tcPr>
            <w:tcW w:w="346" w:type="dxa"/>
            <w:tcBorders/>
            <w:shd w:fill="CCEEFF" w:val="clear"/>
            <w:vAlign w:val="center"/>
          </w:tcPr>
          <w:p>
            <w:pPr>
              <w:pStyle w:val="TableContents"/>
              <w:bidi w:val="0"/>
              <w:spacing w:before="0" w:after="0"/>
              <w:ind w:left="0" w:right="0" w:hanging="0"/>
              <w:jc w:val="left"/>
              <w:rPr/>
            </w:pPr>
            <w:r>
              <w:rPr/>
              <w:t> </w:t>
            </w:r>
          </w:p>
        </w:tc>
        <w:tc>
          <w:tcPr>
            <w:tcW w:w="16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Defensive assets</w:t>
            </w:r>
          </w:p>
        </w:tc>
        <w:tc>
          <w:tcPr>
            <w:tcW w:w="34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4,900</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(2,508)</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2,392</w:t>
            </w:r>
          </w:p>
        </w:tc>
        <w:tc>
          <w:tcPr>
            <w:tcW w:w="346" w:type="dxa"/>
            <w:tcBorders/>
            <w:vAlign w:val="center"/>
          </w:tcPr>
          <w:p>
            <w:pPr>
              <w:pStyle w:val="TableContents"/>
              <w:bidi w:val="0"/>
              <w:spacing w:before="0" w:after="0"/>
              <w:ind w:left="0" w:right="0" w:hanging="0"/>
              <w:jc w:val="left"/>
              <w:rPr/>
            </w:pPr>
            <w:r>
              <w:rPr/>
              <w:t> </w:t>
            </w:r>
          </w:p>
        </w:tc>
        <w:tc>
          <w:tcPr>
            <w:tcW w:w="16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4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w:t>
            </w:r>
          </w:p>
        </w:tc>
        <w:tc>
          <w:tcPr>
            <w:tcW w:w="9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w:t>
            </w:r>
          </w:p>
        </w:tc>
        <w:tc>
          <w:tcPr>
            <w:tcW w:w="346" w:type="dxa"/>
            <w:tcBorders/>
            <w:shd w:fill="CCEEFF" w:val="clear"/>
            <w:vAlign w:val="center"/>
          </w:tcPr>
          <w:p>
            <w:pPr>
              <w:pStyle w:val="TableContents"/>
              <w:bidi w:val="0"/>
              <w:spacing w:before="0" w:after="0"/>
              <w:ind w:left="0" w:right="0" w:hanging="0"/>
              <w:jc w:val="left"/>
              <w:rPr/>
            </w:pPr>
            <w:r>
              <w:rPr/>
              <w:t>​</w:t>
            </w:r>
          </w:p>
        </w:tc>
        <w:tc>
          <w:tcPr>
            <w:tcW w:w="16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Customer-related intangible assets</w:t>
            </w:r>
          </w:p>
        </w:tc>
        <w:tc>
          <w:tcPr>
            <w:tcW w:w="34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w:t>
            </w:r>
          </w:p>
        </w:tc>
        <w:tc>
          <w:tcPr>
            <w:tcW w:w="9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47,800</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(10,735)</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37,065</w:t>
            </w:r>
          </w:p>
        </w:tc>
        <w:tc>
          <w:tcPr>
            <w:tcW w:w="34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name</w:t>
            </w:r>
          </w:p>
        </w:tc>
        <w:tc>
          <w:tcPr>
            <w:tcW w:w="346" w:type="dxa"/>
            <w:tcBorders/>
            <w:shd w:fill="CCEEFF" w:val="clear"/>
            <w:vAlign w:val="center"/>
          </w:tcPr>
          <w:p>
            <w:pPr>
              <w:pStyle w:val="TableContents"/>
              <w:bidi w:val="0"/>
              <w:spacing w:before="0" w:after="0"/>
              <w:ind w:left="0" w:right="0" w:hanging="0"/>
              <w:jc w:val="lef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46" w:type="dxa"/>
            <w:tcBorders/>
            <w:shd w:fill="CCEEFF" w:val="clear"/>
            <w:vAlign w:val="center"/>
          </w:tcPr>
          <w:p>
            <w:pPr>
              <w:pStyle w:val="TableContents"/>
              <w:bidi w:val="0"/>
              <w:spacing w:before="0" w:after="0"/>
              <w:ind w:left="0" w:right="0" w:hanging="0"/>
              <w:jc w:val="left"/>
              <w:rPr/>
            </w:pPr>
            <w:r>
              <w:rPr/>
              <w:t>​</w:t>
            </w:r>
          </w:p>
        </w:tc>
        <w:tc>
          <w:tcPr>
            <w:tcW w:w="16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with finite lives</w:t>
            </w:r>
          </w:p>
        </w:tc>
        <w:tc>
          <w:tcPr>
            <w:tcW w:w="346" w:type="dxa"/>
            <w:tcBorders/>
            <w:vAlign w:val="center"/>
          </w:tcPr>
          <w:p>
            <w:pPr>
              <w:pStyle w:val="TableContents"/>
              <w:bidi w:val="0"/>
              <w:spacing w:before="0" w:after="0"/>
              <w:ind w:left="0" w:right="0" w:hanging="0"/>
              <w:jc w:val="left"/>
              <w:rPr/>
            </w:pPr>
            <w:r>
              <w:rPr/>
              <w:t>​</w:t>
            </w:r>
          </w:p>
        </w:tc>
        <w:tc>
          <w:tcPr>
            <w:tcW w:w="2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58,380</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(16,108)</w:t>
            </w:r>
          </w:p>
        </w:tc>
        <w:tc>
          <w:tcPr>
            <w:tcW w:w="346"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42,272</w:t>
            </w:r>
          </w:p>
        </w:tc>
        <w:tc>
          <w:tcPr>
            <w:tcW w:w="346" w:type="dxa"/>
            <w:tcBorders/>
            <w:vAlign w:val="center"/>
          </w:tcPr>
          <w:p>
            <w:pPr>
              <w:pStyle w:val="TableContents"/>
              <w:bidi w:val="0"/>
              <w:spacing w:before="0" w:after="0"/>
              <w:ind w:left="0" w:right="0" w:hanging="0"/>
              <w:jc w:val="left"/>
              <w:rPr/>
            </w:pPr>
            <w:r>
              <w:rPr/>
              <w:t> </w:t>
            </w:r>
          </w:p>
        </w:tc>
        <w:tc>
          <w:tcPr>
            <w:tcW w:w="163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8243" w:type="dxa"/>
        <w:jc w:val="left"/>
        <w:tblInd w:w="0" w:type="dxa"/>
        <w:tblLayout w:type="fixed"/>
        <w:tblCellMar>
          <w:top w:w="0" w:type="dxa"/>
          <w:left w:w="0" w:type="dxa"/>
          <w:bottom w:w="0" w:type="dxa"/>
          <w:right w:w="0" w:type="dxa"/>
        </w:tblCellMar>
      </w:tblPr>
      <w:tblGrid>
        <w:gridCol w:w="1966"/>
        <w:gridCol w:w="346"/>
        <w:gridCol w:w="296"/>
        <w:gridCol w:w="949"/>
        <w:gridCol w:w="346"/>
        <w:gridCol w:w="409"/>
        <w:gridCol w:w="672"/>
        <w:gridCol w:w="346"/>
        <w:gridCol w:w="221"/>
        <w:gridCol w:w="710"/>
        <w:gridCol w:w="346"/>
        <w:gridCol w:w="1636"/>
      </w:tblGrid>
      <w:tr>
        <w:trPr/>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248410" cy="175260"/>
                      <wp:effectExtent l="0" t="0" r="0" b="0"/>
                      <wp:wrapNone/>
                      <wp:docPr id="347" name="Frame347"/>
                      <a:graphic xmlns:a="http://schemas.openxmlformats.org/drawingml/2006/main">
                        <a:graphicData uri="http://schemas.microsoft.com/office/word/2010/wordprocessingShape">
                          <wps:wsp>
                            <wps:cNvSpPr txBox="1"/>
                            <wps:spPr>
                              <a:xfrm>
                                <a:off x="0" y="0"/>
                                <a:ext cx="1248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19710" cy="175260"/>
                      <wp:effectExtent l="0" t="0" r="0" b="0"/>
                      <wp:wrapNone/>
                      <wp:docPr id="348" name="Frame3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87960" cy="175260"/>
                      <wp:effectExtent l="0" t="0" r="0" b="0"/>
                      <wp:wrapNone/>
                      <wp:docPr id="349" name="Frame349"/>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02615" cy="175260"/>
                      <wp:effectExtent l="0" t="0" r="0" b="0"/>
                      <wp:wrapNone/>
                      <wp:docPr id="350" name="Frame350"/>
                      <a:graphic xmlns:a="http://schemas.openxmlformats.org/drawingml/2006/main">
                        <a:graphicData uri="http://schemas.microsoft.com/office/word/2010/wordprocessingShape">
                          <wps:wsp>
                            <wps:cNvSpPr txBox="1"/>
                            <wps:spPr>
                              <a:xfrm>
                                <a:off x="0" y="0"/>
                                <a:ext cx="602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19710" cy="175260"/>
                      <wp:effectExtent l="0" t="0" r="0" b="0"/>
                      <wp:wrapNone/>
                      <wp:docPr id="351" name="Frame3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59715" cy="175260"/>
                      <wp:effectExtent l="0" t="0" r="0" b="0"/>
                      <wp:wrapNone/>
                      <wp:docPr id="352" name="Frame352"/>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426720" cy="175260"/>
                      <wp:effectExtent l="0" t="0" r="0" b="0"/>
                      <wp:wrapNone/>
                      <wp:docPr id="353" name="Frame353"/>
                      <a:graphic xmlns:a="http://schemas.openxmlformats.org/drawingml/2006/main">
                        <a:graphicData uri="http://schemas.microsoft.com/office/word/2010/wordprocessingShape">
                          <wps:wsp>
                            <wps:cNvSpPr txBox="1"/>
                            <wps:spPr>
                              <a:xfrm>
                                <a:off x="0" y="0"/>
                                <a:ext cx="426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19710" cy="175260"/>
                      <wp:effectExtent l="0" t="0" r="0" b="0"/>
                      <wp:wrapNone/>
                      <wp:docPr id="354" name="Frame3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40335" cy="175260"/>
                      <wp:effectExtent l="0" t="0" r="0" b="0"/>
                      <wp:wrapNone/>
                      <wp:docPr id="355" name="Frame355"/>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450850" cy="175260"/>
                      <wp:effectExtent l="0" t="0" r="0" b="0"/>
                      <wp:wrapNone/>
                      <wp:docPr id="356" name="Frame356"/>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19710" cy="175260"/>
                      <wp:effectExtent l="0" t="0" r="0" b="0"/>
                      <wp:wrapNone/>
                      <wp:docPr id="357" name="Frame3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038860" cy="175260"/>
                      <wp:effectExtent l="0" t="0" r="0" b="0"/>
                      <wp:wrapNone/>
                      <wp:docPr id="358" name="Frame358"/>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5931"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96" w:type="dxa"/>
            <w:tcBorders/>
            <w:vAlign w:val="center"/>
          </w:tcPr>
          <w:p>
            <w:pPr>
              <w:pStyle w:val="TableContents"/>
              <w:bidi w:val="0"/>
              <w:spacing w:before="0" w:after="0"/>
              <w:ind w:left="0" w:right="0" w:hanging="0"/>
              <w:jc w:val="center"/>
              <w:rPr/>
            </w:pPr>
            <w:r>
              <w:rPr/>
              <w:t>​</w:t>
            </w:r>
          </w:p>
        </w:tc>
        <w:tc>
          <w:tcPr>
            <w:tcW w:w="94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09" w:type="dxa"/>
            <w:tcBorders/>
            <w:vAlign w:val="center"/>
          </w:tcPr>
          <w:p>
            <w:pPr>
              <w:pStyle w:val="TableContents"/>
              <w:bidi w:val="0"/>
              <w:spacing w:before="0" w:after="0"/>
              <w:ind w:left="0" w:right="0" w:hanging="0"/>
              <w:jc w:val="center"/>
              <w:rPr/>
            </w:pPr>
            <w:r>
              <w:rPr/>
              <w:t>​</w:t>
            </w:r>
          </w:p>
        </w:tc>
        <w:tc>
          <w:tcPr>
            <w:tcW w:w="67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21" w:type="dxa"/>
            <w:tcBorders/>
            <w:vAlign w:val="center"/>
          </w:tcPr>
          <w:p>
            <w:pPr>
              <w:pStyle w:val="TableContents"/>
              <w:bidi w:val="0"/>
              <w:spacing w:before="0" w:after="0"/>
              <w:ind w:left="0" w:right="0" w:hanging="0"/>
              <w:jc w:val="center"/>
              <w:rPr/>
            </w:pPr>
            <w:r>
              <w:rPr/>
              <w:t>​</w:t>
            </w:r>
          </w:p>
        </w:tc>
        <w:tc>
          <w:tcPr>
            <w:tcW w:w="71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96" w:type="dxa"/>
            <w:tcBorders/>
            <w:vAlign w:val="center"/>
          </w:tcPr>
          <w:p>
            <w:pPr>
              <w:pStyle w:val="TableContents"/>
              <w:bidi w:val="0"/>
              <w:spacing w:before="0" w:after="0"/>
              <w:ind w:left="0" w:right="0" w:hanging="0"/>
              <w:jc w:val="center"/>
              <w:rPr/>
            </w:pPr>
            <w:r>
              <w:rPr/>
              <w:t>​</w:t>
            </w:r>
          </w:p>
        </w:tc>
        <w:tc>
          <w:tcPr>
            <w:tcW w:w="94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409" w:type="dxa"/>
            <w:tcBorders/>
            <w:vAlign w:val="center"/>
          </w:tcPr>
          <w:p>
            <w:pPr>
              <w:pStyle w:val="TableContents"/>
              <w:bidi w:val="0"/>
              <w:spacing w:before="0" w:after="0"/>
              <w:ind w:left="0" w:right="0" w:hanging="0"/>
              <w:jc w:val="center"/>
              <w:rPr/>
            </w:pPr>
            <w:r>
              <w:rPr/>
              <w:t>​</w:t>
            </w:r>
          </w:p>
        </w:tc>
        <w:tc>
          <w:tcPr>
            <w:tcW w:w="67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Identifiable</w:t>
            </w:r>
          </w:p>
        </w:tc>
        <w:tc>
          <w:tcPr>
            <w:tcW w:w="346" w:type="dxa"/>
            <w:tcBorders/>
            <w:vAlign w:val="center"/>
          </w:tcPr>
          <w:p>
            <w:pPr>
              <w:pStyle w:val="TableContents"/>
              <w:bidi w:val="0"/>
              <w:spacing w:before="0" w:after="0"/>
              <w:ind w:left="0" w:right="0" w:hanging="0"/>
              <w:jc w:val="center"/>
              <w:rPr/>
            </w:pPr>
            <w:r>
              <w:rPr/>
              <w:t>  ​ ​ ​</w:t>
            </w:r>
          </w:p>
        </w:tc>
        <w:tc>
          <w:tcPr>
            <w:tcW w:w="16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Average Remaining </w:t>
            </w:r>
          </w:p>
        </w:tc>
      </w:tr>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46" w:type="dxa"/>
            <w:tcBorders/>
            <w:vAlign w:val="center"/>
          </w:tcPr>
          <w:p>
            <w:pPr>
              <w:pStyle w:val="TableContents"/>
              <w:bidi w:val="0"/>
              <w:spacing w:before="0" w:after="0"/>
              <w:ind w:left="0" w:right="0" w:hanging="0"/>
              <w:jc w:val="center"/>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Intangible</w:t>
            </w:r>
          </w:p>
        </w:tc>
        <w:tc>
          <w:tcPr>
            <w:tcW w:w="346" w:type="dxa"/>
            <w:tcBorders/>
            <w:vAlign w:val="center"/>
          </w:tcPr>
          <w:p>
            <w:pPr>
              <w:pStyle w:val="TableContents"/>
              <w:bidi w:val="0"/>
              <w:spacing w:before="0" w:after="0"/>
              <w:ind w:left="0" w:right="0" w:hanging="0"/>
              <w:jc w:val="center"/>
              <w:rPr/>
            </w:pPr>
            <w:r>
              <w:rPr/>
              <w:t>​</w:t>
            </w:r>
          </w:p>
        </w:tc>
        <w:tc>
          <w:tcPr>
            <w:tcW w:w="16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Useful Life</w:t>
            </w:r>
          </w:p>
        </w:tc>
      </w:tr>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0"/>
              <w:ind w:left="0" w:right="0" w:hanging="0"/>
              <w:jc w:val="center"/>
              <w:rPr/>
            </w:pPr>
            <w:r>
              <w:rPr/>
              <w:t>  ​ ​ ​</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 net</w:t>
            </w:r>
          </w:p>
        </w:tc>
        <w:tc>
          <w:tcPr>
            <w:tcW w:w="346" w:type="dxa"/>
            <w:tcBorders/>
            <w:vAlign w:val="center"/>
          </w:tcPr>
          <w:p>
            <w:pPr>
              <w:pStyle w:val="TableContents"/>
              <w:bidi w:val="0"/>
              <w:spacing w:before="0" w:after="0"/>
              <w:ind w:left="0" w:right="0" w:hanging="0"/>
              <w:jc w:val="center"/>
              <w:rPr/>
            </w:pPr>
            <w:r>
              <w:rPr/>
              <w:t>  ​ ​ ​</w:t>
            </w:r>
          </w:p>
        </w:tc>
        <w:tc>
          <w:tcPr>
            <w:tcW w:w="16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w:t>
            </w:r>
          </w:p>
        </w:tc>
      </w:tr>
      <w:tr>
        <w:trPr/>
        <w:tc>
          <w:tcPr>
            <w:tcW w:w="1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credits</w:t>
            </w:r>
          </w:p>
        </w:tc>
        <w:tc>
          <w:tcPr>
            <w:tcW w:w="346" w:type="dxa"/>
            <w:tcBorders/>
            <w:shd w:fill="CCEEFF" w:val="clear"/>
            <w:vAlign w:val="center"/>
          </w:tcPr>
          <w:p>
            <w:pPr>
              <w:pStyle w:val="TableContents"/>
              <w:bidi w:val="0"/>
              <w:spacing w:before="0" w:after="0"/>
              <w:ind w:left="0" w:right="0" w:hanging="0"/>
              <w:jc w:val="lef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52,731</w:t>
            </w:r>
          </w:p>
        </w:tc>
        <w:tc>
          <w:tcPr>
            <w:tcW w:w="346" w:type="dxa"/>
            <w:tcBorders/>
            <w:shd w:fill="CCEEFF" w:val="clear"/>
            <w:vAlign w:val="center"/>
          </w:tcPr>
          <w:p>
            <w:pPr>
              <w:pStyle w:val="TableContents"/>
              <w:bidi w:val="0"/>
              <w:spacing w:before="0" w:after="0"/>
              <w:ind w:left="0" w:right="0" w:hanging="0"/>
              <w:jc w:val="left"/>
              <w:rPr/>
            </w:pPr>
            <w:r>
              <w:rPr/>
              <w:t>​</w:t>
            </w:r>
          </w:p>
        </w:tc>
        <w:tc>
          <w:tcPr>
            <w:tcW w:w="4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52,731</w:t>
            </w:r>
          </w:p>
        </w:tc>
        <w:tc>
          <w:tcPr>
            <w:tcW w:w="346" w:type="dxa"/>
            <w:tcBorders/>
            <w:shd w:fill="CCEEFF" w:val="clear"/>
            <w:vAlign w:val="center"/>
          </w:tcPr>
          <w:p>
            <w:pPr>
              <w:pStyle w:val="TableContents"/>
              <w:bidi w:val="0"/>
              <w:spacing w:before="0" w:after="0"/>
              <w:ind w:left="0" w:right="0" w:hanging="0"/>
              <w:jc w:val="left"/>
              <w:rPr/>
            </w:pPr>
            <w:r>
              <w:rPr/>
              <w:t>​</w:t>
            </w:r>
          </w:p>
        </w:tc>
        <w:tc>
          <w:tcPr>
            <w:tcW w:w="1636" w:type="dxa"/>
            <w:tcBorders/>
            <w:shd w:fill="CCEEFF" w:val="clear"/>
            <w:vAlign w:val="center"/>
          </w:tcPr>
          <w:p>
            <w:pPr>
              <w:pStyle w:val="TableContents"/>
              <w:bidi w:val="0"/>
              <w:spacing w:before="0" w:after="0"/>
              <w:ind w:left="0" w:right="0" w:hanging="0"/>
              <w:jc w:val="right"/>
              <w:rPr/>
            </w:pPr>
            <w:r>
              <w:rPr/>
              <w:t>—</w:t>
            </w:r>
          </w:p>
        </w:tc>
      </w:tr>
      <w:tr>
        <w:trPr/>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intangible assets</w:t>
            </w:r>
          </w:p>
        </w:tc>
        <w:tc>
          <w:tcPr>
            <w:tcW w:w="346" w:type="dxa"/>
            <w:tcBorders/>
            <w:vAlign w:val="center"/>
          </w:tcPr>
          <w:p>
            <w:pPr>
              <w:pStyle w:val="TableContents"/>
              <w:bidi w:val="0"/>
              <w:spacing w:before="0" w:after="0"/>
              <w:ind w:left="0" w:right="0" w:hanging="0"/>
              <w:jc w:val="left"/>
              <w:rPr/>
            </w:pPr>
            <w:r>
              <w:rPr/>
              <w:t>​</w:t>
            </w:r>
          </w:p>
        </w:tc>
        <w:tc>
          <w:tcPr>
            <w:tcW w:w="2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52,731</w:t>
            </w:r>
          </w:p>
        </w:tc>
        <w:tc>
          <w:tcPr>
            <w:tcW w:w="346" w:type="dxa"/>
            <w:tcBorders/>
            <w:vAlign w:val="center"/>
          </w:tcPr>
          <w:p>
            <w:pPr>
              <w:pStyle w:val="TableContents"/>
              <w:bidi w:val="0"/>
              <w:spacing w:before="0" w:after="0"/>
              <w:ind w:left="0" w:right="0" w:hanging="0"/>
              <w:jc w:val="left"/>
              <w:rPr/>
            </w:pPr>
            <w:r>
              <w:rPr/>
              <w:t>​</w:t>
            </w:r>
          </w:p>
        </w:tc>
        <w:tc>
          <w:tcPr>
            <w:tcW w:w="40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52,731</w:t>
            </w:r>
          </w:p>
        </w:tc>
        <w:tc>
          <w:tcPr>
            <w:tcW w:w="346" w:type="dxa"/>
            <w:tcBorders/>
            <w:vAlign w:val="center"/>
          </w:tcPr>
          <w:p>
            <w:pPr>
              <w:pStyle w:val="TableContents"/>
              <w:bidi w:val="0"/>
              <w:spacing w:before="0" w:after="0"/>
              <w:ind w:left="0" w:right="0" w:hanging="0"/>
              <w:jc w:val="left"/>
              <w:rPr/>
            </w:pPr>
            <w:r>
              <w:rPr/>
              <w:t> </w:t>
            </w:r>
          </w:p>
        </w:tc>
        <w:tc>
          <w:tcPr>
            <w:tcW w:w="1636" w:type="dxa"/>
            <w:tcBorders/>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9143" w:type="dxa"/>
        <w:jc w:val="left"/>
        <w:tblInd w:w="0" w:type="dxa"/>
        <w:tblLayout w:type="fixed"/>
        <w:tblCellMar>
          <w:top w:w="0" w:type="dxa"/>
          <w:left w:w="0" w:type="dxa"/>
          <w:bottom w:w="0" w:type="dxa"/>
          <w:right w:w="0" w:type="dxa"/>
        </w:tblCellMar>
      </w:tblPr>
      <w:tblGrid>
        <w:gridCol w:w="2911"/>
        <w:gridCol w:w="346"/>
        <w:gridCol w:w="296"/>
        <w:gridCol w:w="949"/>
        <w:gridCol w:w="346"/>
        <w:gridCol w:w="270"/>
        <w:gridCol w:w="811"/>
        <w:gridCol w:w="346"/>
        <w:gridCol w:w="251"/>
        <w:gridCol w:w="680"/>
        <w:gridCol w:w="346"/>
        <w:gridCol w:w="1591"/>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848485" cy="175260"/>
                      <wp:effectExtent l="0" t="0" r="0" b="0"/>
                      <wp:wrapNone/>
                      <wp:docPr id="359" name="Frame359"/>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19710" cy="175260"/>
                      <wp:effectExtent l="0" t="0" r="0" b="0"/>
                      <wp:wrapNone/>
                      <wp:docPr id="360" name="Frame3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87960" cy="175260"/>
                      <wp:effectExtent l="0" t="0" r="0" b="0"/>
                      <wp:wrapNone/>
                      <wp:docPr id="361" name="Frame361"/>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02615" cy="175260"/>
                      <wp:effectExtent l="0" t="0" r="0" b="0"/>
                      <wp:wrapNone/>
                      <wp:docPr id="362" name="Frame362"/>
                      <a:graphic xmlns:a="http://schemas.openxmlformats.org/drawingml/2006/main">
                        <a:graphicData uri="http://schemas.microsoft.com/office/word/2010/wordprocessingShape">
                          <wps:wsp>
                            <wps:cNvSpPr txBox="1"/>
                            <wps:spPr>
                              <a:xfrm>
                                <a:off x="0" y="0"/>
                                <a:ext cx="602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19710" cy="175260"/>
                      <wp:effectExtent l="0" t="0" r="0" b="0"/>
                      <wp:wrapNone/>
                      <wp:docPr id="363" name="Frame3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71450" cy="175260"/>
                      <wp:effectExtent l="0" t="0" r="0" b="0"/>
                      <wp:wrapNone/>
                      <wp:docPr id="364" name="Frame364"/>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514985" cy="175260"/>
                      <wp:effectExtent l="0" t="0" r="0" b="0"/>
                      <wp:wrapNone/>
                      <wp:docPr id="365" name="Frame365"/>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19710" cy="175260"/>
                      <wp:effectExtent l="0" t="0" r="0" b="0"/>
                      <wp:wrapNone/>
                      <wp:docPr id="366" name="Frame3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59385" cy="175260"/>
                      <wp:effectExtent l="0" t="0" r="0" b="0"/>
                      <wp:wrapNone/>
                      <wp:docPr id="367" name="Frame367"/>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431800" cy="175260"/>
                      <wp:effectExtent l="0" t="0" r="0" b="0"/>
                      <wp:wrapNone/>
                      <wp:docPr id="368" name="Frame368"/>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19710" cy="175260"/>
                      <wp:effectExtent l="0" t="0" r="0" b="0"/>
                      <wp:wrapNone/>
                      <wp:docPr id="369" name="Frame3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1010285" cy="175260"/>
                      <wp:effectExtent l="0" t="0" r="0" b="0"/>
                      <wp:wrapNone/>
                      <wp:docPr id="370" name="Frame370"/>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5886"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96" w:type="dxa"/>
            <w:tcBorders/>
            <w:vAlign w:val="center"/>
          </w:tcPr>
          <w:p>
            <w:pPr>
              <w:pStyle w:val="TableContents"/>
              <w:bidi w:val="0"/>
              <w:spacing w:before="0" w:after="0"/>
              <w:ind w:left="0" w:right="0" w:hanging="0"/>
              <w:jc w:val="center"/>
              <w:rPr/>
            </w:pPr>
            <w:r>
              <w:rPr/>
              <w:t>​</w:t>
            </w:r>
          </w:p>
        </w:tc>
        <w:tc>
          <w:tcPr>
            <w:tcW w:w="94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70"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5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96" w:type="dxa"/>
            <w:tcBorders/>
            <w:vAlign w:val="center"/>
          </w:tcPr>
          <w:p>
            <w:pPr>
              <w:pStyle w:val="TableContents"/>
              <w:bidi w:val="0"/>
              <w:spacing w:before="0" w:after="0"/>
              <w:ind w:left="0" w:right="0" w:hanging="0"/>
              <w:jc w:val="center"/>
              <w:rPr/>
            </w:pPr>
            <w:r>
              <w:rPr/>
              <w:t>​</w:t>
            </w:r>
          </w:p>
        </w:tc>
        <w:tc>
          <w:tcPr>
            <w:tcW w:w="94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70"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Identifiable</w:t>
            </w:r>
          </w:p>
        </w:tc>
        <w:tc>
          <w:tcPr>
            <w:tcW w:w="346" w:type="dxa"/>
            <w:tcBorders/>
            <w:vAlign w:val="center"/>
          </w:tcPr>
          <w:p>
            <w:pPr>
              <w:pStyle w:val="TableContents"/>
              <w:bidi w:val="0"/>
              <w:spacing w:before="0" w:after="0"/>
              <w:ind w:left="0" w:right="0" w:hanging="0"/>
              <w:jc w:val="center"/>
              <w:rPr/>
            </w:pPr>
            <w:r>
              <w:rPr/>
              <w:t>  ​ ​ ​</w:t>
            </w:r>
          </w:p>
        </w:tc>
        <w:tc>
          <w:tcPr>
            <w:tcW w:w="15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Remaining</w: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46" w:type="dxa"/>
            <w:tcBorders/>
            <w:vAlign w:val="center"/>
          </w:tcPr>
          <w:p>
            <w:pPr>
              <w:pStyle w:val="TableContents"/>
              <w:bidi w:val="0"/>
              <w:spacing w:before="0" w:after="0"/>
              <w:ind w:left="0" w:right="0" w:hanging="0"/>
              <w:jc w:val="center"/>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Intangible</w:t>
            </w:r>
          </w:p>
        </w:tc>
        <w:tc>
          <w:tcPr>
            <w:tcW w:w="346" w:type="dxa"/>
            <w:tcBorders/>
            <w:vAlign w:val="center"/>
          </w:tcPr>
          <w:p>
            <w:pPr>
              <w:pStyle w:val="TableContents"/>
              <w:bidi w:val="0"/>
              <w:spacing w:before="0" w:after="0"/>
              <w:ind w:left="0" w:right="0" w:hanging="0"/>
              <w:jc w:val="center"/>
              <w:rPr/>
            </w:pPr>
            <w:r>
              <w:rPr/>
              <w:t>​</w:t>
            </w:r>
          </w:p>
        </w:tc>
        <w:tc>
          <w:tcPr>
            <w:tcW w:w="15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Useful Life</w: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0"/>
              <w:ind w:left="0" w:right="0" w:hanging="0"/>
              <w:jc w:val="center"/>
              <w:rPr/>
            </w:pPr>
            <w:r>
              <w:rPr/>
              <w:t>​</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 Net</w:t>
            </w:r>
          </w:p>
        </w:tc>
        <w:tc>
          <w:tcPr>
            <w:tcW w:w="346" w:type="dxa"/>
            <w:tcBorders/>
            <w:vAlign w:val="center"/>
          </w:tcPr>
          <w:p>
            <w:pPr>
              <w:pStyle w:val="TableContents"/>
              <w:bidi w:val="0"/>
              <w:spacing w:before="0" w:after="0"/>
              <w:ind w:left="0" w:right="0" w:hanging="0"/>
              <w:jc w:val="center"/>
              <w:rPr/>
            </w:pPr>
            <w:r>
              <w:rPr/>
              <w:t>​</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Patents</w:t>
            </w:r>
          </w:p>
        </w:tc>
        <w:tc>
          <w:tcPr>
            <w:tcW w:w="34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4,580</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(2,203)</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2,377</w:t>
            </w:r>
          </w:p>
        </w:tc>
        <w:tc>
          <w:tcPr>
            <w:tcW w:w="346" w:type="dxa"/>
            <w:tcBorders/>
            <w:shd w:fill="CCEEFF" w:val="clear"/>
            <w:vAlign w:val="center"/>
          </w:tcPr>
          <w:p>
            <w:pPr>
              <w:pStyle w:val="TableContents"/>
              <w:bidi w:val="0"/>
              <w:spacing w:before="0" w:after="0"/>
              <w:ind w:left="0" w:right="0" w:hanging="0"/>
              <w:jc w:val="left"/>
              <w:rPr/>
            </w:pPr>
            <w:r>
              <w:rPr/>
              <w:t> </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Defensive assets</w:t>
            </w:r>
          </w:p>
        </w:tc>
        <w:tc>
          <w:tcPr>
            <w:tcW w:w="34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w:t>
            </w:r>
          </w:p>
        </w:tc>
        <w:tc>
          <w:tcPr>
            <w:tcW w:w="9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4,900</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(1,922)</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2,978</w:t>
            </w:r>
          </w:p>
        </w:tc>
        <w:tc>
          <w:tcPr>
            <w:tcW w:w="34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4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w:t>
            </w:r>
          </w:p>
        </w:tc>
        <w:tc>
          <w:tcPr>
            <w:tcW w:w="9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1,213</w:t>
            </w:r>
          </w:p>
        </w:tc>
        <w:tc>
          <w:tcPr>
            <w:tcW w:w="346" w:type="dxa"/>
            <w:tcBorders/>
            <w:shd w:fill="CCEEFF" w:val="clear"/>
            <w:vAlign w:val="center"/>
          </w:tcPr>
          <w:p>
            <w:pPr>
              <w:pStyle w:val="TableContents"/>
              <w:bidi w:val="0"/>
              <w:spacing w:before="0" w:after="0"/>
              <w:ind w:left="0" w:right="0" w:hanging="0"/>
              <w:jc w:val="left"/>
              <w:rPr/>
            </w:pPr>
            <w:r>
              <w:rPr/>
              <w:t>​</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Customer-related intangible assets</w:t>
            </w:r>
          </w:p>
        </w:tc>
        <w:tc>
          <w:tcPr>
            <w:tcW w:w="34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w:t>
            </w:r>
          </w:p>
        </w:tc>
        <w:tc>
          <w:tcPr>
            <w:tcW w:w="9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1,469</w:t>
            </w:r>
          </w:p>
        </w:tc>
        <w:tc>
          <w:tcPr>
            <w:tcW w:w="34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name</w:t>
            </w:r>
          </w:p>
        </w:tc>
        <w:tc>
          <w:tcPr>
            <w:tcW w:w="346" w:type="dxa"/>
            <w:tcBorders/>
            <w:shd w:fill="CCEEFF" w:val="clear"/>
            <w:vAlign w:val="center"/>
          </w:tcPr>
          <w:p>
            <w:pPr>
              <w:pStyle w:val="TableContents"/>
              <w:bidi w:val="0"/>
              <w:spacing w:before="0" w:after="0"/>
              <w:ind w:left="0" w:right="0" w:hanging="0"/>
              <w:jc w:val="lef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46" w:type="dxa"/>
            <w:tcBorders/>
            <w:shd w:fill="CCEEFF" w:val="clear"/>
            <w:vAlign w:val="center"/>
          </w:tcPr>
          <w:p>
            <w:pPr>
              <w:pStyle w:val="TableContents"/>
              <w:bidi w:val="0"/>
              <w:spacing w:before="0" w:after="0"/>
              <w:ind w:left="0" w:right="0" w:hanging="0"/>
              <w:jc w:val="left"/>
              <w:rPr/>
            </w:pPr>
            <w:r>
              <w:rPr/>
              <w:t> </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with finite lives</w:t>
            </w:r>
          </w:p>
        </w:tc>
        <w:tc>
          <w:tcPr>
            <w:tcW w:w="346" w:type="dxa"/>
            <w:tcBorders/>
            <w:vAlign w:val="center"/>
          </w:tcPr>
          <w:p>
            <w:pPr>
              <w:pStyle w:val="TableContents"/>
              <w:bidi w:val="0"/>
              <w:spacing w:before="0" w:after="0"/>
              <w:ind w:left="0" w:right="0" w:hanging="0"/>
              <w:jc w:val="left"/>
              <w:rPr/>
            </w:pPr>
            <w:r>
              <w:rPr/>
              <w:t>​</w:t>
            </w:r>
          </w:p>
        </w:tc>
        <w:tc>
          <w:tcPr>
            <w:tcW w:w="2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12,380</w:t>
            </w:r>
          </w:p>
        </w:tc>
        <w:tc>
          <w:tcPr>
            <w:tcW w:w="346" w:type="dxa"/>
            <w:tcBorders/>
            <w:vAlign w:val="center"/>
          </w:tcPr>
          <w:p>
            <w:pPr>
              <w:pStyle w:val="TableContents"/>
              <w:bidi w:val="0"/>
              <w:spacing w:before="0" w:after="0"/>
              <w:ind w:left="0" w:right="0" w:hanging="0"/>
              <w:jc w:val="left"/>
              <w:rPr/>
            </w:pPr>
            <w:r>
              <w:rPr/>
              <w:t>​</w:t>
            </w:r>
          </w:p>
        </w:tc>
        <w:tc>
          <w:tcPr>
            <w:tcW w:w="2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(4,251)</w:t>
            </w:r>
          </w:p>
        </w:tc>
        <w:tc>
          <w:tcPr>
            <w:tcW w:w="346" w:type="dxa"/>
            <w:tcBorders/>
            <w:vAlign w:val="center"/>
          </w:tcPr>
          <w:p>
            <w:pPr>
              <w:pStyle w:val="TableContents"/>
              <w:bidi w:val="0"/>
              <w:spacing w:before="0" w:after="0"/>
              <w:ind w:left="0" w:right="0" w:hanging="0"/>
              <w:jc w:val="left"/>
              <w:rPr/>
            </w:pPr>
            <w:r>
              <w:rPr/>
              <w:t>​</w:t>
            </w:r>
          </w:p>
        </w:tc>
        <w:tc>
          <w:tcPr>
            <w:tcW w:w="25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8,129</w:t>
            </w:r>
          </w:p>
        </w:tc>
        <w:tc>
          <w:tcPr>
            <w:tcW w:w="346" w:type="dxa"/>
            <w:tcBorders/>
            <w:vAlign w:val="center"/>
          </w:tcPr>
          <w:p>
            <w:pPr>
              <w:pStyle w:val="TableContents"/>
              <w:bidi w:val="0"/>
              <w:spacing w:before="0" w:after="0"/>
              <w:ind w:left="0" w:right="0" w:hanging="0"/>
              <w:jc w:val="left"/>
              <w:rPr/>
            </w:pPr>
            <w:r>
              <w:rPr/>
              <w:t> </w:t>
            </w:r>
          </w:p>
        </w:tc>
        <w:tc>
          <w:tcPr>
            <w:tcW w:w="159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8.9</w:t>
            </w:r>
          </w:p>
        </w:tc>
      </w:tr>
    </w:tbl>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recorded amortization expense of $12.2 million and $1.3 million for the years ended December 31, 2025, and 2024, respectively.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details the estimated amortization of identifiable intangible assets as of December 31, 2025 (in thousands):</w:t>
      </w:r>
    </w:p>
    <w:p>
      <w:pPr>
        <w:pStyle w:val="TextBody"/>
        <w:bidi w:val="0"/>
        <w:spacing w:before="0" w:after="200"/>
        <w:ind w:left="0" w:right="0" w:hanging="0"/>
        <w:jc w:val="left"/>
        <w:rPr/>
      </w:pPr>
      <w:r>
        <w:rPr/>
        <w:t>​</w:t>
      </w:r>
    </w:p>
    <w:tbl>
      <w:tblPr>
        <w:tblW w:w="8039" w:type="dxa"/>
        <w:jc w:val="left"/>
        <w:tblInd w:w="0" w:type="dxa"/>
        <w:tblLayout w:type="fixed"/>
        <w:tblCellMar>
          <w:top w:w="0" w:type="dxa"/>
          <w:left w:w="0" w:type="dxa"/>
          <w:bottom w:w="0" w:type="dxa"/>
          <w:right w:w="0" w:type="dxa"/>
        </w:tblCellMar>
      </w:tblPr>
      <w:tblGrid>
        <w:gridCol w:w="1951"/>
        <w:gridCol w:w="346"/>
        <w:gridCol w:w="211"/>
        <w:gridCol w:w="571"/>
        <w:gridCol w:w="346"/>
        <w:gridCol w:w="214"/>
        <w:gridCol w:w="582"/>
        <w:gridCol w:w="109"/>
        <w:gridCol w:w="314"/>
        <w:gridCol w:w="632"/>
        <w:gridCol w:w="109"/>
        <w:gridCol w:w="211"/>
        <w:gridCol w:w="676"/>
        <w:gridCol w:w="109"/>
        <w:gridCol w:w="211"/>
        <w:gridCol w:w="346"/>
        <w:gridCol w:w="109"/>
        <w:gridCol w:w="211"/>
        <w:gridCol w:w="78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238885" cy="175260"/>
                      <wp:effectExtent l="0" t="0" r="0" b="0"/>
                      <wp:wrapNone/>
                      <wp:docPr id="371" name="Frame371"/>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19710" cy="175260"/>
                      <wp:effectExtent l="0" t="0" r="0" b="0"/>
                      <wp:wrapNone/>
                      <wp:docPr id="372" name="Frame3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33985" cy="175260"/>
                      <wp:effectExtent l="0" t="0" r="0" b="0"/>
                      <wp:wrapNone/>
                      <wp:docPr id="373" name="Frame3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362585" cy="175260"/>
                      <wp:effectExtent l="0" t="0" r="0" b="0"/>
                      <wp:wrapNone/>
                      <wp:docPr id="374" name="Frame37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19710" cy="175260"/>
                      <wp:effectExtent l="0" t="0" r="0" b="0"/>
                      <wp:wrapNone/>
                      <wp:docPr id="375" name="Frame3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35890" cy="175260"/>
                      <wp:effectExtent l="0" t="0" r="0" b="0"/>
                      <wp:wrapNone/>
                      <wp:docPr id="376" name="Frame376"/>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369570" cy="175260"/>
                      <wp:effectExtent l="0" t="0" r="0" b="0"/>
                      <wp:wrapNone/>
                      <wp:docPr id="377" name="Frame377"/>
                      <a:graphic xmlns:a="http://schemas.openxmlformats.org/drawingml/2006/main">
                        <a:graphicData uri="http://schemas.microsoft.com/office/word/2010/wordprocessingShape">
                          <wps:wsp>
                            <wps:cNvSpPr txBox="1"/>
                            <wps:spPr>
                              <a:xfrm>
                                <a:off x="0" y="0"/>
                                <a:ext cx="369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9215" cy="175260"/>
                      <wp:effectExtent l="0" t="0" r="0" b="0"/>
                      <wp:wrapNone/>
                      <wp:docPr id="378" name="Frame3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199390" cy="175260"/>
                      <wp:effectExtent l="0" t="0" r="0" b="0"/>
                      <wp:wrapNone/>
                      <wp:docPr id="379" name="Frame379"/>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401320" cy="175260"/>
                      <wp:effectExtent l="0" t="0" r="0" b="0"/>
                      <wp:wrapNone/>
                      <wp:docPr id="380" name="Frame380"/>
                      <a:graphic xmlns:a="http://schemas.openxmlformats.org/drawingml/2006/main">
                        <a:graphicData uri="http://schemas.microsoft.com/office/word/2010/wordprocessingShape">
                          <wps:wsp>
                            <wps:cNvSpPr txBox="1"/>
                            <wps:spPr>
                              <a:xfrm>
                                <a:off x="0" y="0"/>
                                <a:ext cx="401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9215" cy="175260"/>
                      <wp:effectExtent l="0" t="0" r="0" b="0"/>
                      <wp:wrapNone/>
                      <wp:docPr id="381" name="Frame3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33985" cy="175260"/>
                      <wp:effectExtent l="0" t="0" r="0" b="0"/>
                      <wp:wrapNone/>
                      <wp:docPr id="382" name="Frame3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429260" cy="175260"/>
                      <wp:effectExtent l="0" t="0" r="0" b="0"/>
                      <wp:wrapNone/>
                      <wp:docPr id="383" name="Frame38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9215" cy="175260"/>
                      <wp:effectExtent l="0" t="0" r="0" b="0"/>
                      <wp:wrapNone/>
                      <wp:docPr id="384" name="Frame3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133985" cy="175260"/>
                      <wp:effectExtent l="0" t="0" r="0" b="0"/>
                      <wp:wrapNone/>
                      <wp:docPr id="385" name="Frame3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19710" cy="175260"/>
                      <wp:effectExtent l="0" t="0" r="0" b="0"/>
                      <wp:wrapNone/>
                      <wp:docPr id="386" name="Frame3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9215" cy="175260"/>
                      <wp:effectExtent l="0" t="0" r="0" b="0"/>
                      <wp:wrapNone/>
                      <wp:docPr id="387" name="Frame3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33985" cy="175260"/>
                      <wp:effectExtent l="0" t="0" r="0" b="0"/>
                      <wp:wrapNone/>
                      <wp:docPr id="388" name="Frame3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495935" cy="175260"/>
                      <wp:effectExtent l="0" t="0" r="0" b="0"/>
                      <wp:wrapNone/>
                      <wp:docPr id="389" name="Frame38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Defensive</w:t>
            </w:r>
          </w:p>
        </w:tc>
        <w:tc>
          <w:tcPr>
            <w:tcW w:w="109" w:type="dxa"/>
            <w:tcBorders/>
            <w:vAlign w:val="center"/>
          </w:tcPr>
          <w:p>
            <w:pPr>
              <w:pStyle w:val="TableContents"/>
              <w:bidi w:val="0"/>
              <w:spacing w:before="0" w:after="1"/>
              <w:ind w:left="0" w:right="0" w:hanging="0"/>
              <w:jc w:val="left"/>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Developed </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Customer</w:t>
            </w:r>
          </w:p>
        </w:tc>
        <w:tc>
          <w:tcPr>
            <w:tcW w:w="109" w:type="dxa"/>
            <w:tcBorders/>
            <w:vAlign w:val="center"/>
          </w:tcPr>
          <w:p>
            <w:pPr>
              <w:pStyle w:val="TableContents"/>
              <w:bidi w:val="0"/>
              <w:spacing w:before="0" w:after="1"/>
              <w:ind w:left="0" w:right="0" w:hanging="0"/>
              <w:jc w:val="left"/>
              <w:rPr/>
            </w:pPr>
            <w:r>
              <w:rPr/>
              <w:t>​</w:t>
            </w:r>
          </w:p>
        </w:tc>
        <w:tc>
          <w:tcPr>
            <w:tcW w:w="55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Trade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r>
      <w:tr>
        <w:trPr/>
        <w:tc>
          <w:tcPr>
            <w:tcW w:w="19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Patents</w:t>
            </w:r>
          </w:p>
        </w:tc>
        <w:tc>
          <w:tcPr>
            <w:tcW w:w="346" w:type="dxa"/>
            <w:tcBorders/>
            <w:vAlign w:val="center"/>
          </w:tcPr>
          <w:p>
            <w:pPr>
              <w:pStyle w:val="TableContents"/>
              <w:bidi w:val="0"/>
              <w:spacing w:before="0" w:after="1"/>
              <w:ind w:left="0" w:right="0" w:hanging="0"/>
              <w:jc w:val="center"/>
              <w:rPr/>
            </w:pPr>
            <w:r>
              <w:rPr/>
              <w:t>  ​ ​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109" w:type="dxa"/>
            <w:tcBorders/>
            <w:vAlign w:val="center"/>
          </w:tcPr>
          <w:p>
            <w:pPr>
              <w:pStyle w:val="TableContents"/>
              <w:bidi w:val="0"/>
              <w:spacing w:before="0" w:after="1"/>
              <w:ind w:left="0" w:right="0" w:hanging="0"/>
              <w:jc w:val="center"/>
              <w:rPr/>
            </w:pPr>
            <w:r>
              <w:rPr/>
              <w:t>​</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Technology</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Related</w:t>
            </w:r>
          </w:p>
        </w:tc>
        <w:tc>
          <w:tcPr>
            <w:tcW w:w="109" w:type="dxa"/>
            <w:tcBorders/>
            <w:vAlign w:val="center"/>
          </w:tcPr>
          <w:p>
            <w:pPr>
              <w:pStyle w:val="TableContents"/>
              <w:bidi w:val="0"/>
              <w:spacing w:before="0" w:after="1"/>
              <w:ind w:left="0" w:right="0" w:hanging="0"/>
              <w:jc w:val="left"/>
              <w:rPr/>
            </w:pPr>
            <w:r>
              <w:rPr/>
              <w:t>​</w:t>
            </w:r>
          </w:p>
        </w:tc>
        <w:tc>
          <w:tcPr>
            <w:tcW w:w="5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Name</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9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582</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w:t>
            </w:r>
          </w:p>
        </w:tc>
        <w:tc>
          <w:tcPr>
            <w:tcW w:w="109"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11,669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13,122</w:t>
            </w:r>
          </w:p>
        </w:tc>
      </w:tr>
      <w:tr>
        <w:trPr/>
        <w:tc>
          <w:tcPr>
            <w:tcW w:w="19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582</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5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w:t>
            </w:r>
          </w:p>
        </w:tc>
        <w:tc>
          <w:tcPr>
            <w:tcW w:w="109"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w:t>
            </w:r>
          </w:p>
        </w:tc>
        <w:tc>
          <w:tcPr>
            <w:tcW w:w="6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11,669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13,122</w:t>
            </w:r>
          </w:p>
        </w:tc>
      </w:tr>
      <w:tr>
        <w:trPr/>
        <w:tc>
          <w:tcPr>
            <w:tcW w:w="19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582</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5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w:t>
            </w:r>
          </w:p>
        </w:tc>
        <w:tc>
          <w:tcPr>
            <w:tcW w:w="109"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w:t>
            </w:r>
          </w:p>
        </w:tc>
        <w:tc>
          <w:tcPr>
            <w:tcW w:w="6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11,669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13,114</w:t>
            </w:r>
          </w:p>
        </w:tc>
      </w:tr>
      <w:tr>
        <w:trPr/>
        <w:tc>
          <w:tcPr>
            <w:tcW w:w="19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5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w:t>
            </w:r>
          </w:p>
        </w:tc>
        <w:tc>
          <w:tcPr>
            <w:tcW w:w="109"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w:t>
            </w:r>
          </w:p>
        </w:tc>
        <w:tc>
          <w:tcPr>
            <w:tcW w:w="6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1,866</w:t>
            </w:r>
          </w:p>
        </w:tc>
      </w:tr>
      <w:tr>
        <w:trPr/>
        <w:tc>
          <w:tcPr>
            <w:tcW w:w="19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5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109"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w:t>
            </w:r>
          </w:p>
        </w:tc>
        <w:tc>
          <w:tcPr>
            <w:tcW w:w="63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r>
      <w:tr>
        <w:trPr/>
        <w:tc>
          <w:tcPr>
            <w:tcW w:w="19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2031 and thereafter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906</w:t>
            </w:r>
          </w:p>
        </w:tc>
      </w:tr>
      <w:tr>
        <w:trPr/>
        <w:tc>
          <w:tcPr>
            <w:tcW w:w="19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intangible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1,795</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2,392</w:t>
            </w:r>
          </w:p>
        </w:tc>
        <w:tc>
          <w:tcPr>
            <w:tcW w:w="109" w:type="dxa"/>
            <w:tcBorders/>
            <w:shd w:fill="CCEEFF" w:val="clear"/>
            <w:vAlign w:val="center"/>
          </w:tcPr>
          <w:p>
            <w:pPr>
              <w:pStyle w:val="TableContents"/>
              <w:bidi w:val="0"/>
              <w:spacing w:before="0" w:after="1"/>
              <w:ind w:left="0" w:right="0" w:hanging="0"/>
              <w:jc w:val="left"/>
              <w:rPr/>
            </w:pPr>
            <w:r>
              <w:rPr/>
              <w:t>​</w:t>
            </w:r>
          </w:p>
        </w:tc>
        <w:tc>
          <w:tcPr>
            <w:tcW w:w="3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37,065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42,272</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00"/>
        <w:ind w:left="0" w:right="0" w:hanging="0"/>
        <w:jc w:val="left"/>
        <w:rPr/>
      </w:pPr>
      <w:bookmarkStart w:id="1041" w:name="Tc_MZRmiz243UO92RHFNclePw_18_5"/>
      <w:bookmarkStart w:id="1042" w:name="Tc_bKkWJp3yTkyopYjkKFbO2A_18_2"/>
      <w:bookmarkStart w:id="1043" w:name="Tc_4wQ4dyP7oUii7IfgjGTNaQ_18_0"/>
      <w:bookmarkStart w:id="1044" w:name="Tc_emi0niN3NEa0E9OZvjbRMQ_17_6"/>
      <w:bookmarkStart w:id="1045" w:name="Tc_akLtgRbl6EeyCAjV_Pm-FQ_17_0"/>
      <w:bookmarkStart w:id="1046" w:name="Tc_nbzN5eahmU-CQT6teb-_uA_16_0"/>
      <w:bookmarkStart w:id="1047" w:name="Tc_Axaz1QpbFU6DuZZomTI7SQ_15_0"/>
      <w:bookmarkStart w:id="1048" w:name="Tc_pm1x4qiVx0KUEMKzyskm-w_14_0"/>
      <w:bookmarkStart w:id="1049" w:name="Tc_jUu7NOAO0UqlY4zDmZq6Aw_13_6"/>
      <w:bookmarkStart w:id="1050" w:name="Tc_zUAUbZsTRUy952pj_hJo6A_13_0"/>
      <w:bookmarkStart w:id="1051" w:name="Tc_LwUaobDlfEa7qpbQghDM3Q_12_0"/>
      <w:bookmarkStart w:id="1052" w:name="Tc_oBWh_4ZJtke48ofJq5P8Pg_11_0"/>
      <w:bookmarkStart w:id="1053" w:name="Tc_O_SLwU38kUOvBcSLA0r7Rw_10_0"/>
      <w:bookmarkStart w:id="1054" w:name="Tc_dT-z703-L0m6MgxulHS1fQ_9_6"/>
      <w:bookmarkStart w:id="1055" w:name="Tc_ZIEq7e7ACkSGYEEx0InSNg_9_0"/>
      <w:bookmarkStart w:id="1056" w:name="Tc_0B1W7_ddGU64X7-ltcoxmA_8_3"/>
      <w:bookmarkStart w:id="1057" w:name="Tc_FWdQISFSiUaTKRDiovQ3MQ_8_0"/>
      <w:bookmarkStart w:id="1058" w:name="Tc_aJhWOsGQS029O7_iwjgDSQ_7_0"/>
      <w:bookmarkStart w:id="1059" w:name="Tc_CHpYkIieGUabGGvP5WBijA_6_6"/>
      <w:bookmarkStart w:id="1060" w:name="Tc_JM4NiYBhs0GFuJDLn634dg_6_0"/>
      <w:bookmarkStart w:id="1061" w:name="Tc_ntO9pYb66Emp7809SOL_oQ_5_6"/>
      <w:bookmarkStart w:id="1062" w:name="Tc_WZQ7tVaNY0eA8Ym7kRDEVw_5_3"/>
      <w:bookmarkStart w:id="1063" w:name="Tc_gDqB9p6MBUSWXYQRWgPu9g_5_0"/>
      <w:bookmarkStart w:id="1064" w:name="Tc_19kWMWi-F0SbmQF2C81YvQ_4_6"/>
      <w:bookmarkStart w:id="1065" w:name="Tc__XjXCy2gHUeb7FWz3IAFXw_4_5"/>
      <w:bookmarkStart w:id="1066" w:name="Tc_o6yPpaEgDkir_OvnIdXDJA_4_2"/>
      <w:bookmarkStart w:id="1067" w:name="Tc_t8ksa084m0G-PxfUHbCTYQ_4_0"/>
      <w:bookmarkStart w:id="1068" w:name="Tc_nEz77jEAKUSliXkQTF6Djw_3_0"/>
      <w:bookmarkStart w:id="1069" w:name="Tc_I09LdNPVbUCUbzNpMh5qnQ_2_6"/>
      <w:bookmarkStart w:id="1070" w:name="Tc_rwlFcdbaYEKF0jEfXqm_qA_2_3"/>
      <w:bookmarkStart w:id="1071" w:name="Tc_2g2FB_UT5UGR2Yn8_KPNig_1_3"/>
      <w:bookmarkStart w:id="1072" w:name="_f6734f67_96d8_4d43_9aa9_4f50b78ff3be"/>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r>
        <w:rPr/>
        <w:t>​</w:t>
      </w:r>
    </w:p>
    <w:p>
      <w:pPr>
        <w:pStyle w:val="TextBody"/>
        <w:bidi w:val="0"/>
        <w:spacing w:before="0" w:after="20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Goodwill</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During the year ended December 31, 2025, goodwill increased by $39.8 million, primarily as a result of the acquisition of substantially all the assets and certain liabilities of Red Trail Energy. The increase reflects the difference between the fair value of the net assets purchased from Red Trail Energy, including intangible assets, and the purchase price, with the excess recorded as goodwill. The goodwill recognized in this acquisition is primarily attributable to expected synergies from integrating operations, as well as other factors that are not individually identifiable or separately recognized.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changes in the carrying amount of goodwill by reportable segment (in thousands) as of:</w:t>
      </w:r>
    </w:p>
    <w:tbl>
      <w:tblPr>
        <w:tblW w:w="7787" w:type="dxa"/>
        <w:jc w:val="left"/>
        <w:tblInd w:w="0" w:type="dxa"/>
        <w:tblLayout w:type="fixed"/>
        <w:tblCellMar>
          <w:top w:w="0" w:type="dxa"/>
          <w:left w:w="0" w:type="dxa"/>
          <w:bottom w:w="0" w:type="dxa"/>
          <w:right w:w="0" w:type="dxa"/>
        </w:tblCellMar>
      </w:tblPr>
      <w:tblGrid>
        <w:gridCol w:w="5611"/>
        <w:gridCol w:w="109"/>
        <w:gridCol w:w="211"/>
        <w:gridCol w:w="676"/>
        <w:gridCol w:w="109"/>
        <w:gridCol w:w="346"/>
        <w:gridCol w:w="571"/>
        <w:gridCol w:w="154"/>
      </w:tblGrid>
      <w:tr>
        <w:trPr/>
        <w:tc>
          <w:tcPr>
            <w:tcW w:w="5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3562985" cy="175260"/>
                      <wp:effectExtent l="0" t="0" r="0" b="0"/>
                      <wp:wrapNone/>
                      <wp:docPr id="390" name="Frame390"/>
                      <a:graphic xmlns:a="http://schemas.openxmlformats.org/drawingml/2006/main">
                        <a:graphicData uri="http://schemas.microsoft.com/office/word/2010/wordprocessingShape">
                          <wps:wsp>
                            <wps:cNvSpPr txBox="1"/>
                            <wps:spPr>
                              <a:xfrm>
                                <a:off x="0" y="0"/>
                                <a:ext cx="3562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9215" cy="175260"/>
                      <wp:effectExtent l="0" t="0" r="0" b="0"/>
                      <wp:wrapNone/>
                      <wp:docPr id="391" name="Frame3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33985" cy="175260"/>
                      <wp:effectExtent l="0" t="0" r="0" b="0"/>
                      <wp:wrapNone/>
                      <wp:docPr id="392" name="Frame3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429260" cy="175260"/>
                      <wp:effectExtent l="0" t="0" r="0" b="0"/>
                      <wp:wrapNone/>
                      <wp:docPr id="393" name="Frame39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9215" cy="175260"/>
                      <wp:effectExtent l="0" t="0" r="0" b="0"/>
                      <wp:wrapNone/>
                      <wp:docPr id="394" name="Frame3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19710" cy="175260"/>
                      <wp:effectExtent l="0" t="0" r="0" b="0"/>
                      <wp:wrapNone/>
                      <wp:docPr id="395" name="Frame3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362585" cy="175260"/>
                      <wp:effectExtent l="0" t="0" r="0" b="0"/>
                      <wp:wrapNone/>
                      <wp:docPr id="396" name="Frame39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97790" cy="175260"/>
                      <wp:effectExtent l="0" t="0" r="0" b="0"/>
                      <wp:wrapNone/>
                      <wp:docPr id="397" name="Frame39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6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85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56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7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 beginning of period: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5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Gevo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3,740</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1"/>
              <w:ind w:left="0" w:right="0" w:hanging="0"/>
              <w:jc w:val="left"/>
              <w:rPr/>
            </w:pPr>
            <w:r>
              <w:rPr/>
              <w:t>​</w:t>
            </w:r>
          </w:p>
        </w:tc>
      </w:tr>
      <w:tr>
        <w:trPr/>
        <w:tc>
          <w:tcPr>
            <w:tcW w:w="5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GevoND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5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3,740</w:t>
            </w:r>
          </w:p>
        </w:tc>
        <w:tc>
          <w:tcPr>
            <w:tcW w:w="109" w:type="dxa"/>
            <w:tcBorders/>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1"/>
              <w:ind w:left="0" w:right="0" w:hanging="0"/>
              <w:jc w:val="left"/>
              <w:rPr/>
            </w:pPr>
            <w:r>
              <w:rPr/>
              <w:t>​</w:t>
            </w:r>
          </w:p>
        </w:tc>
      </w:tr>
      <w:tr>
        <w:trPr/>
        <w:tc>
          <w:tcPr>
            <w:tcW w:w="5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5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3,742</w:t>
            </w:r>
          </w:p>
        </w:tc>
        <w:tc>
          <w:tcPr>
            <w:tcW w:w="154" w:type="dxa"/>
            <w:tcBorders/>
            <w:vAlign w:val="center"/>
          </w:tcPr>
          <w:p>
            <w:pPr>
              <w:pStyle w:val="TableContents"/>
              <w:bidi w:val="0"/>
              <w:spacing w:before="0" w:after="1"/>
              <w:ind w:left="0" w:right="0" w:hanging="0"/>
              <w:jc w:val="left"/>
              <w:rPr/>
            </w:pPr>
            <w:r>
              <w:rPr/>
              <w:t>​</w:t>
            </w:r>
          </w:p>
        </w:tc>
      </w:tr>
      <w:tr>
        <w:trPr/>
        <w:tc>
          <w:tcPr>
            <w:tcW w:w="5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GevoND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37,815</w:t>
            </w:r>
          </w:p>
        </w:tc>
        <w:tc>
          <w:tcPr>
            <w:tcW w:w="109"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5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37,815</w:t>
            </w:r>
          </w:p>
        </w:tc>
        <w:tc>
          <w:tcPr>
            <w:tcW w:w="109" w:type="dxa"/>
            <w:tcBorders/>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3,742</w:t>
            </w:r>
          </w:p>
        </w:tc>
        <w:tc>
          <w:tcPr>
            <w:tcW w:w="154" w:type="dxa"/>
            <w:tcBorders/>
            <w:vAlign w:val="center"/>
          </w:tcPr>
          <w:p>
            <w:pPr>
              <w:pStyle w:val="TableContents"/>
              <w:bidi w:val="0"/>
              <w:spacing w:before="0" w:after="1"/>
              <w:ind w:left="0" w:right="0" w:hanging="0"/>
              <w:jc w:val="left"/>
              <w:rPr/>
            </w:pPr>
            <w:r>
              <w:rPr/>
              <w:t>​</w:t>
            </w:r>
          </w:p>
        </w:tc>
      </w:tr>
      <w:tr>
        <w:trPr/>
        <w:tc>
          <w:tcPr>
            <w:tcW w:w="5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adjustments (post acquisition working capital adjustments)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5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154" w:type="dxa"/>
            <w:tcBorders/>
            <w:vAlign w:val="center"/>
          </w:tcPr>
          <w:p>
            <w:pPr>
              <w:pStyle w:val="TableContents"/>
              <w:bidi w:val="0"/>
              <w:spacing w:before="0" w:after="1"/>
              <w:ind w:left="0" w:right="0" w:hanging="0"/>
              <w:jc w:val="left"/>
              <w:rPr/>
            </w:pPr>
            <w:r>
              <w:rPr/>
              <w:t>​</w:t>
            </w:r>
          </w:p>
        </w:tc>
      </w:tr>
      <w:tr>
        <w:trPr/>
        <w:tc>
          <w:tcPr>
            <w:tcW w:w="5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GevoND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1,953</w:t>
            </w:r>
          </w:p>
        </w:tc>
        <w:tc>
          <w:tcPr>
            <w:tcW w:w="109"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5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2,003</w:t>
            </w:r>
          </w:p>
        </w:tc>
        <w:tc>
          <w:tcPr>
            <w:tcW w:w="109" w:type="dxa"/>
            <w:tcBorders/>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5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 end of period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5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3,790</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3,740</w:t>
            </w:r>
          </w:p>
        </w:tc>
        <w:tc>
          <w:tcPr>
            <w:tcW w:w="154" w:type="dxa"/>
            <w:tcBorders/>
            <w:vAlign w:val="center"/>
          </w:tcPr>
          <w:p>
            <w:pPr>
              <w:pStyle w:val="TableContents"/>
              <w:bidi w:val="0"/>
              <w:spacing w:before="0" w:after="1"/>
              <w:ind w:left="0" w:right="0" w:hanging="0"/>
              <w:jc w:val="left"/>
              <w:rPr/>
            </w:pPr>
            <w:r>
              <w:rPr/>
              <w:t>​</w:t>
            </w:r>
          </w:p>
        </w:tc>
      </w:tr>
      <w:tr>
        <w:trPr/>
        <w:tc>
          <w:tcPr>
            <w:tcW w:w="5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GevoND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39,768</w:t>
            </w:r>
          </w:p>
        </w:tc>
        <w:tc>
          <w:tcPr>
            <w:tcW w:w="109"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5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43,558</w:t>
            </w:r>
          </w:p>
        </w:tc>
        <w:tc>
          <w:tcPr>
            <w:tcW w:w="109" w:type="dxa"/>
            <w:tcBorders/>
            <w:vAlign w:val="center"/>
          </w:tcPr>
          <w:p>
            <w:pPr>
              <w:pStyle w:val="TableContents"/>
              <w:bidi w:val="0"/>
              <w:spacing w:before="0" w:after="1"/>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3,740</w:t>
            </w:r>
          </w:p>
        </w:tc>
        <w:tc>
          <w:tcPr>
            <w:tcW w:w="154" w:type="dxa"/>
            <w:tcBorders/>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firstLine="72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073" w:name="Tc_zyJK42DXMUixbL_3qPvNHg_9_0"/>
      <w:bookmarkStart w:id="1074" w:name="Tc_gO77kmBNM0qLoijzYAS0zg_8_4"/>
      <w:bookmarkStart w:id="1075" w:name="Tc_cNC_jLGHSUO8CI__HOVW5w_8_0"/>
      <w:bookmarkStart w:id="1076" w:name="Tc_kX_WrwfL3EuMBRkaNvowOg_7_0"/>
      <w:bookmarkStart w:id="1077" w:name="Tc_GfVxj8qAwUmN791KBrvE7Q_6_0"/>
      <w:bookmarkStart w:id="1078" w:name="Tc_P1eRQMbWDUypvCHb9rcGNw_5_0"/>
      <w:bookmarkStart w:id="1079" w:name="Tc_pGXRO8poVUmrR9Bq7c1Vew_4_0"/>
      <w:bookmarkStart w:id="1080" w:name="Tc_Ya2-pwv10k-0pNV8d1VekA_3_6"/>
      <w:bookmarkStart w:id="1081" w:name="Tc_V4zizeO2rESVQwQErOVvow_3_3"/>
      <w:bookmarkStart w:id="1082" w:name="Tc_68Koi4U_7U2960cvPtSQpg_3_0"/>
      <w:bookmarkStart w:id="1083" w:name="Tc_1WBLHqyvZEm6TKPcOjQ5dw_2_6"/>
      <w:bookmarkStart w:id="1084" w:name="Tc_KCh37vby_0SzaQfGjJoXOA_2_3"/>
      <w:bookmarkStart w:id="1085" w:name="Tc_xIti1BHNtUOFcBjx18sgQQ_1_3"/>
      <w:bookmarkStart w:id="1086" w:name="_563e169f_9d85_49b6_90f8_ca7a42c2a8d9"/>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r>
        <w:rPr>
          <w:rFonts w:ascii="Times New Roman;Times;serif" w:hAnsi="Times New Roman;Times;serif"/>
          <w:b/>
          <w:sz w:val="20"/>
        </w:rPr>
        <w:t>15</w:t>
      </w:r>
      <w:r>
        <w:rPr>
          <w:rFonts w:ascii="Times New Roman;Times;serif" w:hAnsi="Times New Roman;Times;serif"/>
          <w:b/>
          <w:i/>
          <w:sz w:val="20"/>
        </w:rPr>
        <w:t xml:space="preserve">. </w:t>
      </w:r>
      <w:r>
        <w:rPr>
          <w:rFonts w:ascii="Times New Roman;Times;serif" w:hAnsi="Times New Roman;Times;serif"/>
          <w:b/>
          <w:sz w:val="20"/>
        </w:rPr>
        <w:t>Deposits and Other Assets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components of the Company’s deposits and other assets (in thousands) as of:</w:t>
      </w:r>
    </w:p>
    <w:p>
      <w:pPr>
        <w:pStyle w:val="TextBody"/>
        <w:bidi w:val="0"/>
        <w:spacing w:before="0" w:after="200"/>
        <w:ind w:left="0" w:right="0" w:firstLine="720"/>
        <w:jc w:val="left"/>
        <w:rPr/>
      </w:pPr>
      <w:r>
        <w:rPr/>
        <w:t>​</w:t>
      </w:r>
    </w:p>
    <w:tbl>
      <w:tblPr>
        <w:tblW w:w="6278" w:type="dxa"/>
        <w:jc w:val="left"/>
        <w:tblInd w:w="0" w:type="dxa"/>
        <w:tblLayout w:type="fixed"/>
        <w:tblCellMar>
          <w:top w:w="0" w:type="dxa"/>
          <w:left w:w="0" w:type="dxa"/>
          <w:bottom w:w="0" w:type="dxa"/>
          <w:right w:w="0" w:type="dxa"/>
        </w:tblCellMar>
      </w:tblPr>
      <w:tblGrid>
        <w:gridCol w:w="3421"/>
        <w:gridCol w:w="346"/>
        <w:gridCol w:w="346"/>
        <w:gridCol w:w="211"/>
        <w:gridCol w:w="676"/>
        <w:gridCol w:w="346"/>
        <w:gridCol w:w="211"/>
        <w:gridCol w:w="721"/>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172335" cy="175260"/>
                      <wp:effectExtent l="0" t="0" r="0" b="0"/>
                      <wp:wrapNone/>
                      <wp:docPr id="398" name="Frame398"/>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19710" cy="175260"/>
                      <wp:effectExtent l="0" t="0" r="0" b="0"/>
                      <wp:wrapNone/>
                      <wp:docPr id="399" name="Frame3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19710" cy="175260"/>
                      <wp:effectExtent l="0" t="0" r="0" b="0"/>
                      <wp:wrapNone/>
                      <wp:docPr id="400" name="Frame4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33985" cy="175260"/>
                      <wp:effectExtent l="0" t="0" r="0" b="0"/>
                      <wp:wrapNone/>
                      <wp:docPr id="401" name="Frame4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429260" cy="175260"/>
                      <wp:effectExtent l="0" t="0" r="0" b="0"/>
                      <wp:wrapNone/>
                      <wp:docPr id="402" name="Frame40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19710" cy="175260"/>
                      <wp:effectExtent l="0" t="0" r="0" b="0"/>
                      <wp:wrapNone/>
                      <wp:docPr id="403" name="Frame4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33985" cy="175260"/>
                      <wp:effectExtent l="0" t="0" r="0" b="0"/>
                      <wp:wrapNone/>
                      <wp:docPr id="404" name="Frame4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457835" cy="175260"/>
                      <wp:effectExtent l="0" t="0" r="0" b="0"/>
                      <wp:wrapNone/>
                      <wp:docPr id="405" name="Frame40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center"/>
              <w:rPr/>
            </w:pPr>
            <w:r>
              <w:rPr/>
              <w:t>  ​ ​ ​</w:t>
            </w:r>
          </w:p>
        </w:tc>
        <w:tc>
          <w:tcPr>
            <w:tcW w:w="21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4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Deposits</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insurance</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660</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feedstock</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1,976</w:t>
            </w:r>
          </w:p>
        </w:tc>
      </w:tr>
      <w:tr>
        <w:trPr/>
        <w:tc>
          <w:tcPr>
            <w:tcW w:w="342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Equity interest </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w:t>
            </w:r>
          </w:p>
        </w:tc>
      </w:tr>
      <w:tr>
        <w:trPr/>
        <w:tc>
          <w:tcPr>
            <w:tcW w:w="342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Deposits receivable </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54,035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47,737</w:t>
            </w:r>
          </w:p>
        </w:tc>
      </w:tr>
      <w:tr>
        <w:trPr/>
        <w:tc>
          <w:tcPr>
            <w:tcW w:w="342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Earnest money deposit </w:t>
            </w:r>
            <w:r>
              <w:rPr>
                <w:rFonts w:ascii="Times New Roman;Times;serif" w:hAnsi="Times New Roman;Times;serif"/>
                <w:sz w:val="15"/>
              </w:rPr>
              <w:t>(3)</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Improvements on assets owned by others</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4,636</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Normal"/>
        <w:bidi w:val="0"/>
        <w:spacing w:before="0" w:after="0"/>
        <w:jc w:val="left"/>
        <w:rPr>
          <w:sz w:val="4"/>
          <w:szCs w:val="4"/>
        </w:rPr>
      </w:pPr>
      <w:r>
        <w:rPr>
          <w:sz w:val="4"/>
          <w:szCs w:val="4"/>
        </w:rPr>
      </w:r>
      <w:bookmarkStart w:id="1087" w:name="Tc_5CeY3p-AcUiyXNe2QXBUJg_13_6"/>
      <w:bookmarkStart w:id="1088" w:name="Tc_X--TFoHPJU2OJ7dWnNrQ5A_13_3"/>
      <w:bookmarkStart w:id="1089" w:name="Tc_g_ygtRoR3EmpG6oSrxQeYQ_13_0"/>
      <w:bookmarkStart w:id="1090" w:name="Tc_qKP9_xX1LUKxybdBVER4OA_12_7"/>
      <w:bookmarkStart w:id="1091" w:name="Tc_JkWxM2pG6kCXJo7CCvV-MA_12_0"/>
      <w:bookmarkStart w:id="1092" w:name="Tc_gIpb9cu4m0yPZ3c12VD4xA_11_0"/>
      <w:bookmarkStart w:id="1093" w:name="Tc_A8JNwMuyO0CB61G4XgucZQ_10_0"/>
      <w:bookmarkStart w:id="1094" w:name="Tc_5CeY3p-AcUiyXNe2QXBUJg_13_6"/>
      <w:bookmarkStart w:id="1095" w:name="Tc_X--TFoHPJU2OJ7dWnNrQ5A_13_3"/>
      <w:bookmarkStart w:id="1096" w:name="Tc_g_ygtRoR3EmpG6oSrxQeYQ_13_0"/>
      <w:bookmarkStart w:id="1097" w:name="Tc_qKP9_xX1LUKxybdBVER4OA_12_7"/>
      <w:bookmarkStart w:id="1098" w:name="Tc_JkWxM2pG6kCXJo7CCvV-MA_12_0"/>
      <w:bookmarkStart w:id="1099" w:name="Tc_gIpb9cu4m0yPZ3c12VD4xA_11_0"/>
      <w:bookmarkStart w:id="1100" w:name="Tc_A8JNwMuyO0CB61G4XgucZQ_10_0"/>
      <w:bookmarkEnd w:id="1094"/>
      <w:bookmarkEnd w:id="1095"/>
      <w:bookmarkEnd w:id="1096"/>
      <w:bookmarkEnd w:id="1097"/>
      <w:bookmarkEnd w:id="1098"/>
      <w:bookmarkEnd w:id="1099"/>
      <w:bookmarkEnd w:id="1100"/>
    </w:p>
    <w:tbl>
      <w:tblPr>
        <w:tblW w:w="4997" w:type="dxa"/>
        <w:jc w:val="left"/>
        <w:tblInd w:w="0" w:type="dxa"/>
        <w:tblLayout w:type="fixed"/>
        <w:tblCellMar>
          <w:top w:w="0" w:type="dxa"/>
          <w:left w:w="0" w:type="dxa"/>
          <w:bottom w:w="0" w:type="dxa"/>
          <w:right w:w="0" w:type="dxa"/>
        </w:tblCellMar>
      </w:tblPr>
      <w:tblGrid>
        <w:gridCol w:w="2791"/>
        <w:gridCol w:w="109"/>
        <w:gridCol w:w="109"/>
        <w:gridCol w:w="211"/>
        <w:gridCol w:w="676"/>
        <w:gridCol w:w="109"/>
        <w:gridCol w:w="211"/>
        <w:gridCol w:w="781"/>
      </w:tblGrid>
      <w:tr>
        <w:trPr/>
        <w:tc>
          <w:tcPr>
            <w:tcW w:w="27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Debt Issuance Costs</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1,974</w:t>
            </w:r>
          </w:p>
        </w:tc>
      </w:tr>
      <w:tr>
        <w:trPr/>
        <w:tc>
          <w:tcPr>
            <w:tcW w:w="279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Capitalized Fuel Supply </w:t>
            </w:r>
            <w:r>
              <w:rPr>
                <w:rFonts w:ascii="Times New Roman;Times;serif" w:hAnsi="Times New Roman;Times;serif"/>
                <w:sz w:val="15"/>
              </w:rPr>
              <w:t>(4)</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6,371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6,956</w:t>
            </w:r>
          </w:p>
        </w:tc>
      </w:tr>
      <w:tr>
        <w:trPr/>
        <w:tc>
          <w:tcPr>
            <w:tcW w:w="27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Note receivable - A.E Innovation</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7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deposits and other assets</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73,987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75,623</w:t>
            </w:r>
          </w:p>
        </w:tc>
      </w:tr>
    </w:tbl>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0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directly holds a 3.6%</w:t>
            </w:r>
            <w:r>
              <w:rPr>
                <w:caps w:val="false"/>
                <w:smallCaps w:val="false"/>
              </w:rPr>
              <w:t xml:space="preserve"> </w:t>
            </w:r>
            <w:r>
              <w:rPr>
                <w:rFonts w:ascii="Times New Roman;Times;serif" w:hAnsi="Times New Roman;Times;serif"/>
                <w:b w:val="false"/>
                <w:i w:val="false"/>
                <w:caps w:val="false"/>
                <w:smallCaps w:val="false"/>
                <w:sz w:val="20"/>
              </w:rPr>
              <w:t>interest in the Series A Preferred Stock of Zero6 Clean Energy Assets, Inc. (“Zero6”), formerly Juhl Clean Energy Assets, Inc., which is not a publicly listed entity with a readily determinable fair value. The Company therefore measures the securities at cost. Recent observable equity raises indicated no impairment issues or an increase to the carrying value. This ownership interest is also pledged as collateral against two</w:t>
            </w:r>
            <w:r>
              <w:rPr>
                <w:caps w:val="false"/>
                <w:smallCaps w:val="false"/>
              </w:rPr>
              <w:t xml:space="preserve"> </w:t>
            </w:r>
            <w:r>
              <w:rPr>
                <w:rFonts w:ascii="Times New Roman;Times;serif" w:hAnsi="Times New Roman;Times;serif"/>
                <w:b w:val="false"/>
                <w:i w:val="false"/>
                <w:caps w:val="false"/>
                <w:smallCaps w:val="false"/>
                <w:sz w:val="20"/>
              </w:rPr>
              <w:t xml:space="preserve">future obligations to Rock County Wind Fuel, LLC (“RCWF”), a Zero6 subsidiary, see Note 22, Commitments and Contingencies, for additional information. </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0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Deposits provided to a developer of certain wind-farm projects and power utility contractor to induce design and construction of the power generation, transmission and distribution facilities for ATJ-60, $5.5</w:t>
            </w:r>
            <w:r>
              <w:rPr>
                <w:caps w:val="false"/>
                <w:smallCaps w:val="false"/>
              </w:rPr>
              <w:t> </w:t>
            </w:r>
            <w:r>
              <w:rPr>
                <w:rFonts w:ascii="Times New Roman;Times;serif" w:hAnsi="Times New Roman;Times;serif"/>
                <w:b w:val="false"/>
                <w:i w:val="false"/>
                <w:caps w:val="false"/>
                <w:smallCaps w:val="false"/>
                <w:sz w:val="20"/>
              </w:rPr>
              <w:t>million of which will be either reimbursed or used as an investment into wind generation facility and the remaining $48.5</w:t>
            </w:r>
            <w:r>
              <w:rPr>
                <w:caps w:val="false"/>
                <w:smallCaps w:val="false"/>
              </w:rPr>
              <w:t> </w:t>
            </w:r>
            <w:r>
              <w:rPr>
                <w:rFonts w:ascii="Times New Roman;Times;serif" w:hAnsi="Times New Roman;Times;serif"/>
                <w:b w:val="false"/>
                <w:i w:val="false"/>
                <w:caps w:val="false"/>
                <w:smallCaps w:val="false"/>
                <w:sz w:val="20"/>
              </w:rPr>
              <w:t>million is expected to be fully reimbursed upon completion of the project. Gevo has contractual priority liens against the equipment and constructed facilities under the contracts. Gevo and the developer are evaluating alternative uses for the wind-farm project and the distribution facilities given the current status of ATJ-60.</w:t>
            </w:r>
          </w:p>
        </w:tc>
      </w:tr>
    </w:tbl>
    <w:tbl>
      <w:tblPr>
        <w:tblW w:w="7532" w:type="dxa"/>
        <w:jc w:val="left"/>
        <w:tblInd w:w="0" w:type="dxa"/>
        <w:tblLayout w:type="fixed"/>
        <w:tblCellMar>
          <w:top w:w="0" w:type="dxa"/>
          <w:left w:w="0" w:type="dxa"/>
          <w:bottom w:w="0" w:type="dxa"/>
          <w:right w:w="0" w:type="dxa"/>
        </w:tblCellMar>
      </w:tblPr>
      <w:tblGrid>
        <w:gridCol w:w="346"/>
        <w:gridCol w:w="718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71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Earnest money deposited in connection with the acquisition of Red Trail Energy, LLC.</w:t>
            </w:r>
          </w:p>
        </w:tc>
      </w:tr>
    </w:tbl>
    <w:tbl>
      <w:tblPr>
        <w:tblW w:w="4232" w:type="dxa"/>
        <w:jc w:val="left"/>
        <w:tblInd w:w="0" w:type="dxa"/>
        <w:tblLayout w:type="fixed"/>
        <w:tblCellMar>
          <w:top w:w="0" w:type="dxa"/>
          <w:left w:w="0" w:type="dxa"/>
          <w:bottom w:w="0" w:type="dxa"/>
          <w:right w:w="0" w:type="dxa"/>
        </w:tblCellMar>
      </w:tblPr>
      <w:tblGrid>
        <w:gridCol w:w="346"/>
        <w:gridCol w:w="388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388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Expenditures related</w:t>
            </w:r>
            <w:r>
              <w:rPr>
                <w:caps w:val="false"/>
                <w:smallCaps w:val="false"/>
              </w:rPr>
              <w:t xml:space="preserve"> </w:t>
            </w:r>
            <w:r>
              <w:rPr>
                <w:rFonts w:ascii="Times New Roman;Times;serif" w:hAnsi="Times New Roman;Times;serif"/>
                <w:b w:val="false"/>
                <w:i w:val="false"/>
                <w:caps w:val="false"/>
                <w:smallCaps w:val="false"/>
                <w:sz w:val="20"/>
              </w:rPr>
              <w:t>to feedstock agreements.</w:t>
            </w:r>
          </w:p>
        </w:tc>
      </w:tr>
    </w:tbl>
    <w:p>
      <w:pPr>
        <w:pStyle w:val="TextBody"/>
        <w:bidi w:val="0"/>
        <w:spacing w:before="0" w:after="200"/>
        <w:ind w:left="0" w:right="0" w:hanging="0"/>
        <w:jc w:val="left"/>
        <w:rPr>
          <w:rFonts w:ascii="Times New Roman;Times;serif" w:hAnsi="Times New Roman;Times;serif"/>
          <w:b/>
          <w:sz w:val="20"/>
        </w:rPr>
      </w:pPr>
      <w:bookmarkStart w:id="1101" w:name="Tc_SiaGnohO602ChXKvOCtKnA_7_5"/>
      <w:bookmarkStart w:id="1102" w:name="Tc_dubdybbh8UiuGirWW39TPw_7_2"/>
      <w:bookmarkStart w:id="1103" w:name="Tc_ASJsWV438k6KihDNRJgTfQ_7_0"/>
      <w:bookmarkStart w:id="1104" w:name="Tc_Ri5lHjoaGESaO0wtf9Rprw_6_0"/>
      <w:bookmarkStart w:id="1105" w:name="Tc_0RsGuSGDZkWvP9oVosjYDw_5_0"/>
      <w:bookmarkStart w:id="1106" w:name="Tc_2FKCNlB2X0SgZsBLVvhy2A_4_0"/>
      <w:bookmarkStart w:id="1107" w:name="Tc_2UvAHBeERU25Pse6RGD4Wg_3_5"/>
      <w:bookmarkStart w:id="1108" w:name="Tc_H02gwrEmukGLsGOW6hC9HQ_3_2"/>
      <w:bookmarkStart w:id="1109" w:name="Tc_BXhNDDuxUke6UR4rScyWGQ_3_0"/>
      <w:bookmarkStart w:id="1110" w:name="Tc_26vqqK2RrkefVJoY4_mfXg_2_5"/>
      <w:bookmarkStart w:id="1111" w:name="Tc_v3wPFbPVW0qLGPPT7spf_Q_2_2"/>
      <w:bookmarkStart w:id="1112" w:name="Tc_l7s5Y0oszkqlDg8LLLSIgQ_1_2"/>
      <w:bookmarkStart w:id="1113" w:name="_7f7389d7_9dc7_4a88_a73b_051ba0c3b98b"/>
      <w:bookmarkEnd w:id="1101"/>
      <w:bookmarkEnd w:id="1102"/>
      <w:bookmarkEnd w:id="1103"/>
      <w:bookmarkEnd w:id="1104"/>
      <w:bookmarkEnd w:id="1105"/>
      <w:bookmarkEnd w:id="1106"/>
      <w:bookmarkEnd w:id="1107"/>
      <w:bookmarkEnd w:id="1108"/>
      <w:bookmarkEnd w:id="1109"/>
      <w:bookmarkEnd w:id="1110"/>
      <w:bookmarkEnd w:id="1111"/>
      <w:bookmarkEnd w:id="1112"/>
      <w:bookmarkEnd w:id="1113"/>
      <w:r>
        <w:rPr>
          <w:rFonts w:ascii="Times New Roman;Times;serif" w:hAnsi="Times New Roman;Times;serif"/>
          <w:b/>
          <w:sz w:val="20"/>
        </w:rPr>
        <w:t>16. Accounts Payable and Accrued Liabilities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sets forth the components of the Company’s accounts payable and accrued liabilities in the Consolidated Balance Sheets (in thousands): </w:t>
      </w:r>
    </w:p>
    <w:p>
      <w:pPr>
        <w:pStyle w:val="TextBody"/>
        <w:bidi w:val="0"/>
        <w:spacing w:before="0" w:after="0"/>
        <w:ind w:left="0" w:right="0" w:hanging="0"/>
        <w:jc w:val="left"/>
        <w:rPr/>
      </w:pPr>
      <w:r>
        <w:rPr/>
        <w:t>​</w:t>
      </w:r>
    </w:p>
    <w:tbl>
      <w:tblPr>
        <w:tblW w:w="6427" w:type="dxa"/>
        <w:jc w:val="left"/>
        <w:tblInd w:w="0" w:type="dxa"/>
        <w:tblLayout w:type="fixed"/>
        <w:tblCellMar>
          <w:top w:w="0" w:type="dxa"/>
          <w:left w:w="0" w:type="dxa"/>
          <w:bottom w:w="0" w:type="dxa"/>
          <w:right w:w="0" w:type="dxa"/>
        </w:tblCellMar>
      </w:tblPr>
      <w:tblGrid>
        <w:gridCol w:w="3856"/>
        <w:gridCol w:w="346"/>
        <w:gridCol w:w="211"/>
        <w:gridCol w:w="676"/>
        <w:gridCol w:w="346"/>
        <w:gridCol w:w="211"/>
        <w:gridCol w:w="781"/>
      </w:tblGrid>
      <w:tr>
        <w:trPr/>
        <w:tc>
          <w:tcPr>
            <w:tcW w:w="3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448560" cy="175260"/>
                      <wp:effectExtent l="0" t="0" r="0" b="0"/>
                      <wp:wrapNone/>
                      <wp:docPr id="406" name="Frame406"/>
                      <a:graphic xmlns:a="http://schemas.openxmlformats.org/drawingml/2006/main">
                        <a:graphicData uri="http://schemas.microsoft.com/office/word/2010/wordprocessingShape">
                          <wps:wsp>
                            <wps:cNvSpPr txBox="1"/>
                            <wps:spPr>
                              <a:xfrm>
                                <a:off x="0" y="0"/>
                                <a:ext cx="2448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19710" cy="175260"/>
                      <wp:effectExtent l="0" t="0" r="0" b="0"/>
                      <wp:wrapNone/>
                      <wp:docPr id="407" name="Frame4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133985" cy="175260"/>
                      <wp:effectExtent l="0" t="0" r="0" b="0"/>
                      <wp:wrapNone/>
                      <wp:docPr id="408" name="Frame4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429260" cy="175260"/>
                      <wp:effectExtent l="0" t="0" r="0" b="0"/>
                      <wp:wrapNone/>
                      <wp:docPr id="409" name="Frame40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19710" cy="175260"/>
                      <wp:effectExtent l="0" t="0" r="0" b="0"/>
                      <wp:wrapNone/>
                      <wp:docPr id="410" name="Frame4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133985" cy="175260"/>
                      <wp:effectExtent l="0" t="0" r="0" b="0"/>
                      <wp:wrapNone/>
                      <wp:docPr id="411" name="Frame4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495935" cy="175260"/>
                      <wp:effectExtent l="0" t="0" r="0" b="0"/>
                      <wp:wrapNone/>
                      <wp:docPr id="412" name="Frame41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2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r>
      <w:tr>
        <w:trPr/>
        <w:tc>
          <w:tcPr>
            <w:tcW w:w="38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539</w:t>
            </w:r>
          </w:p>
        </w:tc>
      </w:tr>
      <w:tr>
        <w:trPr/>
        <w:tc>
          <w:tcPr>
            <w:tcW w:w="3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17,711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9,873</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construction in progress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6,207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2,595</w:t>
            </w:r>
          </w:p>
        </w:tc>
      </w:tr>
      <w:tr>
        <w:trPr/>
        <w:tc>
          <w:tcPr>
            <w:tcW w:w="3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payroll and related benefits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11,507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8,999</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accounts payable and accrued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36,508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22,006</w:t>
            </w:r>
          </w:p>
        </w:tc>
      </w:tr>
    </w:tbl>
    <w:p>
      <w:pPr>
        <w:pStyle w:val="TextBody"/>
        <w:bidi w:val="0"/>
        <w:spacing w:before="0" w:after="200"/>
        <w:ind w:left="0" w:right="0" w:firstLine="720"/>
        <w:jc w:val="left"/>
        <w:rPr/>
      </w:pPr>
      <w:r>
        <w:rPr/>
        <w:t>​</w:t>
      </w:r>
    </w:p>
    <w:p>
      <w:pPr>
        <w:pStyle w:val="TextBody"/>
        <w:bidi w:val="0"/>
        <w:spacing w:before="0" w:after="200"/>
        <w:ind w:left="0" w:right="0" w:hanging="0"/>
        <w:jc w:val="left"/>
        <w:rPr/>
      </w:pPr>
      <w:r>
        <w:rPr/>
        <w:t>​</w:t>
      </w:r>
    </w:p>
    <w:p>
      <w:pPr>
        <w:pStyle w:val="Normal"/>
        <w:bidi w:val="0"/>
        <w:spacing w:before="0" w:after="0"/>
        <w:jc w:val="left"/>
        <w:rPr>
          <w:sz w:val="4"/>
          <w:szCs w:val="4"/>
        </w:rPr>
      </w:pPr>
      <w:r>
        <w:rPr>
          <w:sz w:val="4"/>
          <w:szCs w:val="4"/>
        </w:rPr>
      </w:r>
      <w:bookmarkStart w:id="1114" w:name="Tc_ERf_hMNrGUOfhPH31ft5wQ_3_6"/>
      <w:bookmarkStart w:id="1115" w:name="Tc_A5SkGkb0NkaPxmY7_fNwkw_3_0"/>
      <w:bookmarkStart w:id="1116" w:name="Tc_2vA-JusK-k-PjcDfOEAIrw_2_6"/>
      <w:bookmarkStart w:id="1117" w:name="Tc_X78JbwjMvUmJsfw8UcQ22w_2_5"/>
      <w:bookmarkStart w:id="1118" w:name="Tc_ghj1gl9_FkuMK3lCBxDzgg_2_3"/>
      <w:bookmarkStart w:id="1119" w:name="Tc_UxhlCarA1EKYybnn7aHB-Q_2_2"/>
      <w:bookmarkStart w:id="1120" w:name="Tc_a9RJ4gkdbEKc5a3pxIKOmg_2_0"/>
      <w:bookmarkStart w:id="1121" w:name="Tc_0gL5s-g4H0CrOm8ewfgTlw_1_5"/>
      <w:bookmarkStart w:id="1122" w:name="Tc_evKL-vBZ0Ei3UB2TZFN_0w_1_2"/>
      <w:bookmarkStart w:id="1123" w:name="_4b9b4fe2_2d04_46ca_aa40_7aacf62a2bc4"/>
      <w:bookmarkStart w:id="1124" w:name="Tc_ERf_hMNrGUOfhPH31ft5wQ_3_6"/>
      <w:bookmarkStart w:id="1125" w:name="Tc_A5SkGkb0NkaPxmY7_fNwkw_3_0"/>
      <w:bookmarkStart w:id="1126" w:name="Tc_2vA-JusK-k-PjcDfOEAIrw_2_6"/>
      <w:bookmarkStart w:id="1127" w:name="Tc_X78JbwjMvUmJsfw8UcQ22w_2_5"/>
      <w:bookmarkStart w:id="1128" w:name="Tc_ghj1gl9_FkuMK3lCBxDzgg_2_3"/>
      <w:bookmarkStart w:id="1129" w:name="Tc_UxhlCarA1EKYybnn7aHB-Q_2_2"/>
      <w:bookmarkStart w:id="1130" w:name="Tc_a9RJ4gkdbEKc5a3pxIKOmg_2_0"/>
      <w:bookmarkStart w:id="1131" w:name="Tc_0gL5s-g4H0CrOm8ewfgTlw_1_5"/>
      <w:bookmarkStart w:id="1132" w:name="Tc_evKL-vBZ0Ei3UB2TZFN_0w_1_2"/>
      <w:bookmarkStart w:id="1133" w:name="_4b9b4fe2_2d04_46ca_aa40_7aacf62a2bc4"/>
      <w:bookmarkEnd w:id="1124"/>
      <w:bookmarkEnd w:id="1125"/>
      <w:bookmarkEnd w:id="1126"/>
      <w:bookmarkEnd w:id="1127"/>
      <w:bookmarkEnd w:id="1128"/>
      <w:bookmarkEnd w:id="1129"/>
      <w:bookmarkEnd w:id="1130"/>
      <w:bookmarkEnd w:id="1131"/>
      <w:bookmarkEnd w:id="1132"/>
      <w:bookmarkEnd w:id="1133"/>
    </w:p>
    <w:tbl>
      <w:tblPr>
        <w:tblW w:w="2912" w:type="dxa"/>
        <w:jc w:val="left"/>
        <w:tblInd w:w="0" w:type="dxa"/>
        <w:tblLayout w:type="fixed"/>
        <w:tblCellMar>
          <w:top w:w="0" w:type="dxa"/>
          <w:left w:w="0" w:type="dxa"/>
          <w:bottom w:w="0" w:type="dxa"/>
          <w:right w:w="0" w:type="dxa"/>
        </w:tblCellMar>
      </w:tblPr>
      <w:tblGrid>
        <w:gridCol w:w="376"/>
        <w:gridCol w:w="253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17.</w:t>
            </w:r>
          </w:p>
        </w:tc>
        <w:tc>
          <w:tcPr>
            <w:tcW w:w="253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Asset Retirement Obligation</w:t>
            </w:r>
          </w:p>
        </w:tc>
      </w:tr>
    </w:tbl>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During the year ended December 31, 2025, the Company recognized a liability for the estimated costs associated with the retirement of certain assets that are subject to legal or contractual obligations. These liabilities primarily relate to the decommissioning of RNG production facilities and associated infrastructure at our RNG plant. Additionally, the Company recognized an ARO related to the closure plan for our Class VI injection and monitoring wells at the GevoND operation.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estimates the fair value of the ARO based on current regulatory requirements and historical cost data, considering appropriate inflation and discount rates for the estimated timeline of asset removal. The fair value of the estimated ARO is recorded as a long-term liability, with a corresponding increase in the carrying amount of the related asset.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Company’s asset retirement obligation (in thousands) as of:</w:t>
      </w:r>
    </w:p>
    <w:tbl>
      <w:tblPr>
        <w:tblW w:w="5935" w:type="dxa"/>
        <w:jc w:val="left"/>
        <w:tblInd w:w="0" w:type="dxa"/>
        <w:tblLayout w:type="fixed"/>
        <w:tblCellMar>
          <w:top w:w="0" w:type="dxa"/>
          <w:left w:w="0" w:type="dxa"/>
          <w:bottom w:w="0" w:type="dxa"/>
          <w:right w:w="0" w:type="dxa"/>
        </w:tblCellMar>
      </w:tblPr>
      <w:tblGrid>
        <w:gridCol w:w="4036"/>
        <w:gridCol w:w="109"/>
        <w:gridCol w:w="211"/>
        <w:gridCol w:w="571"/>
        <w:gridCol w:w="346"/>
        <w:gridCol w:w="211"/>
        <w:gridCol w:w="451"/>
      </w:tblGrid>
      <w:tr>
        <w:trPr/>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562860" cy="175260"/>
                      <wp:effectExtent l="0" t="0" r="0" b="0"/>
                      <wp:wrapNone/>
                      <wp:docPr id="413" name="Frame413"/>
                      <a:graphic xmlns:a="http://schemas.openxmlformats.org/drawingml/2006/main">
                        <a:graphicData uri="http://schemas.microsoft.com/office/word/2010/wordprocessingShape">
                          <wps:wsp>
                            <wps:cNvSpPr txBox="1"/>
                            <wps:spPr>
                              <a:xfrm>
                                <a:off x="0" y="0"/>
                                <a:ext cx="2562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9215" cy="175260"/>
                      <wp:effectExtent l="0" t="0" r="0" b="0"/>
                      <wp:wrapNone/>
                      <wp:docPr id="414" name="Frame4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133985" cy="175260"/>
                      <wp:effectExtent l="0" t="0" r="0" b="0"/>
                      <wp:wrapNone/>
                      <wp:docPr id="415" name="Frame4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362585" cy="175260"/>
                      <wp:effectExtent l="0" t="0" r="0" b="0"/>
                      <wp:wrapNone/>
                      <wp:docPr id="416" name="Frame41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19710" cy="175260"/>
                      <wp:effectExtent l="0" t="0" r="0" b="0"/>
                      <wp:wrapNone/>
                      <wp:docPr id="417" name="Frame4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133985" cy="175260"/>
                      <wp:effectExtent l="0" t="0" r="0" b="0"/>
                      <wp:wrapNone/>
                      <wp:docPr id="418" name="Frame4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86385" cy="175260"/>
                      <wp:effectExtent l="0" t="0" r="0" b="0"/>
                      <wp:wrapNone/>
                      <wp:docPr id="419" name="Frame419"/>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6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0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 retirement obligation, beginning of period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51" w:type="dxa"/>
            <w:tcBorders/>
            <w:shd w:fill="CCEEFF" w:val="clear"/>
            <w:vAlign w:val="center"/>
          </w:tcPr>
          <w:p>
            <w:pPr>
              <w:pStyle w:val="TableContents"/>
              <w:bidi w:val="0"/>
              <w:spacing w:before="0" w:after="1"/>
              <w:ind w:left="0" w:right="0" w:hanging="0"/>
              <w:jc w:val="right"/>
              <w:rPr/>
            </w:pPr>
            <w:r>
              <w:rPr/>
              <w:t>—</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Liabilities assumed upon acquisition</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60" w:hanging="0"/>
              <w:jc w:val="righ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Normal"/>
        <w:bidi w:val="0"/>
        <w:spacing w:before="0" w:after="0"/>
        <w:jc w:val="left"/>
        <w:rPr>
          <w:sz w:val="4"/>
          <w:szCs w:val="4"/>
        </w:rPr>
      </w:pPr>
      <w:r>
        <w:rPr>
          <w:sz w:val="4"/>
          <w:szCs w:val="4"/>
        </w:rPr>
      </w:r>
      <w:bookmarkStart w:id="1134" w:name="Tc_mkQWiA6eEkG_ieuHG2AQ1A_6_6"/>
      <w:bookmarkStart w:id="1135" w:name="Tc_LQc87kkKDk6B8qHdoFrnUQ_6_5"/>
      <w:bookmarkStart w:id="1136" w:name="Tc_J9RUX-c1CEih3ozkOF6AhA_6_2"/>
      <w:bookmarkStart w:id="1137" w:name="Tc_cd70g8_3YU613sViitJvdw_6_0"/>
      <w:bookmarkStart w:id="1138" w:name="Tc_T5rRxcvis0m6KiEImRs63w_5_6"/>
      <w:bookmarkStart w:id="1139" w:name="Tc_2LIH0crF202oKWyAHlOTRQ_5_0"/>
      <w:bookmarkStart w:id="1140" w:name="Tc_Dg_e9X-VWU-Fi_DtgBr9XA_4_6"/>
      <w:bookmarkStart w:id="1141" w:name="Tc_x3xIYmp2k0WfqPl5vQ0vXg_4_0"/>
      <w:bookmarkStart w:id="1142" w:name="Tc_mkQWiA6eEkG_ieuHG2AQ1A_6_6"/>
      <w:bookmarkStart w:id="1143" w:name="Tc_LQc87kkKDk6B8qHdoFrnUQ_6_5"/>
      <w:bookmarkStart w:id="1144" w:name="Tc_J9RUX-c1CEih3ozkOF6AhA_6_2"/>
      <w:bookmarkStart w:id="1145" w:name="Tc_cd70g8_3YU613sViitJvdw_6_0"/>
      <w:bookmarkStart w:id="1146" w:name="Tc_T5rRxcvis0m6KiEImRs63w_5_6"/>
      <w:bookmarkStart w:id="1147" w:name="Tc_2LIH0crF202oKWyAHlOTRQ_5_0"/>
      <w:bookmarkStart w:id="1148" w:name="Tc_Dg_e9X-VWU-Fi_DtgBr9XA_4_6"/>
      <w:bookmarkStart w:id="1149" w:name="Tc_x3xIYmp2k0WfqPl5vQ0vXg_4_0"/>
      <w:bookmarkEnd w:id="1142"/>
      <w:bookmarkEnd w:id="1143"/>
      <w:bookmarkEnd w:id="1144"/>
      <w:bookmarkEnd w:id="1145"/>
      <w:bookmarkEnd w:id="1146"/>
      <w:bookmarkEnd w:id="1147"/>
      <w:bookmarkEnd w:id="1148"/>
      <w:bookmarkEnd w:id="1149"/>
    </w:p>
    <w:tbl>
      <w:tblPr>
        <w:tblW w:w="5158" w:type="dxa"/>
        <w:jc w:val="left"/>
        <w:tblInd w:w="0" w:type="dxa"/>
        <w:tblLayout w:type="fixed"/>
        <w:tblCellMar>
          <w:top w:w="0" w:type="dxa"/>
          <w:left w:w="0" w:type="dxa"/>
          <w:bottom w:w="0" w:type="dxa"/>
          <w:right w:w="0" w:type="dxa"/>
        </w:tblCellMar>
      </w:tblPr>
      <w:tblGrid>
        <w:gridCol w:w="3496"/>
        <w:gridCol w:w="109"/>
        <w:gridCol w:w="211"/>
        <w:gridCol w:w="571"/>
        <w:gridCol w:w="109"/>
        <w:gridCol w:w="211"/>
        <w:gridCol w:w="451"/>
      </w:tblGrid>
      <w:tr>
        <w:trPr/>
        <w:tc>
          <w:tcPr>
            <w:tcW w:w="34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Liabilities incurred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right"/>
              <w:rPr/>
            </w:pPr>
            <w:r>
              <w:rPr/>
              <w:t>—</w:t>
            </w:r>
          </w:p>
        </w:tc>
      </w:tr>
      <w:tr>
        <w:trPr/>
        <w:tc>
          <w:tcPr>
            <w:tcW w:w="34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Accretion expense</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4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 retirement obligation, end of period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5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00"/>
        <w:ind w:left="0" w:right="0" w:firstLine="720"/>
        <w:jc w:val="both"/>
        <w:rPr/>
      </w:pPr>
      <w:r>
        <w:rPr/>
        <w:t>​</w:t>
      </w:r>
    </w:p>
    <w:p>
      <w:pPr>
        <w:pStyle w:val="TextBody"/>
        <w:bidi w:val="0"/>
        <w:spacing w:before="0" w:after="200"/>
        <w:ind w:left="0" w:right="0" w:firstLine="720"/>
        <w:jc w:val="both"/>
        <w:rPr/>
      </w:pPr>
      <w:r>
        <w:rPr/>
        <w:t>​</w:t>
      </w:r>
    </w:p>
    <w:p>
      <w:pPr>
        <w:pStyle w:val="TextBody"/>
        <w:bidi w:val="0"/>
        <w:spacing w:before="0" w:after="200"/>
        <w:ind w:left="0" w:right="0" w:hanging="0"/>
        <w:jc w:val="left"/>
        <w:rPr/>
      </w:pPr>
      <w:r>
        <w:rPr/>
        <w:t>​</w:t>
      </w:r>
    </w:p>
    <w:p>
      <w:pPr>
        <w:pStyle w:val="TextBody"/>
        <w:bidi w:val="0"/>
        <w:spacing w:before="0" w:after="200"/>
        <w:ind w:left="0" w:right="0" w:firstLine="720"/>
        <w:jc w:val="left"/>
        <w:rPr/>
      </w:pPr>
      <w:r>
        <w:rPr/>
        <w:t>​</w:t>
      </w:r>
    </w:p>
    <w:p>
      <w:pPr>
        <w:pStyle w:val="TextBody"/>
        <w:bidi w:val="0"/>
        <w:spacing w:before="0" w:after="200"/>
        <w:ind w:left="0" w:right="0" w:hanging="0"/>
        <w:jc w:val="left"/>
        <w:rPr>
          <w:rFonts w:ascii="Times New Roman;Times;serif" w:hAnsi="Times New Roman;Times;serif"/>
          <w:b/>
          <w:sz w:val="20"/>
        </w:rPr>
      </w:pPr>
      <w:bookmarkStart w:id="1150" w:name="Tc_Is8ofVG1XUWS_dQf7SblRw_8_2"/>
      <w:bookmarkStart w:id="1151" w:name="Tc_46o29D_ZAEimqkvXCKR9TA_8_0"/>
      <w:bookmarkStart w:id="1152" w:name="Tc_YbjxKmuGJUGAic8GBFbEtg_7_3"/>
      <w:bookmarkStart w:id="1153" w:name="Tc_JCuvsKmsMU-0JJ0bSLsN5A_7_0"/>
      <w:bookmarkStart w:id="1154" w:name="Tc_E9GV-qnrMEmwbqRznGStnA_6_0"/>
      <w:bookmarkStart w:id="1155" w:name="Tc_8yHU0KcQn0O1PvwOtArpIw_5_3"/>
      <w:bookmarkStart w:id="1156" w:name="Tc_cn48vi1JQ0KrtaH8nO1kuw_5_0"/>
      <w:bookmarkStart w:id="1157" w:name="Tc_qATGyTRhy0ONQNfukxYvRA_4_3"/>
      <w:bookmarkStart w:id="1158" w:name="Tc_dLERnzVGQkeV7wTtAfjiHg_4_0"/>
      <w:bookmarkStart w:id="1159" w:name="Tc_WbksmVzfWk-zITly4mLD2Q_3_3"/>
      <w:bookmarkStart w:id="1160" w:name="Tc_yhhCvowxzUyEiw8y7KDOdA_3_0"/>
      <w:bookmarkStart w:id="1161" w:name="Tc_jrH8_csW0U-tjBX5hWh8DQ_2_3"/>
      <w:bookmarkStart w:id="1162" w:name="Tc_y9RIXMrf0EmqIb532qAGUw_2_2"/>
      <w:bookmarkStart w:id="1163" w:name="Tc_76GvBkIY4UybESa1oDyfXw_2_0"/>
      <w:bookmarkStart w:id="1164" w:name="Tc_c4n0j-lxOk-Sxwt6qEPDwg_1_2"/>
      <w:bookmarkStart w:id="1165" w:name="Tc_3lEorXVmbEqi7SGLJgRO9g_1_0"/>
      <w:bookmarkStart w:id="1166" w:name="_50e6cb5e_bdfc_4979_829a_93d46d864ce5"/>
      <w:bookmarkStart w:id="1167" w:name="Tc_nH71uOvwME-it-wgSwie4A_12_9"/>
      <w:bookmarkStart w:id="1168" w:name="Tc_bfunV4mgoUyFMPPvC5-orQ_12_6"/>
      <w:bookmarkStart w:id="1169" w:name="Tc_95YMokG0skWJQaHdKMZcwA_12_0"/>
      <w:bookmarkStart w:id="1170" w:name="Tc_Q2BwnSuKS0uVBLW3H7y7kw_11_7"/>
      <w:bookmarkStart w:id="1171" w:name="Tc_3my4cXio3UywtanEq3WQgA_11_0"/>
      <w:bookmarkStart w:id="1172" w:name="Tc_JFmWh_em5kSVIVijDb--GA_10_9"/>
      <w:bookmarkStart w:id="1173" w:name="Tc_Qx3ZNloNU0aKneIyryasPA_10_6"/>
      <w:bookmarkStart w:id="1174" w:name="Tc_mj3c8rK3t02E_QNO-6nSrg_10_0"/>
      <w:bookmarkStart w:id="1175" w:name="Tc_FhcNdpk10k69PnFJRrqjag_9_0"/>
      <w:bookmarkStart w:id="1176" w:name="Tc_3GRafs7Jm0-ShTOQul7SPg_8_0"/>
      <w:bookmarkStart w:id="1177" w:name="Tc_JoDsxQuutUCzL1fIVMvaLQ_7_7"/>
      <w:bookmarkStart w:id="1178" w:name="Tc_yjBzxS_O_0u9wNBypNzFZw_7_4"/>
      <w:bookmarkStart w:id="1179" w:name="Tc_Vp3M0R5ErE2EpqZFKO9Vqg_7_0"/>
      <w:bookmarkStart w:id="1180" w:name="Tc_I5uJABj5h0Wm6H2w96pVKA_6_10"/>
      <w:bookmarkStart w:id="1181" w:name="Tc_LMtMuoNw3U-86cv58c5pPQ_6_4"/>
      <w:bookmarkStart w:id="1182" w:name="Tc_vdUNk1Mq1EeCd9ExnP_1tA_6_0"/>
      <w:bookmarkStart w:id="1183" w:name="Tc_zd_2ui9N7kKFx_RRPPoeXw_5_10"/>
      <w:bookmarkStart w:id="1184" w:name="Tc_X-2cnSy8YUK5EkUY19mOfg_5_4"/>
      <w:bookmarkStart w:id="1185" w:name="Tc_BBIdCTuX1U-f9rqEivL2MQ_5_0"/>
      <w:bookmarkStart w:id="1186" w:name="Tc_79Cy8ayWvECRZ1pBPOwerQ_4_9"/>
      <w:bookmarkStart w:id="1187" w:name="Tc_xml6DhZs8EGUXcN4IqcUVg_4_4"/>
      <w:bookmarkStart w:id="1188" w:name="Tc_capRffdnWUWhk8sCREIvuA_4_0"/>
      <w:bookmarkStart w:id="1189" w:name="Tc_mONG1-S5T0qQN6hvOwtt1g_3_10"/>
      <w:bookmarkStart w:id="1190" w:name="Tc_6oA1bPWeZ0WDupa7u8mzng_3_6"/>
      <w:bookmarkStart w:id="1191" w:name="Tc_41tBQxz1VkGLsnqziMJ6cg_3_4"/>
      <w:bookmarkStart w:id="1192" w:name="Tc_LrmGeT8oDk6AtnsH7HoZdA_3_0"/>
      <w:bookmarkStart w:id="1193" w:name="Tc_C7uj1TAG6UOQJabTPKiXGA_2_9"/>
      <w:bookmarkStart w:id="1194" w:name="Tc_6Xxq0_l4gUClAKIElYqAsA_2_6"/>
      <w:bookmarkStart w:id="1195" w:name="Tc_4YABMkIUx0-VxhfkYpXKIA_2_4"/>
      <w:bookmarkStart w:id="1196" w:name="Tc_PN8Wrj_IJ0-8QbSGSwt2mA_2_2"/>
      <w:bookmarkStart w:id="1197" w:name="Tc_jdl_uivxM02xO_pDeQECMg_1_6"/>
      <w:bookmarkStart w:id="1198" w:name="_15c2d5af_a239_4dbf_b21b_0771addcecbc"/>
      <w:bookmarkStart w:id="1199" w:name="_18._Debt"/>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r>
        <w:rPr>
          <w:rFonts w:ascii="Times New Roman;Times;serif" w:hAnsi="Times New Roman;Times;serif"/>
          <w:b/>
          <w:sz w:val="20"/>
        </w:rPr>
        <w:t>18</w:t>
      </w:r>
      <w:r>
        <w:rPr>
          <w:rFonts w:ascii="Times New Roman;Times;serif" w:hAnsi="Times New Roman;Times;serif"/>
          <w:b/>
          <w:i/>
          <w:sz w:val="20"/>
        </w:rPr>
        <w:t xml:space="preserve">. </w:t>
      </w:r>
      <w:r>
        <w:rPr>
          <w:rFonts w:ascii="Times New Roman;Times;serif" w:hAnsi="Times New Roman;Times;serif"/>
          <w:b/>
          <w:sz w:val="20"/>
        </w:rPr>
        <w:t>Debt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summary of the Company’s long-term debt is as follows (in thousands) as of:</w:t>
      </w:r>
    </w:p>
    <w:tbl>
      <w:tblPr>
        <w:tblW w:w="8141" w:type="dxa"/>
        <w:jc w:val="left"/>
        <w:tblInd w:w="0" w:type="dxa"/>
        <w:tblLayout w:type="fixed"/>
        <w:tblCellMar>
          <w:top w:w="0" w:type="dxa"/>
          <w:left w:w="0" w:type="dxa"/>
          <w:bottom w:w="0" w:type="dxa"/>
          <w:right w:w="0" w:type="dxa"/>
        </w:tblCellMar>
      </w:tblPr>
      <w:tblGrid>
        <w:gridCol w:w="2311"/>
        <w:gridCol w:w="346"/>
        <w:gridCol w:w="1051"/>
        <w:gridCol w:w="346"/>
        <w:gridCol w:w="1411"/>
        <w:gridCol w:w="346"/>
        <w:gridCol w:w="211"/>
        <w:gridCol w:w="781"/>
        <w:gridCol w:w="346"/>
        <w:gridCol w:w="211"/>
        <w:gridCol w:w="781"/>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1467485" cy="175260"/>
                      <wp:effectExtent l="0" t="0" r="0" b="0"/>
                      <wp:wrapNone/>
                      <wp:docPr id="420" name="Frame420"/>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219710" cy="175260"/>
                      <wp:effectExtent l="0" t="0" r="0" b="0"/>
                      <wp:wrapNone/>
                      <wp:docPr id="421" name="Frame4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667385" cy="175260"/>
                      <wp:effectExtent l="0" t="0" r="0" b="0"/>
                      <wp:wrapNone/>
                      <wp:docPr id="422" name="Frame422"/>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19710" cy="175260"/>
                      <wp:effectExtent l="0" t="0" r="0" b="0"/>
                      <wp:wrapNone/>
                      <wp:docPr id="423" name="Frame4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895985" cy="175260"/>
                      <wp:effectExtent l="0" t="0" r="0" b="0"/>
                      <wp:wrapNone/>
                      <wp:docPr id="424" name="Frame424"/>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19710" cy="175260"/>
                      <wp:effectExtent l="0" t="0" r="0" b="0"/>
                      <wp:wrapNone/>
                      <wp:docPr id="425" name="Frame4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133985" cy="175260"/>
                      <wp:effectExtent l="0" t="0" r="0" b="0"/>
                      <wp:wrapNone/>
                      <wp:docPr id="426" name="Frame4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495935" cy="175260"/>
                      <wp:effectExtent l="0" t="0" r="0" b="0"/>
                      <wp:wrapNone/>
                      <wp:docPr id="427" name="Frame42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19710" cy="175260"/>
                      <wp:effectExtent l="0" t="0" r="0" b="0"/>
                      <wp:wrapNone/>
                      <wp:docPr id="428" name="Frame4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133985" cy="175260"/>
                      <wp:effectExtent l="0" t="0" r="0" b="0"/>
                      <wp:wrapNone/>
                      <wp:docPr id="429" name="Frame4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495935" cy="175260"/>
                      <wp:effectExtent l="0" t="0" r="0" b="0"/>
                      <wp:wrapNone/>
                      <wp:docPr id="430" name="Frame43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411"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center"/>
              <w:rPr/>
            </w:pPr>
            <w:r>
              <w:rPr/>
              <w:t>​</w:t>
            </w:r>
          </w:p>
        </w:tc>
        <w:tc>
          <w:tcPr>
            <w:tcW w:w="23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23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 Rate</w:t>
            </w:r>
          </w:p>
        </w:tc>
        <w:tc>
          <w:tcPr>
            <w:tcW w:w="346" w:type="dxa"/>
            <w:tcBorders/>
            <w:vAlign w:val="center"/>
          </w:tcPr>
          <w:p>
            <w:pPr>
              <w:pStyle w:val="TableContents"/>
              <w:bidi w:val="0"/>
              <w:spacing w:before="0" w:after="1"/>
              <w:ind w:left="0" w:right="0" w:hanging="0"/>
              <w:jc w:val="center"/>
              <w:rPr/>
            </w:pPr>
            <w:r>
              <w:rPr/>
              <w:t>​</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Maturity Date (1)</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Loan</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11.5%</w:t>
            </w:r>
          </w:p>
        </w:tc>
        <w:tc>
          <w:tcPr>
            <w:tcW w:w="346"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January 2030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105,000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Remarketed Bonds</w:t>
            </w:r>
          </w:p>
        </w:tc>
        <w:tc>
          <w:tcPr>
            <w:tcW w:w="34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3.9%</w:t>
            </w:r>
          </w:p>
        </w:tc>
        <w:tc>
          <w:tcPr>
            <w:tcW w:w="346" w:type="dxa"/>
            <w:tcBorders/>
            <w:vAlign w:val="center"/>
          </w:tcPr>
          <w:p>
            <w:pPr>
              <w:pStyle w:val="TableContents"/>
              <w:bidi w:val="0"/>
              <w:spacing w:before="0" w:after="1"/>
              <w:ind w:left="0" w:right="0" w:hanging="0"/>
              <w:jc w:val="left"/>
              <w:rPr/>
            </w:pPr>
            <w:r>
              <w:rPr/>
              <w:t> </w:t>
            </w:r>
          </w:p>
        </w:tc>
        <w:tc>
          <w:tcPr>
            <w:tcW w:w="14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April 2026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28,155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68,155</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Series 2025A Term Bond 1</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8.1%</w:t>
            </w:r>
          </w:p>
        </w:tc>
        <w:tc>
          <w:tcPr>
            <w:tcW w:w="346"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July 2030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13,835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Series 2025A Term Bond 2</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8.5%</w:t>
            </w:r>
          </w:p>
        </w:tc>
        <w:tc>
          <w:tcPr>
            <w:tcW w:w="34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July 2036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26,165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SBA loans</w:t>
            </w:r>
          </w:p>
        </w:tc>
        <w:tc>
          <w:tcPr>
            <w:tcW w:w="34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1"/>
              <w:ind w:left="0" w:right="0" w:hanging="0"/>
              <w:jc w:val="left"/>
              <w:rPr/>
            </w:pPr>
            <w:r>
              <w:rPr/>
              <w:t> </w:t>
            </w:r>
          </w:p>
        </w:tc>
        <w:tc>
          <w:tcPr>
            <w:tcW w:w="14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April 2025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41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173,155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68,176</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debt issuance costs</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4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(8,405)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(1,046)</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debt, net</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41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164,750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67,130</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current portion</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non-current debt</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41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164,750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67,109</w:t>
            </w:r>
          </w:p>
        </w:tc>
      </w:tr>
    </w:tbl>
    <w:p>
      <w:pPr>
        <w:pStyle w:val="TextBody"/>
        <w:bidi w:val="0"/>
        <w:spacing w:before="0" w:after="20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On February 6, 2026, the Company entered into an amendment to its existing $105.0 million Term Loan to increase the total commitments on the Term Loan to $175.0 million. The incremental proceeds of $70.0 million were used to (i) redeem $28.2 million aggregate principal outstanding on the Remarketed Bonds and (ii) $40.0 million aggregate principal amount outstanding on the Series 2025A Bonds. Accordingly, the Remarketed Bonds and the Series 2025A Bonds have been reclassified to long-term debt and the maturity schedule below reflects the maturity of the total debt after the redemption of the Remarketed Bonds and the Series 2025A Bonds on February 6, 2026 (see Note 27, Subsequent Events).</w:t>
      </w:r>
    </w:p>
    <w:p>
      <w:pPr>
        <w:pStyle w:val="TextBody"/>
        <w:bidi w:val="0"/>
        <w:spacing w:before="0" w:after="20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Future payments for the Company’s long-term debt are as follows (in thousands):</w:t>
      </w:r>
    </w:p>
    <w:p>
      <w:pPr>
        <w:pStyle w:val="TextBody"/>
        <w:bidi w:val="0"/>
        <w:spacing w:before="0" w:after="200"/>
        <w:ind w:left="0" w:right="0" w:firstLine="720"/>
        <w:jc w:val="left"/>
        <w:rPr/>
      </w:pPr>
      <w:r>
        <w:rPr/>
        <w:t>​</w:t>
      </w:r>
    </w:p>
    <w:tbl>
      <w:tblPr>
        <w:tblW w:w="3559" w:type="dxa"/>
        <w:jc w:val="left"/>
        <w:tblInd w:w="0" w:type="dxa"/>
        <w:tblLayout w:type="fixed"/>
        <w:tblCellMar>
          <w:top w:w="0" w:type="dxa"/>
          <w:left w:w="0" w:type="dxa"/>
          <w:bottom w:w="0" w:type="dxa"/>
          <w:right w:w="0" w:type="dxa"/>
        </w:tblCellMar>
      </w:tblPr>
      <w:tblGrid>
        <w:gridCol w:w="2116"/>
        <w:gridCol w:w="346"/>
        <w:gridCol w:w="211"/>
        <w:gridCol w:w="886"/>
      </w:tblGrid>
      <w:tr>
        <w:trPr/>
        <w:tc>
          <w:tcPr>
            <w:tcW w:w="2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1343660" cy="175260"/>
                      <wp:effectExtent l="0" t="0" r="0" b="0"/>
                      <wp:wrapNone/>
                      <wp:docPr id="431" name="Frame431"/>
                      <a:graphic xmlns:a="http://schemas.openxmlformats.org/drawingml/2006/main">
                        <a:graphicData uri="http://schemas.microsoft.com/office/word/2010/wordprocessingShape">
                          <wps:wsp>
                            <wps:cNvSpPr txBox="1"/>
                            <wps:spPr>
                              <a:xfrm>
                                <a:off x="0" y="0"/>
                                <a:ext cx="1343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219710" cy="175260"/>
                      <wp:effectExtent l="0" t="0" r="0" b="0"/>
                      <wp:wrapNone/>
                      <wp:docPr id="432" name="Frame4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133985" cy="175260"/>
                      <wp:effectExtent l="0" t="0" r="0" b="0"/>
                      <wp:wrapNone/>
                      <wp:docPr id="433" name="Frame4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562610" cy="175260"/>
                      <wp:effectExtent l="0" t="0" r="0" b="0"/>
                      <wp:wrapNone/>
                      <wp:docPr id="434" name="Frame43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 Ending December 31, </w:t>
            </w:r>
          </w:p>
        </w:tc>
        <w:tc>
          <w:tcPr>
            <w:tcW w:w="346" w:type="dxa"/>
            <w:tcBorders/>
            <w:vAlign w:val="center"/>
          </w:tcPr>
          <w:p>
            <w:pPr>
              <w:pStyle w:val="TableContents"/>
              <w:bidi w:val="0"/>
              <w:spacing w:before="0" w:after="1"/>
              <w:ind w:left="0" w:right="0" w:hanging="0"/>
              <w:jc w:val="center"/>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Debt</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173,155</w: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2031 and thereafter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173,155</w:t>
            </w:r>
          </w:p>
        </w:tc>
      </w:tr>
    </w:tbl>
    <w:p>
      <w:pPr>
        <w:pStyle w:val="TextBody"/>
        <w:bidi w:val="0"/>
        <w:spacing w:before="0" w:after="0"/>
        <w:ind w:left="0" w:right="0" w:hanging="0"/>
        <w:jc w:val="left"/>
        <w:rPr/>
      </w:pPr>
      <w:r>
        <w:rPr/>
        <w:t>​</w:t>
      </w:r>
    </w:p>
    <w:p>
      <w:pPr>
        <w:pStyle w:val="TextBody"/>
        <w:bidi w:val="0"/>
        <w:spacing w:before="200" w:after="200"/>
        <w:ind w:left="0" w:right="0" w:hanging="0"/>
        <w:jc w:val="left"/>
        <w:rPr>
          <w:rFonts w:ascii="Times New Roman;Times;serif" w:hAnsi="Times New Roman;Times;serif"/>
          <w:b/>
          <w:sz w:val="20"/>
        </w:rPr>
      </w:pPr>
      <w:r>
        <w:rPr>
          <w:rFonts w:ascii="Times New Roman;Times;serif" w:hAnsi="Times New Roman;Times;serif"/>
          <w:b/>
          <w:sz w:val="20"/>
        </w:rPr>
        <w:t>Term Loan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January 31, 2025, the Company, through its subsidiaries Net-Zero North HoldCo, LLC, Richardton-CCS, Net-Zero-Richardton, and other affiliates (collectively, the “Borrower”), entered into a Credit Agreement (the “Agreement”) with OIC Investment Agent, LLC as the administrative agent and collateral agent for the secured parties (“Lenders”), in connection with the Red Trail Energy acquisition transaction. The Agreement provides for a $105 million senior secured term loan (the “Term Loan”) that was funded on the Closing Date with a maturity of January 31, 2030. The proceeds of the Term Loan were used to partially fund the transaction and the payment of fees under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Agreement. The Agreement also provides for additional uncommitted term loans in an aggregate amount to be mutually agreed upon by the Borrower, the Guarantors and the Lenders for use for certain future growth opportunities after the Closing Date. Interest on the Term Loan will accrue at a rate of (i) 10.00% per annum if the net leverage ratio as of the last day of the quarter for the measurement period (the “Measurement Period”) consisting of the prior four consecutive fiscal quarters of the Borrower (“Leverage Ratio”) is less than 1.5x, (ii) 10.75% per annum if the Leverage Ratio is equal to or greater than 1.5x, but less than 3.0x, and (iii) 11.50% per annum if the Leverage Ratio is equal to or greater than 3.0x and shall initially be set at 11.50% per annum until the next quarterly adjustment date. The Leverage Ratio is defined as the ratio of the combined indebtedness of the Borrower and the Guarantors (other than any indebtedness pursuant to any permitted working capital facility) less any cash equivalent investments in any collateral accounts to the consolidated EBITDA of the Borrower and Guarantors for the relevant Measurement Period. Interest will be due and payable in cash at the end of each quarter.</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In connection with the Term Loan, and subject to the other terms under the Agreement, Lenders made an equity investment in HoldCo equal to $5 million on the Closing Date. The organizational documents of HoldCo also provide Lenders with the right to appoint two non-voting observers to the board of managers of HoldCo.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Term Loan is secured by a first-lien security interest subject only to reasonable and customary permitted liens and encumbrances, in all the Borrower’s and each Guarantor’s tangible and intangible assets, properties controlled by Borrower and Guarantors, and contracts, including deposit accounts and collateral assignment of material contracts and certain real estate assets to be determined, and includes a pledge of all equity interests in the Borrower. The Agreement also contains customary affirmative and negative covenants, events of default, mandatory prepayments (including an excess cash flow sweep), conditions precedent, representations, and warranties. On December 26, 2025, the Borrower entered into an amended and restated waiver, consent and amendment letter with the Administrative Agent under the Credit Agreement. Pursuant to the amendment, the Administrative Agent consented to the withdrawal and transfer of approximately $36.4 million from the Borrower’s revenue account. The withdrawn funds were deemed distributed to Gevo Intermediate Holdco, LLC in accordance with the Borrower’s limited liability company agreement and treated as a restricted payment under the Credit Agreement. Except as amended, the Credit Agreement remains in full force and effect. The Company was in compliance with these covenants at December 31, 2025.</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Remarketed Bonds</w:t>
      </w:r>
    </w:p>
    <w:p>
      <w:pPr>
        <w:pStyle w:val="TextBody"/>
        <w:bidi w:val="0"/>
        <w:spacing w:before="0" w:after="200"/>
        <w:ind w:left="0" w:right="0" w:firstLine="720"/>
        <w:jc w:val="left"/>
        <w:rPr>
          <w:rFonts w:ascii="Times New Roman;Times;serif" w:hAnsi="Times New Roman;Times;serif"/>
          <w:b/>
          <w:i/>
          <w:sz w:val="20"/>
        </w:rPr>
      </w:pPr>
      <w:r>
        <w:rPr>
          <w:rFonts w:ascii="Times New Roman;Times;serif" w:hAnsi="Times New Roman;Times;serif"/>
          <w:b w:val="false"/>
          <w:i w:val="false"/>
          <w:caps w:val="false"/>
          <w:smallCaps w:val="false"/>
          <w:sz w:val="20"/>
        </w:rPr>
        <w:t>On April 15, 2021, on behalf of Gevo NW Iowa RNG, LLC, the Iowa Finance Authority (the “Issuer”) issued $68,155,000</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of its non-recourse Solid Waste Facility Revenue Bonds (Gevo NW Iowa RNG, LLC Renewable Natural Gas Project), Series 2021 (Green Bonds) (the “2021 Bonds”) for NW Iowa RNG. The bond proceeds were used as a source of construction financing alongside equity from the Company. The 2021 Bonds were issued under a Trust Indenture dated April 1, 2021 (the “Indenture”) between the Issuer and Citibank, N.A. as trustee (the “Trustee”). The 2021 Bonds had a maturity date of January 1, 2042. The bonds bore interest at 1.5%</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per annum during the Initial Term Rate Period (as defined in the Indenture), payable semi-annually on January 1 and July 1 of each year. The effective interest rate was 1.1%. The 2021 Bonds were supported by the $71.2</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million Bond Letter of Credit; see Note 8, Restricted Cash. The Trustee could draw sufficient amounts on the Bond Letter of Credit to pay the principal and interest until the first mandatory tender date of April 1, 2024. The 2021 Bonds were callable and re-marketable on or after October 1, 2022.</w:t>
      </w:r>
    </w:p>
    <w:p>
      <w:pPr>
        <w:pStyle w:val="TextBody"/>
        <w:bidi w:val="0"/>
        <w:spacing w:before="0" w:after="200"/>
        <w:ind w:left="0" w:right="0" w:firstLine="720"/>
        <w:jc w:val="left"/>
        <w:rPr>
          <w:rFonts w:ascii="Times New Roman;Times;serif" w:hAnsi="Times New Roman;Times;serif"/>
          <w:b/>
          <w:i/>
          <w:sz w:val="20"/>
        </w:rPr>
      </w:pPr>
      <w:r>
        <w:rPr>
          <w:rFonts w:ascii="Times New Roman;Times;serif" w:hAnsi="Times New Roman;Times;serif"/>
          <w:b w:val="false"/>
          <w:i w:val="false"/>
          <w:caps w:val="false"/>
          <w:smallCaps w:val="false"/>
          <w:sz w:val="20"/>
        </w:rPr>
        <w:t>The 2021 Bonds were issued at a premium of $0.8</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million and debt issuance costs were $3.0</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 xml:space="preserve">million. As of the Conversion Date (defined below) all premiums and debt issuance costs were fully amortized. </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2024 Bond Remarketing</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April 1, 2024 (the “Conversion Date”), the 2021 Bonds became subject to mandatory tender for purchase and have been remarketed to bear interest in a new term rate period (the “Remarketed Bonds”). In connection with the conversion and remarketing of the 2021 Bonds on the Conversion Date, the original Indenture was amended by a First Supplemental Indenture dated April 1, 2024 (together with the original Indenture the “First Supplemental Indenture,”) between the Issuer and the Trustee. The original bond financing agreement was amended by a First Supplemental Bond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Financing Agreement dated April 1, 2024 (together with the original bond financing Agreement, the “First Supplemental Bond Financing Agreement”) between the Issuer and the Company. The Remarketed Bonds were accounted for as a debt extinguishment, with no gain or loss recognized from extinguishment.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Remarketed Bonds retained the same $68.2 million principal amount and maturity date of January 1, 2042. The Remarketed Bonds now bear interest of 3.875% per annum during the Initial Term Rate Period (as defined in the Indenture), payable semi-annually. The effective interest rate is 1.2%. The Company incurred $1.7 million of debt issuance costs associated with the remarketing and the Remarketed Bonds have a first mandatory tender date of April 1, 2026. On July 10, 2025, $40.0 million of the Remarketed Bonds were refinanced. The remaining portion of the Remarketed Bonds of $28.2 million is included in Bonds payable, net on the Consolidated Balance as of December 31, 2025. As of December 31, 2025, debt issuance costs net of amortization for the Remarketed Bonds was $0.1 million.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Remarketed Bonds were supported by a $69.6 million New Bond Letter of Credit; see Note 8, Restricted Cash, issued to the incumbent Trustee that can draw sufficient amounts on the New Bond Letter of Credit to pay the principal and interest, in case of default, until the first mandatory tender date of April 1, 2026. With the $40.0 million refinancing of the Remarketed Bonds the trustee reduced the New Bond Letter of Credit to $28.2 million, which is included in Restricted Cash in current assets on the Consolidated Balance sheet as of December 31, 2025. As of December 31, 2025, no amounts have been drawn under the New Bond Letter of Credit.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Series 2025A Bonds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On July 10, 2025, Barclays Capital Inc. purchased $40.0 million of the Remarketed Bonds (the “2025 Bonds” or “Series 2025A Bonds”) on a non-recourse basis. This partial refinancing enabled Gevo to release $40.8 million of restricted cash, including interest of $0.8 million, which was securing the New Bond Letter of Credit and returned approximately $30.4 million of cash to Gevo after paying debt issuance costs of $3.4 million and funding the Debt Service Reserve Fund of $4.0 million and the Operating and Maintenance Reserve Fund of $3.0 million associated with the 2025 Bonds. The total amount of the funds is included in noncurrent restricted cash on the Consolidated Balance Sheet at September 30, 2025. The reserve funds were paid to UMB Bank, the trustee of the bonds. The Debt Service Reserve Fund serves as security for the payment of principal and interest on the bonds. The Operating and Maintenance Reserve Fund also serves as security for the maintenance and operating expenses of the RNG project.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2025 Bonds are in the form of two separate term bonds. Term Bond 1 has a principal amount of $13.8 million, bears interest at 8.125% per annum, and requires semi-annual principal and interest payments beginning January 1, 2026 through July 1, 2030. Term Bond 2, in the principal amount of $26.2 million, bears interest at 8.5%, and requires semi-annual principal and interest payments beginning January 1, 2031 through July 1, 2036. The unamortized debt issuance costs related to the 2025 Bonds as of December 31, 2025 was $3.8 million. The refinancing of the Remarketed Bonds was accounted for as a partial extinguishment of debt. The Company recorded a loss on extinguishment of debt in the amount of $0.4 million related to the refinanced portion of unamortized debt issuance costs on the Remarketed Bonds. The loss is included in other income (expense) on the Consolidated Statement of Operations. The indenture to the 2025 Bonds contains covenants requiring the maintenance of corporate existence and, compliance with laws and prohibits any pledge, liens or encumbrances of the pledged assets. The Company may redeem the 2025 Bonds prior July 1, 2033, by paying a “make-whole redemption price” equal to a 3% premium over the principal amount of the bonds outstanding on the redemption date. The Company was in compliance with all covenants of the 2025 Bonds as of December 31, 2025.</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SBA Loans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April 2020, the Company entered into loan agreements with Live Oak Banking Company, pursuant to which the Company obtained loans from the Small Business Administration’s Paycheck Protection Program (“SBA PPP”) totaling $1.0 million (the “SBA Loans”).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April 2021, the balance of $0.6 million of loans and accrued interest obtained through the SBA PPP were forgiven. The remaining SBA Loan totaled $0.2 million, which bore interest at 1.0% per annum and matured in April 2025. Monthly payments of $8,230, including interest, began on June 5, 2021, and were fully repaid in April 2025.</w:t>
      </w:r>
    </w:p>
    <w:p>
      <w:pPr>
        <w:pStyle w:val="TextBody"/>
        <w:bidi w:val="0"/>
        <w:spacing w:before="0" w:after="0"/>
        <w:ind w:left="0" w:right="0" w:hanging="0"/>
        <w:jc w:val="left"/>
        <w:rPr/>
      </w:pPr>
      <w:r>
        <w:rPr/>
        <w:t>​</w:t>
      </w:r>
    </w:p>
    <w:p>
      <w:pPr>
        <w:pStyle w:val="TextBody"/>
        <w:bidi w:val="0"/>
        <w:spacing w:before="0" w:after="200"/>
        <w:ind w:left="0" w:right="0" w:firstLine="720"/>
        <w:jc w:val="left"/>
        <w:rPr/>
      </w:pPr>
      <w:r>
        <w:rPr/>
        <w:t>​</w:t>
      </w:r>
    </w:p>
    <w:p>
      <w:pPr>
        <w:pStyle w:val="TextBody"/>
        <w:bidi w:val="0"/>
        <w:spacing w:before="0" w:after="200"/>
        <w:ind w:left="0" w:right="0" w:hanging="0"/>
        <w:jc w:val="left"/>
        <w:rPr>
          <w:rFonts w:ascii="Times New Roman;Times;serif" w:hAnsi="Times New Roman;Times;serif"/>
          <w:b/>
          <w:sz w:val="20"/>
        </w:rPr>
      </w:pPr>
      <w:bookmarkStart w:id="1200" w:name="Tc_qRns3uXYxkyL3dLIPCzgyw_11_13"/>
      <w:bookmarkStart w:id="1201" w:name="Tc_wOtPifHfrUyj7mFB9uC7KQ_11_10"/>
      <w:bookmarkStart w:id="1202" w:name="Tc_TEiA7Xg10EuoeW96ARQYlw_11_4"/>
      <w:bookmarkStart w:id="1203" w:name="Tc_Ntw1XFbEqkmjoEaBHsfebw_11_0"/>
      <w:bookmarkStart w:id="1204" w:name="Tc_r80raZ7rSUKTyMTe6vowgA_10_0"/>
      <w:bookmarkStart w:id="1205" w:name="Tc_4THiAOXgm0uPfGUHgDZPNQ_9_0"/>
      <w:bookmarkStart w:id="1206" w:name="Tc_AwQl5-eOEUWI0pkLzV9TBw_8_0"/>
      <w:bookmarkStart w:id="1207" w:name="Tc_SgturHd08EaVpMlD7Vu1Hg_7_13"/>
      <w:bookmarkStart w:id="1208" w:name="Tc_YXrutiTfZUONfRYzihzXXg_7_10"/>
      <w:bookmarkStart w:id="1209" w:name="Tc_A_fOepGgV0a0koyEnIoItQ_7_4"/>
      <w:bookmarkStart w:id="1210" w:name="Tc_exU_pTfRhkesHOTvDI9gKg_7_0"/>
      <w:bookmarkStart w:id="1211" w:name="Tc__8pbddtZqEm5GUSuc9DjfQ_6_13"/>
      <w:bookmarkStart w:id="1212" w:name="Tc_aa3uYUp-5k6c3Exi_YijEQ_6_10"/>
      <w:bookmarkStart w:id="1213" w:name="Tc_pzbDh4hnFUeKnMY7g2qqyg_6_7"/>
      <w:bookmarkStart w:id="1214" w:name="Tc_83_Rbib8aEG68ZkrunjgqA_6_4"/>
      <w:bookmarkStart w:id="1215" w:name="Tc_vHS_vYVM1kmMjHQBcAe8Pw_6_2"/>
      <w:bookmarkStart w:id="1216" w:name="Tc_OsV4Uyqp0USJYSG8enTdOA_5_13"/>
      <w:bookmarkStart w:id="1217" w:name="Tc_Np73y-HlMki4GGiCkFKAxA_5_10"/>
      <w:bookmarkStart w:id="1218" w:name="Tc_rhvwz2aNB06PAnuaF4Pxdw_5_7"/>
      <w:bookmarkStart w:id="1219" w:name="Tc_YKopgan3JEeXj2whGoUWcQ_5_4"/>
      <w:bookmarkStart w:id="1220" w:name="Tc_hBuQYBGJpECO6nppsmlrPA_5_2"/>
      <w:bookmarkStart w:id="1221" w:name="Tc_xs4_whzAzU-w5OX0AxCv9g_4_13"/>
      <w:bookmarkStart w:id="1222" w:name="Tc_GqKgeo54rUGjwr8O28Fk2w_4_10"/>
      <w:bookmarkStart w:id="1223" w:name="Tc_URN19kgeGUyRTtDnFo5Dtg_4_7"/>
      <w:bookmarkStart w:id="1224" w:name="Tc_T3TrdL5QeUuYU0-8k0S8Hw_4_4"/>
      <w:bookmarkStart w:id="1225" w:name="Tc_ZnevQVT4T0-uNVSgLEZVIw_3_10"/>
      <w:bookmarkStart w:id="1226" w:name="Tc_KlA3HsLUdUy3gUifUrN0rg_3_7"/>
      <w:bookmarkStart w:id="1227" w:name="Tc_MRgz-Kiv5UKWY6aRHfiwng_3_4"/>
      <w:bookmarkStart w:id="1228" w:name="Tc_WABfKgyOlUCPYDcgcBQzcQ_2_7"/>
      <w:bookmarkStart w:id="1229" w:name="Tc_IEvj75ziekSyXZ1ecoLpaQ_1_7"/>
      <w:bookmarkStart w:id="1230" w:name="_5fc6e477_c64a_4af5_92ae_2444ccef058d"/>
      <w:bookmarkStart w:id="1231" w:name="Tc_0Loo0Nw0wUCkUSmcNegpOw_6_6"/>
      <w:bookmarkStart w:id="1232" w:name="Tc_jbybfjp4WUSxebGFTQfOzQ_6_3"/>
      <w:bookmarkStart w:id="1233" w:name="Tc_bf4gfRL77k-1gZumUhCCJA_6_0"/>
      <w:bookmarkStart w:id="1234" w:name="Tc_rtseYEH96kqa1PiA05z7zw_5_0"/>
      <w:bookmarkStart w:id="1235" w:name="Tc_T9JL_hLnR02UxK4J3UTk4Q_4_0"/>
      <w:bookmarkStart w:id="1236" w:name="Tc_cvuLYXL1fEGCIqnaW2bAGg_3_6"/>
      <w:bookmarkStart w:id="1237" w:name="Tc_EYzAbcAU-02tRSyAU_CreA_3_3"/>
      <w:bookmarkStart w:id="1238" w:name="Tc_6yM0vid05UuM2FI24qiGkw_3_0"/>
      <w:bookmarkStart w:id="1239" w:name="Tc_Twvu3IN9mEWYUkII_MyAHA_2_6"/>
      <w:bookmarkStart w:id="1240" w:name="Tc_NGu2qoUHy0O8WDSDx2Ndlg_2_3"/>
      <w:bookmarkStart w:id="1241" w:name="Tc_VSC0dgeVGUubl1cV4-BSJA_1_3"/>
      <w:bookmarkStart w:id="1242" w:name="_56e09956_491c_438c_8884_42b8228259aa"/>
      <w:bookmarkStart w:id="1243" w:name="Tc_vD8gc1B_PkO7CsXAFl0dhg_2_0"/>
      <w:bookmarkStart w:id="1244" w:name="Tc_HCThc5rnhUK2ZRSYpN4pQg_1_6"/>
      <w:bookmarkStart w:id="1245" w:name="Tc_Xs5VdbM5e0iKmhzMYch_dg_1_4"/>
      <w:bookmarkStart w:id="1246" w:name="Tc_hE4OviZ5JU-o6b6P9khktQ_1_2"/>
      <w:bookmarkStart w:id="1247" w:name="Tc_S_Fi5ettTk6ChnAzbBpEIQ_1_0"/>
      <w:bookmarkStart w:id="1248" w:name="_62f8c3e8_46ac_4d5e_90a8_997a46f1f55a"/>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r>
        <w:rPr>
          <w:rFonts w:ascii="Times New Roman;Times;serif" w:hAnsi="Times New Roman;Times;serif"/>
          <w:b/>
          <w:sz w:val="20"/>
        </w:rPr>
        <w:t>19. Stock-Based Compensation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Equity incentive plans</w:t>
      </w:r>
      <w:r>
        <w:rPr>
          <w:rFonts w:ascii="Times New Roman;Times;serif" w:hAnsi="Times New Roman;Times;serif"/>
          <w:sz w:val="20"/>
        </w:rPr>
        <w:t xml:space="preserve">. In February 2011, the Company’s stockholders approved the Gevo, Inc. 2010 Stock Incentive Plan (as amended and restated to date, the “2010 Plan”) and the Employee Stock Purchase Plan. The 2010 Plan provides for the grant of non-qualified stock options, incentive stock options, stock appreciation rights, restricted stock awards, restricted stock units and other equity awards to employees and directors of the Company. In May 2025, upon approval of the shareholders at the 2025 Annual Meeting of Stockholders, the 2010 Plan was amended and restated to (1) increase the number of shares of common stock reserved for issuance under the 2010 Plan </w:t>
      </w:r>
      <w:r>
        <w:rPr>
          <w:rFonts w:ascii="Times New Roman" w:hAnsi="Times New Roman"/>
          <w:sz w:val="20"/>
        </w:rPr>
        <w:t>by 15,000,000</w:t>
      </w:r>
      <w:r>
        <w:rPr>
          <w:rFonts w:ascii="Times New Roman;Times;serif" w:hAnsi="Times New Roman;Times;serif"/>
          <w:sz w:val="20"/>
        </w:rPr>
        <w:t xml:space="preserve"> </w:t>
      </w:r>
      <w:r>
        <w:rPr>
          <w:rFonts w:ascii="Times New Roman" w:hAnsi="Times New Roman"/>
          <w:sz w:val="20"/>
        </w:rPr>
        <w:t>shares (providing for a total of 52,980,074</w:t>
      </w:r>
      <w:r>
        <w:rPr>
          <w:rFonts w:ascii="Times New Roman;Times;serif" w:hAnsi="Times New Roman;Times;serif"/>
          <w:sz w:val="20"/>
        </w:rPr>
        <w:t xml:space="preserve"> shares reserved for issuance under the 2010 Plan), </w:t>
      </w:r>
      <w:r>
        <w:rPr>
          <w:rFonts w:ascii="Times New Roman" w:hAnsi="Times New Roman"/>
          <w:sz w:val="20"/>
        </w:rPr>
        <w:t xml:space="preserve">and (2) extend the term of the 2010 Plan to May 21, 2035. </w:t>
      </w:r>
      <w:r>
        <w:rPr>
          <w:rFonts w:ascii="Times New Roman;Times;serif" w:hAnsi="Times New Roman;Times;serif"/>
          <w:sz w:val="20"/>
        </w:rPr>
        <w:t>At December 31, 2025, 9,463,376 shares were available for future issuance under the 2010 Plan.</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53"/>
        <w:gridCol w:w="109"/>
        <w:gridCol w:w="2783"/>
        <w:gridCol w:w="109"/>
        <w:gridCol w:w="1672"/>
        <w:gridCol w:w="109"/>
        <w:gridCol w:w="3970"/>
      </w:tblGrid>
      <w:tr>
        <w:trPr/>
        <w:tc>
          <w:tcPr>
            <w:tcW w:w="14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922655" cy="175260"/>
                      <wp:effectExtent l="0" t="0" r="0" b="0"/>
                      <wp:wrapNone/>
                      <wp:docPr id="435" name="Frame435"/>
                      <a:graphic xmlns:a="http://schemas.openxmlformats.org/drawingml/2006/main">
                        <a:graphicData uri="http://schemas.microsoft.com/office/word/2010/wordprocessingShape">
                          <wps:wsp>
                            <wps:cNvSpPr txBox="1"/>
                            <wps:spPr>
                              <a:xfrm>
                                <a:off x="0" y="0"/>
                                <a:ext cx="922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69215" cy="175260"/>
                      <wp:effectExtent l="0" t="0" r="0" b="0"/>
                      <wp:wrapNone/>
                      <wp:docPr id="436" name="Frame4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1767205" cy="175260"/>
                      <wp:effectExtent l="0" t="0" r="0" b="0"/>
                      <wp:wrapNone/>
                      <wp:docPr id="437" name="Frame437"/>
                      <a:graphic xmlns:a="http://schemas.openxmlformats.org/drawingml/2006/main">
                        <a:graphicData uri="http://schemas.microsoft.com/office/word/2010/wordprocessingShape">
                          <wps:wsp>
                            <wps:cNvSpPr txBox="1"/>
                            <wps:spPr>
                              <a:xfrm>
                                <a:off x="0" y="0"/>
                                <a:ext cx="1767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69215" cy="175260"/>
                      <wp:effectExtent l="0" t="0" r="0" b="0"/>
                      <wp:wrapNone/>
                      <wp:docPr id="438" name="Frame4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1061720" cy="175260"/>
                      <wp:effectExtent l="0" t="0" r="0" b="0"/>
                      <wp:wrapNone/>
                      <wp:docPr id="439" name="Frame439"/>
                      <a:graphic xmlns:a="http://schemas.openxmlformats.org/drawingml/2006/main">
                        <a:graphicData uri="http://schemas.microsoft.com/office/word/2010/wordprocessingShape">
                          <wps:wsp>
                            <wps:cNvSpPr txBox="1"/>
                            <wps:spPr>
                              <a:xfrm>
                                <a:off x="0" y="0"/>
                                <a:ext cx="1061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69215" cy="175260"/>
                      <wp:effectExtent l="0" t="0" r="0" b="0"/>
                      <wp:wrapNone/>
                      <wp:docPr id="440" name="Frame4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2520950" cy="175260"/>
                      <wp:effectExtent l="0" t="0" r="0" b="0"/>
                      <wp:wrapNone/>
                      <wp:docPr id="441" name="Frame441"/>
                      <a:graphic xmlns:a="http://schemas.openxmlformats.org/drawingml/2006/main">
                        <a:graphicData uri="http://schemas.microsoft.com/office/word/2010/wordprocessingShape">
                          <wps:wsp>
                            <wps:cNvSpPr txBox="1"/>
                            <wps:spPr>
                              <a:xfrm>
                                <a:off x="0" y="0"/>
                                <a:ext cx="2520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Plan</w:t>
            </w:r>
          </w:p>
        </w:tc>
        <w:tc>
          <w:tcPr>
            <w:tcW w:w="109" w:type="dxa"/>
            <w:tcBorders/>
            <w:shd w:fill="CCEEFF" w:val="clear"/>
            <w:vAlign w:val="center"/>
          </w:tcPr>
          <w:p>
            <w:pPr>
              <w:pStyle w:val="TableContents"/>
              <w:bidi w:val="0"/>
              <w:spacing w:before="0" w:after="1"/>
              <w:ind w:left="0" w:right="0" w:hanging="0"/>
              <w:jc w:val="left"/>
              <w:rPr/>
            </w:pPr>
            <w:r>
              <w:rPr/>
              <w:t>​</w:t>
            </w:r>
          </w:p>
        </w:tc>
        <w:tc>
          <w:tcPr>
            <w:tcW w:w="2783"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Number of securities to be issued upon exercise of outstanding </w:t>
              <w:br/>
              <w:t>options, warrants and rights</w:t>
            </w:r>
          </w:p>
        </w:tc>
        <w:tc>
          <w:tcPr>
            <w:tcW w:w="109" w:type="dxa"/>
            <w:tcBorders/>
            <w:shd w:fill="CCEEFF" w:val="clear"/>
            <w:vAlign w:val="center"/>
          </w:tcPr>
          <w:p>
            <w:pPr>
              <w:pStyle w:val="TableContents"/>
              <w:bidi w:val="0"/>
              <w:spacing w:before="0" w:after="1"/>
              <w:ind w:left="0" w:right="0" w:hanging="0"/>
              <w:jc w:val="left"/>
              <w:rPr/>
            </w:pPr>
            <w:r>
              <w:rPr/>
              <w:t>​</w:t>
            </w:r>
          </w:p>
        </w:tc>
        <w:tc>
          <w:tcPr>
            <w:tcW w:w="1672"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Weighted Average exercise price</w:t>
            </w:r>
          </w:p>
        </w:tc>
        <w:tc>
          <w:tcPr>
            <w:tcW w:w="109" w:type="dxa"/>
            <w:tcBorders/>
            <w:shd w:fill="CCEEFF" w:val="clear"/>
            <w:vAlign w:val="center"/>
          </w:tcPr>
          <w:p>
            <w:pPr>
              <w:pStyle w:val="TableContents"/>
              <w:bidi w:val="0"/>
              <w:spacing w:before="0" w:after="1"/>
              <w:ind w:left="0" w:right="0" w:hanging="0"/>
              <w:jc w:val="left"/>
              <w:rPr/>
            </w:pPr>
            <w:r>
              <w:rPr/>
              <w:t>​</w:t>
            </w:r>
          </w:p>
        </w:tc>
        <w:tc>
          <w:tcPr>
            <w:tcW w:w="3970"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Number of securities remaining available for future issuance under equity compensation plans </w:t>
            </w:r>
          </w:p>
        </w:tc>
      </w:tr>
      <w:tr>
        <w:trPr/>
        <w:tc>
          <w:tcPr>
            <w:tcW w:w="14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2010 Stock Incentive Plan</w:t>
            </w:r>
          </w:p>
        </w:tc>
        <w:tc>
          <w:tcPr>
            <w:tcW w:w="109" w:type="dxa"/>
            <w:tcBorders/>
            <w:vAlign w:val="center"/>
          </w:tcPr>
          <w:p>
            <w:pPr>
              <w:pStyle w:val="TableContents"/>
              <w:bidi w:val="0"/>
              <w:spacing w:before="0" w:after="1"/>
              <w:ind w:left="0" w:right="0" w:hanging="0"/>
              <w:jc w:val="left"/>
              <w:rPr/>
            </w:pPr>
            <w:r>
              <w:rPr/>
              <w:t>​</w:t>
            </w:r>
          </w:p>
        </w:tc>
        <w:tc>
          <w:tcPr>
            <w:tcW w:w="2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52,980,074</w:t>
            </w:r>
          </w:p>
        </w:tc>
        <w:tc>
          <w:tcPr>
            <w:tcW w:w="109" w:type="dxa"/>
            <w:tcBorders/>
            <w:vAlign w:val="center"/>
          </w:tcPr>
          <w:p>
            <w:pPr>
              <w:pStyle w:val="TableContents"/>
              <w:bidi w:val="0"/>
              <w:spacing w:before="0" w:after="1"/>
              <w:ind w:left="0" w:right="0" w:hanging="0"/>
              <w:jc w:val="left"/>
              <w:rPr/>
            </w:pPr>
            <w:r>
              <w:rPr/>
              <w:t>​</w:t>
            </w:r>
          </w:p>
        </w:tc>
        <w:tc>
          <w:tcPr>
            <w:tcW w:w="16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$ 3.47</w:t>
            </w:r>
          </w:p>
        </w:tc>
        <w:tc>
          <w:tcPr>
            <w:tcW w:w="109" w:type="dxa"/>
            <w:tcBorders/>
            <w:vAlign w:val="center"/>
          </w:tcPr>
          <w:p>
            <w:pPr>
              <w:pStyle w:val="TableContents"/>
              <w:bidi w:val="0"/>
              <w:spacing w:before="0" w:after="1"/>
              <w:ind w:left="0" w:right="0" w:hanging="0"/>
              <w:jc w:val="left"/>
              <w:rPr/>
            </w:pPr>
            <w:r>
              <w:rPr/>
              <w:t>​</w:t>
            </w:r>
          </w:p>
        </w:tc>
        <w:tc>
          <w:tcPr>
            <w:tcW w:w="3970"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9,463,376</w:t>
            </w:r>
          </w:p>
        </w:tc>
      </w:tr>
    </w:tbl>
    <w:p>
      <w:pPr>
        <w:pStyle w:val="TextBody"/>
        <w:bidi w:val="0"/>
        <w:spacing w:before="0" w:after="20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Stock-based compensation expense</w:t>
      </w:r>
      <w:r>
        <w:rPr>
          <w:rFonts w:ascii="Times New Roman;Times;serif" w:hAnsi="Times New Roman;Times;serif"/>
          <w:sz w:val="20"/>
        </w:rPr>
        <w:t>. The Company records stock-based compensation expense during the requisite service period for share-based payment awards granted to employees and non-employees.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Company’s stock-based compensation expense for the periods indicated (in thousands):</w:t>
      </w:r>
    </w:p>
    <w:tbl>
      <w:tblPr>
        <w:tblW w:w="5558" w:type="dxa"/>
        <w:jc w:val="left"/>
        <w:tblInd w:w="0" w:type="dxa"/>
        <w:tblLayout w:type="fixed"/>
        <w:tblCellMar>
          <w:top w:w="0" w:type="dxa"/>
          <w:left w:w="0" w:type="dxa"/>
          <w:bottom w:w="0" w:type="dxa"/>
          <w:right w:w="0" w:type="dxa"/>
        </w:tblCellMar>
      </w:tblPr>
      <w:tblGrid>
        <w:gridCol w:w="2746"/>
        <w:gridCol w:w="346"/>
        <w:gridCol w:w="346"/>
        <w:gridCol w:w="211"/>
        <w:gridCol w:w="571"/>
        <w:gridCol w:w="346"/>
        <w:gridCol w:w="211"/>
        <w:gridCol w:w="781"/>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1743710" cy="175260"/>
                      <wp:effectExtent l="0" t="0" r="0" b="0"/>
                      <wp:wrapNone/>
                      <wp:docPr id="442" name="Frame442"/>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19710" cy="175260"/>
                      <wp:effectExtent l="0" t="0" r="0" b="0"/>
                      <wp:wrapNone/>
                      <wp:docPr id="443" name="Frame4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19710" cy="175260"/>
                      <wp:effectExtent l="0" t="0" r="0" b="0"/>
                      <wp:wrapNone/>
                      <wp:docPr id="444" name="Frame4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133985" cy="175260"/>
                      <wp:effectExtent l="0" t="0" r="0" b="0"/>
                      <wp:wrapNone/>
                      <wp:docPr id="445" name="Frame4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362585" cy="175260"/>
                      <wp:effectExtent l="0" t="0" r="0" b="0"/>
                      <wp:wrapNone/>
                      <wp:docPr id="446" name="Frame44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19710" cy="175260"/>
                      <wp:effectExtent l="0" t="0" r="0" b="0"/>
                      <wp:wrapNone/>
                      <wp:docPr id="447" name="Frame4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133985" cy="175260"/>
                      <wp:effectExtent l="0" t="0" r="0" b="0"/>
                      <wp:wrapNone/>
                      <wp:docPr id="448" name="Frame4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495935" cy="175260"/>
                      <wp:effectExtent l="0" t="0" r="0" b="0"/>
                      <wp:wrapNone/>
                      <wp:docPr id="449" name="Frame44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center"/>
              <w:rPr/>
            </w:pPr>
            <w:r>
              <w:rPr/>
              <w:t>  ​ ​ ​</w:t>
            </w:r>
          </w:p>
        </w:tc>
        <w:tc>
          <w:tcPr>
            <w:tcW w:w="21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27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production</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2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8,093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12,747</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1,926</w:t>
            </w:r>
          </w:p>
        </w:tc>
      </w:tr>
      <w:tr>
        <w:trPr/>
        <w:tc>
          <w:tcPr>
            <w:tcW w:w="2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stock-based compensation</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9,209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14,733</w:t>
            </w:r>
          </w:p>
        </w:tc>
      </w:tr>
    </w:tbl>
    <w:p>
      <w:pPr>
        <w:pStyle w:val="TextBody"/>
        <w:bidi w:val="0"/>
        <w:spacing w:before="0" w:after="2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Stock option award activity</w:t>
      </w:r>
      <w:r>
        <w:rPr>
          <w:rFonts w:ascii="Times New Roman;Times;serif" w:hAnsi="Times New Roman;Times;serif"/>
          <w:sz w:val="20"/>
        </w:rPr>
        <w:t>. Stock option activity under the Company’s stock incentive plans and changes during the year ended December 31, 2025, were as follows:</w:t>
      </w:r>
    </w:p>
    <w:p>
      <w:pPr>
        <w:pStyle w:val="TextBody"/>
        <w:bidi w:val="0"/>
        <w:spacing w:before="0" w:after="0"/>
        <w:ind w:left="0" w:right="0" w:hanging="0"/>
        <w:jc w:val="left"/>
        <w:rPr/>
      </w:pPr>
      <w:r>
        <w:rPr/>
        <w:t>​</w:t>
      </w:r>
    </w:p>
    <w:tbl>
      <w:tblPr>
        <w:tblW w:w="10166" w:type="dxa"/>
        <w:jc w:val="left"/>
        <w:tblInd w:w="0" w:type="dxa"/>
        <w:tblLayout w:type="fixed"/>
        <w:tblCellMar>
          <w:top w:w="0" w:type="dxa"/>
          <w:left w:w="0" w:type="dxa"/>
          <w:bottom w:w="0" w:type="dxa"/>
          <w:right w:w="0" w:type="dxa"/>
        </w:tblCellMar>
      </w:tblPr>
      <w:tblGrid>
        <w:gridCol w:w="3601"/>
        <w:gridCol w:w="346"/>
        <w:gridCol w:w="1036"/>
        <w:gridCol w:w="346"/>
        <w:gridCol w:w="266"/>
        <w:gridCol w:w="589"/>
        <w:gridCol w:w="346"/>
        <w:gridCol w:w="284"/>
        <w:gridCol w:w="707"/>
        <w:gridCol w:w="346"/>
        <w:gridCol w:w="299"/>
        <w:gridCol w:w="662"/>
        <w:gridCol w:w="346"/>
        <w:gridCol w:w="211"/>
        <w:gridCol w:w="781"/>
      </w:tblGrid>
      <w:tr>
        <w:trPr/>
        <w:tc>
          <w:tcPr>
            <w:tcW w:w="3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286635" cy="175260"/>
                      <wp:effectExtent l="0" t="0" r="0" b="0"/>
                      <wp:wrapNone/>
                      <wp:docPr id="450" name="Frame450"/>
                      <a:graphic xmlns:a="http://schemas.openxmlformats.org/drawingml/2006/main">
                        <a:graphicData uri="http://schemas.microsoft.com/office/word/2010/wordprocessingShape">
                          <wps:wsp>
                            <wps:cNvSpPr txBox="1"/>
                            <wps:spPr>
                              <a:xfrm>
                                <a:off x="0" y="0"/>
                                <a:ext cx="2286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19710" cy="175260"/>
                      <wp:effectExtent l="0" t="0" r="0" b="0"/>
                      <wp:wrapNone/>
                      <wp:docPr id="451" name="Frame4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657860" cy="175260"/>
                      <wp:effectExtent l="0" t="0" r="0" b="0"/>
                      <wp:wrapNone/>
                      <wp:docPr id="452" name="Frame45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19710" cy="175260"/>
                      <wp:effectExtent l="0" t="0" r="0" b="0"/>
                      <wp:wrapNone/>
                      <wp:docPr id="453" name="Frame4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168910" cy="175260"/>
                      <wp:effectExtent l="0" t="0" r="0" b="0"/>
                      <wp:wrapNone/>
                      <wp:docPr id="454" name="Frame454"/>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374015" cy="175260"/>
                      <wp:effectExtent l="0" t="0" r="0" b="0"/>
                      <wp:wrapNone/>
                      <wp:docPr id="455" name="Frame455"/>
                      <a:graphic xmlns:a="http://schemas.openxmlformats.org/drawingml/2006/main">
                        <a:graphicData uri="http://schemas.microsoft.com/office/word/2010/wordprocessingShape">
                          <wps:wsp>
                            <wps:cNvSpPr txBox="1"/>
                            <wps:spPr>
                              <a:xfrm>
                                <a:off x="0" y="0"/>
                                <a:ext cx="374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19710" cy="175260"/>
                      <wp:effectExtent l="0" t="0" r="0" b="0"/>
                      <wp:wrapNone/>
                      <wp:docPr id="456" name="Frame4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180340" cy="175260"/>
                      <wp:effectExtent l="0" t="0" r="0" b="0"/>
                      <wp:wrapNone/>
                      <wp:docPr id="457" name="Frame457"/>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448945" cy="175260"/>
                      <wp:effectExtent l="0" t="0" r="0" b="0"/>
                      <wp:wrapNone/>
                      <wp:docPr id="458" name="Frame458"/>
                      <a:graphic xmlns:a="http://schemas.openxmlformats.org/drawingml/2006/main">
                        <a:graphicData uri="http://schemas.microsoft.com/office/word/2010/wordprocessingShape">
                          <wps:wsp>
                            <wps:cNvSpPr txBox="1"/>
                            <wps:spPr>
                              <a:xfrm>
                                <a:off x="0" y="0"/>
                                <a:ext cx="448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19710" cy="175260"/>
                      <wp:effectExtent l="0" t="0" r="0" b="0"/>
                      <wp:wrapNone/>
                      <wp:docPr id="459" name="Frame4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189865" cy="175260"/>
                      <wp:effectExtent l="0" t="0" r="0" b="0"/>
                      <wp:wrapNone/>
                      <wp:docPr id="460" name="Frame460"/>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420370" cy="175260"/>
                      <wp:effectExtent l="0" t="0" r="0" b="0"/>
                      <wp:wrapNone/>
                      <wp:docPr id="461" name="Frame461"/>
                      <a:graphic xmlns:a="http://schemas.openxmlformats.org/drawingml/2006/main">
                        <a:graphicData uri="http://schemas.microsoft.com/office/word/2010/wordprocessingShape">
                          <wps:wsp>
                            <wps:cNvSpPr txBox="1"/>
                            <wps:spPr>
                              <a:xfrm>
                                <a:off x="0" y="0"/>
                                <a:ext cx="420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19710" cy="175260"/>
                      <wp:effectExtent l="0" t="0" r="0" b="0"/>
                      <wp:wrapNone/>
                      <wp:docPr id="462" name="Frame4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133985" cy="175260"/>
                      <wp:effectExtent l="0" t="0" r="0" b="0"/>
                      <wp:wrapNone/>
                      <wp:docPr id="463" name="Frame4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495935" cy="175260"/>
                      <wp:effectExtent l="0" t="0" r="0" b="0"/>
                      <wp:wrapNone/>
                      <wp:docPr id="464" name="Frame46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855"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center"/>
              <w:rPr/>
            </w:pPr>
            <w:r>
              <w:rPr/>
              <w:t>  ​ ​ ​</w:t>
            </w:r>
          </w:p>
        </w:tc>
        <w:tc>
          <w:tcPr>
            <w:tcW w:w="96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r>
      <w:tr>
        <w:trPr/>
        <w:tc>
          <w:tcPr>
            <w:tcW w:w="36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55"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center"/>
              <w:rPr/>
            </w:pPr>
            <w:r>
              <w:rPr/>
              <w:t>​</w:t>
            </w:r>
          </w:p>
        </w:tc>
        <w:tc>
          <w:tcPr>
            <w:tcW w:w="96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r>
      <w:tr>
        <w:trPr/>
        <w:tc>
          <w:tcPr>
            <w:tcW w:w="36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5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46" w:type="dxa"/>
            <w:tcBorders/>
            <w:vAlign w:val="center"/>
          </w:tcPr>
          <w:p>
            <w:pPr>
              <w:pStyle w:val="TableContents"/>
              <w:bidi w:val="0"/>
              <w:spacing w:before="0" w:after="1"/>
              <w:ind w:left="0" w:right="0" w:hanging="0"/>
              <w:jc w:val="center"/>
              <w:rPr/>
            </w:pPr>
            <w:r>
              <w:rPr/>
              <w:t>​</w:t>
            </w:r>
          </w:p>
        </w:tc>
        <w:tc>
          <w:tcPr>
            <w:tcW w:w="9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Weighted- </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r>
      <w:tr>
        <w:trPr/>
        <w:tc>
          <w:tcPr>
            <w:tcW w:w="36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5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46" w:type="dxa"/>
            <w:tcBorders/>
            <w:vAlign w:val="center"/>
          </w:tcPr>
          <w:p>
            <w:pPr>
              <w:pStyle w:val="TableContents"/>
              <w:bidi w:val="0"/>
              <w:spacing w:before="0" w:after="1"/>
              <w:ind w:left="0" w:right="0" w:hanging="0"/>
              <w:jc w:val="center"/>
              <w:rPr/>
            </w:pPr>
            <w:r>
              <w:rPr/>
              <w:t>​</w:t>
            </w:r>
          </w:p>
        </w:tc>
        <w:tc>
          <w:tcPr>
            <w:tcW w:w="9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Average </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36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center"/>
              <w:rPr/>
            </w:pPr>
            <w:r>
              <w:rPr/>
              <w:t>​</w:t>
            </w:r>
          </w:p>
        </w:tc>
        <w:tc>
          <w:tcPr>
            <w:tcW w:w="85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Term</w:t>
            </w:r>
          </w:p>
        </w:tc>
        <w:tc>
          <w:tcPr>
            <w:tcW w:w="346" w:type="dxa"/>
            <w:tcBorders/>
            <w:vAlign w:val="center"/>
          </w:tcPr>
          <w:p>
            <w:pPr>
              <w:pStyle w:val="TableContents"/>
              <w:bidi w:val="0"/>
              <w:spacing w:before="0" w:after="1"/>
              <w:ind w:left="0" w:right="0" w:hanging="0"/>
              <w:jc w:val="center"/>
              <w:rPr/>
            </w:pPr>
            <w:r>
              <w:rPr/>
              <w:t>​</w:t>
            </w:r>
          </w:p>
        </w:tc>
        <w:tc>
          <w:tcPr>
            <w:tcW w:w="9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Grant-Date</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36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1"/>
              <w:ind w:left="0" w:right="0" w:hanging="0"/>
              <w:jc w:val="center"/>
              <w:rPr/>
            </w:pPr>
            <w:r>
              <w:rPr/>
              <w:t>  ​ ​ ​</w:t>
            </w:r>
          </w:p>
        </w:tc>
        <w:tc>
          <w:tcPr>
            <w:tcW w:w="855"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 xml:space="preserve">Price </w:t>
            </w:r>
            <w:r>
              <w:rPr>
                <w:rFonts w:ascii="Times New Roman;Times;serif" w:hAnsi="Times New Roman;Times;serif"/>
                <w:b/>
                <w:sz w:val="12"/>
              </w:rPr>
              <w:t>(1)</w:t>
            </w:r>
          </w:p>
        </w:tc>
        <w:tc>
          <w:tcPr>
            <w:tcW w:w="346" w:type="dxa"/>
            <w:tcBorders/>
            <w:vAlign w:val="center"/>
          </w:tcPr>
          <w:p>
            <w:pPr>
              <w:pStyle w:val="TableContents"/>
              <w:bidi w:val="0"/>
              <w:spacing w:before="0" w:after="1"/>
              <w:ind w:left="0" w:right="0" w:hanging="0"/>
              <w:jc w:val="center"/>
              <w:rPr/>
            </w:pPr>
            <w:r>
              <w:rPr/>
              <w:t>  ​ ​ ​</w:t>
            </w:r>
          </w:p>
        </w:tc>
        <w:tc>
          <w:tcPr>
            <w:tcW w:w="9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46" w:type="dxa"/>
            <w:tcBorders/>
            <w:vAlign w:val="center"/>
          </w:tcPr>
          <w:p>
            <w:pPr>
              <w:pStyle w:val="TableContents"/>
              <w:bidi w:val="0"/>
              <w:spacing w:before="0" w:after="1"/>
              <w:ind w:left="0" w:right="0" w:hanging="0"/>
              <w:jc w:val="center"/>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outstanding at December 31, 2024</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14,103,458</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w:t>
            </w:r>
          </w:p>
        </w:tc>
        <w:tc>
          <w:tcPr>
            <w:tcW w:w="34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346" w:type="dxa"/>
            <w:tcBorders/>
            <w:shd w:fill="CCEEFF" w:val="clear"/>
            <w:vAlign w:val="center"/>
          </w:tcPr>
          <w:p>
            <w:pPr>
              <w:pStyle w:val="TableContents"/>
              <w:bidi w:val="0"/>
              <w:spacing w:before="0" w:after="1"/>
              <w:ind w:left="0" w:right="0" w:hanging="0"/>
              <w:jc w:val="left"/>
              <w:rPr/>
            </w:pPr>
            <w:r>
              <w:rPr/>
              <w:t> </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9,247</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6,893,724</w:t>
            </w:r>
          </w:p>
        </w:tc>
        <w:tc>
          <w:tcPr>
            <w:tcW w:w="34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5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w:t>
            </w:r>
          </w:p>
        </w:tc>
        <w:tc>
          <w:tcPr>
            <w:tcW w:w="34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 </w:t>
            </w:r>
          </w:p>
        </w:tc>
        <w:tc>
          <w:tcPr>
            <w:tcW w:w="707"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99" w:type="dxa"/>
            <w:tcBorders/>
            <w:vAlign w:val="center"/>
          </w:tcPr>
          <w:p>
            <w:pPr>
              <w:pStyle w:val="TableContents"/>
              <w:bidi w:val="0"/>
              <w:spacing w:before="0" w:after="1"/>
              <w:ind w:left="0" w:right="0" w:hanging="0"/>
              <w:jc w:val="left"/>
              <w:rPr/>
            </w:pPr>
            <w:r>
              <w:rPr/>
              <w:t>​</w:t>
            </w:r>
          </w:p>
        </w:tc>
        <w:tc>
          <w:tcPr>
            <w:tcW w:w="66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 and expired</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(692,283)</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5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w:t>
            </w:r>
          </w:p>
        </w:tc>
        <w:tc>
          <w:tcPr>
            <w:tcW w:w="34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 </w:t>
            </w:r>
          </w:p>
        </w:tc>
        <w:tc>
          <w:tcPr>
            <w:tcW w:w="707"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99" w:type="dxa"/>
            <w:tcBorders/>
            <w:shd w:fill="CCEEFF" w:val="clear"/>
            <w:vAlign w:val="center"/>
          </w:tcPr>
          <w:p>
            <w:pPr>
              <w:pStyle w:val="TableContents"/>
              <w:bidi w:val="0"/>
              <w:spacing w:before="0" w:after="1"/>
              <w:ind w:left="0" w:right="0" w:hanging="0"/>
              <w:jc w:val="left"/>
              <w:rPr/>
            </w:pPr>
            <w:r>
              <w:rPr/>
              <w:t>​</w:t>
            </w:r>
          </w:p>
        </w:tc>
        <w:tc>
          <w:tcPr>
            <w:tcW w:w="66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(962,607)</w:t>
            </w:r>
          </w:p>
        </w:tc>
        <w:tc>
          <w:tcPr>
            <w:tcW w:w="34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5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0.83</w:t>
            </w:r>
          </w:p>
        </w:tc>
        <w:tc>
          <w:tcPr>
            <w:tcW w:w="34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 </w:t>
            </w:r>
          </w:p>
        </w:tc>
        <w:tc>
          <w:tcPr>
            <w:tcW w:w="707"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99" w:type="dxa"/>
            <w:tcBorders/>
            <w:vAlign w:val="center"/>
          </w:tcPr>
          <w:p>
            <w:pPr>
              <w:pStyle w:val="TableContents"/>
              <w:bidi w:val="0"/>
              <w:spacing w:before="0" w:after="1"/>
              <w:ind w:left="0" w:right="0" w:hanging="0"/>
              <w:jc w:val="left"/>
              <w:rPr/>
            </w:pPr>
            <w:r>
              <w:rPr/>
              <w:t>​</w:t>
            </w:r>
          </w:p>
        </w:tc>
        <w:tc>
          <w:tcPr>
            <w:tcW w:w="66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outstanding at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19,342,292</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w:t>
            </w:r>
          </w:p>
        </w:tc>
        <w:tc>
          <w:tcPr>
            <w:tcW w:w="34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 </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13,347</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Normal"/>
        <w:bidi w:val="0"/>
        <w:spacing w:before="0" w:after="0"/>
        <w:jc w:val="left"/>
        <w:rPr>
          <w:sz w:val="4"/>
          <w:szCs w:val="4"/>
        </w:rPr>
      </w:pPr>
      <w:r>
        <w:rPr>
          <w:sz w:val="4"/>
          <w:szCs w:val="4"/>
        </w:rPr>
      </w:r>
      <w:bookmarkStart w:id="1249" w:name="Tc_6cR9afpdz0yTL7yHdP8WUQ_9_4"/>
      <w:bookmarkStart w:id="1250" w:name="Tc_UpAJeUf7NU-vwtpguDaaxw_9_0"/>
      <w:bookmarkStart w:id="1251" w:name="Tc_yTeABFs9p02DPHqUzHxm_w_8_4"/>
      <w:bookmarkStart w:id="1252" w:name="Tc_5_kJw0D4fUOaZJA18SpnSQ_8_0"/>
      <w:bookmarkStart w:id="1253" w:name="Tc_G_-wUqH6IkC2MKS91MCQBA_7_4"/>
      <w:bookmarkStart w:id="1254" w:name="Tc_PqIkavyjW0O1bgEXxvqOHw_7_0"/>
      <w:bookmarkStart w:id="1255" w:name="Tc_eJlJ4p5Kh0OLVamlzFTViA_6_4"/>
      <w:bookmarkStart w:id="1256" w:name="Tc_gQP7I88mzEqOcMlg0Xa5aQ_6_0"/>
      <w:bookmarkStart w:id="1257" w:name="Tc_ZLfD1Zhv30-uDDvUC_vrXw_5_4"/>
      <w:bookmarkStart w:id="1258" w:name="Tc_GB9jJ71eKESYjX-XjAsOLg_5_0"/>
      <w:bookmarkStart w:id="1259" w:name="Tc_2I1OgDU_BUCPlur7uGXj2w_4_4"/>
      <w:bookmarkStart w:id="1260" w:name="Tc_fLzx0gfyR0qSzSxaeN3LGQ_4_2"/>
      <w:bookmarkStart w:id="1261" w:name="Tc_BtLqE5YFcUO-8aC6u7pXnA_3_4"/>
      <w:bookmarkStart w:id="1262" w:name="Tc_yr8EZ6UPXEOjIcwmFGL-Ag_3_2"/>
      <w:bookmarkStart w:id="1263" w:name="Tc_4kpX9PHzpka_zYrmRY0Teg_2_4"/>
      <w:bookmarkStart w:id="1264" w:name="Tc_I36Oum2LgU-SM4nSq3Aw5A_1_4"/>
      <w:bookmarkStart w:id="1265" w:name="_b2854844_624a_4336_9624_3a64a0ae2694"/>
      <w:bookmarkStart w:id="1266" w:name="Tc_XSNyO3RzyUGkEVl9T1_eOA_6_5"/>
      <w:bookmarkStart w:id="1267" w:name="Tc_Yls4oC_zGUWBIBslsZSawg_6_2"/>
      <w:bookmarkStart w:id="1268" w:name="Tc_MAiSN2sO7Eqs-UuMfuRa8Q_6_0"/>
      <w:bookmarkStart w:id="1269" w:name="Tc_K7c_UJF6bEWG3VWSEqvcrw_5_0"/>
      <w:bookmarkStart w:id="1270" w:name="Tc_f5rdycoNmkeFPeqHni1t0Q_4_7"/>
      <w:bookmarkStart w:id="1271" w:name="Tc_ogBXz2WdTECHpGwJTjMVag_4_4"/>
      <w:bookmarkStart w:id="1272" w:name="Tc_aaO3XIVyeUiVmmhCHbc3wA_4_0"/>
      <w:bookmarkStart w:id="1273" w:name="Tc_eCZqt0nRlUW1YdKmU6zhEw_3_7"/>
      <w:bookmarkStart w:id="1274" w:name="Tc_VXzGkJjR8Ue_pDGAEoQrJg_3_4"/>
      <w:bookmarkStart w:id="1275" w:name="Tc_MhTD6L0A90-tfxjGR4zUaA_3_0"/>
      <w:bookmarkStart w:id="1276" w:name="Tc_OCSzLHL2_UqyiI7dcRJYIQ_2_5"/>
      <w:bookmarkStart w:id="1277" w:name="Tc_gBP1bvYet0K_YpbMSPmUfA_2_2"/>
      <w:bookmarkStart w:id="1278" w:name="Tc_qk-bjdf-u0y79Muiub1uKg_1_2"/>
      <w:bookmarkStart w:id="1279" w:name="_a3aa4720_c7bc_409e_a781_dbc64b4d2fa7"/>
      <w:bookmarkStart w:id="1280" w:name="Narr_hFyXmGQKvUOW6zyn7cILcA"/>
      <w:bookmarkStart w:id="1281" w:name="Tc_x6SaI_jb0EmO-xLCMVjnKg_12_13"/>
      <w:bookmarkStart w:id="1282" w:name="Tc_JAipXKRwRU6PvQF2FIgKUA_12_10"/>
      <w:bookmarkStart w:id="1283" w:name="Tc_cBKkBjY_70689r86gtpZiw_12_4"/>
      <w:bookmarkStart w:id="1284" w:name="Tc_2VXM-zfolkS8NI4GTxFuxw_12_0"/>
      <w:bookmarkStart w:id="1285" w:name="Tc_6cR9afpdz0yTL7yHdP8WUQ_9_4"/>
      <w:bookmarkStart w:id="1286" w:name="Tc_UpAJeUf7NU-vwtpguDaaxw_9_0"/>
      <w:bookmarkStart w:id="1287" w:name="Tc_yTeABFs9p02DPHqUzHxm_w_8_4"/>
      <w:bookmarkStart w:id="1288" w:name="Tc_5_kJw0D4fUOaZJA18SpnSQ_8_0"/>
      <w:bookmarkStart w:id="1289" w:name="Tc_G_-wUqH6IkC2MKS91MCQBA_7_4"/>
      <w:bookmarkStart w:id="1290" w:name="Tc_PqIkavyjW0O1bgEXxvqOHw_7_0"/>
      <w:bookmarkStart w:id="1291" w:name="Tc_eJlJ4p5Kh0OLVamlzFTViA_6_4"/>
      <w:bookmarkStart w:id="1292" w:name="Tc_gQP7I88mzEqOcMlg0Xa5aQ_6_0"/>
      <w:bookmarkStart w:id="1293" w:name="Tc_ZLfD1Zhv30-uDDvUC_vrXw_5_4"/>
      <w:bookmarkStart w:id="1294" w:name="Tc_GB9jJ71eKESYjX-XjAsOLg_5_0"/>
      <w:bookmarkStart w:id="1295" w:name="Tc_2I1OgDU_BUCPlur7uGXj2w_4_4"/>
      <w:bookmarkStart w:id="1296" w:name="Tc_fLzx0gfyR0qSzSxaeN3LGQ_4_2"/>
      <w:bookmarkStart w:id="1297" w:name="Tc_BtLqE5YFcUO-8aC6u7pXnA_3_4"/>
      <w:bookmarkStart w:id="1298" w:name="Tc_yr8EZ6UPXEOjIcwmFGL-Ag_3_2"/>
      <w:bookmarkStart w:id="1299" w:name="Tc_4kpX9PHzpka_zYrmRY0Teg_2_4"/>
      <w:bookmarkStart w:id="1300" w:name="Tc_I36Oum2LgU-SM4nSq3Aw5A_1_4"/>
      <w:bookmarkStart w:id="1301" w:name="_b2854844_624a_4336_9624_3a64a0ae2694"/>
      <w:bookmarkStart w:id="1302" w:name="Tc_XSNyO3RzyUGkEVl9T1_eOA_6_5"/>
      <w:bookmarkStart w:id="1303" w:name="Tc_Yls4oC_zGUWBIBslsZSawg_6_2"/>
      <w:bookmarkStart w:id="1304" w:name="Tc_MAiSN2sO7Eqs-UuMfuRa8Q_6_0"/>
      <w:bookmarkStart w:id="1305" w:name="Tc_K7c_UJF6bEWG3VWSEqvcrw_5_0"/>
      <w:bookmarkStart w:id="1306" w:name="Tc_f5rdycoNmkeFPeqHni1t0Q_4_7"/>
      <w:bookmarkStart w:id="1307" w:name="Tc_ogBXz2WdTECHpGwJTjMVag_4_4"/>
      <w:bookmarkStart w:id="1308" w:name="Tc_aaO3XIVyeUiVmmhCHbc3wA_4_0"/>
      <w:bookmarkStart w:id="1309" w:name="Tc_eCZqt0nRlUW1YdKmU6zhEw_3_7"/>
      <w:bookmarkStart w:id="1310" w:name="Tc_VXzGkJjR8Ue_pDGAEoQrJg_3_4"/>
      <w:bookmarkStart w:id="1311" w:name="Tc_MhTD6L0A90-tfxjGR4zUaA_3_0"/>
      <w:bookmarkStart w:id="1312" w:name="Tc_OCSzLHL2_UqyiI7dcRJYIQ_2_5"/>
      <w:bookmarkStart w:id="1313" w:name="Tc_gBP1bvYet0K_YpbMSPmUfA_2_2"/>
      <w:bookmarkStart w:id="1314" w:name="Tc_qk-bjdf-u0y79Muiub1uKg_1_2"/>
      <w:bookmarkStart w:id="1315" w:name="_a3aa4720_c7bc_409e_a781_dbc64b4d2fa7"/>
      <w:bookmarkStart w:id="1316" w:name="Narr_hFyXmGQKvUOW6zyn7cILcA"/>
      <w:bookmarkStart w:id="1317" w:name="Tc_x6SaI_jb0EmO-xLCMVjnKg_12_13"/>
      <w:bookmarkStart w:id="1318" w:name="Tc_JAipXKRwRU6PvQF2FIgKUA_12_10"/>
      <w:bookmarkStart w:id="1319" w:name="Tc_cBKkBjY_70689r86gtpZiw_12_4"/>
      <w:bookmarkStart w:id="1320" w:name="Tc_2VXM-zfolkS8NI4GTxFuxw_12_0"/>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p>
    <w:tbl>
      <w:tblPr>
        <w:tblW w:w="9332" w:type="dxa"/>
        <w:jc w:val="left"/>
        <w:tblInd w:w="0" w:type="dxa"/>
        <w:tblLayout w:type="fixed"/>
        <w:tblCellMar>
          <w:top w:w="0" w:type="dxa"/>
          <w:left w:w="0" w:type="dxa"/>
          <w:bottom w:w="0" w:type="dxa"/>
          <w:right w:w="0" w:type="dxa"/>
        </w:tblCellMar>
      </w:tblPr>
      <w:tblGrid>
        <w:gridCol w:w="4861"/>
        <w:gridCol w:w="146"/>
        <w:gridCol w:w="1036"/>
        <w:gridCol w:w="109"/>
        <w:gridCol w:w="211"/>
        <w:gridCol w:w="466"/>
        <w:gridCol w:w="109"/>
        <w:gridCol w:w="146"/>
        <w:gridCol w:w="361"/>
        <w:gridCol w:w="109"/>
        <w:gridCol w:w="211"/>
        <w:gridCol w:w="466"/>
        <w:gridCol w:w="109"/>
        <w:gridCol w:w="211"/>
        <w:gridCol w:w="781"/>
      </w:tblGrid>
      <w:tr>
        <w:trPr/>
        <w:tc>
          <w:tcPr>
            <w:tcW w:w="48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vested and expected to vest at December 31, 2025</w:t>
            </w:r>
          </w:p>
        </w:tc>
        <w:tc>
          <w:tcPr>
            <w:tcW w:w="146" w:type="dxa"/>
            <w:tcBorders/>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19,342,292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w:t>
            </w:r>
          </w:p>
        </w:tc>
        <w:tc>
          <w:tcPr>
            <w:tcW w:w="109"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3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13,347</w:t>
            </w:r>
          </w:p>
        </w:tc>
      </w:tr>
    </w:tbl>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Exercise price of options outstanding range from $0.67</w:t>
            </w:r>
            <w:r>
              <w:rPr>
                <w:caps w:val="false"/>
                <w:smallCaps w:val="false"/>
              </w:rPr>
              <w:t xml:space="preserve"> </w:t>
            </w:r>
            <w:r>
              <w:rPr>
                <w:rFonts w:ascii="Times New Roman;Times;serif" w:hAnsi="Times New Roman;Times;serif"/>
                <w:b w:val="false"/>
                <w:i w:val="false"/>
                <w:caps w:val="false"/>
                <w:smallCaps w:val="false"/>
                <w:sz w:val="20"/>
              </w:rPr>
              <w:t>to $20.00</w:t>
            </w:r>
            <w:r>
              <w:rPr>
                <w:caps w:val="false"/>
                <w:smallCaps w:val="false"/>
              </w:rPr>
              <w:t xml:space="preserve"> </w:t>
            </w:r>
            <w:r>
              <w:rPr>
                <w:rFonts w:ascii="Times New Roman;Times;serif" w:hAnsi="Times New Roman;Times;serif"/>
                <w:b w:val="false"/>
                <w:i w:val="false"/>
                <w:caps w:val="false"/>
                <w:smallCaps w:val="false"/>
                <w:sz w:val="20"/>
              </w:rPr>
              <w:t>as of December 31, 2025. The exercise price is the closing market price on the date the stock options are granted. Stock options granted to employees typically vest over three years</w:t>
            </w:r>
            <w:r>
              <w:rPr>
                <w:caps w:val="false"/>
                <w:smallCaps w:val="false"/>
              </w:rPr>
              <w:t xml:space="preserve"> </w:t>
            </w:r>
            <w:r>
              <w:rPr>
                <w:rFonts w:ascii="Times New Roman;Times;serif" w:hAnsi="Times New Roman;Times;serif"/>
                <w:b w:val="false"/>
                <w:i w:val="false"/>
                <w:caps w:val="false"/>
                <w:smallCaps w:val="false"/>
                <w:sz w:val="20"/>
              </w:rPr>
              <w:t>in equal annual installments on the anniversary of the grant date.</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As of December 31, 2025, 8.7 million stock options were exercisable. As of December 31, 2025, the total unrecognized compensation expense relating to stock options was $7.2 million, which is expected to be recognized over the remaining weighted-average period of approximately 1.4 years.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weighted average Black-Scholes option pricing model assumptions (no dividends were expected) and resulting grant date fair value for the stock options granted during the years ended December 31, 2025, and 2024:</w:t>
      </w:r>
    </w:p>
    <w:p>
      <w:pPr>
        <w:pStyle w:val="TextBody"/>
        <w:bidi w:val="0"/>
        <w:spacing w:before="0" w:after="200"/>
        <w:ind w:left="0" w:right="0" w:firstLine="720"/>
        <w:jc w:val="left"/>
        <w:rPr/>
      </w:pPr>
      <w:r>
        <w:rPr/>
        <w:t>​</w:t>
      </w:r>
    </w:p>
    <w:p>
      <w:pPr>
        <w:pStyle w:val="TextBody"/>
        <w:bidi w:val="0"/>
        <w:spacing w:before="0" w:after="0"/>
        <w:ind w:left="0" w:right="0" w:hanging="0"/>
        <w:jc w:val="left"/>
        <w:rPr/>
      </w:pPr>
      <w:r>
        <w:rPr/>
        <w:t>​</w:t>
      </w:r>
    </w:p>
    <w:tbl>
      <w:tblPr>
        <w:tblW w:w="5057" w:type="dxa"/>
        <w:jc w:val="left"/>
        <w:tblInd w:w="0" w:type="dxa"/>
        <w:tblLayout w:type="fixed"/>
        <w:tblCellMar>
          <w:top w:w="0" w:type="dxa"/>
          <w:left w:w="0" w:type="dxa"/>
          <w:bottom w:w="0" w:type="dxa"/>
          <w:right w:w="0" w:type="dxa"/>
        </w:tblCellMar>
      </w:tblPr>
      <w:tblGrid>
        <w:gridCol w:w="2416"/>
        <w:gridCol w:w="286"/>
        <w:gridCol w:w="253"/>
        <w:gridCol w:w="559"/>
        <w:gridCol w:w="415"/>
        <w:gridCol w:w="253"/>
        <w:gridCol w:w="559"/>
        <w:gridCol w:w="316"/>
      </w:tblGrid>
      <w:tr>
        <w:trPr/>
        <w:tc>
          <w:tcPr>
            <w:tcW w:w="2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1534160" cy="175260"/>
                      <wp:effectExtent l="0" t="0" r="0" b="0"/>
                      <wp:wrapNone/>
                      <wp:docPr id="465" name="Frame465"/>
                      <a:graphic xmlns:a="http://schemas.openxmlformats.org/drawingml/2006/main">
                        <a:graphicData uri="http://schemas.microsoft.com/office/word/2010/wordprocessingShape">
                          <wps:wsp>
                            <wps:cNvSpPr txBox="1"/>
                            <wps:spPr>
                              <a:xfrm>
                                <a:off x="0" y="0"/>
                                <a:ext cx="153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181610" cy="175260"/>
                      <wp:effectExtent l="0" t="0" r="0" b="0"/>
                      <wp:wrapNone/>
                      <wp:docPr id="466" name="Frame46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160655" cy="175260"/>
                      <wp:effectExtent l="0" t="0" r="0" b="0"/>
                      <wp:wrapNone/>
                      <wp:docPr id="467" name="Frame467"/>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354965" cy="175260"/>
                      <wp:effectExtent l="0" t="0" r="0" b="0"/>
                      <wp:wrapNone/>
                      <wp:docPr id="468" name="Frame468"/>
                      <a:graphic xmlns:a="http://schemas.openxmlformats.org/drawingml/2006/main">
                        <a:graphicData uri="http://schemas.microsoft.com/office/word/2010/wordprocessingShape">
                          <wps:wsp>
                            <wps:cNvSpPr txBox="1"/>
                            <wps:spPr>
                              <a:xfrm>
                                <a:off x="0" y="0"/>
                                <a:ext cx="354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63525" cy="175260"/>
                      <wp:effectExtent l="0" t="0" r="0" b="0"/>
                      <wp:wrapNone/>
                      <wp:docPr id="469" name="Frame469"/>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160655" cy="175260"/>
                      <wp:effectExtent l="0" t="0" r="0" b="0"/>
                      <wp:wrapNone/>
                      <wp:docPr id="470" name="Frame470"/>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354965" cy="175260"/>
                      <wp:effectExtent l="0" t="0" r="0" b="0"/>
                      <wp:wrapNone/>
                      <wp:docPr id="471" name="Frame471"/>
                      <a:graphic xmlns:a="http://schemas.openxmlformats.org/drawingml/2006/main">
                        <a:graphicData uri="http://schemas.microsoft.com/office/word/2010/wordprocessingShape">
                          <wps:wsp>
                            <wps:cNvSpPr txBox="1"/>
                            <wps:spPr>
                              <a:xfrm>
                                <a:off x="0" y="0"/>
                                <a:ext cx="354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00660" cy="175260"/>
                      <wp:effectExtent l="0" t="0" r="0" b="0"/>
                      <wp:wrapNone/>
                      <wp:docPr id="472" name="Frame47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1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03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c>
          <w:tcPr>
            <w:tcW w:w="316" w:type="dxa"/>
            <w:tcBorders/>
            <w:vAlign w:val="center"/>
          </w:tcPr>
          <w:p>
            <w:pPr>
              <w:pStyle w:val="TableContents"/>
              <w:bidi w:val="0"/>
              <w:spacing w:before="0" w:after="0"/>
              <w:ind w:left="0" w:right="0" w:hanging="0"/>
              <w:jc w:val="left"/>
              <w:rPr/>
            </w:pPr>
            <w:r>
              <w:rPr/>
              <w:t>​</w:t>
            </w:r>
          </w:p>
        </w:tc>
      </w:tr>
      <w:tr>
        <w:trPr/>
        <w:tc>
          <w:tcPr>
            <w:tcW w:w="241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 ​</w:t>
            </w:r>
          </w:p>
        </w:tc>
        <w:tc>
          <w:tcPr>
            <w:tcW w:w="8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15" w:type="dxa"/>
            <w:tcBorders/>
            <w:vAlign w:val="center"/>
          </w:tcPr>
          <w:p>
            <w:pPr>
              <w:pStyle w:val="TableContents"/>
              <w:bidi w:val="0"/>
              <w:spacing w:before="0" w:after="0"/>
              <w:ind w:left="0" w:right="0" w:hanging="0"/>
              <w:jc w:val="left"/>
              <w:rPr/>
            </w:pPr>
            <w:r>
              <w:rPr/>
              <w:t>  ​ ​ ​</w:t>
            </w:r>
          </w:p>
        </w:tc>
        <w:tc>
          <w:tcPr>
            <w:tcW w:w="8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16" w:type="dxa"/>
            <w:tcBorders/>
            <w:vAlign w:val="center"/>
          </w:tcPr>
          <w:p>
            <w:pPr>
              <w:pStyle w:val="TableContents"/>
              <w:bidi w:val="0"/>
              <w:spacing w:before="0" w:after="0"/>
              <w:ind w:left="0" w:right="0" w:hanging="0"/>
              <w:jc w:val="center"/>
              <w:rPr/>
            </w:pPr>
            <w:r>
              <w:rPr/>
              <w:t> </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286" w:type="dxa"/>
            <w:tcBorders/>
            <w:shd w:fill="CCEEFF" w:val="clear"/>
            <w:vAlign w:val="center"/>
          </w:tcPr>
          <w:p>
            <w:pPr>
              <w:pStyle w:val="TableContents"/>
              <w:bidi w:val="0"/>
              <w:spacing w:before="0" w:after="0"/>
              <w:ind w:left="0" w:right="0" w:hanging="0"/>
              <w:jc w:val="left"/>
              <w:rPr/>
            </w:pPr>
            <w:r>
              <w:rPr/>
              <w:t> </w:t>
            </w:r>
          </w:p>
        </w:tc>
        <w:tc>
          <w:tcPr>
            <w:tcW w:w="253" w:type="dxa"/>
            <w:tcBorders/>
            <w:shd w:fill="CCEEFF" w:val="clear"/>
            <w:vAlign w:val="center"/>
          </w:tcPr>
          <w:p>
            <w:pPr>
              <w:pStyle w:val="TableContents"/>
              <w:bidi w:val="0"/>
              <w:spacing w:before="0" w:after="0"/>
              <w:ind w:left="0" w:right="0" w:hanging="0"/>
              <w:jc w:val="left"/>
              <w:rPr/>
            </w:pPr>
            <w:r>
              <w:rPr/>
              <w:t>​</w:t>
            </w:r>
          </w:p>
        </w:tc>
        <w:tc>
          <w:tcPr>
            <w:tcW w:w="5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4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53" w:type="dxa"/>
            <w:tcBorders/>
            <w:shd w:fill="CCEEFF" w:val="clear"/>
            <w:vAlign w:val="center"/>
          </w:tcPr>
          <w:p>
            <w:pPr>
              <w:pStyle w:val="TableContents"/>
              <w:bidi w:val="0"/>
              <w:spacing w:before="0" w:after="0"/>
              <w:ind w:left="0" w:right="0" w:hanging="0"/>
              <w:jc w:val="left"/>
              <w:rPr/>
            </w:pPr>
            <w:r>
              <w:rPr/>
              <w:t>​</w:t>
            </w:r>
          </w:p>
        </w:tc>
        <w:tc>
          <w:tcPr>
            <w:tcW w:w="5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 factor</w:t>
            </w:r>
          </w:p>
        </w:tc>
        <w:tc>
          <w:tcPr>
            <w:tcW w:w="28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w:t>
            </w:r>
          </w:p>
        </w:tc>
        <w:tc>
          <w:tcPr>
            <w:tcW w:w="5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4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53" w:type="dxa"/>
            <w:tcBorders/>
            <w:vAlign w:val="center"/>
          </w:tcPr>
          <w:p>
            <w:pPr>
              <w:pStyle w:val="TableContents"/>
              <w:bidi w:val="0"/>
              <w:spacing w:before="0" w:after="0"/>
              <w:ind w:left="0" w:right="0" w:hanging="0"/>
              <w:jc w:val="left"/>
              <w:rPr/>
            </w:pPr>
            <w:r>
              <w:rPr/>
              <w:t>​</w:t>
            </w:r>
          </w:p>
        </w:tc>
        <w:tc>
          <w:tcPr>
            <w:tcW w:w="5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option life (years)</w:t>
            </w:r>
          </w:p>
        </w:tc>
        <w:tc>
          <w:tcPr>
            <w:tcW w:w="286" w:type="dxa"/>
            <w:tcBorders/>
            <w:shd w:fill="CCEEFF" w:val="clear"/>
            <w:vAlign w:val="center"/>
          </w:tcPr>
          <w:p>
            <w:pPr>
              <w:pStyle w:val="TableContents"/>
              <w:bidi w:val="0"/>
              <w:spacing w:before="0" w:after="0"/>
              <w:ind w:left="0" w:right="0" w:hanging="0"/>
              <w:jc w:val="left"/>
              <w:rPr/>
            </w:pPr>
            <w:r>
              <w:rPr/>
              <w:t> </w:t>
            </w:r>
          </w:p>
        </w:tc>
        <w:tc>
          <w:tcPr>
            <w:tcW w:w="253" w:type="dxa"/>
            <w:tcBorders/>
            <w:shd w:fill="CCEEFF" w:val="clear"/>
            <w:vAlign w:val="center"/>
          </w:tcPr>
          <w:p>
            <w:pPr>
              <w:pStyle w:val="TableContents"/>
              <w:bidi w:val="0"/>
              <w:spacing w:before="0" w:after="0"/>
              <w:ind w:left="0" w:right="0" w:hanging="0"/>
              <w:jc w:val="left"/>
              <w:rPr/>
            </w:pPr>
            <w:r>
              <w:rPr/>
              <w:t>​</w:t>
            </w:r>
          </w:p>
        </w:tc>
        <w:tc>
          <w:tcPr>
            <w:tcW w:w="5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415" w:type="dxa"/>
            <w:tcBorders/>
            <w:shd w:fill="CCEEFF" w:val="clear"/>
            <w:vAlign w:val="center"/>
          </w:tcPr>
          <w:p>
            <w:pPr>
              <w:pStyle w:val="TableContents"/>
              <w:bidi w:val="0"/>
              <w:spacing w:before="0" w:after="0"/>
              <w:ind w:left="0" w:right="0" w:hanging="0"/>
              <w:jc w:val="left"/>
              <w:rPr/>
            </w:pPr>
            <w:r>
              <w:rPr/>
              <w:t> </w:t>
            </w:r>
          </w:p>
        </w:tc>
        <w:tc>
          <w:tcPr>
            <w:tcW w:w="253" w:type="dxa"/>
            <w:tcBorders/>
            <w:shd w:fill="CCEEFF" w:val="clear"/>
            <w:vAlign w:val="center"/>
          </w:tcPr>
          <w:p>
            <w:pPr>
              <w:pStyle w:val="TableContents"/>
              <w:bidi w:val="0"/>
              <w:spacing w:before="0" w:after="0"/>
              <w:ind w:left="0" w:right="0" w:hanging="0"/>
              <w:jc w:val="left"/>
              <w:rPr/>
            </w:pPr>
            <w:r>
              <w:rPr/>
              <w:t>​</w:t>
            </w:r>
          </w:p>
        </w:tc>
        <w:tc>
          <w:tcPr>
            <w:tcW w:w="5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fair value</w:t>
            </w:r>
          </w:p>
        </w:tc>
        <w:tc>
          <w:tcPr>
            <w:tcW w:w="28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415"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0.63</w:t>
            </w:r>
          </w:p>
        </w:tc>
        <w:tc>
          <w:tcPr>
            <w:tcW w:w="3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There is a maximum contractual term of </w:t>
      </w:r>
      <w:r>
        <w:rPr>
          <w:rFonts w:ascii="Times New Roman;Times;serif" w:hAnsi="Times New Roman;Times;serif"/>
          <w:b w:val="false"/>
          <w:i w:val="false"/>
          <w:caps w:val="false"/>
          <w:smallCaps w:val="false"/>
          <w:sz w:val="20"/>
        </w:rPr>
        <w:t>ten years</w:t>
      </w:r>
      <w:r>
        <w:rPr>
          <w:rFonts w:ascii="Times New Roman;Times;serif" w:hAnsi="Times New Roman;Times;serif"/>
          <w:sz w:val="20"/>
        </w:rPr>
        <w:t xml:space="preserve"> for the share options. The Company settles stock option exercises with newly issued common shares. No tax benefits were realized by the Company in connection with these exercises as the Company maintains net operating loss carryforwards and has established a valuation allowance against the entire tax benefit.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Restricted Stock.</w:t>
      </w:r>
      <w:r>
        <w:rPr>
          <w:rFonts w:ascii="Times New Roman;Times;serif" w:hAnsi="Times New Roman;Times;serif"/>
          <w:sz w:val="20"/>
        </w:rPr>
        <w:t xml:space="preserve"> The Company periodically grants restricted stock awards to employees and directors. The restricted stock awards are valued based on the closing price per share on the date of grant. The vesting period for restricted stock awards granted may be based upon a service period or based upon the attainment of performance objectives. The Company recognizes stock-based compensation over the vesting period, which for awards that vest based on a service period is generally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 to three years.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Non-vested restricted stock awards at December 31, 2025, and changes during the year ended December 31, 2025, were as follows:</w:t>
      </w:r>
    </w:p>
    <w:p>
      <w:pPr>
        <w:pStyle w:val="TextBody"/>
        <w:bidi w:val="0"/>
        <w:spacing w:before="0" w:after="0"/>
        <w:ind w:left="0" w:right="0" w:hanging="0"/>
        <w:jc w:val="left"/>
        <w:rPr/>
      </w:pPr>
      <w:r>
        <w:rPr/>
        <w:t>​</w:t>
      </w:r>
    </w:p>
    <w:tbl>
      <w:tblPr>
        <w:tblW w:w="5690" w:type="dxa"/>
        <w:jc w:val="left"/>
        <w:tblInd w:w="0" w:type="dxa"/>
        <w:tblLayout w:type="fixed"/>
        <w:tblCellMar>
          <w:top w:w="0" w:type="dxa"/>
          <w:left w:w="0" w:type="dxa"/>
          <w:bottom w:w="0" w:type="dxa"/>
          <w:right w:w="0" w:type="dxa"/>
        </w:tblCellMar>
      </w:tblPr>
      <w:tblGrid>
        <w:gridCol w:w="2941"/>
        <w:gridCol w:w="346"/>
        <w:gridCol w:w="1051"/>
        <w:gridCol w:w="346"/>
        <w:gridCol w:w="270"/>
        <w:gridCol w:w="736"/>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1867535" cy="175260"/>
                      <wp:effectExtent l="0" t="0" r="0" b="0"/>
                      <wp:wrapNone/>
                      <wp:docPr id="473" name="Frame473"/>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219710" cy="175260"/>
                      <wp:effectExtent l="0" t="0" r="0" b="0"/>
                      <wp:wrapNone/>
                      <wp:docPr id="474" name="Frame4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667385" cy="175260"/>
                      <wp:effectExtent l="0" t="0" r="0" b="0"/>
                      <wp:wrapNone/>
                      <wp:docPr id="475" name="Frame475"/>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19710" cy="175260"/>
                      <wp:effectExtent l="0" t="0" r="0" b="0"/>
                      <wp:wrapNone/>
                      <wp:docPr id="476" name="Frame4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171450" cy="175260"/>
                      <wp:effectExtent l="0" t="0" r="0" b="0"/>
                      <wp:wrapNone/>
                      <wp:docPr id="477" name="Frame477"/>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467360" cy="175260"/>
                      <wp:effectExtent l="0" t="0" r="0" b="0"/>
                      <wp:wrapNone/>
                      <wp:docPr id="478" name="Frame47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Weighted- </w:t>
            </w:r>
          </w:p>
        </w:tc>
      </w:tr>
      <w:tr>
        <w:trPr/>
        <w:tc>
          <w:tcPr>
            <w:tcW w:w="29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Average </w:t>
            </w:r>
          </w:p>
        </w:tc>
      </w:tr>
      <w:tr>
        <w:trPr/>
        <w:tc>
          <w:tcPr>
            <w:tcW w:w="29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Number of </w:t>
            </w:r>
          </w:p>
        </w:tc>
        <w:tc>
          <w:tcPr>
            <w:tcW w:w="346" w:type="dxa"/>
            <w:tcBorders/>
            <w:vAlign w:val="center"/>
          </w:tcPr>
          <w:p>
            <w:pPr>
              <w:pStyle w:val="TableContents"/>
              <w:bidi w:val="0"/>
              <w:spacing w:before="0" w:after="0"/>
              <w:ind w:left="0" w:right="0" w:hanging="0"/>
              <w:jc w:val="center"/>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Grant-Date</w:t>
            </w:r>
          </w:p>
        </w:tc>
      </w:tr>
      <w:tr>
        <w:trPr/>
        <w:tc>
          <w:tcPr>
            <w:tcW w:w="29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rPr/>
            </w:pPr>
            <w:r>
              <w:rPr/>
              <w:t>​</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31, 2024</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7,588,144</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2,360,659</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and issued</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(3,223,480)</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 and expired</w:t>
            </w:r>
          </w:p>
        </w:tc>
        <w:tc>
          <w:tcPr>
            <w:tcW w:w="34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(462,743)</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6,262,580</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1.02</w:t>
            </w:r>
          </w:p>
        </w:tc>
      </w:tr>
    </w:tbl>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As of December 31, 2025, the total unrecognized compensation expense relating to restricted stock awards was $4.6 million, which is expected to be recognized over the remaining weighted-average period of approximately 1.3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00"/>
        <w:ind w:left="0" w:right="0" w:hanging="0"/>
        <w:jc w:val="left"/>
        <w:rPr>
          <w:rFonts w:ascii="Times New Roman;Times;serif" w:hAnsi="Times New Roman;Times;serif"/>
          <w:b/>
          <w:sz w:val="20"/>
        </w:rPr>
      </w:pPr>
      <w:bookmarkStart w:id="1321" w:name="Tc_yzDr5RhgGkejF4QR6oJ5QA_14_12"/>
      <w:bookmarkStart w:id="1322" w:name="Tc_obTsaYl5-EOu9EJDO5aEvg_14_11"/>
      <w:bookmarkStart w:id="1323" w:name="Tc_hfOHs0irdEOZ0okCdB8zzw_14_9"/>
      <w:bookmarkStart w:id="1324" w:name="Tc_GBi2qgGV7kOnTCA84GVVDw_14_8"/>
      <w:bookmarkStart w:id="1325" w:name="Tc_Fr0R44jDNkWifk1hdAZQIQ_14_6"/>
      <w:bookmarkStart w:id="1326" w:name="Tc_Z1UL0kOJtU63fqs2lchZLA_14_5"/>
      <w:bookmarkStart w:id="1327" w:name="Tc_xnmgpxzFikqIpHCxA1V2BA_14_3"/>
      <w:bookmarkStart w:id="1328" w:name="Tc_sh11RZjMVUmDk15X90f8Vg_14_2"/>
      <w:bookmarkStart w:id="1329" w:name="Tc_dC68xgCkFE-do-Rmq4v9pg_14_0"/>
      <w:bookmarkStart w:id="1330" w:name="Tc_TAlZ1TPEGEq44QShjNyS1A_13_12"/>
      <w:bookmarkStart w:id="1331" w:name="Tc_dQd-tQpxvUSDRsFknNqCUQ_13_6"/>
      <w:bookmarkStart w:id="1332" w:name="Tc_wnmqnPxVNkSAvyXpRjr_KA_13_0"/>
      <w:bookmarkStart w:id="1333" w:name="Tc_eoEFvEVEKUqc4H_Cp__01Q_12_0"/>
      <w:bookmarkStart w:id="1334" w:name="Tc_JbwPZes6pk2YV51TVHc_Jw_11_12"/>
      <w:bookmarkStart w:id="1335" w:name="Tc_lGe2e0Nd1kmuYO2IUKIXKQ_11_6"/>
      <w:bookmarkStart w:id="1336" w:name="Tc_nGLOY6dfe0GdPZctdJetyQ_11_0"/>
      <w:bookmarkStart w:id="1337" w:name="Tc_n_v_BeJBR0qYPfZ7tFt0eQ_10_12"/>
      <w:bookmarkStart w:id="1338" w:name="Tc_ccSxOvz8DkSLi8iyEjIc8g_10_11"/>
      <w:bookmarkStart w:id="1339" w:name="Tc_GJY14hecYkq2OQvmiXH2rQ_10_9"/>
      <w:bookmarkStart w:id="1340" w:name="Tc_uwEenUtSNUSHwcWaLp0bTQ_10_6"/>
      <w:bookmarkStart w:id="1341" w:name="Tc_Vazm1Y47yE2eIw2Kf6QLUA_10_0"/>
      <w:bookmarkStart w:id="1342" w:name="Tc_Ep5s7EXXC0-cLLk_uxpMJA_9_12"/>
      <w:bookmarkStart w:id="1343" w:name="Tc_I-2tBc1wvUSrxQ603GqBWw_9_6"/>
      <w:bookmarkStart w:id="1344" w:name="Tc_1rtQbsHR0kyP-NnAJoG8iw_9_0"/>
      <w:bookmarkStart w:id="1345" w:name="Tc_v8eLDnox7UOBsAJCLhbc0A_8_12"/>
      <w:bookmarkStart w:id="1346" w:name="Tc_ua3JiUwzw0We1Q57q_EPUQ_8_6"/>
      <w:bookmarkStart w:id="1347" w:name="Tc_h9v-H0LAWkWX6sKr2TMZIg_8_0"/>
      <w:bookmarkStart w:id="1348" w:name="Tc_DIrG5vQeq0-s7M_OjxpOcg_7_0"/>
      <w:bookmarkStart w:id="1349" w:name="Tc_fC9VA2TbOUSCegJwAyrSsg_6_12"/>
      <w:bookmarkStart w:id="1350" w:name="Tc_0fF6lRR0gEyS_OqFsU5Scw_6_11"/>
      <w:bookmarkStart w:id="1351" w:name="Tc_q9cqL4WlwUmfDMc2lZ7pYA_6_9"/>
      <w:bookmarkStart w:id="1352" w:name="Tc_Q0kqHSr010KhqDUuMZcZ3Q_6_6"/>
      <w:bookmarkStart w:id="1353" w:name="Tc_oZ44kmkJbk-cfiZDrDGwDg_6_0"/>
      <w:bookmarkStart w:id="1354" w:name="Tc_GbBAwaWxYUOzCis-9jk9Pw_5_12"/>
      <w:bookmarkStart w:id="1355" w:name="Tc_w6h_6tkMU0ubeqsDfHjqKg_5_6"/>
      <w:bookmarkStart w:id="1356" w:name="Tc_it7S-BXucUWGUV4j3HQXMg_5_0"/>
      <w:bookmarkStart w:id="1357" w:name="Tc_UE9Chs0680uRh7vLU6U60w_4_12"/>
      <w:bookmarkStart w:id="1358" w:name="Tc_R09IV-r8_kWiX4nAjK9dXA_4_8"/>
      <w:bookmarkStart w:id="1359" w:name="Tc_PlYZo8ySCkSGdZJ-2y2eHw_4_6"/>
      <w:bookmarkStart w:id="1360" w:name="Tc_23ikxqD8SkiyVHcEh6KyFg_4_2"/>
      <w:bookmarkStart w:id="1361" w:name="Tc_o1zGqz49WES3_Wq47dbDRA_4_0"/>
      <w:bookmarkStart w:id="1362" w:name="Tc_jVjMIsUCyUmqDO1vnXEeRQ_3_11"/>
      <w:bookmarkStart w:id="1363" w:name="Tc_VZC0NfOCykiosyM0EAt6MA_3_9"/>
      <w:bookmarkStart w:id="1364" w:name="Tc_0Avt-eLSGEepcaWVF2eaDA_3_5"/>
      <w:bookmarkStart w:id="1365" w:name="Tc_Vf0PDeU0FU2M7YtWrti-8A_3_3"/>
      <w:bookmarkStart w:id="1366" w:name="Tc_adVfHrnBwkubPnFdb_tXiQ_2_8"/>
      <w:bookmarkStart w:id="1367" w:name="Tc_3fjooYv2n06AgTpgRl_asw_2_2"/>
      <w:bookmarkStart w:id="1368" w:name="Tc_o2Ojb2AXBUe9gDBOKDD3ew_1_2"/>
      <w:bookmarkStart w:id="1369" w:name="_5f6bd3e1_1273_4a55_abe5_f46bd23aba30"/>
      <w:bookmarkStart w:id="1370" w:name="Tc_Lg7TKNtOIk2iFQKMrcvCXw_3_6"/>
      <w:bookmarkStart w:id="1371" w:name="Tc_kXL_CZdvSkiTiOAPBzcQQQ_3_3"/>
      <w:bookmarkStart w:id="1372" w:name="Tc_GChmzr8s7kqNCtrdt43dXA_3_0"/>
      <w:bookmarkStart w:id="1373" w:name="Tc_M5w7gNMVh0KymFMqo7w-aQ_2_6"/>
      <w:bookmarkStart w:id="1374" w:name="Tc_Ch040L-BaESVg2fAmzs0bA_2_3"/>
      <w:bookmarkStart w:id="1375" w:name="Tc_A7F3v3wJTEeyG8R1gIMeYA_2_0"/>
      <w:bookmarkStart w:id="1376" w:name="Tc_mYSw3Nm0aUW5AamUEQbNwA_1_6"/>
      <w:bookmarkStart w:id="1377" w:name="Tc_K1EphvvWw0OtipbLzaYiQA_1_3"/>
      <w:bookmarkStart w:id="1378" w:name="_2efb9b7b_1996_432c_8c82_39297eec26c7"/>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r>
        <w:rPr>
          <w:rFonts w:ascii="Times New Roman;Times;serif" w:hAnsi="Times New Roman;Times;serif"/>
          <w:b/>
          <w:sz w:val="20"/>
        </w:rPr>
        <w:t xml:space="preserve">20. Income Taxes </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For financial reporting purpose, income before income taxes includes the following components (in thousands):</w:t>
      </w:r>
    </w:p>
    <w:tbl>
      <w:tblPr>
        <w:tblW w:w="3824" w:type="dxa"/>
        <w:jc w:val="left"/>
        <w:tblInd w:w="0" w:type="dxa"/>
        <w:tblLayout w:type="fixed"/>
        <w:tblCellMar>
          <w:top w:w="0" w:type="dxa"/>
          <w:left w:w="0" w:type="dxa"/>
          <w:bottom w:w="0" w:type="dxa"/>
          <w:right w:w="0" w:type="dxa"/>
        </w:tblCellMar>
      </w:tblPr>
      <w:tblGrid>
        <w:gridCol w:w="1201"/>
        <w:gridCol w:w="346"/>
        <w:gridCol w:w="109"/>
        <w:gridCol w:w="211"/>
        <w:gridCol w:w="796"/>
        <w:gridCol w:w="109"/>
        <w:gridCol w:w="211"/>
        <w:gridCol w:w="841"/>
      </w:tblGrid>
      <w:tr>
        <w:trPr/>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762635" cy="175260"/>
                      <wp:effectExtent l="0" t="0" r="0" b="0"/>
                      <wp:wrapNone/>
                      <wp:docPr id="479" name="Frame479"/>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19710" cy="175260"/>
                      <wp:effectExtent l="0" t="0" r="0" b="0"/>
                      <wp:wrapNone/>
                      <wp:docPr id="480" name="Frame4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69215" cy="175260"/>
                      <wp:effectExtent l="0" t="0" r="0" b="0"/>
                      <wp:wrapNone/>
                      <wp:docPr id="481" name="Frame4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133985" cy="175260"/>
                      <wp:effectExtent l="0" t="0" r="0" b="0"/>
                      <wp:wrapNone/>
                      <wp:docPr id="482" name="Frame4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505460" cy="175260"/>
                      <wp:effectExtent l="0" t="0" r="0" b="0"/>
                      <wp:wrapNone/>
                      <wp:docPr id="483" name="Frame48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69215" cy="175260"/>
                      <wp:effectExtent l="0" t="0" r="0" b="0"/>
                      <wp:wrapNone/>
                      <wp:docPr id="484" name="Frame4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133985" cy="175260"/>
                      <wp:effectExtent l="0" t="0" r="0" b="0"/>
                      <wp:wrapNone/>
                      <wp:docPr id="485" name="Frame4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534035" cy="175260"/>
                      <wp:effectExtent l="0" t="0" r="0" b="0"/>
                      <wp:wrapNone/>
                      <wp:docPr id="486" name="Frame48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9" w:type="dxa"/>
            <w:tcBorders/>
            <w:vAlign w:val="center"/>
          </w:tcPr>
          <w:p>
            <w:pPr>
              <w:pStyle w:val="TableContents"/>
              <w:bidi w:val="0"/>
              <w:spacing w:before="0" w:after="1"/>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center"/>
              <w:rPr/>
            </w:pPr>
            <w:r>
              <w:rPr/>
              <w:t>​</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(32,629)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(78,640)</w:t>
            </w:r>
          </w:p>
        </w:tc>
      </w:tr>
      <w:tr>
        <w:trPr/>
        <w:tc>
          <w:tcPr>
            <w:tcW w:w="1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(32,629)</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(78,640)</w:t>
            </w:r>
          </w:p>
        </w:tc>
      </w:tr>
    </w:tbl>
    <w:p>
      <w:pPr>
        <w:pStyle w:val="TextBody"/>
        <w:bidi w:val="0"/>
        <w:spacing w:before="0" w:after="2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reconciling items from income tax computed at the statutory federal rate (in thousands):</w:t>
      </w:r>
    </w:p>
    <w:p>
      <w:pPr>
        <w:pStyle w:val="TextBody"/>
        <w:bidi w:val="0"/>
        <w:spacing w:before="0" w:after="200"/>
        <w:ind w:left="0" w:right="0" w:firstLine="720"/>
        <w:jc w:val="left"/>
        <w:rPr/>
      </w:pPr>
      <w:r>
        <w:rPr/>
        <w:t>​</w:t>
      </w:r>
    </w:p>
    <w:tbl>
      <w:tblPr>
        <w:tblW w:w="8347" w:type="dxa"/>
        <w:jc w:val="left"/>
        <w:tblInd w:w="0" w:type="dxa"/>
        <w:tblLayout w:type="fixed"/>
        <w:tblCellMar>
          <w:top w:w="0" w:type="dxa"/>
          <w:left w:w="0" w:type="dxa"/>
          <w:bottom w:w="0" w:type="dxa"/>
          <w:right w:w="0" w:type="dxa"/>
        </w:tblCellMar>
      </w:tblPr>
      <w:tblGrid>
        <w:gridCol w:w="3721"/>
        <w:gridCol w:w="346"/>
        <w:gridCol w:w="211"/>
        <w:gridCol w:w="796"/>
        <w:gridCol w:w="109"/>
        <w:gridCol w:w="586"/>
        <w:gridCol w:w="361"/>
        <w:gridCol w:w="109"/>
        <w:gridCol w:w="211"/>
        <w:gridCol w:w="796"/>
        <w:gridCol w:w="109"/>
        <w:gridCol w:w="586"/>
        <w:gridCol w:w="406"/>
      </w:tblGrid>
      <w:tr>
        <w:trPr/>
        <w:tc>
          <w:tcPr>
            <w:tcW w:w="3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2362835" cy="175260"/>
                      <wp:effectExtent l="0" t="0" r="0" b="0"/>
                      <wp:wrapNone/>
                      <wp:docPr id="487" name="Frame487"/>
                      <a:graphic xmlns:a="http://schemas.openxmlformats.org/drawingml/2006/main">
                        <a:graphicData uri="http://schemas.microsoft.com/office/word/2010/wordprocessingShape">
                          <wps:wsp>
                            <wps:cNvSpPr txBox="1"/>
                            <wps:spPr>
                              <a:xfrm>
                                <a:off x="0" y="0"/>
                                <a:ext cx="2362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219710" cy="175260"/>
                      <wp:effectExtent l="0" t="0" r="0" b="0"/>
                      <wp:wrapNone/>
                      <wp:docPr id="488" name="Frame4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133985" cy="175260"/>
                      <wp:effectExtent l="0" t="0" r="0" b="0"/>
                      <wp:wrapNone/>
                      <wp:docPr id="489" name="Frame4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505460" cy="175260"/>
                      <wp:effectExtent l="0" t="0" r="0" b="0"/>
                      <wp:wrapNone/>
                      <wp:docPr id="490" name="Frame49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69215" cy="175260"/>
                      <wp:effectExtent l="0" t="0" r="0" b="0"/>
                      <wp:wrapNone/>
                      <wp:docPr id="491" name="Frame4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372110" cy="175260"/>
                      <wp:effectExtent l="0" t="0" r="0" b="0"/>
                      <wp:wrapNone/>
                      <wp:docPr id="492" name="Frame49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229235" cy="175260"/>
                      <wp:effectExtent l="0" t="0" r="0" b="0"/>
                      <wp:wrapNone/>
                      <wp:docPr id="493" name="Frame49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69215" cy="175260"/>
                      <wp:effectExtent l="0" t="0" r="0" b="0"/>
                      <wp:wrapNone/>
                      <wp:docPr id="494" name="Frame4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133985" cy="175260"/>
                      <wp:effectExtent l="0" t="0" r="0" b="0"/>
                      <wp:wrapNone/>
                      <wp:docPr id="495" name="Frame4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505460" cy="175260"/>
                      <wp:effectExtent l="0" t="0" r="0" b="0"/>
                      <wp:wrapNone/>
                      <wp:docPr id="496" name="Frame49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69215" cy="175260"/>
                      <wp:effectExtent l="0" t="0" r="0" b="0"/>
                      <wp:wrapNone/>
                      <wp:docPr id="497" name="Frame4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372110" cy="175260"/>
                      <wp:effectExtent l="0" t="0" r="0" b="0"/>
                      <wp:wrapNone/>
                      <wp:docPr id="498" name="Frame49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57810" cy="175260"/>
                      <wp:effectExtent l="0" t="0" r="0" b="0"/>
                      <wp:wrapNone/>
                      <wp:docPr id="499" name="Frame49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80"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December 31, </w:t>
            </w:r>
          </w:p>
        </w:tc>
      </w:tr>
      <w:tr>
        <w:trPr/>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6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21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vAlign w:val="center"/>
          </w:tcPr>
          <w:p>
            <w:pPr>
              <w:pStyle w:val="TableContents"/>
              <w:bidi w:val="0"/>
              <w:spacing w:before="0" w:after="0"/>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 income tax at statutory rate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(6,850)</w:t>
            </w:r>
          </w:p>
        </w:tc>
        <w:tc>
          <w:tcPr>
            <w:tcW w:w="109"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(16,514)</w:t>
            </w:r>
          </w:p>
        </w:tc>
        <w:tc>
          <w:tcPr>
            <w:tcW w:w="109"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valuation allowance</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15,555</w:t>
            </w:r>
          </w:p>
        </w:tc>
        <w:tc>
          <w:tcPr>
            <w:tcW w:w="109"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17,269</w:t>
            </w:r>
          </w:p>
        </w:tc>
        <w:tc>
          <w:tcPr>
            <w:tcW w:w="109"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c>
          <w:tcPr>
            <w:tcW w:w="109"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Non-taxable or non-deductible items: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Officer's compensation limit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w:t>
            </w:r>
          </w:p>
        </w:tc>
        <w:tc>
          <w:tcPr>
            <w:tcW w:w="109"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1,154</w:t>
            </w:r>
          </w:p>
        </w:tc>
        <w:tc>
          <w:tcPr>
            <w:tcW w:w="109"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109"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1,005</w:t>
            </w:r>
          </w:p>
        </w:tc>
        <w:tc>
          <w:tcPr>
            <w:tcW w:w="109"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 of 45Z clean fuel production tax credits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(10,523)</w:t>
            </w:r>
          </w:p>
        </w:tc>
        <w:tc>
          <w:tcPr>
            <w:tcW w:w="109"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109"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c>
          <w:tcPr>
            <w:tcW w:w="109"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federal true-up</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1,366</w:t>
            </w:r>
          </w:p>
        </w:tc>
        <w:tc>
          <w:tcPr>
            <w:tcW w:w="109" w:type="dxa"/>
            <w:tcBorders/>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(3,239)</w:t>
            </w:r>
          </w:p>
        </w:tc>
        <w:tc>
          <w:tcPr>
            <w:tcW w:w="109" w:type="dxa"/>
            <w:tcBorders/>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tax rate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200"/>
        <w:ind w:left="0" w:right="0" w:firstLine="72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decrease from the federal statutory rate for the year ended December 31, 2025 is primarily due to the movement in officers’ compensation, stock-based compensation, tax credit transactions, and valuation allowance. The states that contribute to the majority (</w:t>
      </w:r>
      <w:r>
        <w:rPr>
          <w:rFonts w:ascii="Times New Roman;Times;serif" w:hAnsi="Times New Roman;Times;serif"/>
          <w:b w:val="false"/>
          <w:i w:val="false"/>
          <w:caps w:val="false"/>
          <w:smallCaps w:val="false"/>
          <w:sz w:val="20"/>
        </w:rPr>
        <w:t>greater than</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50%</w:t>
      </w:r>
      <w:r>
        <w:rPr>
          <w:rFonts w:ascii="Times New Roman;Times;serif" w:hAnsi="Times New Roman;Times;serif"/>
          <w:sz w:val="20"/>
        </w:rPr>
        <w:t>) of the tax effect include Minnesota and California for 2025, Minnesota and South Carolina for 2024.</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Deferred income taxes arise from temporary differences between the tax basis of assets and liabilities and their reported amounts in the financial statements, which will result in future taxable income or deductible expenses.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tax effects of temporary differences that give rise to significant portions of the Company’s net deferred tax assets and liabilities (in thousands):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0"/>
        <w:ind w:left="0" w:right="0" w:hanging="0"/>
        <w:jc w:val="left"/>
        <w:rPr>
          <w:shd w:fill="FFFF00" w:val="clear"/>
        </w:rPr>
      </w:pPr>
      <w:bookmarkStart w:id="1379" w:name="Tc_eKkx5Kny50KixHUsJEMI9Q_6_5"/>
      <w:bookmarkStart w:id="1380" w:name="Tc_7O3sPTN8oUe9lADHv5rEPw_6_2"/>
      <w:bookmarkStart w:id="1381" w:name="Tc_YLwRHbRsLEy4UXTQsGZlCg_6_0"/>
      <w:bookmarkStart w:id="1382" w:name="Tc_bJxAHgZk3EazqHofdx1VEg_5_0"/>
      <w:bookmarkStart w:id="1383" w:name="Tc_JKEnl0Ml9k6OrcAYPys7xw_4_5"/>
      <w:bookmarkStart w:id="1384" w:name="Tc_fOpCrHB4ak20IFgsa_6T4g_4_2"/>
      <w:bookmarkStart w:id="1385" w:name="Tc_dzon4OZSb0idUqgv6A3DNA_4_0"/>
      <w:bookmarkStart w:id="1386" w:name="Tc_UmAZzq9bdECEwZMe0d8mjQ_2_5"/>
      <w:bookmarkStart w:id="1387" w:name="Tc_GUGVq_hTzE6DNf30VZJw5w_2_2"/>
      <w:bookmarkStart w:id="1388" w:name="Tc_JIzTJ23_vkGARrff0EcJow_1_2"/>
      <w:bookmarkStart w:id="1389" w:name="_7b520394_b7cf_40f4_b2ac_f88a39559528"/>
      <w:bookmarkStart w:id="1390" w:name="Tc_3oxSGzH8h0ieirYtn00SQw_19_5"/>
      <w:bookmarkStart w:id="1391" w:name="Tc_MGORxO2A-kKS-Ge3-tcDPQ_19_2"/>
      <w:bookmarkStart w:id="1392" w:name="Tc_alTayDONRUSu17cJtatQQQ_19_0"/>
      <w:bookmarkStart w:id="1393" w:name="Tc_CRRf8sMu-UC_uC9xz-BJBg_18_0"/>
      <w:bookmarkStart w:id="1394" w:name="Tc_YY1opg-Bv0SMKtybiImPfQ_17_0"/>
      <w:bookmarkStart w:id="1395" w:name="Tc_a8A3q8l4H0eJBxvKWbKOKA_16_0"/>
      <w:bookmarkStart w:id="1396" w:name="Tc_N-aek76d9kiiaZsad34uIw_15_0"/>
      <w:bookmarkStart w:id="1397" w:name="Tc_orjMJWznd02Y8_4wbusV4A_14_0"/>
      <w:bookmarkStart w:id="1398" w:name="Tc_KOgjFt9WYkSggbf265eWaA_12_0"/>
      <w:bookmarkStart w:id="1399" w:name="Tc_ZVgX6H2TXEeDVNT2wcbHAw_11_0"/>
      <w:bookmarkStart w:id="1400" w:name="Tc_SyM4QvXmQU6pERRE506BOw_10_0"/>
      <w:bookmarkStart w:id="1401" w:name="Tc_7F3QaxCMHEu9wEPnOmoI6w_9_0"/>
      <w:bookmarkStart w:id="1402" w:name="Tc_COePQ9ybVEeW3a3DIoR-RA_8_0"/>
      <w:bookmarkStart w:id="1403" w:name="Tc_WzkQcr-SzU6H2D-uXi50sg_7_0"/>
      <w:bookmarkStart w:id="1404" w:name="Tc_HY81w3Mxs0uQX3vVcgKmnQ_6_0"/>
      <w:bookmarkStart w:id="1405" w:name="Tc_O6am2nMo9kyPrmO6eGb9_g_5_0"/>
      <w:bookmarkStart w:id="1406" w:name="Tc_8t7rRXU-pUOnNbc7XWIdGw_4_5"/>
      <w:bookmarkStart w:id="1407" w:name="Tc_CDkg5K6BjUyRHFTDpRVBkw_4_2"/>
      <w:bookmarkStart w:id="1408" w:name="Tc_hR8iaA52ZkGaioAsjknMow_4_0"/>
      <w:bookmarkStart w:id="1409" w:name="Tc_-Wlg7xg6C0K6sLA06p_xxQ_3_0"/>
      <w:bookmarkStart w:id="1410" w:name="Tc_vEbnIJr9okCHg47D80Nepg_2_5"/>
      <w:bookmarkStart w:id="1411" w:name="Tc_aeUoBn2SKUSZQJ83Gg6z-A_2_2"/>
      <w:bookmarkStart w:id="1412" w:name="Tc_ctDiS7l6ZEiMwqR4A_PjKg_1_2"/>
      <w:bookmarkStart w:id="1413" w:name="_7f765f90_e5c7_4513_a3fa_41d6da657a7c"/>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r>
        <w:rPr>
          <w:shd w:fill="FFFF00" w:val="clear"/>
        </w:rPr>
        <w:t>​</w:t>
      </w:r>
    </w:p>
    <w:tbl>
      <w:tblPr>
        <w:tblW w:w="7177" w:type="dxa"/>
        <w:jc w:val="left"/>
        <w:tblInd w:w="0" w:type="dxa"/>
        <w:tblLayout w:type="fixed"/>
        <w:tblCellMar>
          <w:top w:w="0" w:type="dxa"/>
          <w:left w:w="0" w:type="dxa"/>
          <w:bottom w:w="0" w:type="dxa"/>
          <w:right w:w="0" w:type="dxa"/>
        </w:tblCellMar>
      </w:tblPr>
      <w:tblGrid>
        <w:gridCol w:w="4321"/>
        <w:gridCol w:w="346"/>
        <w:gridCol w:w="211"/>
        <w:gridCol w:w="901"/>
        <w:gridCol w:w="346"/>
        <w:gridCol w:w="211"/>
        <w:gridCol w:w="841"/>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2743835" cy="175260"/>
                      <wp:effectExtent l="0" t="0" r="0" b="0"/>
                      <wp:wrapNone/>
                      <wp:docPr id="500" name="Frame500"/>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19710" cy="175260"/>
                      <wp:effectExtent l="0" t="0" r="0" b="0"/>
                      <wp:wrapNone/>
                      <wp:docPr id="501" name="Frame5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133985" cy="175260"/>
                      <wp:effectExtent l="0" t="0" r="0" b="0"/>
                      <wp:wrapNone/>
                      <wp:docPr id="502" name="Frame5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572135" cy="175260"/>
                      <wp:effectExtent l="0" t="0" r="0" b="0"/>
                      <wp:wrapNone/>
                      <wp:docPr id="503" name="Frame50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19710" cy="175260"/>
                      <wp:effectExtent l="0" t="0" r="0" b="0"/>
                      <wp:wrapNone/>
                      <wp:docPr id="504" name="Frame5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133985" cy="175260"/>
                      <wp:effectExtent l="0" t="0" r="0" b="0"/>
                      <wp:wrapNone/>
                      <wp:docPr id="505" name="Frame5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534035" cy="175260"/>
                      <wp:effectExtent l="0" t="0" r="0" b="0"/>
                      <wp:wrapNone/>
                      <wp:docPr id="506" name="Frame50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5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operating loss carryforwards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86,036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61,024</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925</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16,822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17,775</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1,225</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Business interest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1,083</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research cost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11,070</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 cost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1,308</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temporary differences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1,060</w:t>
            </w:r>
          </w:p>
        </w:tc>
      </w:tr>
      <w:tr>
        <w:trPr/>
        <w:tc>
          <w:tcPr>
            <w:tcW w:w="43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120,442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95,470</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valuation allowance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(120,152)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(94,690)</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 assets, net of valuation allowance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deferred tax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240" w:after="200"/>
        <w:ind w:left="0" w:right="0" w:firstLine="720"/>
        <w:jc w:val="left"/>
        <w:rPr>
          <w:rFonts w:ascii="Times New Roman;Times;serif" w:hAnsi="Times New Roman;Times;serif"/>
          <w:sz w:val="20"/>
        </w:rPr>
      </w:pPr>
      <w:r>
        <w:rPr>
          <w:rFonts w:ascii="Times New Roman;Times;serif" w:hAnsi="Times New Roman;Times;serif"/>
          <w:sz w:val="20"/>
        </w:rPr>
        <w:t>The Company has Federal net operating loss at December 31,2025 and 2024 of approximately $328.2 million and $238.5 million, respectively, available to offset future income for income tax reporting purposes. Of our Federal net operating loss carryovers as December 31, 2025, $1.5 million is expiring in year 2037 and $326.7 million has indefinite carryforward periods. Other than the $1.5 million generated in year 2017 and expiring in year 2037, the rest of the loss utilization is limited to 80% of taxable income in the future years. The Company has state net operating loss carryovers as December 31,2025 and 2024 of approximately $295.3 million and $208.6 million. Of the state net operating loss carryovers, $270.1 million would expire between the years 2033 and 2045 and $25.5 million has indefinite carryforward periods.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Section 382 of the Code limits the use of NOL carryforwards, which includes Section 163(j) interest expense carryforwards and tax credit carryforwards in certain situations where changes occur in the stock ownership of a company. The Company experienced ownership changes which resulted in a limitation applied to their net operating losses and Section 163(j) interest expense carryforwards. The annual limitation may result in the expiration of net operating losses and interest expense carryforwards before their utilization and our ability to offset future income with our tax attributes.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Based on management’s review of both the positive and negative evidence, which includes our historical operating performance, reported cumulative net losses since inception and difficulty in accurately forecasting results, we have concluded that it is more likely than not that we will not be able to realize all of our U.S. deferred tax assets. Therefore, we have provided a full valuation allowance against deferred tax assets as of December 31, 2025 and 2024, respectively.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presents the changes in valuation allowance (in thousands):</w:t>
      </w:r>
    </w:p>
    <w:tbl>
      <w:tblPr>
        <w:tblW w:w="5920" w:type="dxa"/>
        <w:jc w:val="left"/>
        <w:tblInd w:w="0" w:type="dxa"/>
        <w:tblLayout w:type="fixed"/>
        <w:tblCellMar>
          <w:top w:w="0" w:type="dxa"/>
          <w:left w:w="0" w:type="dxa"/>
          <w:bottom w:w="0" w:type="dxa"/>
          <w:right w:w="0" w:type="dxa"/>
        </w:tblCellMar>
      </w:tblPr>
      <w:tblGrid>
        <w:gridCol w:w="3481"/>
        <w:gridCol w:w="109"/>
        <w:gridCol w:w="211"/>
        <w:gridCol w:w="781"/>
        <w:gridCol w:w="346"/>
        <w:gridCol w:w="211"/>
        <w:gridCol w:w="781"/>
      </w:tblGrid>
      <w:tr>
        <w:trPr/>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2210435" cy="175260"/>
                      <wp:effectExtent l="0" t="0" r="0" b="0"/>
                      <wp:wrapNone/>
                      <wp:docPr id="507" name="Frame507"/>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69215" cy="175260"/>
                      <wp:effectExtent l="0" t="0" r="0" b="0"/>
                      <wp:wrapNone/>
                      <wp:docPr id="508" name="Frame5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133985" cy="175260"/>
                      <wp:effectExtent l="0" t="0" r="0" b="0"/>
                      <wp:wrapNone/>
                      <wp:docPr id="509" name="Frame5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495935" cy="175260"/>
                      <wp:effectExtent l="0" t="0" r="0" b="0"/>
                      <wp:wrapNone/>
                      <wp:docPr id="510" name="Frame51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219710" cy="175260"/>
                      <wp:effectExtent l="0" t="0" r="0" b="0"/>
                      <wp:wrapNone/>
                      <wp:docPr id="511" name="Frame5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133985" cy="175260"/>
                      <wp:effectExtent l="0" t="0" r="0" b="0"/>
                      <wp:wrapNone/>
                      <wp:docPr id="512" name="Frame5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495935" cy="175260"/>
                      <wp:effectExtent l="0" t="0" r="0" b="0"/>
                      <wp:wrapNone/>
                      <wp:docPr id="513" name="Frame51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4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48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r>
      <w:tr>
        <w:trPr/>
        <w:tc>
          <w:tcPr>
            <w:tcW w:w="34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Valuation allowance-beginning of period</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94,690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71,991</w:t>
            </w:r>
          </w:p>
        </w:tc>
      </w:tr>
      <w:tr>
        <w:trPr/>
        <w:tc>
          <w:tcPr>
            <w:tcW w:w="34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Additions charged to income tax benefit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25,462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22,699</w:t>
            </w:r>
          </w:p>
        </w:tc>
      </w:tr>
      <w:tr>
        <w:trPr/>
        <w:tc>
          <w:tcPr>
            <w:tcW w:w="34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Valuation allowance-end of period</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120,152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94,690</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00"/>
        <w:ind w:left="0" w:right="0" w:firstLine="720"/>
        <w:jc w:val="left"/>
        <w:rPr/>
      </w:pPr>
      <w:bookmarkStart w:id="1414" w:name="Tc_GSJI7RBkzE-zf0DouYz6XQ_9_5"/>
      <w:bookmarkStart w:id="1415" w:name="Tc_goZbkptYVkGqWiTM4dXC7Q_9_2"/>
      <w:bookmarkStart w:id="1416" w:name="Tc_ns6gjxitOE2OqKcmru2d5w_9_0"/>
      <w:bookmarkStart w:id="1417" w:name="Tc_JPLXBrEbRkGnIOQOSqZtoQ_8_0"/>
      <w:bookmarkStart w:id="1418" w:name="Tc_-FELwitrY0esjr7GPs-7Ig_7_0"/>
      <w:bookmarkStart w:id="1419" w:name="Tc_6HwT2lz5Sku7dHM2GzqPzA_6_6"/>
      <w:bookmarkStart w:id="1420" w:name="Tc_6jkTJKsYMkO09Bz3P77qAQ_6_0"/>
      <w:bookmarkStart w:id="1421" w:name="Tc_qryftucvl0C_ohLRBYpFQA_5_0"/>
      <w:bookmarkStart w:id="1422" w:name="Tc_z8vKqdzLuUGK-dBfxve-0Q_4_0"/>
      <w:bookmarkStart w:id="1423" w:name="Tc_P9336dnRR0qXnTKgSv18mA_3_6"/>
      <w:bookmarkStart w:id="1424" w:name="Tc_aY5fnPktcEuPSQIE4ePj-A_3_5"/>
      <w:bookmarkStart w:id="1425" w:name="Tc_6eOJOtl6Hkq-4RczYFgY3Q_3_3"/>
      <w:bookmarkStart w:id="1426" w:name="Tc_3CXaDhgXfUy60hLSOBLtRA_3_2"/>
      <w:bookmarkStart w:id="1427" w:name="Tc_-HIJMoJFiEaiz9JxyUz-5A_3_0"/>
      <w:bookmarkStart w:id="1428" w:name="Tc_AB8o7eyhv0mxwj7cG2Py9g_2_5"/>
      <w:bookmarkStart w:id="1429" w:name="Tc_tJoCuQ0FO0O99m3h797NsQ_2_2"/>
      <w:bookmarkStart w:id="1430" w:name="Tc_nzbqM9RJ8UOL3Eui41DRew_1_2"/>
      <w:bookmarkStart w:id="1431" w:name="_c2a7a9b9_9550_4038_b50d_e24eeb870b26"/>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Company had no significant uncertain tax positions as of December 31, 2025 and 2024. The Company did not incur any interest or penalties related to income taxes during the years ended December 31, 2025 and 2024. The Company’s income taxes are not currently under audit in any jurisdiction. As of December 31, 2025, tax years 2017 and forward are subject to examination in federal and state jurisdictions, with certain exceptions for state jurisdictions with longer statute of limitation periods.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cash taxes paid (in thousands):</w:t>
      </w:r>
    </w:p>
    <w:tbl>
      <w:tblPr>
        <w:tblW w:w="2965" w:type="dxa"/>
        <w:jc w:val="left"/>
        <w:tblInd w:w="0" w:type="dxa"/>
        <w:tblLayout w:type="fixed"/>
        <w:tblCellMar>
          <w:top w:w="0" w:type="dxa"/>
          <w:left w:w="0" w:type="dxa"/>
          <w:bottom w:w="0" w:type="dxa"/>
          <w:right w:w="0" w:type="dxa"/>
        </w:tblCellMar>
      </w:tblPr>
      <w:tblGrid>
        <w:gridCol w:w="1351"/>
        <w:gridCol w:w="109"/>
        <w:gridCol w:w="211"/>
        <w:gridCol w:w="316"/>
        <w:gridCol w:w="346"/>
        <w:gridCol w:w="211"/>
        <w:gridCol w:w="421"/>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857885" cy="175260"/>
                      <wp:effectExtent l="0" t="0" r="0" b="0"/>
                      <wp:wrapNone/>
                      <wp:docPr id="514" name="Frame514"/>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69215" cy="175260"/>
                      <wp:effectExtent l="0" t="0" r="0" b="0"/>
                      <wp:wrapNone/>
                      <wp:docPr id="515" name="Frame5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133985" cy="175260"/>
                      <wp:effectExtent l="0" t="0" r="0" b="0"/>
                      <wp:wrapNone/>
                      <wp:docPr id="516" name="Frame5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200660" cy="175260"/>
                      <wp:effectExtent l="0" t="0" r="0" b="0"/>
                      <wp:wrapNone/>
                      <wp:docPr id="517" name="Frame51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219710" cy="175260"/>
                      <wp:effectExtent l="0" t="0" r="0" b="0"/>
                      <wp:wrapNone/>
                      <wp:docPr id="518" name="Frame5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133985" cy="175260"/>
                      <wp:effectExtent l="0" t="0" r="0" b="0"/>
                      <wp:wrapNone/>
                      <wp:docPr id="519" name="Frame5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267335" cy="175260"/>
                      <wp:effectExtent l="0" t="0" r="0" b="0"/>
                      <wp:wrapNone/>
                      <wp:docPr id="520" name="Frame520"/>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35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Federal</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State and local</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left"/>
              <w:rPr/>
            </w:pPr>
            <w:r>
              <w:rPr/>
              <w:t>​</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Minnesota</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South Carolina</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California</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14</w:t>
            </w:r>
          </w:p>
        </w:tc>
      </w:tr>
    </w:tbl>
    <w:p>
      <w:pPr>
        <w:pStyle w:val="TextBody"/>
        <w:bidi w:val="0"/>
        <w:spacing w:before="0" w:after="200"/>
        <w:ind w:left="0" w:right="0" w:firstLine="720"/>
        <w:jc w:val="left"/>
        <w:rPr/>
      </w:pPr>
      <w:r>
        <w:rPr/>
        <w:t>​</w:t>
      </w:r>
    </w:p>
    <w:p>
      <w:pPr>
        <w:pStyle w:val="TextBody"/>
        <w:bidi w:val="0"/>
        <w:spacing w:before="0" w:after="200"/>
        <w:ind w:left="0" w:right="0" w:firstLine="72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21. Employee Benefit Plan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sponsors the Gevo, Inc. 401(k) Plan (the “401(k) Plan”). Subject to certain eligibility requirements, the 401(k) Plan covers substantially all employees beginning the month after employment. Employee contributions are deposited by the Company into the 401(k) Plan and may not exceed the maximum statutory contribution amount. Beginning January 1, 2023, the 401(k) Plan was amended to include matching contributions to the 401(k) Plan, with the Company matching 100% of the employee’s contributions that are not over 3% of compensation, plus 50% of contributions which are over 3% but are not over 5% of compensation. The matching contributions are made in shares of the Company’s common stock and vest immediately. For the year ended December 31, 2025, accrued matching contributions to the 401(k) Plan was $1.1 million, equivalent to approximately 534,515 shares of common stock, to be remitted to participants in Q1 2026. For the year ended December 31, 2024, accrued matching contributions to the 401(k) Plan was $0.8 million, equivalent to 434,779 shares of common stock, which were remitted to participants in Q1 2025.</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22. Commitments and Contingencies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 xml:space="preserve">Legal Matters. </w:t>
      </w:r>
      <w:r>
        <w:rPr>
          <w:rFonts w:ascii="Times New Roman;Times;serif" w:hAnsi="Times New Roman;Times;serif"/>
          <w:sz w:val="20"/>
        </w:rPr>
        <w:t>From time to time, the Company has been and may again become involved in legal proceedings arising in the ordinary course of its business. The Company is not presently a party to any litigation and is not aware of any pending or threatened litigation against the Company that it believes could have a material adverse effect on its business, operating results, financial condition or cash flows.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 xml:space="preserve">State Tax Audit. </w:t>
      </w:r>
      <w:r>
        <w:rPr>
          <w:rFonts w:ascii="Times New Roman;Times;serif" w:hAnsi="Times New Roman;Times;serif"/>
          <w:sz w:val="20"/>
        </w:rPr>
        <w:t>During 2023, the Company was notified of a pending sales and use tax audit by the South Dakota Department of Revenue for the period covering January 2021 through December 2023. Although the final resolution of the Company’s sales and use tax audit is uncertain, based on current information, in the opinion of the Company’s management, the Company concluded that certain losses on litigation were probable and estimable; as a result, the Company recorded $1.8 million accrual for use tax contingencies, included in Accounts payable and accrued liabilities on the Consolidated Balance Sheets.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00"/>
        <w:ind w:left="0" w:right="0" w:firstLine="720"/>
        <w:jc w:val="left"/>
        <w:rPr>
          <w:rFonts w:ascii="Times New Roman;Times;serif" w:hAnsi="Times New Roman;Times;serif"/>
          <w:sz w:val="20"/>
        </w:rPr>
      </w:pPr>
      <w:bookmarkStart w:id="1432" w:name="_e7ee9879_7ece_4022_b960_3314ece81bc8_3"/>
      <w:bookmarkStart w:id="1433" w:name="_e7ee9879_7ece_4022_b960_3314ece81bc8_2"/>
      <w:bookmarkStart w:id="1434" w:name="_e7ee9879_7ece_4022_b960_3314ece81bc8"/>
      <w:bookmarkEnd w:id="1432"/>
      <w:bookmarkEnd w:id="1433"/>
      <w:bookmarkEnd w:id="1434"/>
      <w:r>
        <w:rPr>
          <w:rFonts w:ascii="Times New Roman;Times;serif" w:hAnsi="Times New Roman;Times;serif"/>
          <w:i/>
          <w:sz w:val="20"/>
        </w:rPr>
        <w:t>Indemnifications</w:t>
      </w:r>
      <w:r>
        <w:rPr>
          <w:rFonts w:ascii="Times New Roman;Times;serif" w:hAnsi="Times New Roman;Times;serif"/>
          <w:sz w:val="20"/>
        </w:rPr>
        <w:t>. In the ordinary course of its business, the Company makes certain indemnities under which it may be required to make payments in relation to certain transactions. As of December 31, 2025, and 2024, the Company did not have any liabilities associated with indemnities.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addition, the Company indemnifies its officers and directors for certain events or occurrences, subject to certain limitations. The duration of these indemnifications, commitments, and guarantees varies and, in certain cases, is indefinite. The maximum amount of potential future indemnification is unlimited; however, the Company has a director and officer insurance policy that may enable it to recover a portion of any future amounts paid. The Company accrues losses for any known contingent liability, including those that may arise from indemnification provisions, when future payment is probable. No such losses have been recorded to date.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Environmental Liabilities</w:t>
      </w:r>
      <w:r>
        <w:rPr>
          <w:rFonts w:ascii="Times New Roman;Times;serif" w:hAnsi="Times New Roman;Times;serif"/>
          <w:sz w:val="20"/>
        </w:rPr>
        <w:t>. The Company’s operations are subject to environmental laws and regulations adopted by various governmental authorities in the jurisdictions in which it operates. These laws require the Company to investigate and remediate the effects of the release or disposal of materials at its locations. Accordingly, the Company has adopted policies, practices and procedures in the areas of pollution control, occupational health and the production, handling, storage and use of hazardous materials to prevent material environmental or other damage, and to limit the financial liability which could result from such events. Environmental liabilities are recorded when the Company’s liability is probable, and the costs can be reasonably estimated. No environmental liabilities have been recorded as of December 31, 2025 and 2024.</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Fuel Supply Commitment.</w:t>
      </w:r>
      <w:r>
        <w:rPr>
          <w:rFonts w:ascii="Times New Roman;Times;serif" w:hAnsi="Times New Roman;Times;serif"/>
          <w:sz w:val="20"/>
        </w:rPr>
        <w:t xml:space="preserve"> The Company has three long-term fuel supply contracts to source feedstock for the anaerobic digesters at the NW Iowa RNG project. These contracts provide an annual amount of feedstock to be used in the production of RNG.</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 xml:space="preserve">Zero6 Commitments. </w:t>
      </w:r>
      <w:r>
        <w:rPr>
          <w:rFonts w:ascii="Times New Roman;Times;serif" w:hAnsi="Times New Roman;Times;serif"/>
          <w:sz w:val="20"/>
        </w:rPr>
        <w:t>In September 2022, the Company entered into a development agreement with Zero6 to construct and operate a wind project for the provision of electric energy for our Lake Preston project. Pursuant to the agreement, the Company has committed to pay Zero6 total development charges of $8.6 million, comprised of advanced development fee payments of $0.9 million, certain reimbursable costs of $1.2 million, and $6.5 million upon completion of the project. The Company is not contractually obligated for the specified development charges until certain milestones are met in future periods, and upon completion of the project.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Further, the Company has committed to fund certain discretionary, budgeted costs associated with long lead equipment and engineering services for the Lake Preston project, totaling an estimated $36.0 million. The amount is expected to be fully reimbursed upon completion of the project. Gevo and the developer are evaluating alternative uses for the wind-farm project and the distribution facilities given the current status of Lake Preston. Gevo has contractual priority liens against the equipment and constructed facilities under the contracts. </w:t>
      </w:r>
    </w:p>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Additionally, the Company’s investment in Zero6, see Note 15</w:t>
      </w:r>
      <w:r>
        <w:rPr>
          <w:rFonts w:ascii="Times New Roman;Times;serif" w:hAnsi="Times New Roman;Times;serif"/>
          <w:color w:val="212529"/>
          <w:sz w:val="20"/>
          <w:shd w:fill="FFFFFF" w:val="clear"/>
        </w:rPr>
        <w:t>, Deposits and Other Assets</w:t>
      </w:r>
      <w:r>
        <w:rPr>
          <w:rFonts w:ascii="Times New Roman;Times;serif" w:hAnsi="Times New Roman;Times;serif"/>
          <w:sz w:val="20"/>
        </w:rPr>
        <w:t>, is pledged separately as collateral for two commitments for the purchase of wind electricity, as well as the purchase of 100% of RCWF’s renewable energy credits. Gevo has a commitment to purchase all of RCWF’s electricity. The portion not used is charged to the Company at a lower price. Due to the indefinite delay at Lake Preston, the Project LLCs are actively evaluating options to redeploy resources, including supplying power to other sites and advancing or completing projects in other viable locations.</w:t>
      </w:r>
    </w:p>
    <w:p>
      <w:pPr>
        <w:pStyle w:val="TextBody"/>
        <w:bidi w:val="0"/>
        <w:spacing w:before="0" w:after="20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0"/>
        <w:ind w:left="0" w:right="0" w:firstLine="720"/>
        <w:jc w:val="left"/>
        <w:rPr>
          <w:rFonts w:ascii="Times New Roman;Times;serif" w:hAnsi="Times New Roman;Times;serif"/>
          <w:sz w:val="20"/>
        </w:rPr>
      </w:pPr>
      <w:bookmarkStart w:id="1435" w:name="Tc_31rinfDvQ0ahXxUHtMBPIA_8_20"/>
      <w:bookmarkStart w:id="1436" w:name="Tc_8q36RwJsLUutgimwILSzYA_8_17"/>
      <w:bookmarkStart w:id="1437" w:name="Tc_3NuGpTPPzkSreyEcTn5bWw_8_14"/>
      <w:bookmarkStart w:id="1438" w:name="Tc_KZgH3N6T9kCZcOzDdRwyTA_8_11"/>
      <w:bookmarkStart w:id="1439" w:name="Tc_hkB6I6O9PkqE3__-QHbHfA_8_8"/>
      <w:bookmarkStart w:id="1440" w:name="Tc_77OO4mn0d0ydKqkcabbADw_8_5"/>
      <w:bookmarkStart w:id="1441" w:name="Tc_0YJpka2YeEKex8z8XC9rdg_8_2"/>
      <w:bookmarkStart w:id="1442" w:name="Tc_MWfyNnML-kupifrCxQeheA_8_0"/>
      <w:bookmarkStart w:id="1443" w:name="Tc_zPP1hwYwZ0Gt8AXGji8vYQ_7_0"/>
      <w:bookmarkStart w:id="1444" w:name="Tc_6jZVC1OMNEC87bVBnneZTg_6_0"/>
      <w:bookmarkStart w:id="1445" w:name="Tc_Z7Z_R2JvqU2l4BNXQsnJuA_5_18"/>
      <w:bookmarkStart w:id="1446" w:name="Tc__Nb70bodCEa9v6FzODKySQ_5_15"/>
      <w:bookmarkStart w:id="1447" w:name="Tc_XS3RmymktUaik4UtuPdBkA_5_12"/>
      <w:bookmarkStart w:id="1448" w:name="Tc_YAhiuxW-pUOWPe8Ypq6r-A_5_9"/>
      <w:bookmarkStart w:id="1449" w:name="Tc_bx5B3RmbMk2a9oo1XhQ6xg_5_6"/>
      <w:bookmarkStart w:id="1450" w:name="Tc_MGPC7yKQrEarnMFm-glKbw_5_0"/>
      <w:bookmarkStart w:id="1451" w:name="Tc_fL9CX7qw00CEvBWu0YlnLA_4_18"/>
      <w:bookmarkStart w:id="1452" w:name="Tc_pBuItTFSj027j_cZTxoAyQ_4_15"/>
      <w:bookmarkStart w:id="1453" w:name="Tc_TvyVgSPOTkmmUykSWIn-_w_4_12"/>
      <w:bookmarkStart w:id="1454" w:name="Tc_asJTrGp_FEq8-NKiIfPAFA_4_9"/>
      <w:bookmarkStart w:id="1455" w:name="Tc_Vpw6zGOWukeVJRr_VnZhPA_4_6"/>
      <w:bookmarkStart w:id="1456" w:name="Tc_E-bLZOBJlUqQpF9spkkctw_4_0"/>
      <w:bookmarkStart w:id="1457" w:name="Tc_dAk9jEhIbE6C4ylj6vHcTw_3_20"/>
      <w:bookmarkStart w:id="1458" w:name="Tc_dy21iO12EEefjYpdC2K0Hg_3_17"/>
      <w:bookmarkStart w:id="1459" w:name="Tc_dne3R28cgUqtEJU4X8DnTg_3_14"/>
      <w:bookmarkStart w:id="1460" w:name="Tc_s6RfGRo2EkO6gCCx41alHQ_3_11"/>
      <w:bookmarkStart w:id="1461" w:name="Tc_JHevrx_NP0KvxgnqkBaRSQ_3_8"/>
      <w:bookmarkStart w:id="1462" w:name="Tc_LzRNJzV9XEWkj3rsjq41kg_3_5"/>
      <w:bookmarkStart w:id="1463" w:name="Tc_B6ZmdNkOdUC8IiqILbRrmQ_3_2"/>
      <w:bookmarkStart w:id="1464" w:name="Tc_EtxMIpQ5l0-h5TEv7fb3jg_3_0"/>
      <w:bookmarkStart w:id="1465" w:name="Tc_3Yhdlt9QGESRC2WzetnXbg_2_20"/>
      <w:bookmarkStart w:id="1466" w:name="Tc_DcsoFh6b70O6tEml0glIjQ_2_17"/>
      <w:bookmarkStart w:id="1467" w:name="Tc_YXT9CYfa7E2UShSh5dBNUA_2_14"/>
      <w:bookmarkStart w:id="1468" w:name="Tc_HCMUQhTReUOHqzHA3kfEnQ_2_11"/>
      <w:bookmarkStart w:id="1469" w:name="Tc_T1Wn4q230ESy_1PZPXivgA_2_8"/>
      <w:bookmarkStart w:id="1470" w:name="Tc_Q9MVbeIMnEWBZaNnhKA84A_2_5"/>
      <w:bookmarkStart w:id="1471" w:name="Tc_dAq2EKkJXk-N0LjosZd4Ig_2_2"/>
      <w:bookmarkStart w:id="1472" w:name="Tc_ol2tooEHRE2lBaiAHJ3lZg_1_17"/>
      <w:bookmarkStart w:id="1473" w:name="_e27e4a56_989a_4aa6_afc5_7a401d83a042"/>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r>
        <w:rPr>
          <w:rFonts w:ascii="Times New Roman;Times;serif" w:hAnsi="Times New Roman;Times;serif"/>
          <w:sz w:val="20"/>
        </w:rPr>
        <w:t>The estimated commitments as of December 31, 2025, and thereafter are shown below (in thousands):</w:t>
      </w:r>
    </w:p>
    <w:p>
      <w:pPr>
        <w:pStyle w:val="TextBody"/>
        <w:bidi w:val="0"/>
        <w:spacing w:before="0" w:after="200"/>
        <w:ind w:left="0" w:right="0" w:firstLine="720"/>
        <w:jc w:val="left"/>
        <w:rPr/>
      </w:pPr>
      <w:r>
        <w:rPr/>
        <w:t>​</w:t>
      </w:r>
    </w:p>
    <w:p>
      <w:pPr>
        <w:pStyle w:val="TextBody"/>
        <w:bidi w:val="0"/>
        <w:spacing w:before="0" w:after="20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1889"/>
        <w:gridCol w:w="346"/>
        <w:gridCol w:w="211"/>
        <w:gridCol w:w="676"/>
        <w:gridCol w:w="346"/>
        <w:gridCol w:w="211"/>
        <w:gridCol w:w="571"/>
        <w:gridCol w:w="346"/>
        <w:gridCol w:w="211"/>
        <w:gridCol w:w="571"/>
        <w:gridCol w:w="346"/>
        <w:gridCol w:w="211"/>
        <w:gridCol w:w="571"/>
        <w:gridCol w:w="346"/>
        <w:gridCol w:w="211"/>
        <w:gridCol w:w="571"/>
        <w:gridCol w:w="346"/>
        <w:gridCol w:w="211"/>
        <w:gridCol w:w="676"/>
        <w:gridCol w:w="346"/>
        <w:gridCol w:w="211"/>
        <w:gridCol w:w="781"/>
      </w:tblGrid>
      <w:tr>
        <w:trPr/>
        <w:tc>
          <w:tcPr>
            <w:tcW w:w="1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1199515" cy="175260"/>
                      <wp:effectExtent l="0" t="0" r="0" b="0"/>
                      <wp:wrapNone/>
                      <wp:docPr id="521" name="Frame521"/>
                      <a:graphic xmlns:a="http://schemas.openxmlformats.org/drawingml/2006/main">
                        <a:graphicData uri="http://schemas.microsoft.com/office/word/2010/wordprocessingShape">
                          <wps:wsp>
                            <wps:cNvSpPr txBox="1"/>
                            <wps:spPr>
                              <a:xfrm>
                                <a:off x="0" y="0"/>
                                <a:ext cx="1199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219710" cy="175260"/>
                      <wp:effectExtent l="0" t="0" r="0" b="0"/>
                      <wp:wrapNone/>
                      <wp:docPr id="522" name="Frame5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133985" cy="175260"/>
                      <wp:effectExtent l="0" t="0" r="0" b="0"/>
                      <wp:wrapNone/>
                      <wp:docPr id="523" name="Frame5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429260" cy="175260"/>
                      <wp:effectExtent l="0" t="0" r="0" b="0"/>
                      <wp:wrapNone/>
                      <wp:docPr id="524" name="Frame52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19710" cy="175260"/>
                      <wp:effectExtent l="0" t="0" r="0" b="0"/>
                      <wp:wrapNone/>
                      <wp:docPr id="525" name="Frame5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133985" cy="175260"/>
                      <wp:effectExtent l="0" t="0" r="0" b="0"/>
                      <wp:wrapNone/>
                      <wp:docPr id="526" name="Frame5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362585" cy="175260"/>
                      <wp:effectExtent l="0" t="0" r="0" b="0"/>
                      <wp:wrapNone/>
                      <wp:docPr id="527" name="Frame52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219710" cy="175260"/>
                      <wp:effectExtent l="0" t="0" r="0" b="0"/>
                      <wp:wrapNone/>
                      <wp:docPr id="528" name="Frame5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133985" cy="175260"/>
                      <wp:effectExtent l="0" t="0" r="0" b="0"/>
                      <wp:wrapNone/>
                      <wp:docPr id="529" name="Frame5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362585" cy="175260"/>
                      <wp:effectExtent l="0" t="0" r="0" b="0"/>
                      <wp:wrapNone/>
                      <wp:docPr id="530" name="Frame53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19710" cy="175260"/>
                      <wp:effectExtent l="0" t="0" r="0" b="0"/>
                      <wp:wrapNone/>
                      <wp:docPr id="531" name="Frame5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133985" cy="175260"/>
                      <wp:effectExtent l="0" t="0" r="0" b="0"/>
                      <wp:wrapNone/>
                      <wp:docPr id="532" name="Frame5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362585" cy="175260"/>
                      <wp:effectExtent l="0" t="0" r="0" b="0"/>
                      <wp:wrapNone/>
                      <wp:docPr id="533" name="Frame53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219710" cy="175260"/>
                      <wp:effectExtent l="0" t="0" r="0" b="0"/>
                      <wp:wrapNone/>
                      <wp:docPr id="534" name="Frame5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133985" cy="175260"/>
                      <wp:effectExtent l="0" t="0" r="0" b="0"/>
                      <wp:wrapNone/>
                      <wp:docPr id="535" name="Frame5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362585" cy="175260"/>
                      <wp:effectExtent l="0" t="0" r="0" b="0"/>
                      <wp:wrapNone/>
                      <wp:docPr id="536" name="Frame53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219710" cy="175260"/>
                      <wp:effectExtent l="0" t="0" r="0" b="0"/>
                      <wp:wrapNone/>
                      <wp:docPr id="537" name="Frame5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133985" cy="175260"/>
                      <wp:effectExtent l="0" t="0" r="0" b="0"/>
                      <wp:wrapNone/>
                      <wp:docPr id="538" name="Frame5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429260" cy="175260"/>
                      <wp:effectExtent l="0" t="0" r="0" b="0"/>
                      <wp:wrapNone/>
                      <wp:docPr id="539" name="Frame53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219710" cy="175260"/>
                      <wp:effectExtent l="0" t="0" r="0" b="0"/>
                      <wp:wrapNone/>
                      <wp:docPr id="540" name="Frame5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133985" cy="175260"/>
                      <wp:effectExtent l="0" t="0" r="0" b="0"/>
                      <wp:wrapNone/>
                      <wp:docPr id="541" name="Frame5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495935" cy="175260"/>
                      <wp:effectExtent l="0" t="0" r="0" b="0"/>
                      <wp:wrapNone/>
                      <wp:docPr id="542" name="Frame54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8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2031 and</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r>
      <w:tr>
        <w:trPr/>
        <w:tc>
          <w:tcPr>
            <w:tcW w:w="188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2027</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2028</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2029</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2030</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thereafter</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8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Fuel supply payments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27,716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37,905</w:t>
            </w:r>
          </w:p>
        </w:tc>
      </w:tr>
      <w:tr>
        <w:trPr/>
        <w:tc>
          <w:tcPr>
            <w:tcW w:w="18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East River commitment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6,861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6,861</w:t>
            </w:r>
          </w:p>
        </w:tc>
      </w:tr>
      <w:tr>
        <w:trPr/>
        <w:tc>
          <w:tcPr>
            <w:tcW w:w="18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Firm purchase commitments for corn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5,308</w:t>
            </w:r>
          </w:p>
        </w:tc>
      </w:tr>
      <w:tr>
        <w:trPr/>
        <w:tc>
          <w:tcPr>
            <w:tcW w:w="18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Renewable energy credits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2,036</w:t>
            </w:r>
          </w:p>
        </w:tc>
      </w:tr>
      <w:tr>
        <w:trPr/>
        <w:tc>
          <w:tcPr>
            <w:tcW w:w="18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Water purchases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4,012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8,732</w:t>
            </w:r>
          </w:p>
        </w:tc>
      </w:tr>
      <w:tr>
        <w:trPr/>
        <w:tc>
          <w:tcPr>
            <w:tcW w:w="18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15,106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33,054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60,842</w:t>
            </w:r>
          </w:p>
        </w:tc>
      </w:tr>
    </w:tbl>
    <w:p>
      <w:pPr>
        <w:pStyle w:val="TextBody"/>
        <w:bidi w:val="0"/>
        <w:spacing w:before="0" w:after="200"/>
        <w:ind w:left="0" w:right="0" w:firstLine="72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474" w:name="Tc_dYthRaGLdk-vXgXO6cM8fg_10_11"/>
      <w:bookmarkStart w:id="1475" w:name="Tc_bBTgfH5V-U-WxbW48ec4NA_10_8"/>
      <w:bookmarkStart w:id="1476" w:name="Tc_XRTESIImZUeyyRml0XEMRA_10_5"/>
      <w:bookmarkStart w:id="1477" w:name="Tc_xjD0JtP7hEKR5c_W9siwJg_10_2"/>
      <w:bookmarkStart w:id="1478" w:name="Tc_xz214ZJnWkWOgZwIkSliQQ_10_0"/>
      <w:bookmarkStart w:id="1479" w:name="Tc_Dtgn9CrQqU2m4b_BVY0oQA_9_0"/>
      <w:bookmarkStart w:id="1480" w:name="Tc_gY1JRPuYz0KoQI9sFFgrhA_8_11"/>
      <w:bookmarkStart w:id="1481" w:name="Tc_63VeDcjV30axlOZ-evJm0w_8_8"/>
      <w:bookmarkStart w:id="1482" w:name="Tc_4AH7oOhjXku9Mji5c6jUKA_8_5"/>
      <w:bookmarkStart w:id="1483" w:name="Tc_HXUTvth9BE2c7asIwr1ZvQ_8_2"/>
      <w:bookmarkStart w:id="1484" w:name="Tc_JrLlsiVemEWvHKfYZ0pS7A_7_11"/>
      <w:bookmarkStart w:id="1485" w:name="Tc_ronWbt6lIkyYAUs3Tc2w6A_7_8"/>
      <w:bookmarkStart w:id="1486" w:name="Tc_vIXjAgH2NUGjZQrJzPWfng_7_5"/>
      <w:bookmarkStart w:id="1487" w:name="Tc_SbodQUHaEUCheX6pVSCjAA_7_2"/>
      <w:bookmarkStart w:id="1488" w:name="Tc_e_Ymgg-fx0-A48Uu7M_alw_6_11"/>
      <w:bookmarkStart w:id="1489" w:name="Tc_KjlXgXJnvECKgR0rXW-ANw_6_8"/>
      <w:bookmarkStart w:id="1490" w:name="Tc_10s2Xe8sFEe7fF4Gc6VlFw_6_5"/>
      <w:bookmarkStart w:id="1491" w:name="Tc_gMS7aANji0-Sagvp_zaQiQ_6_2"/>
      <w:bookmarkStart w:id="1492" w:name="Tc_Ydi7tKN9Z0697S_-SZRS-w_5_11"/>
      <w:bookmarkStart w:id="1493" w:name="Tc_bzgJ45MrlkqoA-owceEhDQ_5_8"/>
      <w:bookmarkStart w:id="1494" w:name="Tc_X5yZohNVVEmQfT0j6zMj4w_5_5"/>
      <w:bookmarkStart w:id="1495" w:name="Tc_3VAGJaC0xEGcl_ctELBIGA_4_8"/>
      <w:bookmarkStart w:id="1496" w:name="Tc_GtrMfISX6E-jRab_692nPA_4_5"/>
      <w:bookmarkStart w:id="1497" w:name="Tc_4gtlIFIypUWkjQmspzxANw_3_5"/>
      <w:bookmarkStart w:id="1498" w:name="Tc_3v3qVliXHkqUDI9IevbvQQ_2_5"/>
      <w:bookmarkStart w:id="1499" w:name="Tc_RinN3TM0qkiQMWOGJUxOxg_1_5"/>
      <w:bookmarkStart w:id="1500" w:name="_79a7186d_c3d1_47bc_a007_87daf6ba0c4b"/>
      <w:bookmarkStart w:id="1501" w:name="Tc_VIn3WjZo-UGA2N9f1YXTag_11_11"/>
      <w:bookmarkStart w:id="1502" w:name="Tc_6a0PXPP88kKRMjGPAWh6aw_11_8"/>
      <w:bookmarkStart w:id="1503" w:name="Tc_CtYS1ur58UCOYDYUITc5lA_11_5"/>
      <w:bookmarkStart w:id="1504" w:name="Tc_PqLUhHTMo0Ok8Uhrcwq-OA_11_2"/>
      <w:bookmarkStart w:id="1505" w:name="Tc_ULMZLJ8C10OT7A4o0tsJYw_11_0"/>
      <w:bookmarkStart w:id="1506" w:name="Tc_SqoV79GFqku__wE_WUSQYw_10_6"/>
      <w:bookmarkStart w:id="1507" w:name="Tc_lzgHSri9v02B-EisLV-nIw_10_0"/>
      <w:bookmarkStart w:id="1508" w:name="Tc_7OxPZWA5Pk2NStj4WeZYrw_9_11"/>
      <w:bookmarkStart w:id="1509" w:name="Tc_XqsgelR4P0CKKsRTs68vKA_9_8"/>
      <w:bookmarkStart w:id="1510" w:name="Tc_rD9B_4HNUkKD-rMibMdzJA_9_5"/>
      <w:bookmarkStart w:id="1511" w:name="Tc_HEHvT5PBcUiWZ4-W5BgOXQ_9_2"/>
      <w:bookmarkStart w:id="1512" w:name="Tc_a5bQFvk2kEex7f_qo9fMdA_9_0"/>
      <w:bookmarkStart w:id="1513" w:name="Tc_EHGND151EUONYROknnRAXQ_8_11"/>
      <w:bookmarkStart w:id="1514" w:name="Tc_ySfY0gKrqEC084GDukwFcg_8_8"/>
      <w:bookmarkStart w:id="1515" w:name="Tc_KicYQIWRME2YSrZCOHNrxw_8_5"/>
      <w:bookmarkStart w:id="1516" w:name="Tc_EbSYURzfyU2T9aUy1dwPtQ_8_2"/>
      <w:bookmarkStart w:id="1517" w:name="Tc_UI1LDfDJlE6JgZRf5Ns_Bg_8_0"/>
      <w:bookmarkStart w:id="1518" w:name="Tc_0e5H1_hYY0ejFm6Rl6p8TA_7_11"/>
      <w:bookmarkStart w:id="1519" w:name="Tc_S3D1nWRSa0qefrTrxuFzYw_7_8"/>
      <w:bookmarkStart w:id="1520" w:name="Tc_FnT6r2JPPU2RbsMeQdRGqA_7_5"/>
      <w:bookmarkStart w:id="1521" w:name="Tc_EnlXndViCkSXxvrub3Efag_7_2"/>
      <w:bookmarkStart w:id="1522" w:name="Tc_ldAHOpX2FEy_sX41Xbknzw_6_11"/>
      <w:bookmarkStart w:id="1523" w:name="Tc_88bUIVIQyE-PzgozDgTsVA_6_8"/>
      <w:bookmarkStart w:id="1524" w:name="Tc_yDDLBYM6iEqAZLS88YAVag_6_5"/>
      <w:bookmarkStart w:id="1525" w:name="Tc_S3nbTIxjN0-b0vzkIjfV7Q_6_2"/>
      <w:bookmarkStart w:id="1526" w:name="Tc_KqikCE8EeUm9EUvcTvXwZw_5_11"/>
      <w:bookmarkStart w:id="1527" w:name="Tc_4mjiry4ccUiYdVxJoVwAfQ_5_8"/>
      <w:bookmarkStart w:id="1528" w:name="Tc_JfJW2Pctr0-_NZ76kHVAxA_5_5"/>
      <w:bookmarkStart w:id="1529" w:name="Tc_GXdF3yXtukmBmnsFXHaWsg_4_8"/>
      <w:bookmarkStart w:id="1530" w:name="Tc_pzIGD0qmkUK2H3OCnnAcPw_4_5"/>
      <w:bookmarkStart w:id="1531" w:name="Tc_WGjEiQNqUk2W_UXoQPFcDA_3_5"/>
      <w:bookmarkStart w:id="1532" w:name="Tc_EAT-FmgYmUqtDBnukSE7UA_2_5"/>
      <w:bookmarkStart w:id="1533" w:name="Tc_Vihp9AtkbUSs_rypNIhldw_1_5"/>
      <w:bookmarkStart w:id="1534" w:name="_5f4c224b_c36d_4ca4_a3da_2bdcdceebc1e"/>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r>
        <w:rPr>
          <w:rFonts w:ascii="Times New Roman;Times;serif" w:hAnsi="Times New Roman;Times;serif"/>
          <w:b/>
          <w:sz w:val="20"/>
        </w:rPr>
        <w:t xml:space="preserve">23. Fair Value Measurements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Accounting standards define fair value, outline a framework for measuring fair value, and detail the required disclosures about fair value measurements. Under these standards, fair value is defined as the price that would be received to sell an asset or paid to transfer a liability in an orderly transaction between market participants at the measurement date in the principal or most advantageous market. Standards establish a hierarchy in determining the fair market value of an asset or liability. The fair value hierarchy has three levels of inputs, both observable and unobservable. Standards require the utilization of the highest possible level of input to determine fair value.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Level 1 – inputs include quoted market prices in an active market for identical assets or liabilities.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Level 2 – inputs are market data, other than Level 1, that are observable either directly or indirectly. Level 2 inputs include quoted market prices for similar assets or liabilities, quoted market prices in an inactive market, and other observable information that can be corroborated by market data.</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Level 3 – inputs are unobservable and corroborated by little or no market data.</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carrying value and fair value, by fair value hierarchy, of the Company’s financial instruments at December 31, 2025, and 2024, are as follows (in thousands):</w:t>
      </w:r>
    </w:p>
    <w:p>
      <w:pPr>
        <w:pStyle w:val="TextBody"/>
        <w:bidi w:val="0"/>
        <w:spacing w:before="0" w:after="0"/>
        <w:ind w:left="0" w:right="0" w:hanging="0"/>
        <w:jc w:val="left"/>
        <w:rPr/>
      </w:pPr>
      <w:r>
        <w:rPr/>
        <w:t>​</w:t>
      </w:r>
    </w:p>
    <w:tbl>
      <w:tblPr>
        <w:tblW w:w="9034" w:type="dxa"/>
        <w:jc w:val="left"/>
        <w:tblInd w:w="0" w:type="dxa"/>
        <w:tblLayout w:type="fixed"/>
        <w:tblCellMar>
          <w:top w:w="0" w:type="dxa"/>
          <w:left w:w="0" w:type="dxa"/>
          <w:bottom w:w="0" w:type="dxa"/>
          <w:right w:w="0" w:type="dxa"/>
        </w:tblCellMar>
      </w:tblPr>
      <w:tblGrid>
        <w:gridCol w:w="3076"/>
        <w:gridCol w:w="346"/>
        <w:gridCol w:w="271"/>
        <w:gridCol w:w="869"/>
        <w:gridCol w:w="346"/>
        <w:gridCol w:w="274"/>
        <w:gridCol w:w="880"/>
        <w:gridCol w:w="450"/>
        <w:gridCol w:w="352"/>
        <w:gridCol w:w="579"/>
        <w:gridCol w:w="450"/>
        <w:gridCol w:w="359"/>
        <w:gridCol w:w="782"/>
      </w:tblGrid>
      <w:tr>
        <w:trPr/>
        <w:tc>
          <w:tcPr>
            <w:tcW w:w="3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1953260" cy="175260"/>
                      <wp:effectExtent l="0" t="0" r="0" b="0"/>
                      <wp:wrapNone/>
                      <wp:docPr id="543" name="Frame543"/>
                      <a:graphic xmlns:a="http://schemas.openxmlformats.org/drawingml/2006/main">
                        <a:graphicData uri="http://schemas.microsoft.com/office/word/2010/wordprocessingShape">
                          <wps:wsp>
                            <wps:cNvSpPr txBox="1"/>
                            <wps:spPr>
                              <a:xfrm>
                                <a:off x="0" y="0"/>
                                <a:ext cx="1953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219710" cy="175260"/>
                      <wp:effectExtent l="0" t="0" r="0" b="0"/>
                      <wp:wrapNone/>
                      <wp:docPr id="544" name="Frame5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172085" cy="175260"/>
                      <wp:effectExtent l="0" t="0" r="0" b="0"/>
                      <wp:wrapNone/>
                      <wp:docPr id="545" name="Frame545"/>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551815" cy="175260"/>
                      <wp:effectExtent l="0" t="0" r="0" b="0"/>
                      <wp:wrapNone/>
                      <wp:docPr id="546" name="Frame546"/>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219710" cy="175260"/>
                      <wp:effectExtent l="0" t="0" r="0" b="0"/>
                      <wp:wrapNone/>
                      <wp:docPr id="547" name="Frame5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173990" cy="175260"/>
                      <wp:effectExtent l="0" t="0" r="0" b="0"/>
                      <wp:wrapNone/>
                      <wp:docPr id="548" name="Frame548"/>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558800" cy="175260"/>
                      <wp:effectExtent l="0" t="0" r="0" b="0"/>
                      <wp:wrapNone/>
                      <wp:docPr id="549" name="Frame549"/>
                      <a:graphic xmlns:a="http://schemas.openxmlformats.org/drawingml/2006/main">
                        <a:graphicData uri="http://schemas.microsoft.com/office/word/2010/wordprocessingShape">
                          <wps:wsp>
                            <wps:cNvSpPr txBox="1"/>
                            <wps:spPr>
                              <a:xfrm>
                                <a:off x="0" y="0"/>
                                <a:ext cx="558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285750" cy="175260"/>
                      <wp:effectExtent l="0" t="0" r="0" b="0"/>
                      <wp:wrapNone/>
                      <wp:docPr id="550" name="Frame550"/>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223520" cy="175260"/>
                      <wp:effectExtent l="0" t="0" r="0" b="0"/>
                      <wp:wrapNone/>
                      <wp:docPr id="551" name="Frame551"/>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367665" cy="175260"/>
                      <wp:effectExtent l="0" t="0" r="0" b="0"/>
                      <wp:wrapNone/>
                      <wp:docPr id="552" name="Frame552"/>
                      <a:graphic xmlns:a="http://schemas.openxmlformats.org/drawingml/2006/main">
                        <a:graphicData uri="http://schemas.microsoft.com/office/word/2010/wordprocessingShape">
                          <wps:wsp>
                            <wps:cNvSpPr txBox="1"/>
                            <wps:spPr>
                              <a:xfrm>
                                <a:off x="0" y="0"/>
                                <a:ext cx="367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285750" cy="175260"/>
                      <wp:effectExtent l="0" t="0" r="0" b="0"/>
                      <wp:wrapNone/>
                      <wp:docPr id="553" name="Frame553"/>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227965" cy="175260"/>
                      <wp:effectExtent l="0" t="0" r="0" b="0"/>
                      <wp:wrapNone/>
                      <wp:docPr id="554" name="Frame554"/>
                      <a:graphic xmlns:a="http://schemas.openxmlformats.org/drawingml/2006/main">
                        <a:graphicData uri="http://schemas.microsoft.com/office/word/2010/wordprocessingShape">
                          <wps:wsp>
                            <wps:cNvSpPr txBox="1"/>
                            <wps:spPr>
                              <a:xfrm>
                                <a:off x="0" y="0"/>
                                <a:ext cx="227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496570" cy="175260"/>
                      <wp:effectExtent l="0" t="0" r="0" b="0"/>
                      <wp:wrapNone/>
                      <wp:docPr id="555" name="Frame555"/>
                      <a:graphic xmlns:a="http://schemas.openxmlformats.org/drawingml/2006/main">
                        <a:graphicData uri="http://schemas.microsoft.com/office/word/2010/wordprocessingShape">
                          <wps:wsp>
                            <wps:cNvSpPr txBox="1"/>
                            <wps:spPr>
                              <a:xfrm>
                                <a:off x="0" y="0"/>
                                <a:ext cx="496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71"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4126"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Measurements at December 31, 2025</w:t>
            </w:r>
          </w:p>
        </w:tc>
      </w:tr>
      <w:tr>
        <w:trPr/>
        <w:tc>
          <w:tcPr>
            <w:tcW w:w="30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5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Quoted</w:t>
            </w:r>
          </w:p>
        </w:tc>
        <w:tc>
          <w:tcPr>
            <w:tcW w:w="450"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center"/>
              <w:rPr/>
            </w:pPr>
            <w:r>
              <w:rPr/>
              <w:t>​</w:t>
            </w:r>
          </w:p>
        </w:tc>
        <w:tc>
          <w:tcPr>
            <w:tcW w:w="450" w:type="dxa"/>
            <w:tcBorders/>
            <w:vAlign w:val="center"/>
          </w:tcPr>
          <w:p>
            <w:pPr>
              <w:pStyle w:val="TableContents"/>
              <w:bidi w:val="0"/>
              <w:spacing w:before="0" w:after="1"/>
              <w:ind w:left="0" w:right="0" w:hanging="0"/>
              <w:jc w:val="left"/>
              <w:rPr/>
            </w:pPr>
            <w:r>
              <w:rPr/>
              <w:t>​</w:t>
            </w:r>
          </w:p>
        </w:tc>
        <w:tc>
          <w:tcPr>
            <w:tcW w:w="359"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center"/>
              <w:rPr/>
            </w:pPr>
            <w:r>
              <w:rPr/>
              <w:t>​</w:t>
            </w:r>
          </w:p>
        </w:tc>
      </w:tr>
      <w:tr>
        <w:trPr/>
        <w:tc>
          <w:tcPr>
            <w:tcW w:w="30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5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Prices in</w:t>
            </w:r>
          </w:p>
        </w:tc>
        <w:tc>
          <w:tcPr>
            <w:tcW w:w="450"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center"/>
              <w:rPr/>
            </w:pPr>
            <w:r>
              <w:rPr/>
              <w:t>​</w:t>
            </w:r>
          </w:p>
        </w:tc>
        <w:tc>
          <w:tcPr>
            <w:tcW w:w="450" w:type="dxa"/>
            <w:tcBorders/>
            <w:vAlign w:val="center"/>
          </w:tcPr>
          <w:p>
            <w:pPr>
              <w:pStyle w:val="TableContents"/>
              <w:bidi w:val="0"/>
              <w:spacing w:before="0" w:after="1"/>
              <w:ind w:left="0" w:right="0" w:hanging="0"/>
              <w:jc w:val="left"/>
              <w:rPr/>
            </w:pPr>
            <w:r>
              <w:rPr/>
              <w:t>​</w:t>
            </w:r>
          </w:p>
        </w:tc>
        <w:tc>
          <w:tcPr>
            <w:tcW w:w="359"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center"/>
              <w:rPr/>
            </w:pPr>
            <w:r>
              <w:rPr/>
              <w:t>​</w:t>
            </w:r>
          </w:p>
        </w:tc>
      </w:tr>
      <w:tr>
        <w:trPr/>
        <w:tc>
          <w:tcPr>
            <w:tcW w:w="30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5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Active</w:t>
            </w:r>
          </w:p>
        </w:tc>
        <w:tc>
          <w:tcPr>
            <w:tcW w:w="450"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450" w:type="dxa"/>
            <w:tcBorders/>
            <w:vAlign w:val="center"/>
          </w:tcPr>
          <w:p>
            <w:pPr>
              <w:pStyle w:val="TableContents"/>
              <w:bidi w:val="0"/>
              <w:spacing w:before="0" w:after="1"/>
              <w:ind w:left="0" w:right="0" w:hanging="0"/>
              <w:jc w:val="left"/>
              <w:rPr/>
            </w:pPr>
            <w:r>
              <w:rPr/>
              <w:t>​</w:t>
            </w:r>
          </w:p>
        </w:tc>
        <w:tc>
          <w:tcPr>
            <w:tcW w:w="359"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center"/>
              <w:rPr/>
            </w:pPr>
            <w:r>
              <w:rPr/>
              <w:t>​</w:t>
            </w:r>
          </w:p>
        </w:tc>
      </w:tr>
      <w:tr>
        <w:trPr/>
        <w:tc>
          <w:tcPr>
            <w:tcW w:w="30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5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Markets for</w:t>
            </w:r>
          </w:p>
        </w:tc>
        <w:tc>
          <w:tcPr>
            <w:tcW w:w="450"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450"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30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at</w:t>
            </w:r>
          </w:p>
        </w:tc>
        <w:tc>
          <w:tcPr>
            <w:tcW w:w="346" w:type="dxa"/>
            <w:tcBorders/>
            <w:vAlign w:val="center"/>
          </w:tcPr>
          <w:p>
            <w:pPr>
              <w:pStyle w:val="TableContents"/>
              <w:bidi w:val="0"/>
              <w:spacing w:before="0" w:after="1"/>
              <w:ind w:left="0" w:right="0" w:hanging="0"/>
              <w:jc w:val="left"/>
              <w:rPr/>
            </w:pPr>
            <w:r>
              <w:rPr/>
              <w:t>​</w:t>
            </w:r>
          </w:p>
        </w:tc>
        <w:tc>
          <w:tcPr>
            <w:tcW w:w="115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Identical</w:t>
            </w:r>
          </w:p>
        </w:tc>
        <w:tc>
          <w:tcPr>
            <w:tcW w:w="450"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450"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30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1"/>
              <w:ind w:left="0" w:right="0" w:hanging="0"/>
              <w:jc w:val="left"/>
              <w:rPr/>
            </w:pPr>
            <w:r>
              <w:rPr/>
              <w:t>​</w:t>
            </w:r>
          </w:p>
        </w:tc>
        <w:tc>
          <w:tcPr>
            <w:tcW w:w="115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450"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450"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Recurring</w:t>
            </w:r>
          </w:p>
        </w:tc>
        <w:tc>
          <w:tcPr>
            <w:tcW w:w="346" w:type="dxa"/>
            <w:tcBorders/>
            <w:vAlign w:val="center"/>
          </w:tcPr>
          <w:p>
            <w:pPr>
              <w:pStyle w:val="TableContents"/>
              <w:bidi w:val="0"/>
              <w:spacing w:before="0" w:after="1"/>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15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450" w:type="dxa"/>
            <w:tcBorders/>
            <w:vAlign w:val="center"/>
          </w:tcPr>
          <w:p>
            <w:pPr>
              <w:pStyle w:val="TableContents"/>
              <w:bidi w:val="0"/>
              <w:spacing w:before="0" w:after="1"/>
              <w:ind w:left="0" w:right="0" w:hanging="0"/>
              <w:jc w:val="left"/>
              <w:rPr/>
            </w:pPr>
            <w:r>
              <w:rPr/>
              <w:t>  ​ ​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450" w:type="dxa"/>
            <w:tcBorders/>
            <w:vAlign w:val="center"/>
          </w:tcPr>
          <w:p>
            <w:pPr>
              <w:pStyle w:val="TableContents"/>
              <w:bidi w:val="0"/>
              <w:spacing w:before="0" w:after="1"/>
              <w:ind w:left="0" w:right="0" w:hanging="0"/>
              <w:jc w:val="left"/>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07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Cash and cash equivalents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59,904</w:t>
            </w:r>
          </w:p>
        </w:tc>
        <w:tc>
          <w:tcPr>
            <w:tcW w:w="34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59,904</w:t>
            </w:r>
          </w:p>
        </w:tc>
        <w:tc>
          <w:tcPr>
            <w:tcW w:w="450"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shd w:fill="CCEEFF" w:val="clear"/>
            <w:vAlign w:val="center"/>
          </w:tcPr>
          <w:p>
            <w:pPr>
              <w:pStyle w:val="TableContents"/>
              <w:bidi w:val="0"/>
              <w:spacing w:before="0" w:after="1"/>
              <w:ind w:left="0" w:right="0" w:hanging="0"/>
              <w:jc w:val="right"/>
              <w:rPr/>
            </w:pPr>
            <w:r>
              <w:rPr/>
              <w:t>—</w:t>
            </w:r>
          </w:p>
        </w:tc>
        <w:tc>
          <w:tcPr>
            <w:tcW w:w="450" w:type="dxa"/>
            <w:tcBorders/>
            <w:shd w:fill="CCEEFF" w:val="clear"/>
            <w:vAlign w:val="center"/>
          </w:tcPr>
          <w:p>
            <w:pPr>
              <w:pStyle w:val="TableContents"/>
              <w:bidi w:val="0"/>
              <w:spacing w:before="0" w:after="1"/>
              <w:ind w:left="0" w:right="0" w:hanging="0"/>
              <w:jc w:val="left"/>
              <w:rPr/>
            </w:pPr>
            <w:r>
              <w:rPr/>
              <w:t>​</w:t>
            </w:r>
          </w:p>
        </w:tc>
        <w:tc>
          <w:tcPr>
            <w:tcW w:w="3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shd w:fill="CCEEFF" w:val="clear"/>
            <w:vAlign w:val="center"/>
          </w:tcPr>
          <w:p>
            <w:pPr>
              <w:pStyle w:val="TableContents"/>
              <w:bidi w:val="0"/>
              <w:spacing w:before="0" w:after="1"/>
              <w:ind w:left="0" w:right="0" w:hanging="0"/>
              <w:jc w:val="right"/>
              <w:rPr/>
            </w:pPr>
            <w:r>
              <w:rPr/>
              <w:t>—</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Commodities derivative instruments</w:t>
            </w:r>
          </w:p>
        </w:tc>
        <w:tc>
          <w:tcPr>
            <w:tcW w:w="346" w:type="dxa"/>
            <w:tcBorders/>
            <w:vAlign w:val="center"/>
          </w:tcPr>
          <w:p>
            <w:pPr>
              <w:pStyle w:val="TableContents"/>
              <w:bidi w:val="0"/>
              <w:spacing w:before="0" w:after="1"/>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346"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450" w:type="dxa"/>
            <w:tcBorders/>
            <w:vAlign w:val="center"/>
          </w:tcPr>
          <w:p>
            <w:pPr>
              <w:pStyle w:val="TableContents"/>
              <w:bidi w:val="0"/>
              <w:spacing w:before="0" w:after="1"/>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450" w:type="dxa"/>
            <w:tcBorders/>
            <w:vAlign w:val="center"/>
          </w:tcPr>
          <w:p>
            <w:pPr>
              <w:pStyle w:val="TableContents"/>
              <w:bidi w:val="0"/>
              <w:spacing w:before="0" w:after="1"/>
              <w:ind w:left="0" w:right="0" w:hanging="0"/>
              <w:jc w:val="left"/>
              <w:rPr/>
            </w:pPr>
            <w:r>
              <w:rPr/>
              <w:t>​</w:t>
            </w:r>
          </w:p>
        </w:tc>
        <w:tc>
          <w:tcPr>
            <w:tcW w:w="35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59,995</w:t>
            </w:r>
          </w:p>
        </w:tc>
        <w:tc>
          <w:tcPr>
            <w:tcW w:w="346" w:type="dxa"/>
            <w:tcBorders/>
            <w:shd w:fill="CCEEFF" w:val="clear"/>
            <w:vAlign w:val="center"/>
          </w:tcPr>
          <w:p>
            <w:pPr>
              <w:pStyle w:val="TableContents"/>
              <w:bidi w:val="0"/>
              <w:spacing w:before="0" w:after="1"/>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59,904</w:t>
            </w:r>
          </w:p>
        </w:tc>
        <w:tc>
          <w:tcPr>
            <w:tcW w:w="450" w:type="dxa"/>
            <w:tcBorders/>
            <w:shd w:fill="CCEEFF" w:val="clear"/>
            <w:vAlign w:val="center"/>
          </w:tcPr>
          <w:p>
            <w:pPr>
              <w:pStyle w:val="TableContents"/>
              <w:bidi w:val="0"/>
              <w:spacing w:before="0" w:after="1"/>
              <w:ind w:left="0" w:right="0" w:hanging="0"/>
              <w:jc w:val="left"/>
              <w:rPr/>
            </w:pPr>
            <w:r>
              <w:rPr/>
              <w:t>​</w:t>
            </w:r>
          </w:p>
        </w:tc>
        <w:tc>
          <w:tcPr>
            <w:tcW w:w="35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450" w:type="dxa"/>
            <w:tcBorders/>
            <w:shd w:fill="CCEEFF" w:val="clear"/>
            <w:vAlign w:val="center"/>
          </w:tcPr>
          <w:p>
            <w:pPr>
              <w:pStyle w:val="TableContents"/>
              <w:bidi w:val="0"/>
              <w:spacing w:before="0" w:after="1"/>
              <w:ind w:left="0" w:right="0" w:hanging="0"/>
              <w:jc w:val="left"/>
              <w:rPr/>
            </w:pPr>
            <w:r>
              <w:rPr/>
              <w:t>​</w:t>
            </w:r>
          </w:p>
        </w:tc>
        <w:tc>
          <w:tcPr>
            <w:tcW w:w="35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00"/>
        <w:ind w:left="0" w:right="0" w:hanging="0"/>
        <w:jc w:val="left"/>
        <w:rPr/>
      </w:pPr>
      <w:r>
        <w:rPr/>
        <w:t>​</w:t>
      </w:r>
    </w:p>
    <w:tbl>
      <w:tblPr>
        <w:tblW w:w="8493" w:type="dxa"/>
        <w:jc w:val="left"/>
        <w:tblInd w:w="0" w:type="dxa"/>
        <w:tblLayout w:type="fixed"/>
        <w:tblCellMar>
          <w:top w:w="0" w:type="dxa"/>
          <w:left w:w="0" w:type="dxa"/>
          <w:bottom w:w="0" w:type="dxa"/>
          <w:right w:w="0" w:type="dxa"/>
        </w:tblCellMar>
      </w:tblPr>
      <w:tblGrid>
        <w:gridCol w:w="2476"/>
        <w:gridCol w:w="346"/>
        <w:gridCol w:w="241"/>
        <w:gridCol w:w="899"/>
        <w:gridCol w:w="346"/>
        <w:gridCol w:w="265"/>
        <w:gridCol w:w="980"/>
        <w:gridCol w:w="434"/>
        <w:gridCol w:w="352"/>
        <w:gridCol w:w="579"/>
        <w:gridCol w:w="434"/>
        <w:gridCol w:w="361"/>
        <w:gridCol w:w="780"/>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1572260" cy="175260"/>
                      <wp:effectExtent l="0" t="0" r="0" b="0"/>
                      <wp:wrapNone/>
                      <wp:docPr id="556" name="Frame556"/>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219710" cy="175260"/>
                      <wp:effectExtent l="0" t="0" r="0" b="0"/>
                      <wp:wrapNone/>
                      <wp:docPr id="557" name="Frame5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153035" cy="175260"/>
                      <wp:effectExtent l="0" t="0" r="0" b="0"/>
                      <wp:wrapNone/>
                      <wp:docPr id="558" name="Frame558"/>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570865" cy="175260"/>
                      <wp:effectExtent l="0" t="0" r="0" b="0"/>
                      <wp:wrapNone/>
                      <wp:docPr id="559" name="Frame559"/>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219710" cy="175260"/>
                      <wp:effectExtent l="0" t="0" r="0" b="0"/>
                      <wp:wrapNone/>
                      <wp:docPr id="560" name="Frame5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168275" cy="175260"/>
                      <wp:effectExtent l="0" t="0" r="0" b="0"/>
                      <wp:wrapNone/>
                      <wp:docPr id="561" name="Frame561"/>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622300" cy="175260"/>
                      <wp:effectExtent l="0" t="0" r="0" b="0"/>
                      <wp:wrapNone/>
                      <wp:docPr id="562" name="Frame562"/>
                      <a:graphic xmlns:a="http://schemas.openxmlformats.org/drawingml/2006/main">
                        <a:graphicData uri="http://schemas.microsoft.com/office/word/2010/wordprocessingShape">
                          <wps:wsp>
                            <wps:cNvSpPr txBox="1"/>
                            <wps:spPr>
                              <a:xfrm>
                                <a:off x="0" y="0"/>
                                <a:ext cx="622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275590" cy="175260"/>
                      <wp:effectExtent l="0" t="0" r="0" b="0"/>
                      <wp:wrapNone/>
                      <wp:docPr id="563" name="Frame563"/>
                      <a:graphic xmlns:a="http://schemas.openxmlformats.org/drawingml/2006/main">
                        <a:graphicData uri="http://schemas.microsoft.com/office/word/2010/wordprocessingShape">
                          <wps:wsp>
                            <wps:cNvSpPr txBox="1"/>
                            <wps:spPr>
                              <a:xfrm>
                                <a:off x="0" y="0"/>
                                <a:ext cx="275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223520" cy="175260"/>
                      <wp:effectExtent l="0" t="0" r="0" b="0"/>
                      <wp:wrapNone/>
                      <wp:docPr id="564" name="Frame564"/>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367665" cy="175260"/>
                      <wp:effectExtent l="0" t="0" r="0" b="0"/>
                      <wp:wrapNone/>
                      <wp:docPr id="565" name="Frame565"/>
                      <a:graphic xmlns:a="http://schemas.openxmlformats.org/drawingml/2006/main">
                        <a:graphicData uri="http://schemas.microsoft.com/office/word/2010/wordprocessingShape">
                          <wps:wsp>
                            <wps:cNvSpPr txBox="1"/>
                            <wps:spPr>
                              <a:xfrm>
                                <a:off x="0" y="0"/>
                                <a:ext cx="367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275590" cy="175260"/>
                      <wp:effectExtent l="0" t="0" r="0" b="0"/>
                      <wp:wrapNone/>
                      <wp:docPr id="566" name="Frame566"/>
                      <a:graphic xmlns:a="http://schemas.openxmlformats.org/drawingml/2006/main">
                        <a:graphicData uri="http://schemas.microsoft.com/office/word/2010/wordprocessingShape">
                          <wps:wsp>
                            <wps:cNvSpPr txBox="1"/>
                            <wps:spPr>
                              <a:xfrm>
                                <a:off x="0" y="0"/>
                                <a:ext cx="275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229235" cy="175260"/>
                      <wp:effectExtent l="0" t="0" r="0" b="0"/>
                      <wp:wrapNone/>
                      <wp:docPr id="567" name="Frame56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495300" cy="175260"/>
                      <wp:effectExtent l="0" t="0" r="0" b="0"/>
                      <wp:wrapNone/>
                      <wp:docPr id="568" name="Frame568"/>
                      <a:graphic xmlns:a="http://schemas.openxmlformats.org/drawingml/2006/main">
                        <a:graphicData uri="http://schemas.microsoft.com/office/word/2010/wordprocessingShape">
                          <wps:wsp>
                            <wps:cNvSpPr txBox="1"/>
                            <wps:spPr>
                              <a:xfrm>
                                <a:off x="0" y="0"/>
                                <a:ext cx="495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1" w:type="dxa"/>
            <w:tcBorders/>
            <w:vAlign w:val="center"/>
          </w:tcPr>
          <w:p>
            <w:pPr>
              <w:pStyle w:val="TableContents"/>
              <w:bidi w:val="0"/>
              <w:spacing w:before="0" w:after="0"/>
              <w:ind w:left="0" w:right="0" w:hanging="0"/>
              <w:jc w:val="center"/>
              <w:rPr/>
            </w:pPr>
            <w:r>
              <w:rPr/>
              <w:t>​</w:t>
            </w:r>
          </w:p>
        </w:tc>
        <w:tc>
          <w:tcPr>
            <w:tcW w:w="89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18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 at December 31, 2024</w:t>
            </w:r>
          </w:p>
        </w:tc>
      </w:tr>
      <w:tr>
        <w:trPr/>
        <w:tc>
          <w:tcPr>
            <w:tcW w:w="24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1" w:type="dxa"/>
            <w:tcBorders/>
            <w:vAlign w:val="center"/>
          </w:tcPr>
          <w:p>
            <w:pPr>
              <w:pStyle w:val="TableContents"/>
              <w:bidi w:val="0"/>
              <w:spacing w:before="0" w:after="0"/>
              <w:ind w:left="0" w:right="0" w:hanging="0"/>
              <w:jc w:val="center"/>
              <w:rPr/>
            </w:pPr>
            <w:r>
              <w:rPr/>
              <w:t>​</w:t>
            </w:r>
          </w:p>
        </w:tc>
        <w:tc>
          <w:tcPr>
            <w:tcW w:w="89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w:t>
            </w:r>
          </w:p>
        </w:tc>
        <w:tc>
          <w:tcPr>
            <w:tcW w:w="434" w:type="dxa"/>
            <w:tcBorders/>
            <w:vAlign w:val="center"/>
          </w:tcPr>
          <w:p>
            <w:pPr>
              <w:pStyle w:val="TableContents"/>
              <w:bidi w:val="0"/>
              <w:spacing w:before="0" w:after="0"/>
              <w:ind w:left="0" w:right="0" w:hanging="0"/>
              <w:jc w:val="center"/>
              <w:rPr/>
            </w:pPr>
            <w:r>
              <w:rPr/>
              <w:t>​</w:t>
            </w:r>
          </w:p>
        </w:tc>
        <w:tc>
          <w:tcPr>
            <w:tcW w:w="352" w:type="dxa"/>
            <w:tcBorders/>
            <w:vAlign w:val="center"/>
          </w:tcPr>
          <w:p>
            <w:pPr>
              <w:pStyle w:val="TableContents"/>
              <w:bidi w:val="0"/>
              <w:spacing w:before="0" w:after="0"/>
              <w:ind w:left="0" w:right="0" w:hanging="0"/>
              <w:jc w:val="center"/>
              <w:rPr/>
            </w:pPr>
            <w:r>
              <w:rPr/>
              <w:t>​</w:t>
            </w:r>
          </w:p>
        </w:tc>
        <w:tc>
          <w:tcPr>
            <w:tcW w:w="579" w:type="dxa"/>
            <w:tcBorders/>
            <w:vAlign w:val="center"/>
          </w:tcPr>
          <w:p>
            <w:pPr>
              <w:pStyle w:val="TableContents"/>
              <w:bidi w:val="0"/>
              <w:spacing w:before="0" w:after="0"/>
              <w:ind w:left="0" w:right="0" w:hanging="0"/>
              <w:jc w:val="center"/>
              <w:rPr/>
            </w:pPr>
            <w:r>
              <w:rPr/>
              <w:t>​</w:t>
            </w:r>
          </w:p>
        </w:tc>
        <w:tc>
          <w:tcPr>
            <w:tcW w:w="434"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w:t>
            </w:r>
          </w:p>
        </w:tc>
        <w:tc>
          <w:tcPr>
            <w:tcW w:w="780" w:type="dxa"/>
            <w:tcBorders/>
            <w:vAlign w:val="center"/>
          </w:tcPr>
          <w:p>
            <w:pPr>
              <w:pStyle w:val="TableContents"/>
              <w:bidi w:val="0"/>
              <w:spacing w:before="0" w:after="0"/>
              <w:ind w:left="0" w:right="0" w:hanging="0"/>
              <w:jc w:val="center"/>
              <w:rPr/>
            </w:pPr>
            <w:r>
              <w:rPr/>
              <w:t>​</w:t>
            </w:r>
          </w:p>
        </w:tc>
      </w:tr>
      <w:tr>
        <w:trPr/>
        <w:tc>
          <w:tcPr>
            <w:tcW w:w="24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1" w:type="dxa"/>
            <w:tcBorders/>
            <w:vAlign w:val="center"/>
          </w:tcPr>
          <w:p>
            <w:pPr>
              <w:pStyle w:val="TableContents"/>
              <w:bidi w:val="0"/>
              <w:spacing w:before="0" w:after="0"/>
              <w:ind w:left="0" w:right="0" w:hanging="0"/>
              <w:jc w:val="center"/>
              <w:rPr/>
            </w:pPr>
            <w:r>
              <w:rPr/>
              <w:t>​</w:t>
            </w:r>
          </w:p>
        </w:tc>
        <w:tc>
          <w:tcPr>
            <w:tcW w:w="89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Prices in</w:t>
            </w:r>
          </w:p>
        </w:tc>
        <w:tc>
          <w:tcPr>
            <w:tcW w:w="434" w:type="dxa"/>
            <w:tcBorders/>
            <w:vAlign w:val="center"/>
          </w:tcPr>
          <w:p>
            <w:pPr>
              <w:pStyle w:val="TableContents"/>
              <w:bidi w:val="0"/>
              <w:spacing w:before="0" w:after="0"/>
              <w:ind w:left="0" w:right="0" w:hanging="0"/>
              <w:jc w:val="center"/>
              <w:rPr/>
            </w:pPr>
            <w:r>
              <w:rPr/>
              <w:t>​</w:t>
            </w:r>
          </w:p>
        </w:tc>
        <w:tc>
          <w:tcPr>
            <w:tcW w:w="352" w:type="dxa"/>
            <w:tcBorders/>
            <w:vAlign w:val="center"/>
          </w:tcPr>
          <w:p>
            <w:pPr>
              <w:pStyle w:val="TableContents"/>
              <w:bidi w:val="0"/>
              <w:spacing w:before="0" w:after="0"/>
              <w:ind w:left="0" w:right="0" w:hanging="0"/>
              <w:jc w:val="center"/>
              <w:rPr/>
            </w:pPr>
            <w:r>
              <w:rPr/>
              <w:t>​</w:t>
            </w:r>
          </w:p>
        </w:tc>
        <w:tc>
          <w:tcPr>
            <w:tcW w:w="579" w:type="dxa"/>
            <w:tcBorders/>
            <w:vAlign w:val="center"/>
          </w:tcPr>
          <w:p>
            <w:pPr>
              <w:pStyle w:val="TableContents"/>
              <w:bidi w:val="0"/>
              <w:spacing w:before="0" w:after="0"/>
              <w:ind w:left="0" w:right="0" w:hanging="0"/>
              <w:jc w:val="center"/>
              <w:rPr/>
            </w:pPr>
            <w:r>
              <w:rPr/>
              <w:t>​</w:t>
            </w:r>
          </w:p>
        </w:tc>
        <w:tc>
          <w:tcPr>
            <w:tcW w:w="434"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w:t>
            </w:r>
          </w:p>
        </w:tc>
        <w:tc>
          <w:tcPr>
            <w:tcW w:w="780" w:type="dxa"/>
            <w:tcBorders/>
            <w:vAlign w:val="center"/>
          </w:tcPr>
          <w:p>
            <w:pPr>
              <w:pStyle w:val="TableContents"/>
              <w:bidi w:val="0"/>
              <w:spacing w:before="0" w:after="0"/>
              <w:ind w:left="0" w:right="0" w:hanging="0"/>
              <w:jc w:val="center"/>
              <w:rPr/>
            </w:pPr>
            <w:r>
              <w:rPr/>
              <w:t>​</w:t>
            </w:r>
          </w:p>
        </w:tc>
      </w:tr>
      <w:tr>
        <w:trPr/>
        <w:tc>
          <w:tcPr>
            <w:tcW w:w="24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1" w:type="dxa"/>
            <w:tcBorders/>
            <w:vAlign w:val="center"/>
          </w:tcPr>
          <w:p>
            <w:pPr>
              <w:pStyle w:val="TableContents"/>
              <w:bidi w:val="0"/>
              <w:spacing w:before="0" w:after="0"/>
              <w:ind w:left="0" w:right="0" w:hanging="0"/>
              <w:jc w:val="center"/>
              <w:rPr/>
            </w:pPr>
            <w:r>
              <w:rPr/>
              <w:t>​</w:t>
            </w:r>
          </w:p>
        </w:tc>
        <w:tc>
          <w:tcPr>
            <w:tcW w:w="89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w:t>
            </w:r>
          </w:p>
        </w:tc>
        <w:tc>
          <w:tcPr>
            <w:tcW w:w="434"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434"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w:t>
            </w:r>
          </w:p>
        </w:tc>
        <w:tc>
          <w:tcPr>
            <w:tcW w:w="780" w:type="dxa"/>
            <w:tcBorders/>
            <w:vAlign w:val="center"/>
          </w:tcPr>
          <w:p>
            <w:pPr>
              <w:pStyle w:val="TableContents"/>
              <w:bidi w:val="0"/>
              <w:spacing w:before="0" w:after="0"/>
              <w:ind w:left="0" w:right="0" w:hanging="0"/>
              <w:jc w:val="center"/>
              <w:rPr/>
            </w:pPr>
            <w:r>
              <w:rPr/>
              <w:t>​</w:t>
            </w:r>
          </w:p>
        </w:tc>
      </w:tr>
      <w:tr>
        <w:trPr/>
        <w:tc>
          <w:tcPr>
            <w:tcW w:w="24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1" w:type="dxa"/>
            <w:tcBorders/>
            <w:vAlign w:val="center"/>
          </w:tcPr>
          <w:p>
            <w:pPr>
              <w:pStyle w:val="TableContents"/>
              <w:bidi w:val="0"/>
              <w:spacing w:before="0" w:after="0"/>
              <w:ind w:left="0" w:right="0" w:hanging="0"/>
              <w:jc w:val="center"/>
              <w:rPr/>
            </w:pPr>
            <w:r>
              <w:rPr/>
              <w:t>​</w:t>
            </w:r>
          </w:p>
        </w:tc>
        <w:tc>
          <w:tcPr>
            <w:tcW w:w="89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 for</w:t>
            </w:r>
          </w:p>
        </w:tc>
        <w:tc>
          <w:tcPr>
            <w:tcW w:w="434"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434" w:type="dxa"/>
            <w:tcBorders/>
            <w:vAlign w:val="center"/>
          </w:tcPr>
          <w:p>
            <w:pPr>
              <w:pStyle w:val="TableContents"/>
              <w:bidi w:val="0"/>
              <w:spacing w:before="0" w:after="0"/>
              <w:ind w:left="0" w:right="0" w:hanging="0"/>
              <w:jc w:val="center"/>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24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at</w:t>
            </w:r>
          </w:p>
        </w:tc>
        <w:tc>
          <w:tcPr>
            <w:tcW w:w="346" w:type="dxa"/>
            <w:tcBorders/>
            <w:vAlign w:val="center"/>
          </w:tcPr>
          <w:p>
            <w:pPr>
              <w:pStyle w:val="TableContents"/>
              <w:bidi w:val="0"/>
              <w:spacing w:before="0" w:after="0"/>
              <w:ind w:left="0" w:right="0" w:hanging="0"/>
              <w:jc w:val="center"/>
              <w:rPr/>
            </w:pPr>
            <w:r>
              <w:rPr/>
              <w:t>​</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Identical</w:t>
            </w:r>
          </w:p>
        </w:tc>
        <w:tc>
          <w:tcPr>
            <w:tcW w:w="434"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434" w:type="dxa"/>
            <w:tcBorders/>
            <w:vAlign w:val="center"/>
          </w:tcPr>
          <w:p>
            <w:pPr>
              <w:pStyle w:val="TableContents"/>
              <w:bidi w:val="0"/>
              <w:spacing w:before="0" w:after="0"/>
              <w:ind w:left="0" w:right="0" w:hanging="0"/>
              <w:jc w:val="center"/>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24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center"/>
              <w:rPr/>
            </w:pPr>
            <w:r>
              <w:rPr/>
              <w:t>​</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434"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434" w:type="dxa"/>
            <w:tcBorders/>
            <w:vAlign w:val="center"/>
          </w:tcPr>
          <w:p>
            <w:pPr>
              <w:pStyle w:val="TableContents"/>
              <w:bidi w:val="0"/>
              <w:spacing w:before="0" w:after="0"/>
              <w:ind w:left="0" w:right="0" w:hanging="0"/>
              <w:jc w:val="center"/>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24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434" w:type="dxa"/>
            <w:tcBorders/>
            <w:vAlign w:val="center"/>
          </w:tcPr>
          <w:p>
            <w:pPr>
              <w:pStyle w:val="TableContents"/>
              <w:bidi w:val="0"/>
              <w:spacing w:before="0" w:after="0"/>
              <w:ind w:left="0" w:right="0" w:hanging="0"/>
              <w:jc w:val="center"/>
              <w:rPr/>
            </w:pPr>
            <w:r>
              <w:rPr/>
              <w:t>  ​ ​ ​</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434" w:type="dxa"/>
            <w:tcBorders/>
            <w:vAlign w:val="center"/>
          </w:tcPr>
          <w:p>
            <w:pPr>
              <w:pStyle w:val="TableContents"/>
              <w:bidi w:val="0"/>
              <w:spacing w:before="0" w:after="0"/>
              <w:ind w:left="0" w:right="0" w:hanging="0"/>
              <w:jc w:val="center"/>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24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Recurring</w:t>
            </w:r>
          </w:p>
        </w:tc>
        <w:tc>
          <w:tcPr>
            <w:tcW w:w="34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w:t>
            </w:r>
          </w:p>
        </w:tc>
        <w:tc>
          <w:tcPr>
            <w:tcW w:w="980" w:type="dxa"/>
            <w:tcBorders/>
            <w:vAlign w:val="center"/>
          </w:tcPr>
          <w:p>
            <w:pPr>
              <w:pStyle w:val="TableContents"/>
              <w:bidi w:val="0"/>
              <w:spacing w:before="0" w:after="0"/>
              <w:ind w:left="0" w:right="0" w:hanging="0"/>
              <w:jc w:val="right"/>
              <w:rPr/>
            </w:pPr>
            <w:r>
              <w:rPr/>
              <w:t>  ​</w:t>
            </w:r>
          </w:p>
        </w:tc>
        <w:tc>
          <w:tcPr>
            <w:tcW w:w="434" w:type="dxa"/>
            <w:tcBorders/>
            <w:vAlign w:val="center"/>
          </w:tcPr>
          <w:p>
            <w:pPr>
              <w:pStyle w:val="TableContents"/>
              <w:bidi w:val="0"/>
              <w:spacing w:before="0" w:after="0"/>
              <w:ind w:left="0" w:right="0" w:hanging="0"/>
              <w:jc w:val="left"/>
              <w:rPr/>
            </w:pPr>
            <w:r>
              <w:rPr/>
              <w:t> </w:t>
            </w:r>
          </w:p>
        </w:tc>
        <w:tc>
          <w:tcPr>
            <w:tcW w:w="352" w:type="dxa"/>
            <w:tcBorders/>
            <w:vAlign w:val="center"/>
          </w:tcPr>
          <w:p>
            <w:pPr>
              <w:pStyle w:val="TableContents"/>
              <w:bidi w:val="0"/>
              <w:spacing w:before="0" w:after="0"/>
              <w:ind w:left="0" w:right="0" w:hanging="0"/>
              <w:jc w:val="left"/>
              <w:rPr/>
            </w:pPr>
            <w:r>
              <w:rPr/>
              <w:t>​</w:t>
            </w:r>
          </w:p>
        </w:tc>
        <w:tc>
          <w:tcPr>
            <w:tcW w:w="579" w:type="dxa"/>
            <w:tcBorders/>
            <w:vAlign w:val="center"/>
          </w:tcPr>
          <w:p>
            <w:pPr>
              <w:pStyle w:val="TableContents"/>
              <w:bidi w:val="0"/>
              <w:spacing w:before="0" w:after="0"/>
              <w:ind w:left="0" w:right="0" w:hanging="0"/>
              <w:jc w:val="right"/>
              <w:rPr/>
            </w:pPr>
            <w:r>
              <w:rPr/>
              <w:t>  ​</w:t>
            </w:r>
          </w:p>
        </w:tc>
        <w:tc>
          <w:tcPr>
            <w:tcW w:w="434"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pPr>
            <w:r>
              <w:rPr/>
              <w:t>  ​</w:t>
            </w:r>
          </w:p>
        </w:tc>
      </w:tr>
      <w:tr>
        <w:trPr/>
        <w:tc>
          <w:tcPr>
            <w:tcW w:w="247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Cash and cash equivalents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189,389</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189,389</w:t>
            </w:r>
          </w:p>
        </w:tc>
        <w:tc>
          <w:tcPr>
            <w:tcW w:w="434"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shd w:fill="CCEEFF" w:val="clear"/>
            <w:vAlign w:val="center"/>
          </w:tcPr>
          <w:p>
            <w:pPr>
              <w:pStyle w:val="TableContents"/>
              <w:bidi w:val="0"/>
              <w:spacing w:before="0" w:after="0"/>
              <w:ind w:left="0" w:right="0" w:hanging="0"/>
              <w:jc w:val="right"/>
              <w:rPr/>
            </w:pPr>
            <w:r>
              <w:rPr/>
              <w:t>—</w:t>
            </w:r>
          </w:p>
        </w:tc>
        <w:tc>
          <w:tcPr>
            <w:tcW w:w="434"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0"/>
              <w:ind w:left="0" w:right="60" w:hanging="0"/>
              <w:jc w:val="righ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Normal"/>
        <w:bidi w:val="0"/>
        <w:spacing w:before="0" w:after="0"/>
        <w:jc w:val="left"/>
        <w:rPr>
          <w:sz w:val="4"/>
          <w:szCs w:val="4"/>
        </w:rPr>
      </w:pPr>
      <w:r>
        <w:rPr>
          <w:sz w:val="4"/>
          <w:szCs w:val="4"/>
        </w:rPr>
      </w:r>
      <w:bookmarkStart w:id="1535" w:name="Tc_kFoXAzBnj0anHdR8A0kw7A_7_2"/>
      <w:bookmarkStart w:id="1536" w:name="Tc_8bWpOHfDWUm5m-b7jfGaYg_7_0"/>
      <w:bookmarkStart w:id="1537" w:name="Tc_kUykadSKxU6tLW_vUv4_hA_6_0"/>
      <w:bookmarkStart w:id="1538" w:name="Tc_U_JWXzNnM0CYQ7iGOJxAdw_5_0"/>
      <w:bookmarkStart w:id="1539" w:name="Tc_cibGHRMVy0yON3TLqXOGJA_4_0"/>
      <w:bookmarkStart w:id="1540" w:name="Tc_kNPC9XIPDkuJ5jy-r-PCGA_3_2"/>
      <w:bookmarkStart w:id="1541" w:name="Tc__LXQ80AhtkiDefbrml03uQ_3_0"/>
      <w:bookmarkStart w:id="1542" w:name="Tc_FXqiU62oi0WpfJ30nm_cUQ_2_2"/>
      <w:bookmarkStart w:id="1543" w:name="Tc_JBK9SzE5YEOj0JNJff5CWg_1_2"/>
      <w:bookmarkStart w:id="1544" w:name="_bf955abe_f3af_4c98_8b9e_44c82bc31092"/>
      <w:bookmarkStart w:id="1545" w:name="Tc_Rw3V-pAQp0aE398a0IdJww_5_2"/>
      <w:bookmarkStart w:id="1546" w:name="Tc_3TuyiHKhA0egfToSHUSFQg_5_0"/>
      <w:bookmarkStart w:id="1547" w:name="Tc_odtOmb1LZkqBJT8rkKbrTQ_4_5"/>
      <w:bookmarkStart w:id="1548" w:name="Tc_IRvOVAk2IUKnzZjjvdQEmg_4_2"/>
      <w:bookmarkStart w:id="1549" w:name="Tc_ZvIL2KFqqUKCwT7Gwib7Hg_4_0"/>
      <w:bookmarkStart w:id="1550" w:name="Tc_mlLcCrzW_E-VNV955nTRyA_3_5"/>
      <w:bookmarkStart w:id="1551" w:name="Tc_3tnl969qz02Hf60ZxYWl5g_3_2"/>
      <w:bookmarkStart w:id="1552" w:name="Tc_exEUhvPfuUa3s7rznOiuKA_3_0"/>
      <w:bookmarkStart w:id="1553" w:name="Tc_EwEEzM2c8EyF39ohed9zDg_2_5"/>
      <w:bookmarkStart w:id="1554" w:name="Tc_-jGW9eFDQ0WG48RQk5ummA_2_2"/>
      <w:bookmarkStart w:id="1555" w:name="Tc_ce7ejrr8_kqR_3vBMvFI0A_1_5"/>
      <w:bookmarkStart w:id="1556" w:name="Tc_dygrttr4nkSMbOXYVk08OQ_1_2"/>
      <w:bookmarkStart w:id="1557" w:name="_c862c051_a512_479e_b637_e871ea238595"/>
      <w:bookmarkStart w:id="1558" w:name="Tc_JZocMK2sJ0eSO7HId8_Zhg_3_5"/>
      <w:bookmarkStart w:id="1559" w:name="Tc_W5EvORinekiDqUhl_Zuhog_3_2"/>
      <w:bookmarkStart w:id="1560" w:name="Tc_IIF-2nPFu0yXjNUgz7cFAg_3_0"/>
      <w:bookmarkStart w:id="1561" w:name="Tc_Z9nfe0bClkWP7YnfWQMjMg_2_5"/>
      <w:bookmarkStart w:id="1562" w:name="Tc_1bt0acT3lU2lcvzJ_HCOAA_2_2"/>
      <w:bookmarkStart w:id="1563" w:name="Tc_3_Kcb97bt0KNU9rByYVh3Q_1_5"/>
      <w:bookmarkStart w:id="1564" w:name="Tc_NJUxi-f0M0SQmB_pNpNQ4g_1_2"/>
      <w:bookmarkStart w:id="1565" w:name="_2c1ed57c_3564_4eaa_be50_fb0f320ecf34_3"/>
      <w:bookmarkStart w:id="1566" w:name="_2c1ed57c_3564_4eaa_be50_fb0f320ecf34_2"/>
      <w:bookmarkStart w:id="1567" w:name="_2c1ed57c_3564_4eaa_be50_fb0f320ecf34"/>
      <w:bookmarkStart w:id="1568" w:name="_33ddbf60_df53_4385_8630_cb87358ac076_3"/>
      <w:bookmarkStart w:id="1569" w:name="_33ddbf60_df53_4385_8630_cb87358ac076_2"/>
      <w:bookmarkStart w:id="1570" w:name="_33ddbf60_df53_4385_8630_cb87358ac076"/>
      <w:bookmarkStart w:id="1571" w:name="_f4090682_3e8b_40d8_b4e1_9153867a8f5f_3"/>
      <w:bookmarkStart w:id="1572" w:name="_f4090682_3e8b_40d8_b4e1_9153867a8f5f_2"/>
      <w:bookmarkStart w:id="1573" w:name="_f4090682_3e8b_40d8_b4e1_9153867a8f5f"/>
      <w:bookmarkStart w:id="1574" w:name="_092a4a18_5127_40c5_ad5f_a121b434bdd3_3"/>
      <w:bookmarkStart w:id="1575" w:name="_092a4a18_5127_40c5_ad5f_a121b434bdd3_2"/>
      <w:bookmarkStart w:id="1576" w:name="_092a4a18_5127_40c5_ad5f_a121b434bdd3"/>
      <w:bookmarkStart w:id="1577" w:name="Tc_kFoXAzBnj0anHdR8A0kw7A_7_2"/>
      <w:bookmarkStart w:id="1578" w:name="Tc_8bWpOHfDWUm5m-b7jfGaYg_7_0"/>
      <w:bookmarkStart w:id="1579" w:name="Tc_kUykadSKxU6tLW_vUv4_hA_6_0"/>
      <w:bookmarkStart w:id="1580" w:name="Tc_U_JWXzNnM0CYQ7iGOJxAdw_5_0"/>
      <w:bookmarkStart w:id="1581" w:name="Tc_cibGHRMVy0yON3TLqXOGJA_4_0"/>
      <w:bookmarkStart w:id="1582" w:name="Tc_kNPC9XIPDkuJ5jy-r-PCGA_3_2"/>
      <w:bookmarkStart w:id="1583" w:name="Tc__LXQ80AhtkiDefbrml03uQ_3_0"/>
      <w:bookmarkStart w:id="1584" w:name="Tc_FXqiU62oi0WpfJ30nm_cUQ_2_2"/>
      <w:bookmarkStart w:id="1585" w:name="Tc_JBK9SzE5YEOj0JNJff5CWg_1_2"/>
      <w:bookmarkStart w:id="1586" w:name="_bf955abe_f3af_4c98_8b9e_44c82bc31092"/>
      <w:bookmarkStart w:id="1587" w:name="Tc_Rw3V-pAQp0aE398a0IdJww_5_2"/>
      <w:bookmarkStart w:id="1588" w:name="Tc_3TuyiHKhA0egfToSHUSFQg_5_0"/>
      <w:bookmarkStart w:id="1589" w:name="Tc_odtOmb1LZkqBJT8rkKbrTQ_4_5"/>
      <w:bookmarkStart w:id="1590" w:name="Tc_IRvOVAk2IUKnzZjjvdQEmg_4_2"/>
      <w:bookmarkStart w:id="1591" w:name="Tc_ZvIL2KFqqUKCwT7Gwib7Hg_4_0"/>
      <w:bookmarkStart w:id="1592" w:name="Tc_mlLcCrzW_E-VNV955nTRyA_3_5"/>
      <w:bookmarkStart w:id="1593" w:name="Tc_3tnl969qz02Hf60ZxYWl5g_3_2"/>
      <w:bookmarkStart w:id="1594" w:name="Tc_exEUhvPfuUa3s7rznOiuKA_3_0"/>
      <w:bookmarkStart w:id="1595" w:name="Tc_EwEEzM2c8EyF39ohed9zDg_2_5"/>
      <w:bookmarkStart w:id="1596" w:name="Tc_-jGW9eFDQ0WG48RQk5ummA_2_2"/>
      <w:bookmarkStart w:id="1597" w:name="Tc_ce7ejrr8_kqR_3vBMvFI0A_1_5"/>
      <w:bookmarkStart w:id="1598" w:name="Tc_dygrttr4nkSMbOXYVk08OQ_1_2"/>
      <w:bookmarkStart w:id="1599" w:name="_c862c051_a512_479e_b637_e871ea238595"/>
      <w:bookmarkStart w:id="1600" w:name="Tc_JZocMK2sJ0eSO7HId8_Zhg_3_5"/>
      <w:bookmarkStart w:id="1601" w:name="Tc_W5EvORinekiDqUhl_Zuhog_3_2"/>
      <w:bookmarkStart w:id="1602" w:name="Tc_IIF-2nPFu0yXjNUgz7cFAg_3_0"/>
      <w:bookmarkStart w:id="1603" w:name="Tc_Z9nfe0bClkWP7YnfWQMjMg_2_5"/>
      <w:bookmarkStart w:id="1604" w:name="Tc_1bt0acT3lU2lcvzJ_HCOAA_2_2"/>
      <w:bookmarkStart w:id="1605" w:name="Tc_3_Kcb97bt0KNU9rByYVh3Q_1_5"/>
      <w:bookmarkStart w:id="1606" w:name="Tc_NJUxi-f0M0SQmB_pNpNQ4g_1_2"/>
      <w:bookmarkStart w:id="1607" w:name="_2c1ed57c_3564_4eaa_be50_fb0f320ecf34_3"/>
      <w:bookmarkStart w:id="1608" w:name="_2c1ed57c_3564_4eaa_be50_fb0f320ecf34_2"/>
      <w:bookmarkStart w:id="1609" w:name="_2c1ed57c_3564_4eaa_be50_fb0f320ecf34"/>
      <w:bookmarkStart w:id="1610" w:name="_33ddbf60_df53_4385_8630_cb87358ac076_3"/>
      <w:bookmarkStart w:id="1611" w:name="_33ddbf60_df53_4385_8630_cb87358ac076_2"/>
      <w:bookmarkStart w:id="1612" w:name="_33ddbf60_df53_4385_8630_cb87358ac076"/>
      <w:bookmarkStart w:id="1613" w:name="_f4090682_3e8b_40d8_b4e1_9153867a8f5f_3"/>
      <w:bookmarkStart w:id="1614" w:name="_f4090682_3e8b_40d8_b4e1_9153867a8f5f_2"/>
      <w:bookmarkStart w:id="1615" w:name="_f4090682_3e8b_40d8_b4e1_9153867a8f5f"/>
      <w:bookmarkStart w:id="1616" w:name="_092a4a18_5127_40c5_ad5f_a121b434bdd3_3"/>
      <w:bookmarkStart w:id="1617" w:name="_092a4a18_5127_40c5_ad5f_a121b434bdd3_2"/>
      <w:bookmarkStart w:id="1618" w:name="_092a4a18_5127_40c5_ad5f_a121b434bdd3"/>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p>
    <w:tbl>
      <w:tblPr>
        <w:tblW w:w="10205" w:type="dxa"/>
        <w:jc w:val="left"/>
        <w:tblInd w:w="0" w:type="dxa"/>
        <w:tblLayout w:type="fixed"/>
        <w:tblCellMar>
          <w:top w:w="0" w:type="dxa"/>
          <w:left w:w="0" w:type="dxa"/>
          <w:bottom w:w="0" w:type="dxa"/>
          <w:right w:w="0" w:type="dxa"/>
        </w:tblCellMar>
      </w:tblPr>
      <w:tblGrid>
        <w:gridCol w:w="326"/>
        <w:gridCol w:w="9879"/>
      </w:tblGrid>
      <w:tr>
        <w:trPr/>
        <w:tc>
          <w:tcPr>
            <w:tcW w:w="3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7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Cash and cash equivalents includes $59.9</w:t>
            </w:r>
            <w:r>
              <w:rPr>
                <w:caps w:val="false"/>
                <w:smallCaps w:val="false"/>
              </w:rPr>
              <w:t> </w:t>
            </w:r>
            <w:r>
              <w:rPr>
                <w:rFonts w:ascii="Times New Roman;Times;serif" w:hAnsi="Times New Roman;Times;serif"/>
                <w:b w:val="false"/>
                <w:i w:val="false"/>
                <w:caps w:val="false"/>
                <w:smallCaps w:val="false"/>
                <w:sz w:val="20"/>
              </w:rPr>
              <w:t>million and $186.7</w:t>
            </w:r>
            <w:r>
              <w:rPr>
                <w:caps w:val="false"/>
                <w:smallCaps w:val="false"/>
              </w:rPr>
              <w:t> </w:t>
            </w:r>
            <w:r>
              <w:rPr>
                <w:rFonts w:ascii="Times New Roman;Times;serif" w:hAnsi="Times New Roman;Times;serif"/>
                <w:b w:val="false"/>
                <w:i w:val="false"/>
                <w:caps w:val="false"/>
                <w:smallCaps w:val="false"/>
                <w:sz w:val="20"/>
              </w:rPr>
              <w:t>million invested in U.S. government money market funds as of December 31,  2025, and 2024, respectively.</w:t>
            </w:r>
          </w:p>
        </w:tc>
      </w:tr>
    </w:tbl>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had no transfers of assets or liabilities between fair value hierarchy levels during the years ended December 31, 2025, and 2024.</w:t>
      </w:r>
    </w:p>
    <w:p>
      <w:pPr>
        <w:pStyle w:val="TextBody"/>
        <w:bidi w:val="0"/>
        <w:spacing w:before="0" w:after="200"/>
        <w:ind w:left="0" w:right="0" w:firstLine="720"/>
        <w:jc w:val="left"/>
        <w:rPr/>
      </w:pPr>
      <w:r>
        <w:rPr/>
        <w:t>​</w:t>
      </w:r>
    </w:p>
    <w:p>
      <w:pPr>
        <w:pStyle w:val="TextBody"/>
        <w:bidi w:val="0"/>
        <w:spacing w:before="0" w:after="200"/>
        <w:ind w:left="0" w:right="0" w:firstLine="720"/>
        <w:jc w:val="left"/>
        <w:rPr/>
      </w:pPr>
      <w:r>
        <w:rPr/>
        <w:t>​</w:t>
      </w:r>
    </w:p>
    <w:p>
      <w:pPr>
        <w:pStyle w:val="TextBody"/>
        <w:bidi w:val="0"/>
        <w:spacing w:before="0" w:after="200"/>
        <w:ind w:left="0" w:right="0" w:firstLine="72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On October 31, 2025, the Company received a $5.0 million note receivable as partial consideration for the sale of our subsidiary,</w:t>
      </w:r>
      <w:r>
        <w:rPr>
          <w:rFonts w:ascii="Times New Roman;Times;serif" w:hAnsi="Times New Roman;Times;serif"/>
          <w:sz w:val="20"/>
          <w:shd w:fill="FFFFFF" w:val="clear"/>
        </w:rPr>
        <w:t xml:space="preserve"> Agri-Energy, LLC.</w:t>
      </w:r>
      <w:r>
        <w:rPr>
          <w:rFonts w:ascii="Times New Roman;Times;serif" w:hAnsi="Times New Roman;Times;serif"/>
          <w:sz w:val="20"/>
        </w:rPr>
        <w:t xml:space="preserve"> The note bears interest at the Federal Funds Rate. </w:t>
      </w:r>
      <w:r>
        <w:rPr>
          <w:rFonts w:ascii="Times New Roman;Times;serif" w:hAnsi="Times New Roman;Times;serif"/>
          <w:sz w:val="20"/>
          <w:shd w:fill="FFFFFF" w:val="clear"/>
        </w:rPr>
        <w:t>The Company used a market approach to adjust the value of the note to fair value and recorded a discount on the note of $1.6 million. Factors considered by the Company in determining fair value were (i) the credit standing of the issuer, (ii) the secured nature of the note and, (iii) the prevailing rates for similar instruments based on the issuer’s credit.</w:t>
      </w:r>
    </w:p>
    <w:p>
      <w:pPr>
        <w:pStyle w:val="TextBody"/>
        <w:bidi w:val="0"/>
        <w:spacing w:before="0" w:after="0"/>
        <w:ind w:left="0" w:right="0" w:hanging="0"/>
        <w:jc w:val="left"/>
        <w:rPr/>
      </w:pPr>
      <w:r>
        <w:rPr/>
        <w:t>​</w:t>
      </w:r>
    </w:p>
    <w:tbl>
      <w:tblPr>
        <w:tblW w:w="5619" w:type="dxa"/>
        <w:jc w:val="left"/>
        <w:tblInd w:w="0" w:type="dxa"/>
        <w:tblLayout w:type="fixed"/>
        <w:tblCellMar>
          <w:top w:w="0" w:type="dxa"/>
          <w:left w:w="0" w:type="dxa"/>
          <w:bottom w:w="0" w:type="dxa"/>
          <w:right w:w="0" w:type="dxa"/>
        </w:tblCellMar>
      </w:tblPr>
      <w:tblGrid>
        <w:gridCol w:w="3436"/>
        <w:gridCol w:w="109"/>
        <w:gridCol w:w="226"/>
        <w:gridCol w:w="571"/>
        <w:gridCol w:w="346"/>
        <w:gridCol w:w="221"/>
        <w:gridCol w:w="710"/>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2181860" cy="175260"/>
                      <wp:effectExtent l="0" t="0" r="0" b="0"/>
                      <wp:wrapNone/>
                      <wp:docPr id="569" name="Frame569"/>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69215" cy="175260"/>
                      <wp:effectExtent l="0" t="0" r="0" b="0"/>
                      <wp:wrapNone/>
                      <wp:docPr id="570" name="Frame5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143510" cy="175260"/>
                      <wp:effectExtent l="0" t="0" r="0" b="0"/>
                      <wp:wrapNone/>
                      <wp:docPr id="571" name="Frame57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362585" cy="175260"/>
                      <wp:effectExtent l="0" t="0" r="0" b="0"/>
                      <wp:wrapNone/>
                      <wp:docPr id="572" name="Frame57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219710" cy="175260"/>
                      <wp:effectExtent l="0" t="0" r="0" b="0"/>
                      <wp:wrapNone/>
                      <wp:docPr id="573" name="Frame5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140335" cy="175260"/>
                      <wp:effectExtent l="0" t="0" r="0" b="0"/>
                      <wp:wrapNone/>
                      <wp:docPr id="574" name="Frame574"/>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450850" cy="175260"/>
                      <wp:effectExtent l="0" t="0" r="0" b="0"/>
                      <wp:wrapNone/>
                      <wp:docPr id="575" name="Frame575"/>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46" w:type="dxa"/>
            <w:tcBorders/>
            <w:vAlign w:val="center"/>
          </w:tcPr>
          <w:p>
            <w:pPr>
              <w:pStyle w:val="TableContents"/>
              <w:bidi w:val="0"/>
              <w:spacing w:before="0" w:after="1"/>
              <w:ind w:left="0" w:right="0" w:hanging="0"/>
              <w:jc w:val="left"/>
              <w:rPr/>
            </w:pPr>
            <w:r>
              <w:rPr/>
              <w:t>  ​ ​ ​</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34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6" w:type="dxa"/>
            <w:tcBorders/>
            <w:vAlign w:val="center"/>
          </w:tcPr>
          <w:p>
            <w:pPr>
              <w:pStyle w:val="TableContents"/>
              <w:bidi w:val="0"/>
              <w:spacing w:before="0" w:after="1"/>
              <w:ind w:left="0" w:right="0" w:hanging="0"/>
              <w:jc w:val="left"/>
              <w:rPr/>
            </w:pPr>
            <w:r>
              <w:rPr/>
              <w:t>​</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Note Receivable- - A.E. Innovation, LLC</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3,480</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3,480</w:t>
            </w:r>
          </w:p>
        </w:tc>
      </w:tr>
    </w:tbl>
    <w:p>
      <w:pPr>
        <w:pStyle w:val="TextBody"/>
        <w:bidi w:val="0"/>
        <w:spacing w:before="0" w:after="20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fair value of the Remarketed Bonds and the Series 2025A bonds are estimated using the Black-Derman-Toy interest rate lattice framework. The effective maturity of the Remarketed Bonds was assumed to be April 1, 2026 (two years from issuance) with repayment of 100% of principal on that date. The impact of the Company’s optional redemption feature, effective November 1, 2024, is appropriately captured by the Black-Derman-Toy interest rate lattice.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carrying values and estimated fair values of the Term Loan, the Remarketed Bonds and the Series 2025A Bonds as of December 31, 2025, are summarized as follows (in thousands):</w:t>
      </w:r>
    </w:p>
    <w:tbl>
      <w:tblPr>
        <w:tblW w:w="4507" w:type="dxa"/>
        <w:jc w:val="left"/>
        <w:tblInd w:w="0" w:type="dxa"/>
        <w:tblLayout w:type="fixed"/>
        <w:tblCellMar>
          <w:top w:w="0" w:type="dxa"/>
          <w:left w:w="0" w:type="dxa"/>
          <w:bottom w:w="0" w:type="dxa"/>
          <w:right w:w="0" w:type="dxa"/>
        </w:tblCellMar>
      </w:tblPr>
      <w:tblGrid>
        <w:gridCol w:w="1771"/>
        <w:gridCol w:w="346"/>
        <w:gridCol w:w="226"/>
        <w:gridCol w:w="781"/>
        <w:gridCol w:w="346"/>
        <w:gridCol w:w="211"/>
        <w:gridCol w:w="826"/>
      </w:tblGrid>
      <w:tr>
        <w:trPr/>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1124585" cy="175260"/>
                      <wp:effectExtent l="0" t="0" r="0" b="0"/>
                      <wp:wrapNone/>
                      <wp:docPr id="576" name="Frame576"/>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219710" cy="175260"/>
                      <wp:effectExtent l="0" t="0" r="0" b="0"/>
                      <wp:wrapNone/>
                      <wp:docPr id="577" name="Frame5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143510" cy="175260"/>
                      <wp:effectExtent l="0" t="0" r="0" b="0"/>
                      <wp:wrapNone/>
                      <wp:docPr id="578" name="Frame57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495935" cy="175260"/>
                      <wp:effectExtent l="0" t="0" r="0" b="0"/>
                      <wp:wrapNone/>
                      <wp:docPr id="579" name="Frame57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219710" cy="175260"/>
                      <wp:effectExtent l="0" t="0" r="0" b="0"/>
                      <wp:wrapNone/>
                      <wp:docPr id="580" name="Frame5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133985" cy="175260"/>
                      <wp:effectExtent l="0" t="0" r="0" b="0"/>
                      <wp:wrapNone/>
                      <wp:docPr id="581" name="Frame5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524510" cy="175260"/>
                      <wp:effectExtent l="0" t="0" r="0" b="0"/>
                      <wp:wrapNone/>
                      <wp:docPr id="582" name="Frame58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46" w:type="dxa"/>
            <w:tcBorders/>
            <w:vAlign w:val="center"/>
          </w:tcPr>
          <w:p>
            <w:pPr>
              <w:pStyle w:val="TableContents"/>
              <w:bidi w:val="0"/>
              <w:spacing w:before="0" w:after="1"/>
              <w:ind w:left="0" w:right="0" w:hanging="0"/>
              <w:jc w:val="left"/>
              <w:rPr/>
            </w:pPr>
            <w:r>
              <w:rPr/>
              <w:t>  ​ ​ ​</w:t>
            </w:r>
          </w:p>
        </w:tc>
        <w:tc>
          <w:tcPr>
            <w:tcW w:w="103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17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6" w:type="dxa"/>
            <w:tcBorders/>
            <w:vAlign w:val="center"/>
          </w:tcPr>
          <w:p>
            <w:pPr>
              <w:pStyle w:val="TableContents"/>
              <w:bidi w:val="0"/>
              <w:spacing w:before="0" w:after="1"/>
              <w:ind w:left="0" w:right="0" w:hanging="0"/>
              <w:jc w:val="left"/>
              <w:rPr/>
            </w:pPr>
            <w:r>
              <w:rPr/>
              <w:t>​</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7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Loan</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105,000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104,476</w:t>
            </w:r>
          </w:p>
        </w:tc>
      </w:tr>
      <w:tr>
        <w:trPr/>
        <w:tc>
          <w:tcPr>
            <w:tcW w:w="17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Remarketed Bonds</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28,155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25,153</w:t>
            </w:r>
          </w:p>
        </w:tc>
      </w:tr>
      <w:tr>
        <w:trPr/>
        <w:tc>
          <w:tcPr>
            <w:tcW w:w="17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Series 2025A Bonds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40,154</w:t>
            </w:r>
          </w:p>
        </w:tc>
      </w:tr>
    </w:tbl>
    <w:p>
      <w:pPr>
        <w:pStyle w:val="TextBody"/>
        <w:bidi w:val="0"/>
        <w:spacing w:before="0" w:after="200"/>
        <w:ind w:left="0" w:right="0" w:firstLine="720"/>
        <w:jc w:val="left"/>
        <w:rPr/>
      </w:pPr>
      <w:r>
        <w:rPr/>
        <w:t>​</w:t>
      </w:r>
    </w:p>
    <w:p>
      <w:pPr>
        <w:pStyle w:val="TextBody"/>
        <w:bidi w:val="0"/>
        <w:spacing w:before="0" w:after="200"/>
        <w:ind w:left="0" w:right="0" w:firstLine="720"/>
        <w:jc w:val="left"/>
        <w:rPr/>
      </w:pPr>
      <w:r>
        <w:rPr/>
        <w:t>​</w:t>
      </w:r>
    </w:p>
    <w:p>
      <w:pPr>
        <w:pStyle w:val="TextBody"/>
        <w:bidi w:val="0"/>
        <w:spacing w:before="0" w:after="200"/>
        <w:ind w:left="0" w:right="0" w:firstLine="720"/>
        <w:jc w:val="left"/>
        <w:rPr/>
      </w:pPr>
      <w:r>
        <w:rPr/>
        <w:t>​</w:t>
      </w:r>
    </w:p>
    <w:p>
      <w:pPr>
        <w:pStyle w:val="TextBody"/>
        <w:bidi w:val="0"/>
        <w:spacing w:before="0" w:after="200"/>
        <w:ind w:left="0" w:right="0" w:hanging="0"/>
        <w:jc w:val="left"/>
        <w:rPr>
          <w:shd w:fill="FFFFFF" w:val="clear"/>
        </w:rPr>
      </w:pPr>
      <w:r>
        <w:rPr>
          <w:shd w:fill="FFFFFF" w:val="clear"/>
        </w:rPr>
        <w:t>​</w:t>
      </w:r>
    </w:p>
    <w:p>
      <w:pPr>
        <w:pStyle w:val="TextBody"/>
        <w:bidi w:val="0"/>
        <w:spacing w:before="0" w:after="20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Redeemable non-controlling interest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following table reflects the changes in the fair value of the redeemable non-controlling interest as of December 31, 2025 (in thousands):</w:t>
      </w:r>
    </w:p>
    <w:tbl>
      <w:tblPr>
        <w:tblW w:w="7817" w:type="dxa"/>
        <w:jc w:val="left"/>
        <w:tblInd w:w="0" w:type="dxa"/>
        <w:tblLayout w:type="fixed"/>
        <w:tblCellMar>
          <w:top w:w="0" w:type="dxa"/>
          <w:left w:w="0" w:type="dxa"/>
          <w:bottom w:w="0" w:type="dxa"/>
          <w:right w:w="0" w:type="dxa"/>
        </w:tblCellMar>
      </w:tblPr>
      <w:tblGrid>
        <w:gridCol w:w="5881"/>
        <w:gridCol w:w="346"/>
        <w:gridCol w:w="376"/>
        <w:gridCol w:w="1214"/>
      </w:tblGrid>
      <w:tr>
        <w:trPr/>
        <w:tc>
          <w:tcPr>
            <w:tcW w:w="5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3734435" cy="175260"/>
                      <wp:effectExtent l="0" t="0" r="0" b="0"/>
                      <wp:wrapNone/>
                      <wp:docPr id="583" name="Frame583"/>
                      <a:graphic xmlns:a="http://schemas.openxmlformats.org/drawingml/2006/main">
                        <a:graphicData uri="http://schemas.microsoft.com/office/word/2010/wordprocessingShape">
                          <wps:wsp>
                            <wps:cNvSpPr txBox="1"/>
                            <wps:spPr>
                              <a:xfrm>
                                <a:off x="0" y="0"/>
                                <a:ext cx="3734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219710" cy="175260"/>
                      <wp:effectExtent l="0" t="0" r="0" b="0"/>
                      <wp:wrapNone/>
                      <wp:docPr id="584" name="Frame5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238760" cy="175260"/>
                      <wp:effectExtent l="0" t="0" r="0" b="0"/>
                      <wp:wrapNone/>
                      <wp:docPr id="585" name="Frame585"/>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770890" cy="175260"/>
                      <wp:effectExtent l="0" t="0" r="0" b="0"/>
                      <wp:wrapNone/>
                      <wp:docPr id="586" name="Frame586"/>
                      <a:graphic xmlns:a="http://schemas.openxmlformats.org/drawingml/2006/main">
                        <a:graphicData uri="http://schemas.microsoft.com/office/word/2010/wordprocessingShape">
                          <wps:wsp>
                            <wps:cNvSpPr txBox="1"/>
                            <wps:spPr>
                              <a:xfrm>
                                <a:off x="0" y="0"/>
                                <a:ext cx="770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Redeemable Non-</w:t>
            </w:r>
          </w:p>
        </w:tc>
      </w:tr>
      <w:tr>
        <w:trPr/>
        <w:tc>
          <w:tcPr>
            <w:tcW w:w="58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Controlling Interest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Contributions from non-controlling member made on January 31, 2025</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 payment to non-controlling member</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12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(1,454)</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non-controlling member</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12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1,207</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adjustment</w:t>
            </w:r>
          </w:p>
        </w:tc>
        <w:tc>
          <w:tcPr>
            <w:tcW w:w="346" w:type="dxa"/>
            <w:tcBorders/>
            <w:vAlign w:val="center"/>
          </w:tcPr>
          <w:p>
            <w:pPr>
              <w:pStyle w:val="TableContents"/>
              <w:bidi w:val="0"/>
              <w:spacing w:before="0" w:after="0"/>
              <w:ind w:left="0" w:right="0" w:hanging="0"/>
              <w:jc w:val="left"/>
              <w:rPr/>
            </w:pPr>
            <w:r>
              <w:rPr/>
              <w:t>​</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 as of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4,832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24. Stockholders’ Equity</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Share Issuances</w:t>
      </w:r>
    </w:p>
    <w:p>
      <w:pPr>
        <w:pStyle w:val="TextBody"/>
        <w:bidi w:val="0"/>
        <w:spacing w:before="0" w:after="200"/>
        <w:ind w:left="0" w:right="0" w:firstLine="720"/>
        <w:jc w:val="left"/>
        <w:rPr>
          <w:rFonts w:ascii="Times New Roman;Times;serif" w:hAnsi="Times New Roman;Times;serif"/>
          <w:i/>
          <w:sz w:val="20"/>
        </w:rPr>
      </w:pPr>
      <w:r>
        <w:rPr>
          <w:rFonts w:ascii="Times New Roman;Times;serif" w:hAnsi="Times New Roman;Times;serif"/>
          <w:i/>
          <w:sz w:val="20"/>
        </w:rPr>
        <w:t>At-the-Market Offering Program</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January 2024 the Company filed a registration statement on Form S-3, which included a base prospectus which covers the offer, issuance and sale of up to an aggregate of $750.0 million of the registrant’s common stock, preferred stock, debt securities, depositary shares, warrants, purchase contracts and units and an at-the-market offering prospectus supplement covering the offering, issuance and sale by the Company of up to a maximum aggregate offering price of $500.0 million of common stock that may be issued and sold under an at-the-market-offering agreement.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As of December 31, 2025, the Company has remaining capacity to issue up to $500.0 million of common stock under the at-the-market offering program. </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Stock Repurchase Program</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On May 30, 2023, the Company authorized a stock repurchase program, under which it may repurchase up to $25 million of its common stock. The primary goal of the repurchase program is to allow the Company to opportunistically repurchase shares, while maintaining the Company’s ability to fund its development projects. Under the stock repurchase program, the Company may repurchase shares from time to time in the open market or through privately negotiated transactions. The timing, volume and nature of stock repurchases, if any, will be in the Company’s sole discretion and will be dependent on market conditions, applicable securities laws, and other factors. The stock repurchase program may be suspended or discontinued at any time by the Company and does not have an expiration date.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did not repurchase shares of common stock under the stock repurchase program during the year ended December 31, 2025. During the year ended December 31, 2024, the Company repurchased 7.2 million shares of common stock for $4.7 million. Shares were repurchased at market value, and were retired immediately upon repurchase. As of December 31, 2025, approximately $20.3 million remained available under the stock repurchase program.</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Warrants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June 2022, the Company completed a registered direct offering (“the June 2022 Offering”) of an aggregate of 33,333,336 shares of the Company’s common stock at a price of $4.50 per share, accompanied by Series 2022-A warrants to purchase an aggregate of 33,333,336 shares of the Company’s common stock (each, a “Series 2022-A Warrant”) pursuant to a securities purchase agreement with certain institutional and accredited investors. The Series 2022-A Warrants are exercisable for a term of five years from the date of issuance at an exercise price of $4.37 per share. As of December 31, 2025, none of the Series 2022-A Warrants had been exercised.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In addition to the Series 2022-A Warrants, the Company had warrants that were issued in conjunction with a registered direct offering in August 2020 (the “Series 2020-A Warrants”). The remaining 4,133 unexercised Series 2020-A Warrants expired on July 6, 2025.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Series 2022-A Warrants are classified as a component of equity because they are freestanding financial instruments that are legally detachable and separately exercisable from the shares of common stock with which they were issued, are immediately exercisable and will expire five years from the date of issuance, do not embody an obligation for the Company to repurchase its shares, and permit the holders to receive a fixed number of shares of common stock upon exercise. In addition, the Series 2022-A Warrants do not provide any guarantee of value or return.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0"/>
        <w:ind w:left="0" w:right="0" w:firstLine="720"/>
        <w:jc w:val="left"/>
        <w:rPr>
          <w:rFonts w:ascii="Times New Roman;Times;serif" w:hAnsi="Times New Roman;Times;serif"/>
          <w:sz w:val="20"/>
        </w:rPr>
      </w:pPr>
      <w:bookmarkStart w:id="1619" w:name="Tc_4Iv_uKL91UCizNkl14N4Tg_9_0"/>
      <w:bookmarkStart w:id="1620" w:name="Tc_lpSCqn7dB0yUG6_zhK7yMA_8_6"/>
      <w:bookmarkStart w:id="1621" w:name="Tc_6L6umJOzmk-Fbd9BK0uAow_8_4"/>
      <w:bookmarkStart w:id="1622" w:name="Tc_bOIJMkqTuEKUcOfCsSodLg_8_2"/>
      <w:bookmarkStart w:id="1623" w:name="Tc_WkKwUtjryEqwKmDJw41ojg_8_0"/>
      <w:bookmarkStart w:id="1624" w:name="Tc_hVSRaHHYw0O4hA4NzpgNGw_7_13"/>
      <w:bookmarkStart w:id="1625" w:name="Tc_fABkiz3gaUqOibgsLkxR2w_7_11"/>
      <w:bookmarkStart w:id="1626" w:name="Tc_Kz7WINAbNUKJ8i3SSCb0qA_7_9"/>
      <w:bookmarkStart w:id="1627" w:name="Tc_MzNcHUKi3Ey1CJ1DQ1Ymdw_7_6"/>
      <w:bookmarkStart w:id="1628" w:name="Tc_DnP989EFqUqIBixy1KvMng_7_4"/>
      <w:bookmarkStart w:id="1629" w:name="Tc_McoGtrFiVUGA-mOLSHUi9g_7_2"/>
      <w:bookmarkStart w:id="1630" w:name="Tc_y2pIQsc-30GDwJLYKeWxzg_6_13"/>
      <w:bookmarkStart w:id="1631" w:name="Tc_o4G9uOlf0Ua_dhDU8ISH7g_6_11"/>
      <w:bookmarkStart w:id="1632" w:name="Tc_2nKugCPD0US34YeJcOgGZw_6_9"/>
      <w:bookmarkStart w:id="1633" w:name="Tc_UcaJM1aMeEakJH5_0ACf8A_6_7"/>
      <w:bookmarkStart w:id="1634" w:name="Tc_lgm4VYyuuku2JrhzC_uehg_6_4"/>
      <w:bookmarkStart w:id="1635" w:name="Tc_y_VcC4zXd02780RCJELPSA_6_2"/>
      <w:bookmarkStart w:id="1636" w:name="Tc_ZrTcofTseUGBTWSVpmPgmA_5_13"/>
      <w:bookmarkStart w:id="1637" w:name="Tc_V3OFP9I9AUe3XIKxHVm-6A_5_11"/>
      <w:bookmarkStart w:id="1638" w:name="Tc_3-3uIUZI3UiTQxdrwUNhUA_5_9"/>
      <w:bookmarkStart w:id="1639" w:name="Tc_TEa3slm8tkiCHXGbkvvvjw_5_6"/>
      <w:bookmarkStart w:id="1640" w:name="Tc_BmJkrVOGUkqZDuDXx4T2dQ_4_13"/>
      <w:bookmarkStart w:id="1641" w:name="Tc_r4BUPDp8VEqU3ZywgNektA_4_11"/>
      <w:bookmarkStart w:id="1642" w:name="Tc_vb7IDiIKbkSWpSAIeROJ2A_4_9"/>
      <w:bookmarkStart w:id="1643" w:name="Tc_oqVRWnXWcECFXMpD4I0MtA_4_6"/>
      <w:bookmarkStart w:id="1644" w:name="Tc_nZBnhSFp7E6SwxzDtzt_Bw_3_13"/>
      <w:bookmarkStart w:id="1645" w:name="Tc_WS3ZxtSMH06xFxd2-HMvTw_3_11"/>
      <w:bookmarkStart w:id="1646" w:name="Tc_0Z6VbpgUskWad6bOVesLkQ_3_9"/>
      <w:bookmarkStart w:id="1647" w:name="Tc_g83O3Fbf30y0bwtz1gazVw_2_13"/>
      <w:bookmarkStart w:id="1648" w:name="Tc_rzRuJmdCTk6A30YsuhISSQ_2_11"/>
      <w:bookmarkStart w:id="1649" w:name="Tc_ioC6i2eJCU-s2jd-TJ11OQ_1_13"/>
      <w:bookmarkStart w:id="1650" w:name="Tc_CV8_BFPVu0ukAQCbpes0mw_1_11"/>
      <w:bookmarkStart w:id="1651" w:name="_7b99e457_9424_4fe8_acfd_92a0a28f520e"/>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r>
        <w:rPr>
          <w:rFonts w:ascii="Times New Roman;Times;serif" w:hAnsi="Times New Roman;Times;serif"/>
          <w:sz w:val="20"/>
        </w:rPr>
        <w:t xml:space="preserve">The following table sets forth information pertaining to warrants outstanding as of December 31, 2025: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91"/>
        <w:gridCol w:w="346"/>
        <w:gridCol w:w="808"/>
        <w:gridCol w:w="346"/>
        <w:gridCol w:w="886"/>
        <w:gridCol w:w="346"/>
        <w:gridCol w:w="211"/>
        <w:gridCol w:w="1112"/>
        <w:gridCol w:w="346"/>
        <w:gridCol w:w="1036"/>
        <w:gridCol w:w="346"/>
        <w:gridCol w:w="1112"/>
        <w:gridCol w:w="346"/>
        <w:gridCol w:w="1173"/>
      </w:tblGrid>
      <w:tr>
        <w:trPr/>
        <w:tc>
          <w:tcPr>
            <w:tcW w:w="1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1137285" cy="175260"/>
                      <wp:effectExtent l="0" t="0" r="0" b="0"/>
                      <wp:wrapNone/>
                      <wp:docPr id="587" name="Frame587"/>
                      <a:graphic xmlns:a="http://schemas.openxmlformats.org/drawingml/2006/main">
                        <a:graphicData uri="http://schemas.microsoft.com/office/word/2010/wordprocessingShape">
                          <wps:wsp>
                            <wps:cNvSpPr txBox="1"/>
                            <wps:spPr>
                              <a:xfrm>
                                <a:off x="0" y="0"/>
                                <a:ext cx="1137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219710" cy="175260"/>
                      <wp:effectExtent l="0" t="0" r="0" b="0"/>
                      <wp:wrapNone/>
                      <wp:docPr id="588" name="Frame5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513080" cy="175260"/>
                      <wp:effectExtent l="0" t="0" r="0" b="0"/>
                      <wp:wrapNone/>
                      <wp:docPr id="589" name="Frame589"/>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219710" cy="175260"/>
                      <wp:effectExtent l="0" t="0" r="0" b="0"/>
                      <wp:wrapNone/>
                      <wp:docPr id="590" name="Frame5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562610" cy="175260"/>
                      <wp:effectExtent l="0" t="0" r="0" b="0"/>
                      <wp:wrapNone/>
                      <wp:docPr id="591" name="Frame59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219710" cy="175260"/>
                      <wp:effectExtent l="0" t="0" r="0" b="0"/>
                      <wp:wrapNone/>
                      <wp:docPr id="592" name="Frame5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133985" cy="175260"/>
                      <wp:effectExtent l="0" t="0" r="0" b="0"/>
                      <wp:wrapNone/>
                      <wp:docPr id="593" name="Frame5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706120" cy="175260"/>
                      <wp:effectExtent l="0" t="0" r="0" b="0"/>
                      <wp:wrapNone/>
                      <wp:docPr id="594" name="Frame594"/>
                      <a:graphic xmlns:a="http://schemas.openxmlformats.org/drawingml/2006/main">
                        <a:graphicData uri="http://schemas.microsoft.com/office/word/2010/wordprocessingShape">
                          <wps:wsp>
                            <wps:cNvSpPr txBox="1"/>
                            <wps:spPr>
                              <a:xfrm>
                                <a:off x="0" y="0"/>
                                <a:ext cx="706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219710" cy="175260"/>
                      <wp:effectExtent l="0" t="0" r="0" b="0"/>
                      <wp:wrapNone/>
                      <wp:docPr id="595" name="Frame5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657860" cy="175260"/>
                      <wp:effectExtent l="0" t="0" r="0" b="0"/>
                      <wp:wrapNone/>
                      <wp:docPr id="596" name="Frame59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219710" cy="175260"/>
                      <wp:effectExtent l="0" t="0" r="0" b="0"/>
                      <wp:wrapNone/>
                      <wp:docPr id="597" name="Frame5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706120" cy="175260"/>
                      <wp:effectExtent l="0" t="0" r="0" b="0"/>
                      <wp:wrapNone/>
                      <wp:docPr id="598" name="Frame598"/>
                      <a:graphic xmlns:a="http://schemas.openxmlformats.org/drawingml/2006/main">
                        <a:graphicData uri="http://schemas.microsoft.com/office/word/2010/wordprocessingShape">
                          <wps:wsp>
                            <wps:cNvSpPr txBox="1"/>
                            <wps:spPr>
                              <a:xfrm>
                                <a:off x="0" y="0"/>
                                <a:ext cx="706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219710" cy="175260"/>
                      <wp:effectExtent l="0" t="0" r="0" b="0"/>
                      <wp:wrapNone/>
                      <wp:docPr id="599" name="Frame5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744855" cy="175260"/>
                      <wp:effectExtent l="0" t="0" r="0" b="0"/>
                      <wp:wrapNone/>
                      <wp:docPr id="600" name="Frame600"/>
                      <a:graphic xmlns:a="http://schemas.openxmlformats.org/drawingml/2006/main">
                        <a:graphicData uri="http://schemas.microsoft.com/office/word/2010/wordprocessingShape">
                          <wps:wsp>
                            <wps:cNvSpPr txBox="1"/>
                            <wps:spPr>
                              <a:xfrm>
                                <a:off x="0" y="0"/>
                                <a:ext cx="744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111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w:t>
            </w:r>
          </w:p>
        </w:tc>
        <w:tc>
          <w:tcPr>
            <w:tcW w:w="111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center"/>
              <w:rPr/>
            </w:pPr>
            <w:r>
              <w:rPr/>
              <w:t> </w:t>
            </w:r>
          </w:p>
        </w:tc>
        <w:tc>
          <w:tcPr>
            <w:tcW w:w="117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r>
      <w:tr>
        <w:trPr/>
        <w:tc>
          <w:tcPr>
            <w:tcW w:w="17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80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111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w:t>
            </w:r>
          </w:p>
        </w:tc>
        <w:tc>
          <w:tcPr>
            <w:tcW w:w="111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Issued upon</w:t>
            </w:r>
          </w:p>
        </w:tc>
        <w:tc>
          <w:tcPr>
            <w:tcW w:w="346" w:type="dxa"/>
            <w:tcBorders/>
            <w:vAlign w:val="center"/>
          </w:tcPr>
          <w:p>
            <w:pPr>
              <w:pStyle w:val="TableContents"/>
              <w:bidi w:val="0"/>
              <w:spacing w:before="0" w:after="1"/>
              <w:ind w:left="0" w:right="0" w:hanging="0"/>
              <w:jc w:val="center"/>
              <w:rPr/>
            </w:pPr>
            <w:r>
              <w:rPr/>
              <w:t> </w:t>
            </w:r>
          </w:p>
        </w:tc>
        <w:tc>
          <w:tcPr>
            <w:tcW w:w="117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Underlying</w:t>
            </w:r>
          </w:p>
        </w:tc>
      </w:tr>
      <w:tr>
        <w:trPr/>
        <w:tc>
          <w:tcPr>
            <w:tcW w:w="17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111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center"/>
              <w:rPr/>
            </w:pPr>
            <w:r>
              <w:rPr/>
              <w:t> </w:t>
            </w:r>
          </w:p>
        </w:tc>
        <w:tc>
          <w:tcPr>
            <w:tcW w:w="111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w:t>
            </w:r>
          </w:p>
        </w:tc>
        <w:tc>
          <w:tcPr>
            <w:tcW w:w="346" w:type="dxa"/>
            <w:tcBorders/>
            <w:vAlign w:val="center"/>
          </w:tcPr>
          <w:p>
            <w:pPr>
              <w:pStyle w:val="TableContents"/>
              <w:bidi w:val="0"/>
              <w:spacing w:before="0" w:after="1"/>
              <w:ind w:left="0" w:right="0" w:hanging="0"/>
              <w:jc w:val="center"/>
              <w:rPr/>
            </w:pPr>
            <w:r>
              <w:rPr/>
              <w:t> </w:t>
            </w:r>
          </w:p>
        </w:tc>
        <w:tc>
          <w:tcPr>
            <w:tcW w:w="117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w:t>
            </w:r>
          </w:p>
        </w:tc>
      </w:tr>
      <w:tr>
        <w:trPr/>
        <w:tc>
          <w:tcPr>
            <w:tcW w:w="17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w:t>
            </w:r>
          </w:p>
        </w:tc>
        <w:tc>
          <w:tcPr>
            <w:tcW w:w="132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Underlying</w:t>
            </w:r>
          </w:p>
        </w:tc>
        <w:tc>
          <w:tcPr>
            <w:tcW w:w="346" w:type="dxa"/>
            <w:tcBorders/>
            <w:vAlign w:val="center"/>
          </w:tcPr>
          <w:p>
            <w:pPr>
              <w:pStyle w:val="TableContents"/>
              <w:bidi w:val="0"/>
              <w:spacing w:before="0" w:after="1"/>
              <w:ind w:left="0" w:right="0" w:hanging="0"/>
              <w:jc w:val="center"/>
              <w:rPr/>
            </w:pPr>
            <w:r>
              <w:rPr/>
              <w:t> </w:t>
            </w:r>
          </w:p>
        </w:tc>
        <w:tc>
          <w:tcPr>
            <w:tcW w:w="111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Exercises as</w:t>
            </w:r>
          </w:p>
        </w:tc>
        <w:tc>
          <w:tcPr>
            <w:tcW w:w="346" w:type="dxa"/>
            <w:tcBorders/>
            <w:vAlign w:val="center"/>
          </w:tcPr>
          <w:p>
            <w:pPr>
              <w:pStyle w:val="TableContents"/>
              <w:bidi w:val="0"/>
              <w:spacing w:before="0" w:after="1"/>
              <w:ind w:left="0" w:right="0" w:hanging="0"/>
              <w:jc w:val="center"/>
              <w:rPr/>
            </w:pPr>
            <w:r>
              <w:rPr/>
              <w:t> </w:t>
            </w:r>
          </w:p>
        </w:tc>
        <w:tc>
          <w:tcPr>
            <w:tcW w:w="117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r>
      <w:tr>
        <w:trPr/>
        <w:tc>
          <w:tcPr>
            <w:tcW w:w="17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32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 as of</w:t>
            </w:r>
          </w:p>
        </w:tc>
        <w:tc>
          <w:tcPr>
            <w:tcW w:w="34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 on</w:t>
            </w:r>
          </w:p>
        </w:tc>
        <w:tc>
          <w:tcPr>
            <w:tcW w:w="346" w:type="dxa"/>
            <w:tcBorders/>
            <w:vAlign w:val="center"/>
          </w:tcPr>
          <w:p>
            <w:pPr>
              <w:pStyle w:val="TableContents"/>
              <w:bidi w:val="0"/>
              <w:spacing w:before="0" w:after="1"/>
              <w:ind w:left="0" w:right="0" w:hanging="0"/>
              <w:jc w:val="center"/>
              <w:rPr/>
            </w:pPr>
            <w:r>
              <w:rPr/>
              <w:t> </w:t>
            </w:r>
          </w:p>
        </w:tc>
        <w:tc>
          <w:tcPr>
            <w:tcW w:w="111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w:t>
            </w:r>
          </w:p>
        </w:tc>
        <w:tc>
          <w:tcPr>
            <w:tcW w:w="346" w:type="dxa"/>
            <w:tcBorders/>
            <w:vAlign w:val="center"/>
          </w:tcPr>
          <w:p>
            <w:pPr>
              <w:pStyle w:val="TableContents"/>
              <w:bidi w:val="0"/>
              <w:spacing w:before="0" w:after="1"/>
              <w:ind w:left="0" w:right="0" w:hanging="0"/>
              <w:jc w:val="center"/>
              <w:rPr/>
            </w:pPr>
            <w:r>
              <w:rPr/>
              <w:t> </w:t>
            </w:r>
          </w:p>
        </w:tc>
        <w:tc>
          <w:tcPr>
            <w:tcW w:w="117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17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Issuance</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Expiration</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11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Issuance</w:t>
            </w:r>
          </w:p>
        </w:tc>
        <w:tc>
          <w:tcPr>
            <w:tcW w:w="346" w:type="dxa"/>
            <w:tcBorders/>
            <w:vAlign w:val="center"/>
          </w:tcPr>
          <w:p>
            <w:pPr>
              <w:pStyle w:val="TableContents"/>
              <w:bidi w:val="0"/>
              <w:spacing w:before="0" w:after="1"/>
              <w:ind w:left="0" w:right="0" w:hanging="0"/>
              <w:jc w:val="center"/>
              <w:rPr/>
            </w:pPr>
            <w:r>
              <w:rPr/>
              <w:t> </w:t>
            </w:r>
          </w:p>
        </w:tc>
        <w:tc>
          <w:tcPr>
            <w:tcW w:w="111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1"/>
              <w:ind w:left="0" w:right="0" w:hanging="0"/>
              <w:jc w:val="center"/>
              <w:rPr/>
            </w:pPr>
            <w:r>
              <w:rPr/>
              <w:t> </w:t>
            </w:r>
          </w:p>
        </w:tc>
        <w:tc>
          <w:tcPr>
            <w:tcW w:w="117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7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0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346" w:type="dxa"/>
            <w:tcBorders/>
            <w:vAlign w:val="center"/>
          </w:tcPr>
          <w:p>
            <w:pPr>
              <w:pStyle w:val="TableContents"/>
              <w:bidi w:val="0"/>
              <w:spacing w:before="0" w:after="1"/>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Date</w:t>
            </w:r>
          </w:p>
        </w:tc>
        <w:tc>
          <w:tcPr>
            <w:tcW w:w="346" w:type="dxa"/>
            <w:tcBorders/>
            <w:vAlign w:val="center"/>
          </w:tcPr>
          <w:p>
            <w:pPr>
              <w:pStyle w:val="TableContents"/>
              <w:bidi w:val="0"/>
              <w:spacing w:before="0" w:after="1"/>
              <w:ind w:left="0" w:right="0" w:hanging="0"/>
              <w:jc w:val="center"/>
              <w:rPr/>
            </w:pPr>
            <w:r>
              <w:rPr/>
              <w:t>  ​ ​ ​</w:t>
            </w:r>
          </w:p>
        </w:tc>
        <w:tc>
          <w:tcPr>
            <w:tcW w:w="132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346" w:type="dxa"/>
            <w:tcBorders/>
            <w:vAlign w:val="center"/>
          </w:tcPr>
          <w:p>
            <w:pPr>
              <w:pStyle w:val="TableContents"/>
              <w:bidi w:val="0"/>
              <w:spacing w:before="0" w:after="1"/>
              <w:ind w:left="0" w:right="0" w:hanging="0"/>
              <w:jc w:val="center"/>
              <w:rPr/>
            </w:pPr>
            <w:r>
              <w:rPr/>
              <w:t>  ​ ​ ​</w:t>
            </w:r>
          </w:p>
        </w:tc>
        <w:tc>
          <w:tcPr>
            <w:tcW w:w="111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17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79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Series 2022-A Warrants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808"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6/8/2022</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6/7/2027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4.37</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33,333,336</w:t>
            </w:r>
          </w:p>
        </w:tc>
        <w:tc>
          <w:tcPr>
            <w:tcW w:w="346" w:type="dxa"/>
            <w:tcBorders/>
            <w:shd w:fill="CCEEFF" w:val="clear"/>
            <w:vAlign w:val="center"/>
          </w:tcPr>
          <w:p>
            <w:pPr>
              <w:pStyle w:val="TableContents"/>
              <w:bidi w:val="0"/>
              <w:spacing w:before="0" w:after="1"/>
              <w:ind w:left="0" w:right="0" w:hanging="0"/>
              <w:jc w:val="left"/>
              <w:rPr/>
            </w:pPr>
            <w:r>
              <w:rPr/>
              <w:t> </w:t>
            </w:r>
          </w:p>
        </w:tc>
        <w:tc>
          <w:tcPr>
            <w:tcW w:w="11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1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33,333,336</w:t>
            </w:r>
          </w:p>
        </w:tc>
      </w:tr>
      <w:tr>
        <w:trPr/>
        <w:tc>
          <w:tcPr>
            <w:tcW w:w="17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Warrants</w:t>
            </w:r>
          </w:p>
        </w:tc>
        <w:tc>
          <w:tcPr>
            <w:tcW w:w="346"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1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33,333,336</w:t>
            </w:r>
          </w:p>
        </w:tc>
        <w:tc>
          <w:tcPr>
            <w:tcW w:w="346" w:type="dxa"/>
            <w:tcBorders/>
            <w:vAlign w:val="center"/>
          </w:tcPr>
          <w:p>
            <w:pPr>
              <w:pStyle w:val="TableContents"/>
              <w:bidi w:val="0"/>
              <w:spacing w:before="0" w:after="1"/>
              <w:ind w:left="0" w:right="0" w:hanging="0"/>
              <w:jc w:val="left"/>
              <w:rPr/>
            </w:pPr>
            <w:r>
              <w:rPr/>
              <w:t> </w:t>
            </w:r>
          </w:p>
        </w:tc>
        <w:tc>
          <w:tcPr>
            <w:tcW w:w="111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173"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33,333,336</w:t>
            </w:r>
          </w:p>
        </w:tc>
      </w:tr>
    </w:tbl>
    <w:tbl>
      <w:tblPr>
        <w:tblW w:w="2642" w:type="dxa"/>
        <w:jc w:val="left"/>
        <w:tblInd w:w="0" w:type="dxa"/>
        <w:tblLayout w:type="fixed"/>
        <w:tblCellMar>
          <w:top w:w="0" w:type="dxa"/>
          <w:left w:w="0" w:type="dxa"/>
          <w:bottom w:w="0" w:type="dxa"/>
          <w:right w:w="0" w:type="dxa"/>
        </w:tblCellMar>
      </w:tblPr>
      <w:tblGrid>
        <w:gridCol w:w="346"/>
        <w:gridCol w:w="229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22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Equity-classified warrants.</w:t>
            </w:r>
          </w:p>
        </w:tc>
      </w:tr>
    </w:tbl>
    <w:p>
      <w:pPr>
        <w:pStyle w:val="TextBody"/>
        <w:bidi w:val="0"/>
        <w:spacing w:before="0" w:after="200"/>
        <w:ind w:left="0" w:right="0" w:firstLine="72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year ended December 31, 2025 and 2024 no warrants were exercised.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25. Variable Interest Entities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has entered into agreements with various SPEs to facilitate the development and construction of facilities to provide carbon neutral power. These SPEs are structured as a limited liability companies.</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Nonconsolidated VIEs</w:t>
      </w:r>
    </w:p>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During September 2022 and February 2023, the Company entered into agreements with Zero6 Energy Development, Inc. (“ZEDI”), a national clean energy expert that provides expertise in capital management, development, engineering, and asset management, to develop and construct facilities to provide carbon neutral power to ATJ-60 via the two Project LLCs: Kingsbury County Wind Fuel, LLC (“KCWF”) and Dakota Renewable Hydrogen, LLC (“DRH”), respectively. Due to the indefinite delay at Lake Preston, the Project LLCs are actively evaluating options to redeploy resources, including supplying power to other sites and advancing or completing projects in other viable locations.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Each Project LLC is currently funded via advances for certain long lead equipment items from Gevo. The Company has made certain refundable project advances indirectly to the Project LLCs via ZEDI, to induce ZEDI to design and construct the power generation, transmission and distribution facilities that will supply renewable energy.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Each Project LLC is a VIE, and the Company holds an implicit variable interest in each Project LLC. As of December 2023, we have concluded that the removal of the kickout rights from the agreements has resulted in a loss of control and that, therefore, the Company is no longer the primary beneficiary of the Project LLCs. The Project LLCs are a VIE because their equity is insufficient to maintain its on-going collateral requirements without additional financial support.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have recognized $54.0 million in Deposits and other assets related to advances made to the Project LLCs which are reimbursable upon the achievement or failure to achieve certain milestones. Such amounts represent our maximum exposure to loss as a result of our involvement with the Project LLCs.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652" w:name="_35a33c8c_6112_4ba7_83f8_b9f258a87599"/>
      <w:bookmarkEnd w:id="1652"/>
      <w:r>
        <w:rPr>
          <w:rFonts w:ascii="Times New Roman;Times;serif" w:hAnsi="Times New Roman;Times;serif"/>
          <w:b/>
          <w:sz w:val="20"/>
        </w:rPr>
        <w:t>26</w:t>
      </w:r>
      <w:r>
        <w:rPr>
          <w:rFonts w:ascii="Times New Roman;Times;serif" w:hAnsi="Times New Roman;Times;serif"/>
          <w:b/>
          <w:i/>
          <w:sz w:val="20"/>
        </w:rPr>
        <w:t xml:space="preserve">. </w:t>
      </w:r>
      <w:r>
        <w:rPr>
          <w:rFonts w:ascii="Times New Roman;Times;serif" w:hAnsi="Times New Roman;Times;serif"/>
          <w:b/>
          <w:sz w:val="20"/>
        </w:rPr>
        <w:t xml:space="preserve">Segments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Operating segments are defined as components of an entity for which discrete financial information is available that is regularly reviewed by the Chief Operating Decision Maker (“CODM”) in deciding how to allocate resources to an individual segment and in assessing performance. The Company’s Chief Executive Officer is the CODM. The CODM assesses the segments’ performance by using Loss from Operations.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00"/>
        <w:ind w:left="0" w:right="0" w:firstLine="720"/>
        <w:jc w:val="left"/>
        <w:rPr>
          <w:rFonts w:ascii="Times New Roman;Times;serif" w:hAnsi="Times New Roman;Times;serif"/>
          <w:sz w:val="20"/>
        </w:rPr>
      </w:pPr>
      <w:bookmarkStart w:id="1653" w:name="Tc_FQk_X6XKvUee_G3ctvQxrA_6_12"/>
      <w:bookmarkStart w:id="1654" w:name="Tc_zJIBjdBBDUCtzwABhZrE3g_6_9"/>
      <w:bookmarkStart w:id="1655" w:name="Tc_EgdyEZ2GRE-xXXoonmDGNQ_6_6"/>
      <w:bookmarkStart w:id="1656" w:name="Tc_1q6QSf1cGEO1uEC4CLkjfQ_6_0"/>
      <w:bookmarkStart w:id="1657" w:name="Tc_wO4VkYyAukuwb5IRXt63OQ_5_6"/>
      <w:bookmarkStart w:id="1658" w:name="Tc_L0rXd-tNaUixLOPqOwvACw_5_0"/>
      <w:bookmarkStart w:id="1659" w:name="Tc_WppT56aEa0OdTVkPFhdbVA_4_0"/>
      <w:bookmarkStart w:id="1660" w:name="Tc_4wrORuFgB0eMIRa0jB_fSw_3_14"/>
      <w:bookmarkStart w:id="1661" w:name="Tc_OgNzn3qsakyv0h2olnI3Kw_3_11"/>
      <w:bookmarkStart w:id="1662" w:name="Tc_lqzHNxHi00ufVIXF-4CZcQ_3_8"/>
      <w:bookmarkStart w:id="1663" w:name="Tc_vCPM0p335k-xZ8KOrRZTjg_3_6"/>
      <w:bookmarkStart w:id="1664" w:name="Tc_rq2X76-yZ0OQ7TI7c-bq0w_3_5"/>
      <w:bookmarkStart w:id="1665" w:name="Tc_66rwUj5NHkWX4qTGvuHBWw_3_2"/>
      <w:bookmarkStart w:id="1666" w:name="Tc_6oJ37AaI50W-kqe57ST9Bw_3_0"/>
      <w:bookmarkStart w:id="1667" w:name="Tc_Csk_HgWxu0Kfq6fW8hQpSg_2_14"/>
      <w:bookmarkStart w:id="1668" w:name="Tc_cnIs3NNhuU6gwpRh3TXQuA_2_11"/>
      <w:bookmarkStart w:id="1669" w:name="Tc_4WCizO5Ia0u9HHCNDul7pg_2_8"/>
      <w:bookmarkStart w:id="1670" w:name="Tc_1dQA1bAUXUCl12wjnlsBBw_2_5"/>
      <w:bookmarkStart w:id="1671" w:name="Tc_lHYtHwEYSUGcgBbaYJVILA_2_2"/>
      <w:bookmarkStart w:id="1672" w:name="Tc_ppIWXRBX_kONoZVWwWpiaA_1_2"/>
      <w:bookmarkStart w:id="1673" w:name="_8c4353a1_02c8_424f_a55a_8814eebea583"/>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r>
        <w:rPr>
          <w:rFonts w:ascii="Times New Roman;Times;serif" w:hAnsi="Times New Roman;Times;serif"/>
          <w:sz w:val="20"/>
        </w:rPr>
        <w:t xml:space="preserve">The CODM uses operating results for each segment predominantly in the annual budget and forecasting process. The CODM considers budget-to-actual variances on a quarterly basis when making decisions about the allocation of operating and capital resources of each segment. As such, management has determined that the Company has organized its operations and activities in the manner in which information is utilized by the CODM and has determined that it has four operating and reportable segments: (i) Gevo segment; (ii) GevoFuels segment; (iii) GevoRNG segment and (iv) GevoND segment. All segments follow the same basis of accounting policies as described in Note 2, Summary of Significant Accounting Policies.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Gevo segment</w:t>
      </w:r>
      <w:r>
        <w:rPr>
          <w:rFonts w:ascii="Times New Roman;Times;serif" w:hAnsi="Times New Roman;Times;serif"/>
          <w:sz w:val="20"/>
        </w:rPr>
        <w:t>. The Gevo segment is responsible for all research and development activities related to the future production of SAF, commercial opportunities for other renewable hydrocarbon products, such as hydrocarbons for gasoline blendstocks and diesel fuel; ingredients for the chemical industry, such as ethylene and butenes; plastics and materials; and other chemicals. The Gevo segment also develops, maintains and protects its intellectual property portfolio, provides corporate oversight services, and is responsible for development of Verity platforms.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GevoFuels segment</w:t>
      </w:r>
      <w:r>
        <w:rPr>
          <w:rFonts w:ascii="Times New Roman;Times;serif" w:hAnsi="Times New Roman;Times;serif"/>
          <w:sz w:val="20"/>
        </w:rPr>
        <w:t xml:space="preserve">. GevoFuels is a cornerstone of the Company’s operations, committed to driving low-cost, sustainable, and American-made energy solutions. Our focus is on advancing practical, low-carbon energy alternatives that promote energy independence and strengthen the economy. This segment is dedicated to the development, construction, and operation of Alcohol-to-Jet projects that are not only good for the environment but also cost-effective for businesses and consumers. Our flagship project, ATJ-30, is a groundbreaking greenfield initiative focused on producing SAF right here in the U.S.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GevoRNG segment</w:t>
      </w:r>
      <w:r>
        <w:rPr>
          <w:rFonts w:ascii="Times New Roman;Times;serif" w:hAnsi="Times New Roman;Times;serif"/>
          <w:sz w:val="20"/>
        </w:rPr>
        <w:t>. The Renewable Natural Gas segment includes GevoRNG which is an innovative project that leverages anaerobic digestion technology to capture and convert methane emissions into renewable natural gas. This project plays a significant role in addressing both the environmental impact of methane emissions and the growing demand for cleaner energy alternatives. RNG is chemically identical to conventional natural gas, but it is produced from organic waste rather than fossil fuels, making it a sustainable and carbon-neutral energy source. By converting methane emissions into RNG, Gevo RNG helps mitigate the environmental impact of livestock farming, specifically reducing the greenhouse gases that contribute to climate change.</w:t>
      </w:r>
    </w:p>
    <w:p>
      <w:pPr>
        <w:pStyle w:val="TextBody"/>
        <w:bidi w:val="0"/>
        <w:spacing w:before="0" w:after="2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GevoND segment.</w:t>
      </w:r>
      <w:r>
        <w:rPr>
          <w:rFonts w:ascii="Times New Roman;Times;serif" w:hAnsi="Times New Roman;Times;serif"/>
          <w:sz w:val="20"/>
        </w:rPr>
        <w:t xml:space="preserve"> The GevoND segment is a new operating segment for 2025. The GevoND segment includes the assets acquired in the business combination completed in January 2025, with Red Trail Energy. GevoND includes advanced CCS technologies and low-carbon ethanol assets at the acquired facility in North Dakota, enhancing our portfolio of integrated, cost-effective carbon abatement solutions. The principal products manufactured by our ethanol plant include ethanol and distillers grains. At capacity, GevoND facility is capable of processing approximately 67 million gallons of low-carbon ethanol annually, including 2 million gallons of corn fiber ethanol with an ultra-low carbon intensity. Additionally, the facility produces more than 230,000 tons of low-carbon animal feed and vegetable oil, contributing to sustainable agriculture and food systems. The site has an operating, fully permitted Class VI CCS well, which captures and sequesters approximately 165,000 tons of biogenic carbon dioxide annually. This capability is a key component of our strategy to drive meaningful carbon abatement at scale, with the potential to sequester multiple times that amount in total carbon emissions, directly supporting Gevo’s vision of decarbonizing the energy, transportation, and agriculture sectors. </w:t>
      </w:r>
    </w:p>
    <w:p>
      <w:pPr>
        <w:pStyle w:val="TextBody"/>
        <w:bidi w:val="0"/>
        <w:spacing w:before="0" w:after="2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"Other Expenses" in the segment table include the following components: cost of production, general and administrative expenses, acquisition-related costs, facility idling costs, gains and losses on the sale of assets and other expenses.</w:t>
      </w:r>
    </w:p>
    <w:p>
      <w:pPr>
        <w:pStyle w:val="TextBody"/>
        <w:bidi w:val="0"/>
        <w:spacing w:before="0" w:after="200"/>
        <w:ind w:left="0" w:right="0" w:firstLine="720"/>
        <w:jc w:val="left"/>
        <w:rPr/>
      </w:pPr>
      <w:r>
        <w:rPr/>
        <w:t>​</w:t>
      </w:r>
    </w:p>
    <w:p>
      <w:pPr>
        <w:pStyle w:val="TextBody"/>
        <w:bidi w:val="0"/>
        <w:spacing w:before="0" w:after="200"/>
        <w:ind w:left="0" w:right="0" w:firstLine="720"/>
        <w:jc w:val="left"/>
        <w:rPr/>
      </w:pPr>
      <w:r>
        <w:rPr/>
        <w:t>​</w:t>
      </w:r>
    </w:p>
    <w:tbl>
      <w:tblPr>
        <w:tblW w:w="8189" w:type="dxa"/>
        <w:jc w:val="left"/>
        <w:tblInd w:w="0" w:type="dxa"/>
        <w:tblLayout w:type="fixed"/>
        <w:tblCellMar>
          <w:top w:w="0" w:type="dxa"/>
          <w:left w:w="0" w:type="dxa"/>
          <w:bottom w:w="0" w:type="dxa"/>
          <w:right w:w="0" w:type="dxa"/>
        </w:tblCellMar>
      </w:tblPr>
      <w:tblGrid>
        <w:gridCol w:w="3016"/>
        <w:gridCol w:w="109"/>
        <w:gridCol w:w="211"/>
        <w:gridCol w:w="571"/>
        <w:gridCol w:w="109"/>
        <w:gridCol w:w="329"/>
        <w:gridCol w:w="542"/>
        <w:gridCol w:w="109"/>
        <w:gridCol w:w="211"/>
        <w:gridCol w:w="676"/>
        <w:gridCol w:w="109"/>
        <w:gridCol w:w="211"/>
        <w:gridCol w:w="781"/>
        <w:gridCol w:w="109"/>
        <w:gridCol w:w="223"/>
        <w:gridCol w:w="873"/>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1915160" cy="175260"/>
                      <wp:effectExtent l="0" t="0" r="0" b="0"/>
                      <wp:wrapNone/>
                      <wp:docPr id="601" name="Frame601"/>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69215" cy="175260"/>
                      <wp:effectExtent l="0" t="0" r="0" b="0"/>
                      <wp:wrapNone/>
                      <wp:docPr id="602" name="Frame6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133985" cy="175260"/>
                      <wp:effectExtent l="0" t="0" r="0" b="0"/>
                      <wp:wrapNone/>
                      <wp:docPr id="603" name="Frame6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362585" cy="175260"/>
                      <wp:effectExtent l="0" t="0" r="0" b="0"/>
                      <wp:wrapNone/>
                      <wp:docPr id="604" name="Frame60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69215" cy="175260"/>
                      <wp:effectExtent l="0" t="0" r="0" b="0"/>
                      <wp:wrapNone/>
                      <wp:docPr id="605" name="Frame6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208915" cy="175260"/>
                      <wp:effectExtent l="0" t="0" r="0" b="0"/>
                      <wp:wrapNone/>
                      <wp:docPr id="606" name="Frame606"/>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344170" cy="175260"/>
                      <wp:effectExtent l="0" t="0" r="0" b="0"/>
                      <wp:wrapNone/>
                      <wp:docPr id="607" name="Frame607"/>
                      <a:graphic xmlns:a="http://schemas.openxmlformats.org/drawingml/2006/main">
                        <a:graphicData uri="http://schemas.microsoft.com/office/word/2010/wordprocessingShape">
                          <wps:wsp>
                            <wps:cNvSpPr txBox="1"/>
                            <wps:spPr>
                              <a:xfrm>
                                <a:off x="0" y="0"/>
                                <a:ext cx="344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69215" cy="175260"/>
                      <wp:effectExtent l="0" t="0" r="0" b="0"/>
                      <wp:wrapNone/>
                      <wp:docPr id="608" name="Frame6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133985" cy="175260"/>
                      <wp:effectExtent l="0" t="0" r="0" b="0"/>
                      <wp:wrapNone/>
                      <wp:docPr id="609" name="Frame6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429260" cy="175260"/>
                      <wp:effectExtent l="0" t="0" r="0" b="0"/>
                      <wp:wrapNone/>
                      <wp:docPr id="610" name="Frame61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69215" cy="175260"/>
                      <wp:effectExtent l="0" t="0" r="0" b="0"/>
                      <wp:wrapNone/>
                      <wp:docPr id="611" name="Frame6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133985" cy="175260"/>
                      <wp:effectExtent l="0" t="0" r="0" b="0"/>
                      <wp:wrapNone/>
                      <wp:docPr id="612" name="Frame6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495935" cy="175260"/>
                      <wp:effectExtent l="0" t="0" r="0" b="0"/>
                      <wp:wrapNone/>
                      <wp:docPr id="613" name="Frame61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69215" cy="175260"/>
                      <wp:effectExtent l="0" t="0" r="0" b="0"/>
                      <wp:wrapNone/>
                      <wp:docPr id="614" name="Frame6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141605" cy="175260"/>
                      <wp:effectExtent l="0" t="0" r="0" b="0"/>
                      <wp:wrapNone/>
                      <wp:docPr id="615" name="Frame615"/>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554355" cy="175260"/>
                      <wp:effectExtent l="0" t="0" r="0" b="0"/>
                      <wp:wrapNone/>
                      <wp:docPr id="616" name="Frame616"/>
                      <a:graphic xmlns:a="http://schemas.openxmlformats.org/drawingml/2006/main">
                        <a:graphicData uri="http://schemas.microsoft.com/office/word/2010/wordprocessingShape">
                          <wps:wsp>
                            <wps:cNvSpPr txBox="1"/>
                            <wps:spPr>
                              <a:xfrm>
                                <a:off x="0" y="0"/>
                                <a:ext cx="554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5064"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2025</w:t>
            </w:r>
          </w:p>
        </w:tc>
      </w:tr>
      <w:tr>
        <w:trPr/>
        <w:tc>
          <w:tcPr>
            <w:tcW w:w="301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w:t>
            </w:r>
          </w:p>
        </w:tc>
        <w:tc>
          <w:tcPr>
            <w:tcW w:w="109" w:type="dxa"/>
            <w:tcBorders/>
            <w:vAlign w:val="center"/>
          </w:tcPr>
          <w:p>
            <w:pPr>
              <w:pStyle w:val="TableContents"/>
              <w:bidi w:val="0"/>
              <w:spacing w:before="0" w:after="1"/>
              <w:ind w:left="0" w:right="0" w:hanging="0"/>
              <w:jc w:val="left"/>
              <w:rPr/>
            </w:pPr>
            <w:r>
              <w:rPr/>
              <w:t>​</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GevoFuels</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GevoRNG</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GevoND</w:t>
            </w:r>
          </w:p>
        </w:tc>
        <w:tc>
          <w:tcPr>
            <w:tcW w:w="109" w:type="dxa"/>
            <w:tcBorders/>
            <w:vAlign w:val="center"/>
          </w:tcPr>
          <w:p>
            <w:pPr>
              <w:pStyle w:val="TableContents"/>
              <w:bidi w:val="0"/>
              <w:spacing w:before="0" w:after="1"/>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5,755</w:t>
            </w:r>
          </w:p>
        </w:tc>
        <w:tc>
          <w:tcPr>
            <w:tcW w:w="109" w:type="dxa"/>
            <w:tcBorders/>
            <w:shd w:fill="CCEEFF" w:val="clear"/>
            <w:vAlign w:val="center"/>
          </w:tcPr>
          <w:p>
            <w:pPr>
              <w:pStyle w:val="TableContents"/>
              <w:bidi w:val="0"/>
              <w:spacing w:before="0" w:after="1"/>
              <w:ind w:left="0" w:right="0" w:hanging="0"/>
              <w:jc w:val="left"/>
              <w:rPr/>
            </w:pPr>
            <w:r>
              <w:rPr/>
              <w:t>​</w:t>
            </w:r>
          </w:p>
        </w:tc>
        <w:tc>
          <w:tcPr>
            <w:tcW w:w="3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18,045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136,780</w:t>
            </w:r>
          </w:p>
        </w:tc>
        <w:tc>
          <w:tcPr>
            <w:tcW w:w="109"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160,580</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29" w:type="dxa"/>
            <w:tcBorders/>
            <w:vAlign w:val="center"/>
          </w:tcPr>
          <w:p>
            <w:pPr>
              <w:pStyle w:val="TableContents"/>
              <w:bidi w:val="0"/>
              <w:spacing w:before="0" w:after="1"/>
              <w:ind w:left="0" w:right="0" w:hanging="0"/>
              <w:jc w:val="left"/>
              <w:rPr/>
            </w:pPr>
            <w:r>
              <w:rPr/>
              <w:t>​</w:t>
            </w:r>
          </w:p>
        </w:tc>
        <w:tc>
          <w:tcPr>
            <w:tcW w:w="54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73" w:type="dxa"/>
            <w:tcBorders/>
            <w:vAlign w:val="center"/>
          </w:tcPr>
          <w:p>
            <w:pPr>
              <w:pStyle w:val="TableContents"/>
              <w:bidi w:val="0"/>
              <w:spacing w:before="0" w:after="1"/>
              <w:ind w:left="0" w:right="0" w:hanging="0"/>
              <w:jc w:val="right"/>
              <w:rPr/>
            </w:pPr>
            <w:r>
              <w:rPr/>
              <w:t>​</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3,195</w:t>
            </w:r>
          </w:p>
        </w:tc>
        <w:tc>
          <w:tcPr>
            <w:tcW w:w="109" w:type="dxa"/>
            <w:tcBorders/>
            <w:shd w:fill="CCEEFF" w:val="clear"/>
            <w:vAlign w:val="center"/>
          </w:tcPr>
          <w:p>
            <w:pPr>
              <w:pStyle w:val="TableContents"/>
              <w:bidi w:val="0"/>
              <w:spacing w:before="0" w:after="1"/>
              <w:ind w:left="0" w:right="0" w:hanging="0"/>
              <w:jc w:val="left"/>
              <w:rPr/>
            </w:pPr>
            <w:r>
              <w:rPr/>
              <w:t>​</w:t>
            </w:r>
          </w:p>
        </w:tc>
        <w:tc>
          <w:tcPr>
            <w:tcW w:w="329" w:type="dxa"/>
            <w:tcBorders/>
            <w:shd w:fill="CCEEFF" w:val="clear"/>
            <w:vAlign w:val="center"/>
          </w:tcPr>
          <w:p>
            <w:pPr>
              <w:pStyle w:val="TableContents"/>
              <w:bidi w:val="0"/>
              <w:spacing w:before="0" w:after="1"/>
              <w:ind w:left="0" w:right="0" w:hanging="0"/>
              <w:jc w:val="left"/>
              <w:rPr/>
            </w:pPr>
            <w:r>
              <w:rPr/>
              <w:t>​</w:t>
            </w:r>
          </w:p>
        </w:tc>
        <w:tc>
          <w:tcPr>
            <w:tcW w:w="54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4,616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17,512</w:t>
            </w:r>
          </w:p>
        </w:tc>
        <w:tc>
          <w:tcPr>
            <w:tcW w:w="109"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25,323</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4,550</w:t>
            </w:r>
          </w:p>
        </w:tc>
        <w:tc>
          <w:tcPr>
            <w:tcW w:w="109" w:type="dxa"/>
            <w:tcBorders/>
            <w:vAlign w:val="center"/>
          </w:tcPr>
          <w:p>
            <w:pPr>
              <w:pStyle w:val="TableContents"/>
              <w:bidi w:val="0"/>
              <w:spacing w:before="0" w:after="1"/>
              <w:ind w:left="0" w:right="0" w:hanging="0"/>
              <w:jc w:val="left"/>
              <w:rPr/>
            </w:pPr>
            <w:r>
              <w:rPr/>
              <w:t>​</w:t>
            </w:r>
          </w:p>
        </w:tc>
        <w:tc>
          <w:tcPr>
            <w:tcW w:w="329" w:type="dxa"/>
            <w:tcBorders/>
            <w:vAlign w:val="center"/>
          </w:tcPr>
          <w:p>
            <w:pPr>
              <w:pStyle w:val="TableContents"/>
              <w:bidi w:val="0"/>
              <w:spacing w:before="0" w:after="1"/>
              <w:ind w:left="0" w:right="0" w:hanging="0"/>
              <w:jc w:val="left"/>
              <w:rPr/>
            </w:pPr>
            <w:r>
              <w:rPr/>
              <w:t>​</w:t>
            </w:r>
          </w:p>
        </w:tc>
        <w:tc>
          <w:tcPr>
            <w:tcW w:w="54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73"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4,550</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Normal"/>
        <w:bidi w:val="0"/>
        <w:spacing w:before="0" w:after="0"/>
        <w:jc w:val="left"/>
        <w:rPr>
          <w:sz w:val="4"/>
          <w:szCs w:val="4"/>
        </w:rPr>
      </w:pPr>
      <w:r>
        <w:rPr>
          <w:sz w:val="4"/>
          <w:szCs w:val="4"/>
        </w:rPr>
      </w:r>
      <w:bookmarkStart w:id="1674" w:name="Tc_wLHbsjxo70y1AgXUYRKXxA_16_12"/>
      <w:bookmarkStart w:id="1675" w:name="Tc_dONFomxlI06349Vvn3MbcA_16_0"/>
      <w:bookmarkStart w:id="1676" w:name="Tc_s3cHppv6QkOaXNKCWFcrng_15_12"/>
      <w:bookmarkStart w:id="1677" w:name="Tc_tLJviKTrn02IDVfntSuLMg_15_9"/>
      <w:bookmarkStart w:id="1678" w:name="Tc_7WE8p1WsXEasvJMU0aJ04Q_15_6"/>
      <w:bookmarkStart w:id="1679" w:name="Tc_PzSx6H9a2E6FnslWtCIawQ_15_0"/>
      <w:bookmarkStart w:id="1680" w:name="Tc_VE3VuTGgVUmgKfjffZKaJQ_14_12"/>
      <w:bookmarkStart w:id="1681" w:name="Tc_scbsXf5SsE-pJDW2HS2YOQ_14_0"/>
      <w:bookmarkStart w:id="1682" w:name="Tc_3phPOhkDSEaKkJEKWmis5A_12_12"/>
      <w:bookmarkStart w:id="1683" w:name="Tc_jVruy9pV3UCoT42g1c91ig_12_0"/>
      <w:bookmarkStart w:id="1684" w:name="Tc_8XLNEpeRo0yt2p2hEliUJQ_11_12"/>
      <w:bookmarkStart w:id="1685" w:name="Tc_L9eRtvg270idCZvhOHMCSA_11_9"/>
      <w:bookmarkStart w:id="1686" w:name="Tc_mPRy0cuuSkWg9Uo5qjVnFg_11_6"/>
      <w:bookmarkStart w:id="1687" w:name="Tc_41kN395N1ESvwUtVYt_rtw_11_0"/>
      <w:bookmarkStart w:id="1688" w:name="Tc_kYsPc94rYEySUWWMdmFM5Q_10_12"/>
      <w:bookmarkStart w:id="1689" w:name="Tc_1iShYmBaoEiBVgTScrojyQ_10_0"/>
      <w:bookmarkStart w:id="1690" w:name="Tc_qFQKltE4F0ypwAwPVRi7iw_9_12"/>
      <w:bookmarkStart w:id="1691" w:name="Tc_Mi9Zf7oO10Ssa5s09aJWRA_9_0"/>
      <w:bookmarkStart w:id="1692" w:name="Tc_x9lK29iitUymwu7MlPZPuA_8_12"/>
      <w:bookmarkStart w:id="1693" w:name="Tc_kOczJ_Fw3E-97mZKg_OdvQ_8_6"/>
      <w:bookmarkStart w:id="1694" w:name="Tc_XM5MqnAvHU-FOxXudXbVPQ_8_0"/>
      <w:bookmarkStart w:id="1695" w:name="Tc_WJKwVg-4VUOGQvJD8YIT5w_7_12"/>
      <w:bookmarkStart w:id="1696" w:name="Tc_vGdeF-IBYU-8CVxy3T76hw_7_9"/>
      <w:bookmarkStart w:id="1697" w:name="Tc_0u4-72apJEqtkEIovMG2Cw_7_0"/>
      <w:bookmarkStart w:id="1698" w:name="Tc_XOvpP50MhkmY84rLk-g5Rg_6_12"/>
      <w:bookmarkStart w:id="1699" w:name="Tc_FD48nLLCnkeW0xWUNx2kjA_6_9"/>
      <w:bookmarkStart w:id="1700" w:name="Tc_BVxONmGj5kaoqP4asVt01Q_6_0"/>
      <w:bookmarkStart w:id="1701" w:name="Tc_LSflJL_YJEe_GSEmbNRvjw_5_12"/>
      <w:bookmarkStart w:id="1702" w:name="Tc_z6jswyrLM0qUJOQptJC9IA_5_6"/>
      <w:bookmarkStart w:id="1703" w:name="Tc_Wcjifkgai0ajBe9hzO5-Vg_5_0"/>
      <w:bookmarkStart w:id="1704" w:name="Tc_HsLzcHH-EUy0kM4ZUPljgA_4_0"/>
      <w:bookmarkStart w:id="1705" w:name="Tc_4-Wziv_Qz0u-8mMOmgXytA_3_14"/>
      <w:bookmarkStart w:id="1706" w:name="Tc_RLFx1-6-P0i6hx5Mz8CRhA_3_12"/>
      <w:bookmarkStart w:id="1707" w:name="Tc_fe65ytKZYEWYyYP7SYP_Gw_3_11"/>
      <w:bookmarkStart w:id="1708" w:name="Tc_jbq2WzWsAE-MVmvwhyJjZg_3_8"/>
      <w:bookmarkStart w:id="1709" w:name="Tc_QOLVC-ELp0-rsubiEK1tNg_3_6"/>
      <w:bookmarkStart w:id="1710" w:name="Tc_7OEJwaI7UkWTzJN5UaWC6w_3_5"/>
      <w:bookmarkStart w:id="1711" w:name="Tc_zCaOu0umHUmiXmL3Sv_f1g_3_2"/>
      <w:bookmarkStart w:id="1712" w:name="Tc_8LwaFRfHd02X2zJlJkQfeQ_3_0"/>
      <w:bookmarkStart w:id="1713" w:name="Tc_YNrQCbhO_Ui_DVrfI3dySQ_2_14"/>
      <w:bookmarkStart w:id="1714" w:name="Tc_Om_qIaT-Ikur_kdEv6ZWiQ_2_11"/>
      <w:bookmarkStart w:id="1715" w:name="Tc_a3qn2QlrtEeXbolGOfpjCw_2_8"/>
      <w:bookmarkStart w:id="1716" w:name="Tc_LgVk5pYdTky1w6-DsLrxzQ_2_5"/>
      <w:bookmarkStart w:id="1717" w:name="Tc_AmDT0wVAaEm4tPZZhpFEWg_2_2"/>
      <w:bookmarkStart w:id="1718" w:name="Tc_sgukiod5HkSD7seTMujYNg_1_2"/>
      <w:bookmarkStart w:id="1719" w:name="_b8cef0c1_88df_4c04_bb3a_25c9dd06cc94"/>
      <w:bookmarkStart w:id="1720" w:name="Tc_lW7cAdNcDUyqU_-bGWXdGw_16_0"/>
      <w:bookmarkStart w:id="1721" w:name="Tc_Ou198F2znUiJt5Q5NJCQlA_15_9"/>
      <w:bookmarkStart w:id="1722" w:name="Tc_3Eu1tZ4uN0e36TjljP2QAg_15_6"/>
      <w:bookmarkStart w:id="1723" w:name="Tc_XeXqdlCPQ0KKIFloIjR6rQ_15_0"/>
      <w:bookmarkStart w:id="1724" w:name="Tc_HEMUW9SueESvPMsuwHWiMQ_14_0"/>
      <w:bookmarkStart w:id="1725" w:name="Tc_dv8MP4kuE02F58BcAGxVpw_12_0"/>
      <w:bookmarkStart w:id="1726" w:name="Tc_vB7tfgOtz0Cmn5F4m05Z8A_11_6"/>
      <w:bookmarkStart w:id="1727" w:name="Tc_M-xlL7PKWEq64d7SGNQXVA_11_0"/>
      <w:bookmarkStart w:id="1728" w:name="Tc_kHGci1oqFUWmpbBnDSDZng_10_6"/>
      <w:bookmarkStart w:id="1729" w:name="Tc_u43k0qrZBkW_awqN-h7hSw_10_0"/>
      <w:bookmarkStart w:id="1730" w:name="Tc_-KbiO_nfEECpbd22AECJFQ_9_0"/>
      <w:bookmarkStart w:id="1731" w:name="Tc_Qoc4PHLpOUSF_6H4jhphag_8_0"/>
      <w:bookmarkStart w:id="1732" w:name="Tc_rdgK6T4lYUerzFZofFrgdw_7_9"/>
      <w:bookmarkStart w:id="1733" w:name="Tc_bDy773sK2kmyhR0_twMu6g_7_0"/>
      <w:bookmarkStart w:id="1734" w:name="Tc_wLHbsjxo70y1AgXUYRKXxA_16_12"/>
      <w:bookmarkStart w:id="1735" w:name="Tc_dONFomxlI06349Vvn3MbcA_16_0"/>
      <w:bookmarkStart w:id="1736" w:name="Tc_s3cHppv6QkOaXNKCWFcrng_15_12"/>
      <w:bookmarkStart w:id="1737" w:name="Tc_tLJviKTrn02IDVfntSuLMg_15_9"/>
      <w:bookmarkStart w:id="1738" w:name="Tc_7WE8p1WsXEasvJMU0aJ04Q_15_6"/>
      <w:bookmarkStart w:id="1739" w:name="Tc_PzSx6H9a2E6FnslWtCIawQ_15_0"/>
      <w:bookmarkStart w:id="1740" w:name="Tc_VE3VuTGgVUmgKfjffZKaJQ_14_12"/>
      <w:bookmarkStart w:id="1741" w:name="Tc_scbsXf5SsE-pJDW2HS2YOQ_14_0"/>
      <w:bookmarkStart w:id="1742" w:name="Tc_3phPOhkDSEaKkJEKWmis5A_12_12"/>
      <w:bookmarkStart w:id="1743" w:name="Tc_jVruy9pV3UCoT42g1c91ig_12_0"/>
      <w:bookmarkStart w:id="1744" w:name="Tc_8XLNEpeRo0yt2p2hEliUJQ_11_12"/>
      <w:bookmarkStart w:id="1745" w:name="Tc_L9eRtvg270idCZvhOHMCSA_11_9"/>
      <w:bookmarkStart w:id="1746" w:name="Tc_mPRy0cuuSkWg9Uo5qjVnFg_11_6"/>
      <w:bookmarkStart w:id="1747" w:name="Tc_41kN395N1ESvwUtVYt_rtw_11_0"/>
      <w:bookmarkStart w:id="1748" w:name="Tc_kYsPc94rYEySUWWMdmFM5Q_10_12"/>
      <w:bookmarkStart w:id="1749" w:name="Tc_1iShYmBaoEiBVgTScrojyQ_10_0"/>
      <w:bookmarkStart w:id="1750" w:name="Tc_qFQKltE4F0ypwAwPVRi7iw_9_12"/>
      <w:bookmarkStart w:id="1751" w:name="Tc_Mi9Zf7oO10Ssa5s09aJWRA_9_0"/>
      <w:bookmarkStart w:id="1752" w:name="Tc_x9lK29iitUymwu7MlPZPuA_8_12"/>
      <w:bookmarkStart w:id="1753" w:name="Tc_kOczJ_Fw3E-97mZKg_OdvQ_8_6"/>
      <w:bookmarkStart w:id="1754" w:name="Tc_XM5MqnAvHU-FOxXudXbVPQ_8_0"/>
      <w:bookmarkStart w:id="1755" w:name="Tc_WJKwVg-4VUOGQvJD8YIT5w_7_12"/>
      <w:bookmarkStart w:id="1756" w:name="Tc_vGdeF-IBYU-8CVxy3T76hw_7_9"/>
      <w:bookmarkStart w:id="1757" w:name="Tc_0u4-72apJEqtkEIovMG2Cw_7_0"/>
      <w:bookmarkStart w:id="1758" w:name="Tc_XOvpP50MhkmY84rLk-g5Rg_6_12"/>
      <w:bookmarkStart w:id="1759" w:name="Tc_FD48nLLCnkeW0xWUNx2kjA_6_9"/>
      <w:bookmarkStart w:id="1760" w:name="Tc_BVxONmGj5kaoqP4asVt01Q_6_0"/>
      <w:bookmarkStart w:id="1761" w:name="Tc_LSflJL_YJEe_GSEmbNRvjw_5_12"/>
      <w:bookmarkStart w:id="1762" w:name="Tc_z6jswyrLM0qUJOQptJC9IA_5_6"/>
      <w:bookmarkStart w:id="1763" w:name="Tc_Wcjifkgai0ajBe9hzO5-Vg_5_0"/>
      <w:bookmarkStart w:id="1764" w:name="Tc_HsLzcHH-EUy0kM4ZUPljgA_4_0"/>
      <w:bookmarkStart w:id="1765" w:name="Tc_4-Wziv_Qz0u-8mMOmgXytA_3_14"/>
      <w:bookmarkStart w:id="1766" w:name="Tc_RLFx1-6-P0i6hx5Mz8CRhA_3_12"/>
      <w:bookmarkStart w:id="1767" w:name="Tc_fe65ytKZYEWYyYP7SYP_Gw_3_11"/>
      <w:bookmarkStart w:id="1768" w:name="Tc_jbq2WzWsAE-MVmvwhyJjZg_3_8"/>
      <w:bookmarkStart w:id="1769" w:name="Tc_QOLVC-ELp0-rsubiEK1tNg_3_6"/>
      <w:bookmarkStart w:id="1770" w:name="Tc_7OEJwaI7UkWTzJN5UaWC6w_3_5"/>
      <w:bookmarkStart w:id="1771" w:name="Tc_zCaOu0umHUmiXmL3Sv_f1g_3_2"/>
      <w:bookmarkStart w:id="1772" w:name="Tc_8LwaFRfHd02X2zJlJkQfeQ_3_0"/>
      <w:bookmarkStart w:id="1773" w:name="Tc_YNrQCbhO_Ui_DVrfI3dySQ_2_14"/>
      <w:bookmarkStart w:id="1774" w:name="Tc_Om_qIaT-Ikur_kdEv6ZWiQ_2_11"/>
      <w:bookmarkStart w:id="1775" w:name="Tc_a3qn2QlrtEeXbolGOfpjCw_2_8"/>
      <w:bookmarkStart w:id="1776" w:name="Tc_LgVk5pYdTky1w6-DsLrxzQ_2_5"/>
      <w:bookmarkStart w:id="1777" w:name="Tc_AmDT0wVAaEm4tPZZhpFEWg_2_2"/>
      <w:bookmarkStart w:id="1778" w:name="Tc_sgukiod5HkSD7seTMujYNg_1_2"/>
      <w:bookmarkStart w:id="1779" w:name="_b8cef0c1_88df_4c04_bb3a_25c9dd06cc94"/>
      <w:bookmarkStart w:id="1780" w:name="Tc_lW7cAdNcDUyqU_-bGWXdGw_16_0"/>
      <w:bookmarkStart w:id="1781" w:name="Tc_Ou198F2znUiJt5Q5NJCQlA_15_9"/>
      <w:bookmarkStart w:id="1782" w:name="Tc_3Eu1tZ4uN0e36TjljP2QAg_15_6"/>
      <w:bookmarkStart w:id="1783" w:name="Tc_XeXqdlCPQ0KKIFloIjR6rQ_15_0"/>
      <w:bookmarkStart w:id="1784" w:name="Tc_HEMUW9SueESvPMsuwHWiMQ_14_0"/>
      <w:bookmarkStart w:id="1785" w:name="Tc_dv8MP4kuE02F58BcAGxVpw_12_0"/>
      <w:bookmarkStart w:id="1786" w:name="Tc_vB7tfgOtz0Cmn5F4m05Z8A_11_6"/>
      <w:bookmarkStart w:id="1787" w:name="Tc_M-xlL7PKWEq64d7SGNQXVA_11_0"/>
      <w:bookmarkStart w:id="1788" w:name="Tc_kHGci1oqFUWmpbBnDSDZng_10_6"/>
      <w:bookmarkStart w:id="1789" w:name="Tc_u43k0qrZBkW_awqN-h7hSw_10_0"/>
      <w:bookmarkStart w:id="1790" w:name="Tc_-KbiO_nfEECpbd22AECJFQ_9_0"/>
      <w:bookmarkStart w:id="1791" w:name="Tc_Qoc4PHLpOUSF_6H4jhphag_8_0"/>
      <w:bookmarkStart w:id="1792" w:name="Tc_rdgK6T4lYUerzFZofFrgdw_7_9"/>
      <w:bookmarkStart w:id="1793" w:name="Tc_bDy773sK2kmyhR0_twMu6g_7_0"/>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p>
    <w:tbl>
      <w:tblPr>
        <w:tblW w:w="8956" w:type="dxa"/>
        <w:jc w:val="left"/>
        <w:tblInd w:w="0" w:type="dxa"/>
        <w:tblLayout w:type="fixed"/>
        <w:tblCellMar>
          <w:top w:w="0" w:type="dxa"/>
          <w:left w:w="0" w:type="dxa"/>
          <w:bottom w:w="0" w:type="dxa"/>
          <w:right w:w="0" w:type="dxa"/>
        </w:tblCellMar>
      </w:tblPr>
      <w:tblGrid>
        <w:gridCol w:w="3916"/>
        <w:gridCol w:w="109"/>
        <w:gridCol w:w="109"/>
        <w:gridCol w:w="796"/>
        <w:gridCol w:w="109"/>
        <w:gridCol w:w="109"/>
        <w:gridCol w:w="781"/>
        <w:gridCol w:w="109"/>
        <w:gridCol w:w="109"/>
        <w:gridCol w:w="691"/>
        <w:gridCol w:w="109"/>
        <w:gridCol w:w="109"/>
        <w:gridCol w:w="796"/>
        <w:gridCol w:w="109"/>
        <w:gridCol w:w="109"/>
        <w:gridCol w:w="886"/>
      </w:tblGrid>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Project development costs</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8,833</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2,989</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11,655</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expenses</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51,760</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10,108</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77,393</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139,264</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(loss) from operations</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(62,583)</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(2,992)</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3,321</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42,042</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(20,212)</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(555)</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(4,886)</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(12,119)</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(17,560)</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investment and other income</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4,477</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5,109</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Consolidated net income (loss)</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(58,412)</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(2,992)</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(1,453)</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30,228</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(32,629)</w:t>
            </w:r>
          </w:p>
        </w:tc>
      </w:tr>
      <w:tr>
        <w:trPr/>
        <w:tc>
          <w:tcPr>
            <w:tcW w:w="391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Acquisitions of property, plant, and equipment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14,307</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13,710</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2,294</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5,634</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35,945</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Goodwill </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3,790</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39,768</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43,558</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 as of December 31, 2025</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124,198</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235,034</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88,876</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270,821</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718,929</w:t>
            </w:r>
          </w:p>
        </w:tc>
      </w:tr>
    </w:tbl>
    <w:p>
      <w:pPr>
        <w:pStyle w:val="TextBody"/>
        <w:bidi w:val="0"/>
        <w:spacing w:before="0" w:after="200"/>
        <w:ind w:left="0" w:right="0" w:firstLine="720"/>
        <w:jc w:val="left"/>
        <w:rPr/>
      </w:pPr>
      <w:r>
        <w:rPr/>
        <w:t>​</w:t>
      </w:r>
    </w:p>
    <w:p>
      <w:pPr>
        <w:pStyle w:val="TextBody"/>
        <w:bidi w:val="0"/>
        <w:spacing w:before="0" w:after="200"/>
        <w:ind w:left="0" w:right="0" w:firstLine="720"/>
        <w:jc w:val="left"/>
        <w:rPr/>
      </w:pPr>
      <w:r>
        <w:rPr/>
        <w:t>​</w:t>
      </w:r>
    </w:p>
    <w:p>
      <w:pPr>
        <w:pStyle w:val="TextBody"/>
        <w:bidi w:val="0"/>
        <w:spacing w:before="0" w:after="200"/>
        <w:ind w:left="0" w:right="0" w:firstLine="720"/>
        <w:jc w:val="left"/>
        <w:rPr/>
      </w:pPr>
      <w:r>
        <w:rPr/>
        <w:t>​</w:t>
      </w:r>
    </w:p>
    <w:p>
      <w:pPr>
        <w:pStyle w:val="TextBody"/>
        <w:bidi w:val="0"/>
        <w:spacing w:before="0" w:after="200"/>
        <w:ind w:left="0" w:right="0" w:firstLine="720"/>
        <w:jc w:val="left"/>
        <w:rPr/>
      </w:pPr>
      <w:r>
        <w:rPr/>
        <w:t>​</w:t>
      </w:r>
    </w:p>
    <w:p>
      <w:pPr>
        <w:pStyle w:val="TextBody"/>
        <w:bidi w:val="0"/>
        <w:spacing w:before="0" w:after="200"/>
        <w:ind w:left="0" w:right="0" w:firstLine="720"/>
        <w:jc w:val="left"/>
        <w:rPr/>
      </w:pPr>
      <w:r>
        <w:rPr/>
        <w:t>​</w:t>
      </w:r>
    </w:p>
    <w:p>
      <w:pPr>
        <w:pStyle w:val="TextBody"/>
        <w:bidi w:val="0"/>
        <w:spacing w:before="0" w:after="200"/>
        <w:ind w:left="0" w:right="0" w:firstLine="720"/>
        <w:jc w:val="left"/>
        <w:rPr/>
      </w:pPr>
      <w:r>
        <w:rPr/>
        <w:t>​</w:t>
      </w:r>
    </w:p>
    <w:p>
      <w:pPr>
        <w:pStyle w:val="TextBody"/>
        <w:bidi w:val="0"/>
        <w:spacing w:before="0" w:after="20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3874"/>
        <w:gridCol w:w="346"/>
        <w:gridCol w:w="211"/>
        <w:gridCol w:w="795"/>
        <w:gridCol w:w="346"/>
        <w:gridCol w:w="211"/>
        <w:gridCol w:w="781"/>
        <w:gridCol w:w="346"/>
        <w:gridCol w:w="211"/>
        <w:gridCol w:w="795"/>
        <w:gridCol w:w="109"/>
        <w:gridCol w:w="278"/>
        <w:gridCol w:w="458"/>
        <w:gridCol w:w="346"/>
        <w:gridCol w:w="211"/>
        <w:gridCol w:w="887"/>
      </w:tblGrid>
      <w:tr>
        <w:trPr/>
        <w:tc>
          <w:tcPr>
            <w:tcW w:w="3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2459990" cy="175260"/>
                      <wp:effectExtent l="0" t="0" r="0" b="0"/>
                      <wp:wrapNone/>
                      <wp:docPr id="617" name="Frame617"/>
                      <a:graphic xmlns:a="http://schemas.openxmlformats.org/drawingml/2006/main">
                        <a:graphicData uri="http://schemas.microsoft.com/office/word/2010/wordprocessingShape">
                          <wps:wsp>
                            <wps:cNvSpPr txBox="1"/>
                            <wps:spPr>
                              <a:xfrm>
                                <a:off x="0" y="0"/>
                                <a:ext cx="2459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219710" cy="175260"/>
                      <wp:effectExtent l="0" t="0" r="0" b="0"/>
                      <wp:wrapNone/>
                      <wp:docPr id="618" name="Frame6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133985" cy="175260"/>
                      <wp:effectExtent l="0" t="0" r="0" b="0"/>
                      <wp:wrapNone/>
                      <wp:docPr id="619" name="Frame6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504825" cy="175260"/>
                      <wp:effectExtent l="0" t="0" r="0" b="0"/>
                      <wp:wrapNone/>
                      <wp:docPr id="620" name="Frame620"/>
                      <a:graphic xmlns:a="http://schemas.openxmlformats.org/drawingml/2006/main">
                        <a:graphicData uri="http://schemas.microsoft.com/office/word/2010/wordprocessingShape">
                          <wps:wsp>
                            <wps:cNvSpPr txBox="1"/>
                            <wps:spPr>
                              <a:xfrm>
                                <a:off x="0" y="0"/>
                                <a:ext cx="504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219710" cy="175260"/>
                      <wp:effectExtent l="0" t="0" r="0" b="0"/>
                      <wp:wrapNone/>
                      <wp:docPr id="621" name="Frame6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133985" cy="175260"/>
                      <wp:effectExtent l="0" t="0" r="0" b="0"/>
                      <wp:wrapNone/>
                      <wp:docPr id="622" name="Frame6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495935" cy="175260"/>
                      <wp:effectExtent l="0" t="0" r="0" b="0"/>
                      <wp:wrapNone/>
                      <wp:docPr id="623" name="Frame62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219710" cy="175260"/>
                      <wp:effectExtent l="0" t="0" r="0" b="0"/>
                      <wp:wrapNone/>
                      <wp:docPr id="624" name="Frame6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133985" cy="175260"/>
                      <wp:effectExtent l="0" t="0" r="0" b="0"/>
                      <wp:wrapNone/>
                      <wp:docPr id="625" name="Frame6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504825" cy="175260"/>
                      <wp:effectExtent l="0" t="0" r="0" b="0"/>
                      <wp:wrapNone/>
                      <wp:docPr id="626" name="Frame626"/>
                      <a:graphic xmlns:a="http://schemas.openxmlformats.org/drawingml/2006/main">
                        <a:graphicData uri="http://schemas.microsoft.com/office/word/2010/wordprocessingShape">
                          <wps:wsp>
                            <wps:cNvSpPr txBox="1"/>
                            <wps:spPr>
                              <a:xfrm>
                                <a:off x="0" y="0"/>
                                <a:ext cx="504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69215" cy="175260"/>
                      <wp:effectExtent l="0" t="0" r="0" b="0"/>
                      <wp:wrapNone/>
                      <wp:docPr id="627" name="Frame6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176530" cy="175260"/>
                      <wp:effectExtent l="0" t="0" r="0" b="0"/>
                      <wp:wrapNone/>
                      <wp:docPr id="628" name="Frame628"/>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290830" cy="175260"/>
                      <wp:effectExtent l="0" t="0" r="0" b="0"/>
                      <wp:wrapNone/>
                      <wp:docPr id="629" name="Frame629"/>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219710" cy="175260"/>
                      <wp:effectExtent l="0" t="0" r="0" b="0"/>
                      <wp:wrapNone/>
                      <wp:docPr id="630" name="Frame6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133985" cy="175260"/>
                      <wp:effectExtent l="0" t="0" r="0" b="0"/>
                      <wp:wrapNone/>
                      <wp:docPr id="631" name="Frame6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563245" cy="175260"/>
                      <wp:effectExtent l="0" t="0" r="0" b="0"/>
                      <wp:wrapNone/>
                      <wp:docPr id="632" name="Frame632"/>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98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2024</w:t>
            </w:r>
          </w:p>
        </w:tc>
      </w:tr>
      <w:tr>
        <w:trPr/>
        <w:tc>
          <w:tcPr>
            <w:tcW w:w="38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Gevo</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GevoFuels</w:t>
            </w:r>
          </w:p>
        </w:tc>
        <w:tc>
          <w:tcPr>
            <w:tcW w:w="346" w:type="dxa"/>
            <w:tcBorders/>
            <w:vAlign w:val="center"/>
          </w:tcPr>
          <w:p>
            <w:pPr>
              <w:pStyle w:val="TableContents"/>
              <w:bidi w:val="0"/>
              <w:spacing w:before="0" w:after="0"/>
              <w:ind w:left="0" w:right="0" w:hanging="0"/>
              <w:jc w:val="left"/>
              <w:rPr/>
            </w:pPr>
            <w:r>
              <w:rPr/>
              <w:t>  ​ ​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GevoRNG</w:t>
            </w:r>
          </w:p>
        </w:tc>
        <w:tc>
          <w:tcPr>
            <w:tcW w:w="109" w:type="dxa"/>
            <w:tcBorders/>
            <w:vAlign w:val="center"/>
          </w:tcPr>
          <w:p>
            <w:pPr>
              <w:pStyle w:val="TableContents"/>
              <w:bidi w:val="0"/>
              <w:spacing w:before="0" w:after="0"/>
              <w:ind w:left="0" w:right="0" w:hanging="0"/>
              <w:jc w:val="center"/>
              <w:rPr/>
            </w:pPr>
            <w:r>
              <w:rPr/>
              <w:t>​</w:t>
            </w:r>
          </w:p>
        </w:tc>
        <w:tc>
          <w:tcPr>
            <w:tcW w:w="7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GevoND</w:t>
            </w:r>
          </w:p>
        </w:tc>
        <w:tc>
          <w:tcPr>
            <w:tcW w:w="346" w:type="dxa"/>
            <w:tcBorders/>
            <w:vAlign w:val="center"/>
          </w:tcPr>
          <w:p>
            <w:pPr>
              <w:pStyle w:val="TableContents"/>
              <w:bidi w:val="0"/>
              <w:spacing w:before="0" w:after="0"/>
              <w:ind w:left="0" w:right="0" w:hanging="0"/>
              <w:jc w:val="center"/>
              <w:rPr/>
            </w:pPr>
            <w:r>
              <w:rPr/>
              <w:t>  ​ ​ ​</w:t>
            </w:r>
          </w:p>
        </w:tc>
        <w:tc>
          <w:tcPr>
            <w:tcW w:w="10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38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15,796</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16,915</w:t>
            </w:r>
          </w:p>
        </w:tc>
      </w:tr>
      <w:tr>
        <w:trPr/>
        <w:tc>
          <w:tcPr>
            <w:tcW w:w="38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4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r>
      <w:tr>
        <w:trPr/>
        <w:tc>
          <w:tcPr>
            <w:tcW w:w="38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8,580</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4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18,298</w:t>
            </w:r>
          </w:p>
        </w:tc>
      </w:tr>
      <w:tr>
        <w:trPr/>
        <w:tc>
          <w:tcPr>
            <w:tcW w:w="38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4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5,576</w:t>
            </w:r>
          </w:p>
        </w:tc>
      </w:tr>
      <w:tr>
        <w:trPr/>
        <w:tc>
          <w:tcPr>
            <w:tcW w:w="38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Project development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4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18,166</w:t>
            </w:r>
          </w:p>
        </w:tc>
      </w:tr>
      <w:tr>
        <w:trPr/>
        <w:tc>
          <w:tcPr>
            <w:tcW w:w="38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15,975</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4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65,699</w:t>
            </w:r>
          </w:p>
        </w:tc>
      </w:tr>
      <w:tr>
        <w:trPr/>
        <w:tc>
          <w:tcPr>
            <w:tcW w:w="38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(8,760)</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4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(90,824)</w:t>
            </w:r>
          </w:p>
        </w:tc>
      </w:tr>
      <w:tr>
        <w:trPr/>
        <w:tc>
          <w:tcPr>
            <w:tcW w:w="38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(3,114)</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4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(3,879)</w:t>
            </w:r>
          </w:p>
        </w:tc>
      </w:tr>
      <w:tr>
        <w:trPr/>
        <w:tc>
          <w:tcPr>
            <w:tcW w:w="38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4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15,637</w:t>
            </w:r>
          </w:p>
        </w:tc>
      </w:tr>
      <w:tr>
        <w:trPr/>
        <w:tc>
          <w:tcPr>
            <w:tcW w:w="38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Consolidated net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(11,861)</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4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(78,640)</w:t>
            </w:r>
          </w:p>
        </w:tc>
      </w:tr>
      <w:tr>
        <w:trPr/>
        <w:tc>
          <w:tcPr>
            <w:tcW w:w="38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45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left"/>
              <w:rPr/>
            </w:pPr>
            <w:r>
              <w:rPr/>
              <w:t>​</w:t>
            </w:r>
          </w:p>
        </w:tc>
      </w:tr>
      <w:tr>
        <w:trPr/>
        <w:tc>
          <w:tcPr>
            <w:tcW w:w="38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Acquisitions of property, plant, and equipment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17,088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3,895</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4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51,085</w:t>
            </w:r>
          </w:p>
        </w:tc>
      </w:tr>
      <w:tr>
        <w:trPr/>
        <w:tc>
          <w:tcPr>
            <w:tcW w:w="38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4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3,740</w:t>
            </w:r>
          </w:p>
        </w:tc>
      </w:tr>
      <w:tr>
        <w:trPr/>
        <w:tc>
          <w:tcPr>
            <w:tcW w:w="38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 as of December 31, 2024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297,979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208,309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77,653</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4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583,941</w:t>
            </w:r>
          </w:p>
        </w:tc>
      </w:tr>
    </w:tbl>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45" w:right="0" w:hanging="0"/>
        <w:jc w:val="left"/>
        <w:rPr/>
      </w:pPr>
      <w:r>
        <w:rPr/>
        <w:t>​</w:t>
      </w:r>
    </w:p>
    <w:p>
      <w:pPr>
        <w:pStyle w:val="TextBody"/>
        <w:bidi w:val="0"/>
        <w:spacing w:before="0" w:after="0"/>
        <w:ind w:left="405" w:right="0" w:hanging="0"/>
        <w:jc w:val="left"/>
        <w:rPr/>
      </w:pPr>
      <w:r>
        <w:rPr/>
        <w:t>​</w:t>
      </w:r>
    </w:p>
    <w:p>
      <w:pPr>
        <w:pStyle w:val="TextBody"/>
        <w:bidi w:val="0"/>
        <w:spacing w:before="0" w:after="0"/>
        <w:ind w:left="765"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200"/>
        <w:ind w:left="0" w:right="0" w:hanging="0"/>
        <w:jc w:val="left"/>
        <w:rPr/>
      </w:pPr>
      <w:r>
        <w:rPr/>
        <w:t>​</w:t>
      </w:r>
    </w:p>
    <w:p>
      <w:pPr>
        <w:pStyle w:val="TextBody"/>
        <w:bidi w:val="0"/>
        <w:spacing w:before="0" w:after="200"/>
        <w:ind w:left="0" w:right="0" w:firstLine="720"/>
        <w:jc w:val="left"/>
        <w:rPr/>
      </w:pPr>
      <w:r>
        <w:rPr/>
        <w:t>​</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 xml:space="preserve">27. Subsequent Events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Debt Refinancing</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On February 6, 2026, certain subsidiaries of the Company entered into a Omnibus Amendment Agreement (the “Amendment”) with the lenders party to the Amendment and OIC Investment Agent, LLC, in its capacity as the administrative agent and collateral agent and Orion Energy Partners TP Agent, LLC, in its capacity as the sub-administrative agent. The Amendment amended the existing $105.0 million term loan facility to increase total commitments to $175.0 million (the “Revised Credit Facility”). The Amendment resulted in $70.0 million of incremental term loan borrowings and added certain subsidiaries as borrowers and/or guarantors. The Revised Credit Facility otherwise maintains substantially the same terms as the prior facility (see Note 18 – Debt).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$70.0 million of incremental proceeds were used to redeem (i) $28.2 million aggregate principal amount of the Remarketed Bonds and (ii) $40.0 million aggregate principal amount of the Series 2025A Bonds issued by the Company’s renewable natural gas subsidiary. In connection with the redemption of the Series 2025A Bonds, the Company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incurred prepayment premiums of approximately $6.8 million. The bond redemptions resulted in the release of approximately $35.8 million of restricted cash, and the related financing agreements and liens were terminated.</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Also on February 6, 2026, the Company entered into a revolving credit agreement with Huntington National Bank providing for a working capital facility of up to $20.0 million. Borrowings under the facility bear interest, at the Company’s option, at either (i) Adjusted Term SOFR plus 2.75% per annum or (ii) an alternate base rate plus 0.75% per annum, and the facility includes a 0.375% unused commitment fee. The facility matures on the earlier of February 6, 2031 or three months prior to the maturity of the Revised Credit Facility.</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t>
      </w:r>
    </w:p>
    <w:p>
      <w:pPr>
        <w:pStyle w:val="TextBody"/>
        <w:bidi w:val="0"/>
        <w:spacing w:before="0" w:after="20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794" w:name="Item9ChangesinandDisagreementswithAccoun"/>
      <w:bookmarkStart w:id="1795" w:name="_a6b2aec5_b188_42e7_97bd_88297c5dfa58"/>
      <w:bookmarkStart w:id="1796" w:name="Item9ChangesinandDisagreementswithAccoun"/>
      <w:bookmarkStart w:id="1797" w:name="_a6b2aec5_b188_42e7_97bd_88297c5dfa58"/>
      <w:bookmarkEnd w:id="1796"/>
      <w:bookmarkEnd w:id="1797"/>
    </w:p>
    <w:tbl>
      <w:tblPr>
        <w:tblW w:w="8327" w:type="dxa"/>
        <w:jc w:val="left"/>
        <w:tblInd w:w="0" w:type="dxa"/>
        <w:tblLayout w:type="fixed"/>
        <w:tblCellMar>
          <w:top w:w="0" w:type="dxa"/>
          <w:left w:w="0" w:type="dxa"/>
          <w:bottom w:w="0" w:type="dxa"/>
          <w:right w:w="0" w:type="dxa"/>
        </w:tblCellMar>
      </w:tblPr>
      <w:tblGrid>
        <w:gridCol w:w="706"/>
        <w:gridCol w:w="7621"/>
      </w:tblGrid>
      <w:tr>
        <w:trPr/>
        <w:tc>
          <w:tcPr>
            <w:tcW w:w="70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Item 9.</w:t>
            </w:r>
          </w:p>
        </w:tc>
        <w:tc>
          <w:tcPr>
            <w:tcW w:w="762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Changes in and Disagreements with Accountants on Accounting and Financial Disclosure</w:t>
            </w:r>
          </w:p>
        </w:tc>
      </w:tr>
    </w:tbl>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00"/>
        <w:ind w:left="0" w:right="0" w:hanging="0"/>
        <w:jc w:val="left"/>
        <w:rPr>
          <w:rFonts w:ascii="Times New Roman;Times;serif" w:hAnsi="Times New Roman;Times;serif"/>
          <w:b/>
          <w:sz w:val="20"/>
        </w:rPr>
      </w:pPr>
      <w:bookmarkStart w:id="1798" w:name="Item9AControlsandProcedures_896406"/>
      <w:bookmarkStart w:id="1799" w:name="_8c59b6a4_23fc_42bd_8eb3_5872c76257f1"/>
      <w:bookmarkEnd w:id="1798"/>
      <w:bookmarkEnd w:id="1799"/>
      <w:r>
        <w:rPr>
          <w:rFonts w:ascii="Times New Roman;Times;serif" w:hAnsi="Times New Roman;Times;serif"/>
          <w:b/>
          <w:i w:val="false"/>
          <w:caps w:val="false"/>
          <w:smallCaps w:val="false"/>
          <w:sz w:val="20"/>
        </w:rPr>
        <w:t>Item 9A.</w:t>
      </w:r>
      <w:r>
        <w:rPr>
          <w:rFonts w:ascii="Times New Roman;Times;serif" w:hAnsi="Times New Roman;Times;serif"/>
          <w:b/>
          <w:sz w:val="20"/>
        </w:rPr>
        <w:t xml:space="preserve">Controls and Procedures </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We have disclosure controls and procedures, which as defined under Rules 13a-15(e) and 15d-15(e) under the Exchange Act or the Act, means controls and other procedures of an issuer that are designed to ensure that information required to be disclosed by an issuer in the reports that it files or submits under the Act is recorded, processed, summarized and reported, within the time periods specified in the SEC’s rules and forms. Disclosure controls and procedures include, without limitation, controls and procedures designed to ensure that information we are required to disclose in the reports that we file or submit under the Act is accumulated and communicated to our management, including our Chief Executive Officer (principal executive officer) and Chief Financial Officer (principal financial officer), as appropriate to allow timely decisions regarding required disclosure.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has evaluated the effectiveness of our disclosure controls and procedures (as defined in Rules 13a-15(e) and 15d-15(e) under the Exchange Act), as of December 31, 2025. Based on such evaluation, our Chief Executive Officer and Chief Financial Officer have concluded that in certain aspects our disclosure controls and procedures were not effective as of December 31, 2025, as a result of a material weakness in internal control over financial reporting described below.</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Notwithstanding the material weakness described herein, our management, including our Chief Executive Officer and Chief Financial Officer, has concluded that our audited financial statements included in this Annual Report on Form 10-K present fairly, in all material respects, our financial position, results of operations, and cash flows for the periods presented in accordance with accounting principles generally accepted in the United States of America.</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Management’s Report on Internal Control over Financial Reporting</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management is responsible for establishing and maintaining adequate internal control over financial reporting (as defined in Rules 13a-15(f) and 15d-15(f) under the Exchange Act). Our internal control system was designed to provide reasonable assurance to our management and board of directors regarding the preparation and fair presentation of published financial statements. All internal control systems, no matter how well designed, have inherent limitations. Therefore, even those systems determined to be effective can provide only reasonable assurance with respect to financial statement preparation and presentation. </w:t>
      </w:r>
    </w:p>
    <w:p>
      <w:pPr>
        <w:pStyle w:val="TextBody"/>
        <w:bidi w:val="0"/>
        <w:spacing w:before="0" w:after="0"/>
        <w:ind w:left="0" w:right="0" w:hanging="0"/>
        <w:jc w:val="both"/>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Company’s management, with the participation of our Chief Executive Officer and Chief Financial Officer, under the oversight of our Board, conducted an evaluation of the effectiveness of our internal control over financial reporting as of December 31, 2025, based on the criteria established in Internal Control -- Integrated Framework (2013) issued by the Committee of Sponsoring Organizations of the Treadway Commission (“COSO”).  As previously disclosed, management identified a material weakness in the Company’s internal control over financial reporting related to information technology general controls within certain financial systems of a recently acquired entity. Specifically, deficiencies were identified in controls over privileged access management, change management, and certain IT operations processes. As a result, certain automated controls and IT-dependent manual controls were ineffective, and management concluded that the Company did not maintain effective internal control over financial reporting as of December 31, 2025. A material weakness is defined as a deficiency, or a combination of deficiencies, in internal control over financial reporting such that there is a reasonable possibility that a material misstatement of our annual or interim financial statements will not be prevented or detected on a timely basis. Management has initiated remediation efforts, including enhancing user access controls, strengthening change management procedures, and integrating the acquired entity’s ERP system with the Company’s existing systems and applications.</w:t>
      </w:r>
    </w:p>
    <w:p>
      <w:pPr>
        <w:pStyle w:val="TextBody"/>
        <w:bidi w:val="0"/>
        <w:spacing w:before="0" w:after="0"/>
        <w:ind w:left="0" w:right="0" w:hanging="0"/>
        <w:jc w:val="left"/>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Except as disclosed above, there were no changes in our internal control over financial reporting that occurred during the three months ended December 31, 2025 that have materially affected, or are reasonably likely to materially affect, our internal control over financial reporting.</w:t>
      </w:r>
    </w:p>
    <w:p>
      <w:pPr>
        <w:pStyle w:val="TextBody"/>
        <w:bidi w:val="0"/>
        <w:spacing w:before="0" w:after="200"/>
        <w:ind w:left="0" w:right="0" w:hanging="0"/>
        <w:jc w:val="left"/>
        <w:rPr>
          <w:rFonts w:ascii="Times New Roman;Times;serif" w:hAnsi="Times New Roman;Times;serif"/>
          <w:sz w:val="20"/>
        </w:rPr>
      </w:pPr>
      <w:bookmarkStart w:id="1800" w:name="Item9BOtherInformation_450740"/>
      <w:bookmarkStart w:id="1801" w:name="_f872f728_52bc_4fef_ab50_1cd9a4c8ffe4"/>
      <w:bookmarkEnd w:id="1800"/>
      <w:bookmarkEnd w:id="1801"/>
      <w:r>
        <w:rPr>
          <w:rFonts w:ascii="Times New Roman;Times;serif" w:hAnsi="Times New Roman;Times;serif"/>
          <w:b/>
          <w:i w:val="false"/>
          <w:caps w:val="false"/>
          <w:smallCaps w:val="false"/>
          <w:sz w:val="20"/>
        </w:rPr>
        <w:t>Item 9B.</w:t>
      </w:r>
      <w:r>
        <w:rPr>
          <w:rFonts w:ascii="Times New Roman;Times;serif" w:hAnsi="Times New Roman;Times;serif"/>
          <w:b/>
          <w:sz w:val="20"/>
        </w:rPr>
        <w:t>Other Information</w:t>
      </w:r>
      <w:r>
        <w:rPr>
          <w:rFonts w:ascii="Times New Roman;Times;serif" w:hAnsi="Times New Roman;Times;serif"/>
          <w:sz w:val="20"/>
        </w:rPr>
        <w:t xml:space="preserve"> </w:t>
      </w:r>
    </w:p>
    <w:p>
      <w:pPr>
        <w:pStyle w:val="TextBody"/>
        <w:bidi w:val="0"/>
        <w:spacing w:before="0" w:after="200"/>
        <w:ind w:left="0" w:right="0" w:firstLine="720"/>
        <w:jc w:val="left"/>
        <w:rPr>
          <w:rFonts w:ascii="Times New Roman;Times;serif" w:hAnsi="Times New Roman;Times;serif"/>
          <w:sz w:val="20"/>
        </w:rPr>
      </w:pPr>
      <w:bookmarkStart w:id="1802" w:name="Tc_mjM9xJOAnUmFoGv2E4__Qg_8_4"/>
      <w:bookmarkStart w:id="1803" w:name="Tc_FspZpTCwv0Oe-9Ag6HbjNA_8_3"/>
      <w:bookmarkStart w:id="1804" w:name="Tc_htLtbyORQ0qZI3PpWfH12g_8_0"/>
      <w:bookmarkStart w:id="1805" w:name="Tc_dnMTMNU1Y0CJn1ZbBfwHvQ_7_4"/>
      <w:bookmarkStart w:id="1806" w:name="Tc_pv4tZCHvPUC2bXBzGg9EHg_7_3"/>
      <w:bookmarkStart w:id="1807" w:name="Tc_acA5-pUNWUu8c6x8NnFBGg_7_0"/>
      <w:bookmarkStart w:id="1808" w:name="Tc_f_ZzWiodPEKPLvahRtfumA_6_4"/>
      <w:bookmarkStart w:id="1809" w:name="Tc_j7OpTId4BUyQhPehpJ4Ozw_6_3"/>
      <w:bookmarkStart w:id="1810" w:name="Tc_WsmDiDTT_Eu2W51OyXpIIA_6_0"/>
      <w:bookmarkStart w:id="1811" w:name="Tc_34y4q-jOgkmozLFxRMSmIQ_5_4"/>
      <w:bookmarkStart w:id="1812" w:name="Tc_c7HPPRIKxU6WxXal-9DL-Q_5_3"/>
      <w:bookmarkStart w:id="1813" w:name="Tc_jaeYppiRjUixT1PRG7aLMQ_5_0"/>
      <w:bookmarkStart w:id="1814" w:name="Tc_gOKYuQSKyU62P-dii7L9lg_4_4"/>
      <w:bookmarkStart w:id="1815" w:name="Tc_Z9yphJOKn0OoCSlxzTZdHg_4_3"/>
      <w:bookmarkStart w:id="1816" w:name="Tc_qhY4V_6RcU2njgz6aTmVFw_4_0"/>
      <w:bookmarkStart w:id="1817" w:name="Tc_VrLgGtaQUkCgZs-X28ihug_3_4"/>
      <w:bookmarkStart w:id="1818" w:name="Tc_fnxA-MbypUSklXLJpkL7_A_3_3"/>
      <w:bookmarkStart w:id="1819" w:name="Tc_nDBxa0ASMUSDybifkda8Ig_3_0"/>
      <w:bookmarkStart w:id="1820" w:name="Tc_n2ybiYO6NUKX-3e7vfIrSg_2_4"/>
      <w:bookmarkStart w:id="1821" w:name="Tc_LOq4WfCnlE6wBlNanqsIwg_2_3"/>
      <w:bookmarkStart w:id="1822" w:name="Tc_pB23tHVkc0WOYrRwGRkNcw_2_0"/>
      <w:bookmarkStart w:id="1823" w:name="Tc_h1vkdCLUPEa4KkMO7Ph-PQ_1_4"/>
      <w:bookmarkStart w:id="1824" w:name="Tc_d6k4Jnpld0208ZOJ9D82ZA_1_3"/>
      <w:bookmarkStart w:id="1825" w:name="Tc_4Qnt4J52c0K-fAuX6FME5Q_1_2"/>
      <w:bookmarkStart w:id="1826" w:name="Tc_ZdOdO3C8QESsIpwEF3_U4A_1_1"/>
      <w:bookmarkStart w:id="1827" w:name="Tc_2OOFIbdn9E-G_16mZf5IQA_1_0"/>
      <w:bookmarkStart w:id="1828" w:name="_108b238b_e123_4aeb_8ecc_c936b976a61b"/>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r>
        <w:rPr>
          <w:rFonts w:ascii="Times New Roman;Times;serif" w:hAnsi="Times New Roman;Times;serif"/>
          <w:sz w:val="20"/>
        </w:rPr>
        <w:t>During the three months ended December 31, 2025, the below directors and/or officers, as defined in Rule 16a-1(f), adopted, modified or terminated a “Rule 10b5-1 trading arrangement,” as defined in Item 408 of Regulation S-K. The Rule 10b5-1 trading arrangements were each intended to satisfy the affirmative defense in Rule 10b5-1(c)(1).</w:t>
      </w:r>
    </w:p>
    <w:tbl>
      <w:tblPr>
        <w:tblW w:w="10205" w:type="dxa"/>
        <w:jc w:val="left"/>
        <w:tblInd w:w="0" w:type="dxa"/>
        <w:tblLayout w:type="fixed"/>
        <w:tblCellMar>
          <w:top w:w="0" w:type="dxa"/>
          <w:left w:w="0" w:type="dxa"/>
          <w:bottom w:w="0" w:type="dxa"/>
          <w:right w:w="0" w:type="dxa"/>
        </w:tblCellMar>
      </w:tblPr>
      <w:tblGrid>
        <w:gridCol w:w="2630"/>
        <w:gridCol w:w="931"/>
        <w:gridCol w:w="1310"/>
        <w:gridCol w:w="2043"/>
        <w:gridCol w:w="3291"/>
      </w:tblGrid>
      <w:tr>
        <w:trPr/>
        <w:tc>
          <w:tcPr>
            <w:tcW w:w="2630"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310" w:type="dxa"/>
            <w:tcBorders/>
            <w:vAlign w:val="center"/>
          </w:tcPr>
          <w:p>
            <w:pPr>
              <w:pStyle w:val="TableContents"/>
              <w:bidi w:val="0"/>
              <w:spacing w:before="0" w:after="0"/>
              <w:ind w:left="0" w:right="0" w:hanging="0"/>
              <w:jc w:val="left"/>
              <w:rPr/>
            </w:pPr>
            <w:r>
              <w:rPr/>
              <w:t>​</w:t>
            </w:r>
          </w:p>
        </w:tc>
        <w:tc>
          <w:tcPr>
            <w:tcW w:w="2043" w:type="dxa"/>
            <w:tcBorders/>
            <w:vAlign w:val="center"/>
          </w:tcPr>
          <w:p>
            <w:pPr>
              <w:pStyle w:val="TableContents"/>
              <w:bidi w:val="0"/>
              <w:spacing w:before="0" w:after="0"/>
              <w:ind w:left="0" w:right="0" w:hanging="0"/>
              <w:jc w:val="left"/>
              <w:rPr/>
            </w:pPr>
            <w:r>
              <w:rPr/>
              <w:t>​</w:t>
            </w:r>
          </w:p>
        </w:tc>
        <w:tc>
          <w:tcPr>
            <w:tcW w:w="3291" w:type="dxa"/>
            <w:tcBorders/>
            <w:vAlign w:val="center"/>
          </w:tcPr>
          <w:p>
            <w:pPr>
              <w:pStyle w:val="TableContents"/>
              <w:bidi w:val="0"/>
              <w:spacing w:before="0" w:after="0"/>
              <w:ind w:left="0" w:right="0" w:hanging="0"/>
              <w:jc w:val="left"/>
              <w:rPr/>
            </w:pPr>
            <w:r>
              <w:rPr/>
              <w:t>​</w:t>
            </w:r>
          </w:p>
        </w:tc>
      </w:tr>
      <w:tr>
        <w:trPr/>
        <w:tc>
          <w:tcPr>
            <w:tcW w:w="263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Name and Title</w:t>
            </w:r>
          </w:p>
        </w:tc>
        <w:tc>
          <w:tcPr>
            <w:tcW w:w="93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Action</w:t>
            </w:r>
          </w:p>
        </w:tc>
        <w:tc>
          <w:tcPr>
            <w:tcW w:w="131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Date</w:t>
            </w:r>
          </w:p>
        </w:tc>
        <w:tc>
          <w:tcPr>
            <w:tcW w:w="204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Duration of Plan</w:t>
            </w:r>
          </w:p>
        </w:tc>
        <w:tc>
          <w:tcPr>
            <w:tcW w:w="329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Total Number of Shares of Common Stock to be Purchased or Sold</w:t>
            </w:r>
          </w:p>
        </w:tc>
      </w:tr>
      <w:tr>
        <w:trPr/>
        <w:tc>
          <w:tcPr>
            <w:tcW w:w="2630" w:type="dxa"/>
            <w:tcBorders>
              <w:top w:val="single" w:sz="2" w:space="0" w:color="000000"/>
              <w:left w:val="single" w:sz="2" w:space="0" w:color="000000"/>
              <w:bottom w:val="single" w:sz="2" w:space="0" w:color="000000"/>
              <w:right w:val="single" w:sz="2" w:space="0" w:color="000000"/>
            </w:tcBorders>
            <w:shd w:fill="CCEEFF" w:val="clear"/>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Paul D. Bloom</w:t>
            </w:r>
          </w:p>
          <w:p>
            <w:pPr>
              <w:pStyle w:val="TableContents"/>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President</w:t>
            </w:r>
          </w:p>
        </w:tc>
        <w:tc>
          <w:tcPr>
            <w:tcW w:w="931" w:type="dxa"/>
            <w:tcBorders>
              <w:top w:val="single" w:sz="2" w:space="0" w:color="000000"/>
              <w:left w:val="single" w:sz="2" w:space="0" w:color="000000"/>
              <w:bottom w:val="single" w:sz="2" w:space="0" w:color="000000"/>
              <w:right w:val="single" w:sz="2" w:space="0" w:color="000000"/>
            </w:tcBorders>
            <w:shd w:fill="CCEEFF" w:val="clear"/>
            <w:tcMar>
              <w:top w:w="28" w:type="dxa"/>
              <w:left w:w="103" w:type="dxa"/>
              <w:bottom w:w="28" w:type="dxa"/>
              <w:right w:w="103"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Terminate</w:t>
            </w:r>
          </w:p>
        </w:tc>
        <w:tc>
          <w:tcPr>
            <w:tcW w:w="1310" w:type="dxa"/>
            <w:tcBorders>
              <w:top w:val="single" w:sz="2" w:space="0" w:color="000000"/>
              <w:left w:val="single" w:sz="2" w:space="0" w:color="000000"/>
              <w:bottom w:val="single" w:sz="2" w:space="0" w:color="000000"/>
              <w:right w:val="single" w:sz="2" w:space="0" w:color="000000"/>
            </w:tcBorders>
            <w:shd w:fill="CCEEFF" w:val="clear"/>
            <w:tcMar>
              <w:top w:w="28" w:type="dxa"/>
              <w:left w:w="103" w:type="dxa"/>
              <w:bottom w:w="28" w:type="dxa"/>
              <w:right w:w="103"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November 11, 2025</w:t>
            </w:r>
          </w:p>
        </w:tc>
        <w:tc>
          <w:tcPr>
            <w:tcW w:w="2043" w:type="dxa"/>
            <w:tcBorders>
              <w:top w:val="single" w:sz="2" w:space="0" w:color="000000"/>
              <w:left w:val="single" w:sz="2" w:space="0" w:color="000000"/>
              <w:bottom w:val="single" w:sz="2" w:space="0" w:color="000000"/>
              <w:right w:val="single" w:sz="2" w:space="0" w:color="000000"/>
            </w:tcBorders>
            <w:shd w:fill="CCEEFF" w:val="clear"/>
            <w:tcMar>
              <w:top w:w="28" w:type="dxa"/>
              <w:left w:w="103" w:type="dxa"/>
              <w:bottom w:w="28" w:type="dxa"/>
              <w:right w:w="103"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 xml:space="preserve">February 20, 2025 </w:t>
            </w:r>
            <w:r>
              <w:rPr>
                <w:rFonts w:ascii="Times New Roman;Times;serif" w:hAnsi="Times New Roman;Times;serif"/>
                <w:sz w:val="20"/>
              </w:rPr>
              <w:t>to February 19, 2026</w:t>
            </w:r>
          </w:p>
        </w:tc>
        <w:tc>
          <w:tcPr>
            <w:tcW w:w="3291" w:type="dxa"/>
            <w:tcBorders>
              <w:top w:val="single" w:sz="2" w:space="0" w:color="000000"/>
              <w:left w:val="single" w:sz="2" w:space="0" w:color="000000"/>
              <w:bottom w:val="single" w:sz="2" w:space="0" w:color="000000"/>
              <w:right w:val="single" w:sz="2" w:space="0" w:color="000000"/>
            </w:tcBorders>
            <w:shd w:fill="CCEEFF" w:val="clear"/>
            <w:tcMar>
              <w:top w:w="28" w:type="dxa"/>
              <w:left w:w="103" w:type="dxa"/>
              <w:bottom w:w="28" w:type="dxa"/>
              <w:right w:w="103"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Up to 718,587</w:t>
            </w:r>
          </w:p>
        </w:tc>
      </w:tr>
      <w:tr>
        <w:trPr/>
        <w:tc>
          <w:tcPr>
            <w:tcW w:w="263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Paul D. Bloom</w:t>
            </w:r>
          </w:p>
          <w:p>
            <w:pPr>
              <w:pStyle w:val="TableContents"/>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President</w:t>
            </w:r>
          </w:p>
        </w:tc>
        <w:tc>
          <w:tcPr>
            <w:tcW w:w="93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Adopt</w:t>
            </w:r>
          </w:p>
        </w:tc>
        <w:tc>
          <w:tcPr>
            <w:tcW w:w="131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December 22, 2025</w:t>
            </w:r>
          </w:p>
        </w:tc>
        <w:tc>
          <w:tcPr>
            <w:tcW w:w="204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 xml:space="preserve">March 23, 2026 </w:t>
            </w:r>
            <w:r>
              <w:rPr>
                <w:rFonts w:ascii="Times New Roman;Times;serif" w:hAnsi="Times New Roman;Times;serif"/>
                <w:sz w:val="20"/>
              </w:rPr>
              <w:t>to March 22, 2027</w:t>
            </w:r>
          </w:p>
        </w:tc>
        <w:tc>
          <w:tcPr>
            <w:tcW w:w="329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Up to 1,131,970</w:t>
            </w:r>
          </w:p>
        </w:tc>
      </w:tr>
      <w:tr>
        <w:trPr/>
        <w:tc>
          <w:tcPr>
            <w:tcW w:w="2630" w:type="dxa"/>
            <w:tcBorders>
              <w:top w:val="single" w:sz="2" w:space="0" w:color="000000"/>
              <w:left w:val="single" w:sz="2" w:space="0" w:color="000000"/>
              <w:bottom w:val="single" w:sz="2" w:space="0" w:color="000000"/>
              <w:right w:val="single" w:sz="2" w:space="0" w:color="000000"/>
            </w:tcBorders>
            <w:shd w:fill="CCEEFF" w:val="clear"/>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Christopher M. Ryan</w:t>
            </w:r>
          </w:p>
          <w:p>
            <w:pPr>
              <w:pStyle w:val="TableContents"/>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President and Chief Operating Officer</w:t>
            </w:r>
          </w:p>
        </w:tc>
        <w:tc>
          <w:tcPr>
            <w:tcW w:w="931" w:type="dxa"/>
            <w:tcBorders>
              <w:top w:val="single" w:sz="2" w:space="0" w:color="000000"/>
              <w:left w:val="single" w:sz="2" w:space="0" w:color="000000"/>
              <w:bottom w:val="single" w:sz="2" w:space="0" w:color="000000"/>
              <w:right w:val="single" w:sz="2" w:space="0" w:color="000000"/>
            </w:tcBorders>
            <w:shd w:fill="CCEEFF" w:val="clear"/>
            <w:tcMar>
              <w:top w:w="28" w:type="dxa"/>
              <w:left w:w="103" w:type="dxa"/>
              <w:bottom w:w="28" w:type="dxa"/>
              <w:right w:w="103"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Adopt</w:t>
            </w:r>
          </w:p>
        </w:tc>
        <w:tc>
          <w:tcPr>
            <w:tcW w:w="1310" w:type="dxa"/>
            <w:tcBorders>
              <w:top w:val="single" w:sz="2" w:space="0" w:color="000000"/>
              <w:left w:val="single" w:sz="2" w:space="0" w:color="000000"/>
              <w:bottom w:val="single" w:sz="2" w:space="0" w:color="000000"/>
              <w:right w:val="single" w:sz="2" w:space="0" w:color="000000"/>
            </w:tcBorders>
            <w:shd w:fill="CCEEFF" w:val="clear"/>
            <w:tcMar>
              <w:top w:w="28" w:type="dxa"/>
              <w:left w:w="103" w:type="dxa"/>
              <w:bottom w:w="28" w:type="dxa"/>
              <w:right w:w="103"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November 19, 2025</w:t>
            </w:r>
          </w:p>
        </w:tc>
        <w:tc>
          <w:tcPr>
            <w:tcW w:w="2043" w:type="dxa"/>
            <w:tcBorders>
              <w:top w:val="single" w:sz="2" w:space="0" w:color="000000"/>
              <w:left w:val="single" w:sz="2" w:space="0" w:color="000000"/>
              <w:bottom w:val="single" w:sz="2" w:space="0" w:color="000000"/>
              <w:right w:val="single" w:sz="2" w:space="0" w:color="000000"/>
            </w:tcBorders>
            <w:shd w:fill="CCEEFF" w:val="clear"/>
            <w:tcMar>
              <w:top w:w="28" w:type="dxa"/>
              <w:left w:w="103" w:type="dxa"/>
              <w:bottom w:w="28" w:type="dxa"/>
              <w:right w:w="103"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 xml:space="preserve">February 26, 2026 </w:t>
            </w:r>
            <w:r>
              <w:rPr>
                <w:rFonts w:ascii="Times New Roman;Times;serif" w:hAnsi="Times New Roman;Times;serif"/>
                <w:sz w:val="20"/>
              </w:rPr>
              <w:t>to February 25, 2027</w:t>
            </w:r>
          </w:p>
        </w:tc>
        <w:tc>
          <w:tcPr>
            <w:tcW w:w="3291" w:type="dxa"/>
            <w:tcBorders>
              <w:top w:val="single" w:sz="2" w:space="0" w:color="000000"/>
              <w:left w:val="single" w:sz="2" w:space="0" w:color="000000"/>
              <w:bottom w:val="single" w:sz="2" w:space="0" w:color="000000"/>
              <w:right w:val="single" w:sz="2" w:space="0" w:color="000000"/>
            </w:tcBorders>
            <w:shd w:fill="CCEEFF" w:val="clear"/>
            <w:tcMar>
              <w:top w:w="28" w:type="dxa"/>
              <w:left w:w="103" w:type="dxa"/>
              <w:bottom w:w="28" w:type="dxa"/>
              <w:right w:w="103"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Up to 800,596</w:t>
            </w:r>
          </w:p>
        </w:tc>
      </w:tr>
      <w:tr>
        <w:trPr/>
        <w:tc>
          <w:tcPr>
            <w:tcW w:w="263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Andrew L. Shafer</w:t>
            </w:r>
          </w:p>
          <w:p>
            <w:pPr>
              <w:pStyle w:val="TableContents"/>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Chief Customer, Marketing and Brand Officer</w:t>
            </w:r>
          </w:p>
        </w:tc>
        <w:tc>
          <w:tcPr>
            <w:tcW w:w="93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Adopt</w:t>
            </w:r>
          </w:p>
        </w:tc>
        <w:tc>
          <w:tcPr>
            <w:tcW w:w="131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November 19, 2025</w:t>
            </w:r>
          </w:p>
        </w:tc>
        <w:tc>
          <w:tcPr>
            <w:tcW w:w="204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 xml:space="preserve">February 20, 2026 </w:t>
            </w:r>
            <w:r>
              <w:rPr>
                <w:rFonts w:ascii="Times New Roman;Times;serif" w:hAnsi="Times New Roman;Times;serif"/>
                <w:sz w:val="20"/>
              </w:rPr>
              <w:t>to February 19, 2027</w:t>
            </w:r>
          </w:p>
        </w:tc>
        <w:tc>
          <w:tcPr>
            <w:tcW w:w="329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Up to 423,339</w:t>
            </w:r>
          </w:p>
        </w:tc>
      </w:tr>
      <w:tr>
        <w:trPr/>
        <w:tc>
          <w:tcPr>
            <w:tcW w:w="2630" w:type="dxa"/>
            <w:tcBorders>
              <w:top w:val="single" w:sz="2" w:space="0" w:color="000000"/>
              <w:left w:val="single" w:sz="2" w:space="0" w:color="000000"/>
              <w:bottom w:val="single" w:sz="2" w:space="0" w:color="000000"/>
              <w:right w:val="single" w:sz="2" w:space="0" w:color="000000"/>
            </w:tcBorders>
            <w:shd w:fill="CCEEFF" w:val="clear"/>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Kimberly T. Bowron</w:t>
            </w:r>
          </w:p>
          <w:p>
            <w:pPr>
              <w:pStyle w:val="TableContents"/>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Chief of Staff</w:t>
            </w:r>
          </w:p>
        </w:tc>
        <w:tc>
          <w:tcPr>
            <w:tcW w:w="931" w:type="dxa"/>
            <w:tcBorders>
              <w:top w:val="single" w:sz="2" w:space="0" w:color="000000"/>
              <w:left w:val="single" w:sz="2" w:space="0" w:color="000000"/>
              <w:bottom w:val="single" w:sz="2" w:space="0" w:color="000000"/>
              <w:right w:val="single" w:sz="2" w:space="0" w:color="000000"/>
            </w:tcBorders>
            <w:shd w:fill="CCEEFF" w:val="clear"/>
            <w:tcMar>
              <w:top w:w="28" w:type="dxa"/>
              <w:left w:w="103" w:type="dxa"/>
              <w:bottom w:w="28" w:type="dxa"/>
              <w:right w:w="103"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Adopt</w:t>
            </w:r>
          </w:p>
        </w:tc>
        <w:tc>
          <w:tcPr>
            <w:tcW w:w="1310" w:type="dxa"/>
            <w:tcBorders>
              <w:top w:val="single" w:sz="2" w:space="0" w:color="000000"/>
              <w:left w:val="single" w:sz="2" w:space="0" w:color="000000"/>
              <w:bottom w:val="single" w:sz="2" w:space="0" w:color="000000"/>
              <w:right w:val="single" w:sz="2" w:space="0" w:color="000000"/>
            </w:tcBorders>
            <w:shd w:fill="CCEEFF" w:val="clear"/>
            <w:tcMar>
              <w:top w:w="28" w:type="dxa"/>
              <w:left w:w="103" w:type="dxa"/>
              <w:bottom w:w="28" w:type="dxa"/>
              <w:right w:w="103"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November 20, 2025</w:t>
            </w:r>
          </w:p>
        </w:tc>
        <w:tc>
          <w:tcPr>
            <w:tcW w:w="2043" w:type="dxa"/>
            <w:tcBorders>
              <w:top w:val="single" w:sz="2" w:space="0" w:color="000000"/>
              <w:left w:val="single" w:sz="2" w:space="0" w:color="000000"/>
              <w:bottom w:val="single" w:sz="2" w:space="0" w:color="000000"/>
              <w:right w:val="single" w:sz="2" w:space="0" w:color="000000"/>
            </w:tcBorders>
            <w:shd w:fill="CCEEFF" w:val="clear"/>
            <w:tcMar>
              <w:top w:w="28" w:type="dxa"/>
              <w:left w:w="103" w:type="dxa"/>
              <w:bottom w:w="28" w:type="dxa"/>
              <w:right w:w="103"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 xml:space="preserve">March 3, 2026 </w:t>
            </w:r>
            <w:r>
              <w:rPr>
                <w:rFonts w:ascii="Times New Roman;Times;serif" w:hAnsi="Times New Roman;Times;serif"/>
                <w:sz w:val="20"/>
              </w:rPr>
              <w:t>to March 4, 2027</w:t>
            </w:r>
          </w:p>
        </w:tc>
        <w:tc>
          <w:tcPr>
            <w:tcW w:w="3291" w:type="dxa"/>
            <w:tcBorders>
              <w:top w:val="single" w:sz="2" w:space="0" w:color="000000"/>
              <w:left w:val="single" w:sz="2" w:space="0" w:color="000000"/>
              <w:bottom w:val="single" w:sz="2" w:space="0" w:color="000000"/>
              <w:right w:val="single" w:sz="2" w:space="0" w:color="000000"/>
            </w:tcBorders>
            <w:shd w:fill="CCEEFF" w:val="clear"/>
            <w:tcMar>
              <w:top w:w="28" w:type="dxa"/>
              <w:left w:w="103" w:type="dxa"/>
              <w:bottom w:w="28" w:type="dxa"/>
              <w:right w:w="103"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Up to 60,230</w:t>
            </w:r>
          </w:p>
        </w:tc>
      </w:tr>
      <w:tr>
        <w:trPr/>
        <w:tc>
          <w:tcPr>
            <w:tcW w:w="263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Oluwagbemileke Y Agiri</w:t>
            </w:r>
          </w:p>
          <w:p>
            <w:pPr>
              <w:pStyle w:val="TableContents"/>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Chief Financial Officer</w:t>
            </w:r>
          </w:p>
        </w:tc>
        <w:tc>
          <w:tcPr>
            <w:tcW w:w="93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Adopt</w:t>
            </w:r>
          </w:p>
        </w:tc>
        <w:tc>
          <w:tcPr>
            <w:tcW w:w="131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December 1, 2025</w:t>
            </w:r>
          </w:p>
        </w:tc>
        <w:tc>
          <w:tcPr>
            <w:tcW w:w="204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 xml:space="preserve">March 1, 2026 </w:t>
            </w:r>
            <w:r>
              <w:rPr>
                <w:rFonts w:ascii="Times New Roman;Times;serif" w:hAnsi="Times New Roman;Times;serif"/>
                <w:sz w:val="20"/>
              </w:rPr>
              <w:t>to February 28, 2027</w:t>
            </w:r>
          </w:p>
        </w:tc>
        <w:tc>
          <w:tcPr>
            <w:tcW w:w="329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Up to 150,649</w:t>
            </w:r>
          </w:p>
        </w:tc>
      </w:tr>
      <w:tr>
        <w:trPr/>
        <w:tc>
          <w:tcPr>
            <w:tcW w:w="2630" w:type="dxa"/>
            <w:tcBorders>
              <w:top w:val="single" w:sz="2" w:space="0" w:color="000000"/>
              <w:left w:val="single" w:sz="2" w:space="0" w:color="000000"/>
              <w:bottom w:val="single" w:sz="2" w:space="0" w:color="000000"/>
              <w:right w:val="single" w:sz="2" w:space="0" w:color="000000"/>
            </w:tcBorders>
            <w:shd w:fill="CCEEFF" w:val="clear"/>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Lindsay C. Fitzgerald</w:t>
            </w:r>
          </w:p>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Public Affairs Officer</w:t>
            </w:r>
          </w:p>
        </w:tc>
        <w:tc>
          <w:tcPr>
            <w:tcW w:w="931" w:type="dxa"/>
            <w:tcBorders>
              <w:top w:val="single" w:sz="2" w:space="0" w:color="000000"/>
              <w:left w:val="single" w:sz="2" w:space="0" w:color="000000"/>
              <w:bottom w:val="single" w:sz="2" w:space="0" w:color="000000"/>
              <w:right w:val="single" w:sz="2" w:space="0" w:color="000000"/>
            </w:tcBorders>
            <w:shd w:fill="CCEEFF" w:val="clear"/>
            <w:tcMar>
              <w:top w:w="28" w:type="dxa"/>
              <w:left w:w="103" w:type="dxa"/>
              <w:bottom w:w="28" w:type="dxa"/>
              <w:right w:w="103"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Adopt</w:t>
            </w:r>
          </w:p>
        </w:tc>
        <w:tc>
          <w:tcPr>
            <w:tcW w:w="1310" w:type="dxa"/>
            <w:tcBorders>
              <w:top w:val="single" w:sz="2" w:space="0" w:color="000000"/>
              <w:left w:val="single" w:sz="2" w:space="0" w:color="000000"/>
              <w:bottom w:val="single" w:sz="2" w:space="0" w:color="000000"/>
              <w:right w:val="single" w:sz="2" w:space="0" w:color="000000"/>
            </w:tcBorders>
            <w:shd w:fill="CCEEFF" w:val="clear"/>
            <w:tcMar>
              <w:top w:w="28" w:type="dxa"/>
              <w:left w:w="103" w:type="dxa"/>
              <w:bottom w:w="28" w:type="dxa"/>
              <w:right w:w="103"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December 1, 2025</w:t>
            </w:r>
          </w:p>
        </w:tc>
        <w:tc>
          <w:tcPr>
            <w:tcW w:w="2043" w:type="dxa"/>
            <w:tcBorders>
              <w:top w:val="single" w:sz="2" w:space="0" w:color="000000"/>
              <w:left w:val="single" w:sz="2" w:space="0" w:color="000000"/>
              <w:bottom w:val="single" w:sz="2" w:space="0" w:color="000000"/>
              <w:right w:val="single" w:sz="2" w:space="0" w:color="000000"/>
            </w:tcBorders>
            <w:shd w:fill="CCEEFF" w:val="clear"/>
            <w:tcMar>
              <w:top w:w="28" w:type="dxa"/>
              <w:left w:w="103" w:type="dxa"/>
              <w:bottom w:w="28" w:type="dxa"/>
              <w:right w:w="103"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 xml:space="preserve">March 1, 2026 </w:t>
            </w:r>
            <w:r>
              <w:rPr>
                <w:rFonts w:ascii="Times New Roman;Times;serif" w:hAnsi="Times New Roman;Times;serif"/>
                <w:sz w:val="20"/>
              </w:rPr>
              <w:t>to February 28, 2027</w:t>
            </w:r>
          </w:p>
        </w:tc>
        <w:tc>
          <w:tcPr>
            <w:tcW w:w="3291" w:type="dxa"/>
            <w:tcBorders>
              <w:top w:val="single" w:sz="2" w:space="0" w:color="000000"/>
              <w:left w:val="single" w:sz="2" w:space="0" w:color="000000"/>
              <w:bottom w:val="single" w:sz="2" w:space="0" w:color="000000"/>
              <w:right w:val="single" w:sz="2" w:space="0" w:color="000000"/>
            </w:tcBorders>
            <w:shd w:fill="CCEEFF" w:val="clear"/>
            <w:tcMar>
              <w:top w:w="28" w:type="dxa"/>
              <w:left w:w="103" w:type="dxa"/>
              <w:bottom w:w="28" w:type="dxa"/>
              <w:right w:w="103" w:type="dxa"/>
            </w:tcMar>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Up to 198,916</w:t>
            </w:r>
          </w:p>
        </w:tc>
      </w:tr>
    </w:tbl>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Except as set forth above, no director or officer, as defined in Rule 16a-1(f), adopted, modified and/or terminated a “Rule 10b5-1 trading arrangement,” or a “non-Rule 10b5-1 trading arrangement,” each as defined in Item 408 of Regulation S-K, during the three months ended December 31, 2025.</w:t>
      </w:r>
    </w:p>
    <w:p>
      <w:pPr>
        <w:pStyle w:val="TextBody"/>
        <w:bidi w:val="0"/>
        <w:spacing w:before="0" w:after="200"/>
        <w:ind w:left="0" w:right="0" w:hanging="0"/>
        <w:jc w:val="left"/>
        <w:rPr>
          <w:rFonts w:ascii="Times New Roman;Times;serif" w:hAnsi="Times New Roman;Times;serif"/>
          <w:b/>
          <w:sz w:val="20"/>
        </w:rPr>
      </w:pPr>
      <w:bookmarkStart w:id="1829" w:name="Item9CDisclosureRegardingForeignJurisdic"/>
      <w:bookmarkStart w:id="1830" w:name="_f1a80f67_56a8_4811_9675_3f9fdf7fb1c1"/>
      <w:bookmarkEnd w:id="1829"/>
      <w:bookmarkEnd w:id="1830"/>
      <w:r>
        <w:rPr>
          <w:rFonts w:ascii="Times New Roman;Times;serif" w:hAnsi="Times New Roman;Times;serif"/>
          <w:b/>
          <w:sz w:val="20"/>
        </w:rPr>
        <w:t>Item 9C. Disclosure Regarding Foreign Jurisdictions that Prevent Inspections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None</w:t>
      </w:r>
      <w:r>
        <w:rPr>
          <w:rFonts w:ascii="Times New Roman;Times;serif" w:hAnsi="Times New Roman;Times;serif"/>
          <w:b/>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1831" w:name="PARTIII_490044"/>
      <w:bookmarkStart w:id="1832" w:name="_6a337565_069e_4789_a04a_1f7c17c1cd7b"/>
      <w:bookmarkEnd w:id="1831"/>
      <w:bookmarkEnd w:id="1832"/>
      <w:r>
        <w:rPr>
          <w:rFonts w:ascii="Times New Roman;Times;serif" w:hAnsi="Times New Roman;Times;serif"/>
          <w:b/>
          <w:sz w:val="20"/>
        </w:rPr>
        <w:t>PART III</w:t>
      </w:r>
    </w:p>
    <w:p>
      <w:pPr>
        <w:pStyle w:val="Normal"/>
        <w:bidi w:val="0"/>
        <w:spacing w:before="0" w:after="0"/>
        <w:jc w:val="left"/>
        <w:rPr>
          <w:sz w:val="4"/>
          <w:szCs w:val="4"/>
        </w:rPr>
      </w:pPr>
      <w:r>
        <w:rPr>
          <w:sz w:val="4"/>
          <w:szCs w:val="4"/>
        </w:rPr>
      </w:r>
      <w:bookmarkStart w:id="1833" w:name="Item10DirectorsExecutiveOfficersandCorpo"/>
      <w:bookmarkStart w:id="1834" w:name="Item10DirectorsExecutiveOfficersandCorpo"/>
      <w:bookmarkEnd w:id="1834"/>
    </w:p>
    <w:tbl>
      <w:tblPr>
        <w:tblW w:w="5777" w:type="dxa"/>
        <w:jc w:val="left"/>
        <w:tblInd w:w="0" w:type="dxa"/>
        <w:tblLayout w:type="fixed"/>
        <w:tblCellMar>
          <w:top w:w="0" w:type="dxa"/>
          <w:left w:w="0" w:type="dxa"/>
          <w:bottom w:w="0" w:type="dxa"/>
          <w:right w:w="0" w:type="dxa"/>
        </w:tblCellMar>
      </w:tblPr>
      <w:tblGrid>
        <w:gridCol w:w="811"/>
        <w:gridCol w:w="4966"/>
      </w:tblGrid>
      <w:tr>
        <w:trPr/>
        <w:tc>
          <w:tcPr>
            <w:tcW w:w="81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Item 10.</w:t>
            </w:r>
          </w:p>
        </w:tc>
        <w:tc>
          <w:tcPr>
            <w:tcW w:w="496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Directors, Executive Officers and Corporate Governance</w:t>
            </w:r>
          </w:p>
        </w:tc>
      </w:tr>
    </w:tbl>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information required by this item is incorporated by reference to our definitive proxy statement for the 2026 annual meeting of stockholders to be filed with the SEC within 120 days after our fiscal year ended December 31, 2025.</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have a written code of business conduct and ethics in place that applies to all of our directors, officers and employees, including our principal executive officer, principal financial officer, and principal accounting officer. A copy of our code of ethics is available on our website: https://investors.gevo.com/corporate/corporate-governance/. We are required to disclose certain changes to, or waivers from, that code for our senior financial officers. We intend to use our website as a method of disseminating any change to, or waiver from, our code of ethics as permitted by applicable SEC rules.</w:t>
      </w:r>
    </w:p>
    <w:p>
      <w:pPr>
        <w:pStyle w:val="Normal"/>
        <w:bidi w:val="0"/>
        <w:spacing w:before="0" w:after="0"/>
        <w:jc w:val="left"/>
        <w:rPr>
          <w:sz w:val="4"/>
          <w:szCs w:val="4"/>
        </w:rPr>
      </w:pPr>
      <w:r>
        <w:rPr>
          <w:sz w:val="4"/>
          <w:szCs w:val="4"/>
        </w:rPr>
      </w:r>
      <w:bookmarkStart w:id="1835" w:name="Item11ExecutiveCompensation_81322"/>
      <w:bookmarkStart w:id="1836" w:name="_c322e717_dd8c_4eb3_8b1d_7af28d40164f"/>
      <w:bookmarkStart w:id="1837" w:name="Item11ExecutiveCompensation_81322"/>
      <w:bookmarkStart w:id="1838" w:name="_c322e717_dd8c_4eb3_8b1d_7af28d40164f"/>
      <w:bookmarkEnd w:id="1837"/>
      <w:bookmarkEnd w:id="1838"/>
    </w:p>
    <w:tbl>
      <w:tblPr>
        <w:tblW w:w="3062" w:type="dxa"/>
        <w:jc w:val="left"/>
        <w:tblInd w:w="0" w:type="dxa"/>
        <w:tblLayout w:type="fixed"/>
        <w:tblCellMar>
          <w:top w:w="0" w:type="dxa"/>
          <w:left w:w="0" w:type="dxa"/>
          <w:bottom w:w="0" w:type="dxa"/>
          <w:right w:w="0" w:type="dxa"/>
        </w:tblCellMar>
      </w:tblPr>
      <w:tblGrid>
        <w:gridCol w:w="811"/>
        <w:gridCol w:w="2251"/>
      </w:tblGrid>
      <w:tr>
        <w:trPr/>
        <w:tc>
          <w:tcPr>
            <w:tcW w:w="81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Item 11.</w:t>
            </w:r>
          </w:p>
        </w:tc>
        <w:tc>
          <w:tcPr>
            <w:tcW w:w="225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Executive Compensation</w:t>
            </w:r>
          </w:p>
        </w:tc>
      </w:tr>
    </w:tbl>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information required by this item is incorporated by reference to our definitive proxy statement for the 2026 annual meeting of stockholders to be filed with the SEC within 120 days after our fiscal year ended December 31, 2025.</w:t>
      </w:r>
    </w:p>
    <w:p>
      <w:pPr>
        <w:pStyle w:val="Normal"/>
        <w:bidi w:val="0"/>
        <w:spacing w:before="0" w:after="0"/>
        <w:jc w:val="left"/>
        <w:rPr>
          <w:sz w:val="4"/>
          <w:szCs w:val="4"/>
        </w:rPr>
      </w:pPr>
      <w:r>
        <w:rPr>
          <w:sz w:val="4"/>
          <w:szCs w:val="4"/>
        </w:rPr>
      </w:r>
      <w:bookmarkStart w:id="1839" w:name="Item12SecurityOwnershipofCertainBenefici"/>
      <w:bookmarkStart w:id="1840" w:name="_5bb605bc_c72f_4788_8f67_2d02d6e2cc9c"/>
      <w:bookmarkStart w:id="1841" w:name="Item12SecurityOwnershipofCertainBenefici"/>
      <w:bookmarkStart w:id="1842" w:name="_5bb605bc_c72f_4788_8f67_2d02d6e2cc9c"/>
      <w:bookmarkEnd w:id="1841"/>
      <w:bookmarkEnd w:id="1842"/>
    </w:p>
    <w:tbl>
      <w:tblPr>
        <w:tblW w:w="9452" w:type="dxa"/>
        <w:jc w:val="left"/>
        <w:tblInd w:w="0" w:type="dxa"/>
        <w:tblLayout w:type="fixed"/>
        <w:tblCellMar>
          <w:top w:w="0" w:type="dxa"/>
          <w:left w:w="0" w:type="dxa"/>
          <w:bottom w:w="0" w:type="dxa"/>
          <w:right w:w="0" w:type="dxa"/>
        </w:tblCellMar>
      </w:tblPr>
      <w:tblGrid>
        <w:gridCol w:w="811"/>
        <w:gridCol w:w="8641"/>
      </w:tblGrid>
      <w:tr>
        <w:trPr/>
        <w:tc>
          <w:tcPr>
            <w:tcW w:w="81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Item 12.</w:t>
            </w:r>
          </w:p>
        </w:tc>
        <w:tc>
          <w:tcPr>
            <w:tcW w:w="864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Security Ownership of Certain Beneficial Owners and Management and Related Stockholder Matters</w:t>
            </w:r>
          </w:p>
        </w:tc>
      </w:tr>
    </w:tbl>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information required by this item is incorporated by reference to our definitive proxy statement for the 2026 annual meeting of stockholders to be filed with the SEC within 120 days after our fiscal year ended December 31, 2025.</w:t>
      </w:r>
    </w:p>
    <w:p>
      <w:pPr>
        <w:pStyle w:val="Normal"/>
        <w:bidi w:val="0"/>
        <w:spacing w:before="0" w:after="0"/>
        <w:jc w:val="left"/>
        <w:rPr>
          <w:sz w:val="4"/>
          <w:szCs w:val="4"/>
        </w:rPr>
      </w:pPr>
      <w:r>
        <w:rPr>
          <w:sz w:val="4"/>
          <w:szCs w:val="4"/>
        </w:rPr>
      </w:r>
      <w:bookmarkStart w:id="1843" w:name="Item13CertainRelationshipsandRelatedTran"/>
      <w:bookmarkStart w:id="1844" w:name="_3d390b67_5148_4da4_bd82_c27a5cfd370c"/>
      <w:bookmarkStart w:id="1845" w:name="Item13CertainRelationshipsandRelatedTran"/>
      <w:bookmarkStart w:id="1846" w:name="_3d390b67_5148_4da4_bd82_c27a5cfd370c"/>
      <w:bookmarkEnd w:id="1845"/>
      <w:bookmarkEnd w:id="1846"/>
    </w:p>
    <w:tbl>
      <w:tblPr>
        <w:tblW w:w="7367" w:type="dxa"/>
        <w:jc w:val="left"/>
        <w:tblInd w:w="0" w:type="dxa"/>
        <w:tblLayout w:type="fixed"/>
        <w:tblCellMar>
          <w:top w:w="0" w:type="dxa"/>
          <w:left w:w="0" w:type="dxa"/>
          <w:bottom w:w="0" w:type="dxa"/>
          <w:right w:w="0" w:type="dxa"/>
        </w:tblCellMar>
      </w:tblPr>
      <w:tblGrid>
        <w:gridCol w:w="811"/>
        <w:gridCol w:w="6556"/>
      </w:tblGrid>
      <w:tr>
        <w:trPr/>
        <w:tc>
          <w:tcPr>
            <w:tcW w:w="81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Item 13.</w:t>
            </w:r>
          </w:p>
        </w:tc>
        <w:tc>
          <w:tcPr>
            <w:tcW w:w="655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Certain Relationships and Related Transactions, and Director Independence</w:t>
            </w:r>
          </w:p>
        </w:tc>
      </w:tr>
    </w:tbl>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information required by this item is incorporated by reference to our definitive proxy statement for the 2026 annual meeting of stockholders to be filed with the SEC within 120 days after our fiscal year ended December 31, 2025.</w:t>
      </w:r>
    </w:p>
    <w:p>
      <w:pPr>
        <w:pStyle w:val="Normal"/>
        <w:bidi w:val="0"/>
        <w:spacing w:before="0" w:after="0"/>
        <w:jc w:val="left"/>
        <w:rPr>
          <w:sz w:val="4"/>
          <w:szCs w:val="4"/>
        </w:rPr>
      </w:pPr>
      <w:r>
        <w:rPr>
          <w:sz w:val="4"/>
          <w:szCs w:val="4"/>
        </w:rPr>
      </w:r>
      <w:bookmarkStart w:id="1847" w:name="Item14PrincipalAccountantFeesandServices"/>
      <w:bookmarkStart w:id="1848" w:name="_b58a0474_79eb_4284_b02c_84855aee8706"/>
      <w:bookmarkStart w:id="1849" w:name="Item14PrincipalAccountantFeesandServices"/>
      <w:bookmarkStart w:id="1850" w:name="_b58a0474_79eb_4284_b02c_84855aee8706"/>
      <w:bookmarkEnd w:id="1849"/>
      <w:bookmarkEnd w:id="1850"/>
    </w:p>
    <w:tbl>
      <w:tblPr>
        <w:tblW w:w="4292" w:type="dxa"/>
        <w:jc w:val="left"/>
        <w:tblInd w:w="0" w:type="dxa"/>
        <w:tblLayout w:type="fixed"/>
        <w:tblCellMar>
          <w:top w:w="0" w:type="dxa"/>
          <w:left w:w="0" w:type="dxa"/>
          <w:bottom w:w="0" w:type="dxa"/>
          <w:right w:w="0" w:type="dxa"/>
        </w:tblCellMar>
      </w:tblPr>
      <w:tblGrid>
        <w:gridCol w:w="811"/>
        <w:gridCol w:w="3481"/>
      </w:tblGrid>
      <w:tr>
        <w:trPr/>
        <w:tc>
          <w:tcPr>
            <w:tcW w:w="81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Item 14.</w:t>
            </w:r>
          </w:p>
        </w:tc>
        <w:tc>
          <w:tcPr>
            <w:tcW w:w="348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Principal Accountant Fees and Services</w:t>
            </w:r>
          </w:p>
        </w:tc>
      </w:tr>
    </w:tbl>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information required by this item is incorporated by reference to our definitive proxy statement for the 2026 annual meeting of stockholders to be filed with the SEC within 120 days after our fiscal year ended December 31, 2025.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1851" w:name="PARTIV_491888"/>
      <w:bookmarkStart w:id="1852" w:name="_e26b5471_1372_4329_99ff_c1cafe5d56e6"/>
      <w:bookmarkEnd w:id="1851"/>
      <w:bookmarkEnd w:id="1852"/>
      <w:r>
        <w:rPr>
          <w:rFonts w:ascii="Times New Roman;Times;serif" w:hAnsi="Times New Roman;Times;serif"/>
          <w:b/>
          <w:sz w:val="20"/>
        </w:rPr>
        <w:t>PART IV</w:t>
      </w:r>
    </w:p>
    <w:p>
      <w:pPr>
        <w:pStyle w:val="Normal"/>
        <w:bidi w:val="0"/>
        <w:spacing w:before="0" w:after="0"/>
        <w:jc w:val="left"/>
        <w:rPr>
          <w:sz w:val="4"/>
          <w:szCs w:val="4"/>
        </w:rPr>
      </w:pPr>
      <w:r>
        <w:rPr>
          <w:sz w:val="4"/>
          <w:szCs w:val="4"/>
        </w:rPr>
      </w:r>
      <w:bookmarkStart w:id="1853" w:name="Item15ExhibitsFinancialStatementSchedule"/>
      <w:bookmarkStart w:id="1854" w:name="Item15ExhibitsFinancialStatementSchedule"/>
      <w:bookmarkEnd w:id="1854"/>
    </w:p>
    <w:tbl>
      <w:tblPr>
        <w:tblW w:w="4367" w:type="dxa"/>
        <w:jc w:val="left"/>
        <w:tblInd w:w="0" w:type="dxa"/>
        <w:tblLayout w:type="fixed"/>
        <w:tblCellMar>
          <w:top w:w="0" w:type="dxa"/>
          <w:left w:w="0" w:type="dxa"/>
          <w:bottom w:w="0" w:type="dxa"/>
          <w:right w:w="0" w:type="dxa"/>
        </w:tblCellMar>
      </w:tblPr>
      <w:tblGrid>
        <w:gridCol w:w="811"/>
        <w:gridCol w:w="3556"/>
      </w:tblGrid>
      <w:tr>
        <w:trPr/>
        <w:tc>
          <w:tcPr>
            <w:tcW w:w="81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Item 15.</w:t>
            </w:r>
          </w:p>
        </w:tc>
        <w:tc>
          <w:tcPr>
            <w:tcW w:w="355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 xml:space="preserve">Exhibits, Financial Statement Schedules </w:t>
            </w:r>
          </w:p>
        </w:tc>
      </w:tr>
    </w:tbl>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(a)(1) Financial Statements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following Consolidated Financial Statements are included:</w:t>
      </w:r>
    </w:p>
    <w:tbl>
      <w:tblPr>
        <w:tblW w:w="5718" w:type="dxa"/>
        <w:jc w:val="left"/>
        <w:tblInd w:w="0" w:type="dxa"/>
        <w:tblLayout w:type="fixed"/>
        <w:tblCellMar>
          <w:top w:w="0" w:type="dxa"/>
          <w:left w:w="0" w:type="dxa"/>
          <w:bottom w:w="0" w:type="dxa"/>
          <w:right w:w="0" w:type="dxa"/>
        </w:tblCellMar>
      </w:tblPr>
      <w:tblGrid>
        <w:gridCol w:w="4861"/>
        <w:gridCol w:w="346"/>
        <w:gridCol w:w="511"/>
      </w:tblGrid>
      <w:tr>
        <w:trPr/>
        <w:tc>
          <w:tcPr>
            <w:tcW w:w="4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3086735" cy="175260"/>
                      <wp:effectExtent l="0" t="0" r="0" b="0"/>
                      <wp:wrapNone/>
                      <wp:docPr id="633" name="Frame633"/>
                      <a:graphic xmlns:a="http://schemas.openxmlformats.org/drawingml/2006/main">
                        <a:graphicData uri="http://schemas.microsoft.com/office/word/2010/wordprocessingShape">
                          <wps:wsp>
                            <wps:cNvSpPr txBox="1"/>
                            <wps:spPr>
                              <a:xfrm>
                                <a:off x="0" y="0"/>
                                <a:ext cx="3086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219710" cy="175260"/>
                      <wp:effectExtent l="0" t="0" r="0" b="0"/>
                      <wp:wrapNone/>
                      <wp:docPr id="634" name="Frame6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324485" cy="175260"/>
                      <wp:effectExtent l="0" t="0" r="0" b="0"/>
                      <wp:wrapNone/>
                      <wp:docPr id="635" name="Frame635"/>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4861" w:type="dxa"/>
            <w:tcBorders/>
            <w:vAlign w:val="center"/>
          </w:tcPr>
          <w:p>
            <w:pPr>
              <w:pStyle w:val="TableContents"/>
              <w:pBdr/>
              <w:bidi w:val="0"/>
              <w:spacing w:before="0" w:after="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w:t>
            </w:r>
          </w:p>
        </w:tc>
      </w:tr>
      <w:tr>
        <w:trPr/>
        <w:tc>
          <w:tcPr>
            <w:tcW w:w="4861" w:type="dxa"/>
            <w:tcBorders/>
            <w:vAlign w:val="center"/>
          </w:tcPr>
          <w:p>
            <w:pPr>
              <w:pStyle w:val="TableContents"/>
              <w:pBdr/>
              <w:bidi w:val="0"/>
              <w:spacing w:before="0" w:after="0"/>
              <w:ind w:left="0" w:right="0" w:hanging="0"/>
              <w:jc w:val="left"/>
              <w:rPr/>
            </w:pPr>
            <w:hyperlink w:anchor="CONSOLIDATEDBALANCESHEETS_947639">
              <w:r>
                <w:rPr>
                  <w:rStyle w:val="InternetLink"/>
                  <w:rFonts w:ascii="Times New Roman;Times;serif" w:hAnsi="Times New Roman;Times;serif"/>
                  <w:b w:val="false"/>
                  <w:i w:val="false"/>
                  <w:caps w:val="false"/>
                  <w:smallCaps w:val="false"/>
                  <w:sz w:val="20"/>
                </w:rPr>
                <w:t>Consolidated Balance Sheets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49</w:t>
            </w:r>
          </w:p>
        </w:tc>
      </w:tr>
      <w:tr>
        <w:trPr/>
        <w:tc>
          <w:tcPr>
            <w:tcW w:w="4861" w:type="dxa"/>
            <w:tcBorders/>
            <w:vAlign w:val="center"/>
          </w:tcPr>
          <w:p>
            <w:pPr>
              <w:pStyle w:val="TableContents"/>
              <w:pBdr/>
              <w:bidi w:val="0"/>
              <w:spacing w:before="0" w:after="0"/>
              <w:ind w:left="0" w:right="0" w:hanging="0"/>
              <w:jc w:val="left"/>
              <w:rPr/>
            </w:pPr>
            <w:hyperlink w:anchor="CONSOLIDATEDSTATEMENTSOFOPERATIONS_15993">
              <w:r>
                <w:rPr>
                  <w:rStyle w:val="InternetLink"/>
                  <w:rFonts w:ascii="Times New Roman;Times;serif" w:hAnsi="Times New Roman;Times;serif"/>
                  <w:b w:val="false"/>
                  <w:i w:val="false"/>
                  <w:caps w:val="false"/>
                  <w:smallCaps w:val="false"/>
                  <w:sz w:val="20"/>
                </w:rPr>
                <w:t>Consolidated Statements of Operations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w:t>
            </w:r>
          </w:p>
        </w:tc>
      </w:tr>
      <w:tr>
        <w:trPr/>
        <w:tc>
          <w:tcPr>
            <w:tcW w:w="4861" w:type="dxa"/>
            <w:tcBorders/>
            <w:vAlign w:val="center"/>
          </w:tcPr>
          <w:p>
            <w:pPr>
              <w:pStyle w:val="TableContents"/>
              <w:pBdr/>
              <w:bidi w:val="0"/>
              <w:spacing w:before="0" w:after="0"/>
              <w:ind w:left="0" w:right="0" w:hanging="0"/>
              <w:jc w:val="left"/>
              <w:rPr/>
            </w:pPr>
            <w:hyperlink w:anchor="CONSOLIDATEDSTATEMENTSOFSTOCKHOLDERSEQUI">
              <w:r>
                <w:rPr>
                  <w:rStyle w:val="InternetLink"/>
                  <w:rFonts w:ascii="Times New Roman;Times;serif" w:hAnsi="Times New Roman;Times;serif"/>
                  <w:b w:val="false"/>
                  <w:i w:val="false"/>
                  <w:caps w:val="false"/>
                  <w:smallCaps w:val="false"/>
                  <w:sz w:val="20"/>
                </w:rPr>
                <w:t>Consolidated Statements of Stockholders’ Equity</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w:t>
            </w:r>
          </w:p>
        </w:tc>
      </w:tr>
      <w:tr>
        <w:trPr/>
        <w:tc>
          <w:tcPr>
            <w:tcW w:w="4861" w:type="dxa"/>
            <w:tcBorders/>
            <w:vAlign w:val="center"/>
          </w:tcPr>
          <w:p>
            <w:pPr>
              <w:pStyle w:val="TableContents"/>
              <w:pBdr/>
              <w:bidi w:val="0"/>
              <w:spacing w:before="0" w:after="0"/>
              <w:ind w:left="0" w:right="0" w:hanging="0"/>
              <w:jc w:val="left"/>
              <w:rPr/>
            </w:pPr>
            <w:hyperlink w:anchor="CONSOLIDATEDSTATEMENTSOFCASHFLOWS_931173">
              <w:r>
                <w:rPr>
                  <w:rStyle w:val="InternetLink"/>
                  <w:rFonts w:ascii="Times New Roman;Times;serif" w:hAnsi="Times New Roman;Times;serif"/>
                  <w:b w:val="false"/>
                  <w:i w:val="false"/>
                  <w:caps w:val="false"/>
                  <w:smallCaps w:val="false"/>
                  <w:sz w:val="20"/>
                </w:rPr>
                <w:t>Consolidated Statements of Cash Flows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53</w:t>
            </w:r>
          </w:p>
        </w:tc>
      </w:tr>
      <w:tr>
        <w:trPr/>
        <w:tc>
          <w:tcPr>
            <w:tcW w:w="4861" w:type="dxa"/>
            <w:tcBorders/>
            <w:vAlign w:val="center"/>
          </w:tcPr>
          <w:p>
            <w:pPr>
              <w:pStyle w:val="TableContents"/>
              <w:pBdr/>
              <w:bidi w:val="0"/>
              <w:spacing w:before="0" w:after="0"/>
              <w:ind w:left="0" w:right="0" w:hanging="0"/>
              <w:jc w:val="left"/>
              <w:rPr/>
            </w:pPr>
            <w:hyperlink w:anchor="a1NatureofBusinessFinancialConditionandB">
              <w:r>
                <w:rPr>
                  <w:rStyle w:val="InternetLink"/>
                  <w:rFonts w:ascii="Times New Roman;Times;serif" w:hAnsi="Times New Roman;Times;serif"/>
                  <w:b w:val="false"/>
                  <w:i w:val="false"/>
                  <w:caps w:val="false"/>
                  <w:smallCaps w:val="false"/>
                  <w:sz w:val="20"/>
                </w:rPr>
                <w:t>Notes to Consolidated Financial Statements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(a)(2) Financial Statement Schedules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All financial statement schedules have been omitted because they are not applicable or are not required, or because the information required to be set forth therein is included in the Consolidated Financial Statements or notes thereto.</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(a)(3) Exhibits</w:t>
      </w:r>
    </w:p>
    <w:tbl>
      <w:tblPr>
        <w:tblW w:w="10205" w:type="dxa"/>
        <w:jc w:val="left"/>
        <w:tblInd w:w="0" w:type="dxa"/>
        <w:tblLayout w:type="fixed"/>
        <w:tblCellMar>
          <w:top w:w="0" w:type="dxa"/>
          <w:left w:w="0" w:type="dxa"/>
          <w:bottom w:w="0" w:type="dxa"/>
          <w:right w:w="0" w:type="dxa"/>
        </w:tblCellMar>
      </w:tblPr>
      <w:tblGrid>
        <w:gridCol w:w="646"/>
        <w:gridCol w:w="286"/>
        <w:gridCol w:w="4015"/>
        <w:gridCol w:w="286"/>
        <w:gridCol w:w="511"/>
        <w:gridCol w:w="286"/>
        <w:gridCol w:w="721"/>
        <w:gridCol w:w="286"/>
        <w:gridCol w:w="1137"/>
        <w:gridCol w:w="286"/>
        <w:gridCol w:w="631"/>
        <w:gridCol w:w="286"/>
        <w:gridCol w:w="828"/>
      </w:tblGrid>
      <w:tr>
        <w:trPr/>
        <w:tc>
          <w:tcPr>
            <w:tcW w:w="64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205105" cy="175260"/>
                      <wp:effectExtent l="0" t="0" r="0" b="0"/>
                      <wp:wrapNone/>
                      <wp:docPr id="636" name="Frame636"/>
                      <a:graphic xmlns:a="http://schemas.openxmlformats.org/drawingml/2006/main">
                        <a:graphicData uri="http://schemas.microsoft.com/office/word/2010/wordprocessingShape">
                          <wps:wsp>
                            <wps:cNvSpPr txBox="1"/>
                            <wps:spPr>
                              <a:xfrm>
                                <a:off x="0" y="0"/>
                                <a:ext cx="2051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28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90805" cy="175260"/>
                      <wp:effectExtent l="0" t="0" r="0" b="0"/>
                      <wp:wrapNone/>
                      <wp:docPr id="637" name="Frame637"/>
                      <a:graphic xmlns:a="http://schemas.openxmlformats.org/drawingml/2006/main">
                        <a:graphicData uri="http://schemas.microsoft.com/office/word/2010/wordprocessingShape">
                          <wps:wsp>
                            <wps:cNvSpPr txBox="1"/>
                            <wps:spPr>
                              <a:xfrm>
                                <a:off x="0" y="0"/>
                                <a:ext cx="908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4015"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1274445" cy="175260"/>
                      <wp:effectExtent l="0" t="0" r="0" b="0"/>
                      <wp:wrapNone/>
                      <wp:docPr id="638" name="Frame638"/>
                      <a:graphic xmlns:a="http://schemas.openxmlformats.org/drawingml/2006/main">
                        <a:graphicData uri="http://schemas.microsoft.com/office/word/2010/wordprocessingShape">
                          <wps:wsp>
                            <wps:cNvSpPr txBox="1"/>
                            <wps:spPr>
                              <a:xfrm>
                                <a:off x="0" y="0"/>
                                <a:ext cx="127444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28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90805" cy="175260"/>
                      <wp:effectExtent l="0" t="0" r="0" b="0"/>
                      <wp:wrapNone/>
                      <wp:docPr id="639" name="Frame639"/>
                      <a:graphic xmlns:a="http://schemas.openxmlformats.org/drawingml/2006/main">
                        <a:graphicData uri="http://schemas.microsoft.com/office/word/2010/wordprocessingShape">
                          <wps:wsp>
                            <wps:cNvSpPr txBox="1"/>
                            <wps:spPr>
                              <a:xfrm>
                                <a:off x="0" y="0"/>
                                <a:ext cx="908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51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161925" cy="175260"/>
                      <wp:effectExtent l="0" t="0" r="0" b="0"/>
                      <wp:wrapNone/>
                      <wp:docPr id="640" name="Frame640"/>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28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90805" cy="175260"/>
                      <wp:effectExtent l="0" t="0" r="0" b="0"/>
                      <wp:wrapNone/>
                      <wp:docPr id="641" name="Frame641"/>
                      <a:graphic xmlns:a="http://schemas.openxmlformats.org/drawingml/2006/main">
                        <a:graphicData uri="http://schemas.microsoft.com/office/word/2010/wordprocessingShape">
                          <wps:wsp>
                            <wps:cNvSpPr txBox="1"/>
                            <wps:spPr>
                              <a:xfrm>
                                <a:off x="0" y="0"/>
                                <a:ext cx="908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72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228600" cy="175260"/>
                      <wp:effectExtent l="0" t="0" r="0" b="0"/>
                      <wp:wrapNone/>
                      <wp:docPr id="642" name="Frame64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28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90805" cy="175260"/>
                      <wp:effectExtent l="0" t="0" r="0" b="0"/>
                      <wp:wrapNone/>
                      <wp:docPr id="643" name="Frame643"/>
                      <a:graphic xmlns:a="http://schemas.openxmlformats.org/drawingml/2006/main">
                        <a:graphicData uri="http://schemas.microsoft.com/office/word/2010/wordprocessingShape">
                          <wps:wsp>
                            <wps:cNvSpPr txBox="1"/>
                            <wps:spPr>
                              <a:xfrm>
                                <a:off x="0" y="0"/>
                                <a:ext cx="908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1137"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360680" cy="175260"/>
                      <wp:effectExtent l="0" t="0" r="0" b="0"/>
                      <wp:wrapNone/>
                      <wp:docPr id="644" name="Frame644"/>
                      <a:graphic xmlns:a="http://schemas.openxmlformats.org/drawingml/2006/main">
                        <a:graphicData uri="http://schemas.microsoft.com/office/word/2010/wordprocessingShape">
                          <wps:wsp>
                            <wps:cNvSpPr txBox="1"/>
                            <wps:spPr>
                              <a:xfrm>
                                <a:off x="0" y="0"/>
                                <a:ext cx="36068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28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90805" cy="175260"/>
                      <wp:effectExtent l="0" t="0" r="0" b="0"/>
                      <wp:wrapNone/>
                      <wp:docPr id="645" name="Frame645"/>
                      <a:graphic xmlns:a="http://schemas.openxmlformats.org/drawingml/2006/main">
                        <a:graphicData uri="http://schemas.microsoft.com/office/word/2010/wordprocessingShape">
                          <wps:wsp>
                            <wps:cNvSpPr txBox="1"/>
                            <wps:spPr>
                              <a:xfrm>
                                <a:off x="0" y="0"/>
                                <a:ext cx="908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63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200025" cy="175260"/>
                      <wp:effectExtent l="0" t="0" r="0" b="0"/>
                      <wp:wrapNone/>
                      <wp:docPr id="646" name="Frame646"/>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28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90805" cy="175260"/>
                      <wp:effectExtent l="0" t="0" r="0" b="0"/>
                      <wp:wrapNone/>
                      <wp:docPr id="647" name="Frame647"/>
                      <a:graphic xmlns:a="http://schemas.openxmlformats.org/drawingml/2006/main">
                        <a:graphicData uri="http://schemas.microsoft.com/office/word/2010/wordprocessingShape">
                          <wps:wsp>
                            <wps:cNvSpPr txBox="1"/>
                            <wps:spPr>
                              <a:xfrm>
                                <a:off x="0" y="0"/>
                                <a:ext cx="908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828"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262890" cy="175260"/>
                      <wp:effectExtent l="0" t="0" r="0" b="0"/>
                      <wp:wrapNone/>
                      <wp:docPr id="648" name="Frame648"/>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646" w:type="dxa"/>
            <w:tcBorders/>
            <w:vAlign w:val="center"/>
          </w:tcPr>
          <w:p>
            <w:pPr>
              <w:pStyle w:val="TableHeading"/>
              <w:bidi w:val="0"/>
              <w:spacing w:before="0" w:after="0"/>
              <w:ind w:left="0" w:right="0" w:hanging="0"/>
              <w:jc w:val="left"/>
              <w:rPr>
                <w:rFonts w:ascii="Times New Roman;Times;serif" w:hAnsi="Times New Roman;Times;serif"/>
                <w:b w:val="false"/>
                <w:sz w:val="16"/>
              </w:rPr>
            </w:pPr>
            <w:r>
              <w:rPr>
                <w:rFonts w:ascii="Times New Roman;Times;serif" w:hAnsi="Times New Roman;Times;serif"/>
                <w:b w:val="false"/>
                <w:sz w:val="16"/>
              </w:rPr>
              <w:t>.</w:t>
            </w:r>
          </w:p>
        </w:tc>
        <w:tc>
          <w:tcPr>
            <w:tcW w:w="286" w:type="dxa"/>
            <w:tcBorders/>
            <w:vAlign w:val="center"/>
          </w:tcPr>
          <w:p>
            <w:pPr>
              <w:pStyle w:val="TableHeading"/>
              <w:bidi w:val="0"/>
              <w:spacing w:before="0" w:after="0"/>
              <w:ind w:left="0" w:right="0" w:hanging="0"/>
              <w:jc w:val="left"/>
              <w:rPr/>
            </w:pPr>
            <w:r>
              <w:rPr/>
              <w:t>​</w:t>
            </w:r>
          </w:p>
        </w:tc>
        <w:tc>
          <w:tcPr>
            <w:tcW w:w="4015" w:type="dxa"/>
            <w:tcBorders/>
            <w:vAlign w:val="center"/>
          </w:tcPr>
          <w:p>
            <w:pPr>
              <w:pStyle w:val="TableHeading"/>
              <w:bidi w:val="0"/>
              <w:spacing w:before="0" w:after="0"/>
              <w:ind w:left="0" w:right="0" w:hanging="0"/>
              <w:jc w:val="left"/>
              <w:rPr/>
            </w:pPr>
            <w:r>
              <w:rPr/>
              <w:t>​</w:t>
            </w:r>
          </w:p>
        </w:tc>
        <w:tc>
          <w:tcPr>
            <w:tcW w:w="286" w:type="dxa"/>
            <w:tcBorders/>
            <w:vAlign w:val="center"/>
          </w:tcPr>
          <w:p>
            <w:pPr>
              <w:pStyle w:val="TableHeading"/>
              <w:bidi w:val="0"/>
              <w:spacing w:before="0" w:after="0"/>
              <w:ind w:left="0" w:right="0" w:hanging="0"/>
              <w:jc w:val="left"/>
              <w:rPr/>
            </w:pPr>
            <w:r>
              <w:rPr/>
              <w:t>​</w:t>
            </w:r>
          </w:p>
        </w:tc>
        <w:tc>
          <w:tcPr>
            <w:tcW w:w="3858" w:type="dxa"/>
            <w:gridSpan w:val="7"/>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r>
          </w:p>
        </w:tc>
        <w:tc>
          <w:tcPr>
            <w:tcW w:w="286" w:type="dxa"/>
            <w:tcBorders/>
            <w:vAlign w:val="center"/>
          </w:tcPr>
          <w:p>
            <w:pPr>
              <w:pStyle w:val="TableHeading"/>
              <w:bidi w:val="0"/>
              <w:spacing w:before="0" w:after="0"/>
              <w:ind w:left="0" w:right="0" w:hanging="0"/>
              <w:jc w:val="left"/>
              <w:rPr/>
            </w:pPr>
            <w:r>
              <w:rPr/>
              <w:t>​</w:t>
            </w:r>
          </w:p>
        </w:tc>
        <w:tc>
          <w:tcPr>
            <w:tcW w:w="828" w:type="dxa"/>
            <w:tcBorders/>
            <w:vAlign w:val="center"/>
          </w:tcPr>
          <w:p>
            <w:pPr>
              <w:pStyle w:val="TableHeading"/>
              <w:bidi w:val="0"/>
              <w:spacing w:before="0" w:after="0"/>
              <w:ind w:left="0" w:right="0" w:hanging="0"/>
              <w:jc w:val="left"/>
              <w:rPr/>
            </w:pPr>
            <w:r>
              <w:rPr/>
              <w:t>​</w:t>
            </w:r>
          </w:p>
        </w:tc>
      </w:tr>
      <w:tr>
        <w:trPr/>
        <w:tc>
          <w:tcPr>
            <w:tcW w:w="646"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No.</w:t>
            </w:r>
          </w:p>
        </w:tc>
        <w:tc>
          <w:tcPr>
            <w:tcW w:w="286" w:type="dxa"/>
            <w:tcBorders/>
            <w:vAlign w:val="center"/>
          </w:tcPr>
          <w:p>
            <w:pPr>
              <w:pStyle w:val="TableHeading"/>
              <w:bidi w:val="0"/>
              <w:spacing w:before="0" w:after="0"/>
              <w:ind w:left="0" w:right="0" w:hanging="0"/>
              <w:jc w:val="left"/>
              <w:rPr/>
            </w:pPr>
            <w:r>
              <w:rPr/>
              <w:t>  ​ ​</w:t>
            </w:r>
          </w:p>
        </w:tc>
        <w:tc>
          <w:tcPr>
            <w:tcW w:w="4015"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c>
          <w:tcPr>
            <w:tcW w:w="286" w:type="dxa"/>
            <w:tcBorders/>
            <w:vAlign w:val="center"/>
          </w:tcPr>
          <w:p>
            <w:pPr>
              <w:pStyle w:val="TableHeading"/>
              <w:bidi w:val="0"/>
              <w:spacing w:before="0" w:after="0"/>
              <w:ind w:left="0" w:right="0" w:hanging="0"/>
              <w:jc w:val="left"/>
              <w:rPr/>
            </w:pPr>
            <w:r>
              <w:rPr/>
              <w:t>  ​ ​</w:t>
            </w:r>
          </w:p>
        </w:tc>
        <w:tc>
          <w:tcPr>
            <w:tcW w:w="511"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286" w:type="dxa"/>
            <w:tcBorders>
              <w:top w:val="single" w:sz="2" w:space="0" w:color="000000"/>
            </w:tcBorders>
            <w:tcMar>
              <w:top w:w="28" w:type="dxa"/>
            </w:tcMar>
            <w:vAlign w:val="center"/>
          </w:tcPr>
          <w:p>
            <w:pPr>
              <w:pStyle w:val="TableHeading"/>
              <w:bidi w:val="0"/>
              <w:spacing w:before="0" w:after="0"/>
              <w:ind w:left="0" w:right="0" w:hanging="0"/>
              <w:jc w:val="left"/>
              <w:rPr/>
            </w:pPr>
            <w:r>
              <w:rPr/>
              <w:t>  ​ ​</w:t>
            </w:r>
          </w:p>
        </w:tc>
        <w:tc>
          <w:tcPr>
            <w:tcW w:w="721"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286" w:type="dxa"/>
            <w:tcBorders>
              <w:top w:val="single" w:sz="2" w:space="0" w:color="000000"/>
            </w:tcBorders>
            <w:tcMar>
              <w:top w:w="28" w:type="dxa"/>
            </w:tcMar>
            <w:vAlign w:val="center"/>
          </w:tcPr>
          <w:p>
            <w:pPr>
              <w:pStyle w:val="TableHeading"/>
              <w:bidi w:val="0"/>
              <w:spacing w:before="0" w:after="0"/>
              <w:ind w:left="0" w:right="0" w:hanging="0"/>
              <w:jc w:val="left"/>
              <w:rPr/>
            </w:pPr>
            <w:r>
              <w:rPr/>
              <w:t>  ​ ​</w:t>
            </w:r>
          </w:p>
        </w:tc>
        <w:tc>
          <w:tcPr>
            <w:tcW w:w="1137"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 Date</w:t>
            </w:r>
          </w:p>
        </w:tc>
        <w:tc>
          <w:tcPr>
            <w:tcW w:w="286" w:type="dxa"/>
            <w:tcBorders>
              <w:top w:val="single" w:sz="2" w:space="0" w:color="000000"/>
            </w:tcBorders>
            <w:tcMar>
              <w:top w:w="28" w:type="dxa"/>
            </w:tcMar>
            <w:vAlign w:val="center"/>
          </w:tcPr>
          <w:p>
            <w:pPr>
              <w:pStyle w:val="TableHeading"/>
              <w:bidi w:val="0"/>
              <w:spacing w:before="0" w:after="0"/>
              <w:ind w:left="0" w:right="0" w:hanging="0"/>
              <w:jc w:val="left"/>
              <w:rPr/>
            </w:pPr>
            <w:r>
              <w:rPr/>
              <w:t>  ​ ​</w:t>
            </w:r>
          </w:p>
        </w:tc>
        <w:tc>
          <w:tcPr>
            <w:tcW w:w="631"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286" w:type="dxa"/>
            <w:tcBorders/>
            <w:vAlign w:val="center"/>
          </w:tcPr>
          <w:p>
            <w:pPr>
              <w:pStyle w:val="TableHeading"/>
              <w:bidi w:val="0"/>
              <w:spacing w:before="0" w:after="0"/>
              <w:ind w:left="0" w:right="0" w:hanging="0"/>
              <w:jc w:val="left"/>
              <w:rPr/>
            </w:pPr>
            <w:r>
              <w:rPr/>
              <w:t>  ​ ​</w:t>
            </w:r>
          </w:p>
        </w:tc>
        <w:tc>
          <w:tcPr>
            <w:tcW w:w="828"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Filed</w:t>
              <w:br/>
              <w:t>Herewith</w:t>
            </w:r>
          </w:p>
        </w:tc>
      </w:tr>
      <w:tr>
        <w:trPr/>
        <w:tc>
          <w:tcPr>
            <w:tcW w:w="646"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286" w:type="dxa"/>
            <w:tcBorders/>
            <w:vAlign w:val="center"/>
          </w:tcPr>
          <w:p>
            <w:pPr>
              <w:pStyle w:val="TableHeading"/>
              <w:bidi w:val="0"/>
              <w:spacing w:before="0" w:after="0"/>
              <w:ind w:left="0" w:right="0" w:hanging="0"/>
              <w:jc w:val="left"/>
              <w:rPr/>
            </w:pPr>
            <w:r>
              <w:rPr/>
              <w:t>​</w:t>
            </w:r>
          </w:p>
        </w:tc>
        <w:tc>
          <w:tcPr>
            <w:tcW w:w="4015"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286" w:type="dxa"/>
            <w:tcBorders/>
            <w:vAlign w:val="center"/>
          </w:tcPr>
          <w:p>
            <w:pPr>
              <w:pStyle w:val="TableHeading"/>
              <w:bidi w:val="0"/>
              <w:spacing w:before="0" w:after="0"/>
              <w:ind w:left="0" w:right="0" w:hanging="0"/>
              <w:jc w:val="left"/>
              <w:rPr/>
            </w:pPr>
            <w:r>
              <w:rPr/>
              <w:t>​</w:t>
            </w:r>
          </w:p>
        </w:tc>
        <w:tc>
          <w:tcPr>
            <w:tcW w:w="511"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286" w:type="dxa"/>
            <w:tcBorders/>
            <w:vAlign w:val="center"/>
          </w:tcPr>
          <w:p>
            <w:pPr>
              <w:pStyle w:val="TableHeading"/>
              <w:bidi w:val="0"/>
              <w:spacing w:before="0" w:after="0"/>
              <w:ind w:left="0" w:right="0" w:hanging="0"/>
              <w:jc w:val="left"/>
              <w:rPr/>
            </w:pPr>
            <w:r>
              <w:rPr/>
              <w:t>​</w:t>
            </w:r>
          </w:p>
        </w:tc>
        <w:tc>
          <w:tcPr>
            <w:tcW w:w="721"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286" w:type="dxa"/>
            <w:tcBorders/>
            <w:vAlign w:val="center"/>
          </w:tcPr>
          <w:p>
            <w:pPr>
              <w:pStyle w:val="TableHeading"/>
              <w:bidi w:val="0"/>
              <w:spacing w:before="0" w:after="0"/>
              <w:ind w:left="0" w:right="0" w:hanging="0"/>
              <w:jc w:val="left"/>
              <w:rPr/>
            </w:pPr>
            <w:r>
              <w:rPr/>
              <w:t>​</w:t>
            </w:r>
          </w:p>
        </w:tc>
        <w:tc>
          <w:tcPr>
            <w:tcW w:w="1137"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286" w:type="dxa"/>
            <w:tcBorders/>
            <w:vAlign w:val="center"/>
          </w:tcPr>
          <w:p>
            <w:pPr>
              <w:pStyle w:val="TableHeading"/>
              <w:bidi w:val="0"/>
              <w:spacing w:before="0" w:after="0"/>
              <w:ind w:left="0" w:right="0" w:hanging="0"/>
              <w:jc w:val="left"/>
              <w:rPr/>
            </w:pPr>
            <w:r>
              <w:rPr/>
              <w:t>​</w:t>
            </w:r>
          </w:p>
        </w:tc>
        <w:tc>
          <w:tcPr>
            <w:tcW w:w="631"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286" w:type="dxa"/>
            <w:tcBorders/>
            <w:vAlign w:val="center"/>
          </w:tcPr>
          <w:p>
            <w:pPr>
              <w:pStyle w:val="TableHeading"/>
              <w:bidi w:val="0"/>
              <w:spacing w:before="0" w:after="0"/>
              <w:ind w:left="0" w:right="0" w:hanging="0"/>
              <w:jc w:val="left"/>
              <w:rPr/>
            </w:pPr>
            <w:r>
              <w:rPr/>
              <w:t>​</w:t>
            </w:r>
          </w:p>
        </w:tc>
        <w:tc>
          <w:tcPr>
            <w:tcW w:w="828"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4015"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37"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2.1††</w:t>
            </w:r>
          </w:p>
        </w:tc>
        <w:tc>
          <w:tcPr>
            <w:tcW w:w="286" w:type="dxa"/>
            <w:tcBorders/>
            <w:vAlign w:val="center"/>
          </w:tcPr>
          <w:p>
            <w:pPr>
              <w:pStyle w:val="TableContents"/>
              <w:bidi w:val="0"/>
              <w:spacing w:before="0" w:after="0"/>
              <w:ind w:left="0" w:right="0" w:hanging="0"/>
              <w:jc w:val="left"/>
              <w:rPr/>
            </w:pPr>
            <w:r>
              <w:rPr/>
              <w:t>​</w:t>
            </w:r>
          </w:p>
        </w:tc>
        <w:tc>
          <w:tcPr>
            <w:tcW w:w="4015"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Asset Purchase Agreement, dated as of September 10, 2024, by and among Gevo, Inc., Richardton CCS, LLC, Net-Zero Richardton, LLC, and Red Trail Energy, LLC.</w:t>
              </w:r>
            </w:hyperlink>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8-K</w:t>
            </w:r>
          </w:p>
        </w:tc>
        <w:tc>
          <w:tcPr>
            <w:tcW w:w="28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001-35073</w:t>
            </w:r>
          </w:p>
        </w:tc>
        <w:tc>
          <w:tcPr>
            <w:tcW w:w="286" w:type="dxa"/>
            <w:tcBorders/>
            <w:vAlign w:val="center"/>
          </w:tcPr>
          <w:p>
            <w:pPr>
              <w:pStyle w:val="TableContents"/>
              <w:bidi w:val="0"/>
              <w:spacing w:before="0" w:after="0"/>
              <w:ind w:left="0" w:right="0" w:hanging="0"/>
              <w:jc w:val="left"/>
              <w:rPr/>
            </w:pPr>
            <w:r>
              <w:rPr/>
              <w:t>​</w:t>
            </w:r>
          </w:p>
        </w:tc>
        <w:tc>
          <w:tcPr>
            <w:tcW w:w="113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September 12, 2024</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2.1</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center"/>
              <w:rPr/>
            </w:pPr>
            <w:r>
              <w:rPr/>
              <w:t>​</w:t>
            </w:r>
          </w:p>
        </w:tc>
      </w:tr>
      <w:tr>
        <w:trPr/>
        <w:tc>
          <w:tcPr>
            <w:tcW w:w="64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4015"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1137"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center"/>
              <w:rPr/>
            </w:pPr>
            <w:r>
              <w:rPr/>
              <w:t>​</w:t>
            </w:r>
          </w:p>
        </w:tc>
      </w:tr>
      <w:tr>
        <w:trPr/>
        <w:tc>
          <w:tcPr>
            <w:tcW w:w="64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w:t>
            </w:r>
          </w:p>
        </w:tc>
        <w:tc>
          <w:tcPr>
            <w:tcW w:w="286" w:type="dxa"/>
            <w:tcBorders/>
            <w:vAlign w:val="center"/>
          </w:tcPr>
          <w:p>
            <w:pPr>
              <w:pStyle w:val="TableContents"/>
              <w:bidi w:val="0"/>
              <w:spacing w:before="0" w:after="0"/>
              <w:ind w:left="0" w:right="0" w:hanging="0"/>
              <w:jc w:val="left"/>
              <w:rPr/>
            </w:pPr>
            <w:r>
              <w:rPr/>
              <w:t>​</w:t>
            </w:r>
          </w:p>
        </w:tc>
        <w:tc>
          <w:tcPr>
            <w:tcW w:w="4015"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Amended and Restated Certificate of Incorporation of Gevo, Inc.</w:t>
              </w:r>
            </w:hyperlink>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10-K</w:t>
            </w:r>
          </w:p>
        </w:tc>
        <w:tc>
          <w:tcPr>
            <w:tcW w:w="28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001-35073</w:t>
            </w:r>
          </w:p>
        </w:tc>
        <w:tc>
          <w:tcPr>
            <w:tcW w:w="286" w:type="dxa"/>
            <w:tcBorders/>
            <w:vAlign w:val="center"/>
          </w:tcPr>
          <w:p>
            <w:pPr>
              <w:pStyle w:val="TableContents"/>
              <w:bidi w:val="0"/>
              <w:spacing w:before="0" w:after="0"/>
              <w:ind w:left="0" w:right="0" w:hanging="0"/>
              <w:jc w:val="left"/>
              <w:rPr/>
            </w:pPr>
            <w:r>
              <w:rPr/>
              <w:t>​</w:t>
            </w:r>
          </w:p>
        </w:tc>
        <w:tc>
          <w:tcPr>
            <w:tcW w:w="113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February 24, 2022</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center"/>
              <w:rPr/>
            </w:pPr>
            <w:r>
              <w:rPr/>
              <w:t>​</w:t>
            </w:r>
          </w:p>
        </w:tc>
      </w:tr>
      <w:tr>
        <w:trPr/>
        <w:tc>
          <w:tcPr>
            <w:tcW w:w="6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4015"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37"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w:t>
            </w:r>
          </w:p>
        </w:tc>
        <w:tc>
          <w:tcPr>
            <w:tcW w:w="286" w:type="dxa"/>
            <w:tcBorders/>
            <w:vAlign w:val="center"/>
          </w:tcPr>
          <w:p>
            <w:pPr>
              <w:pStyle w:val="TableContents"/>
              <w:bidi w:val="0"/>
              <w:spacing w:before="0" w:after="0"/>
              <w:ind w:left="0" w:right="0" w:hanging="0"/>
              <w:jc w:val="left"/>
              <w:rPr/>
            </w:pPr>
            <w:r>
              <w:rPr/>
              <w:t>​</w:t>
            </w:r>
          </w:p>
        </w:tc>
        <w:tc>
          <w:tcPr>
            <w:tcW w:w="4015"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 xml:space="preserve">Third </w:t>
              </w:r>
            </w:hyperlink>
            <w:hyperlink r:id="rId5">
              <w:r>
                <w:rPr>
                  <w:rStyle w:val="InternetLink"/>
                  <w:rFonts w:ascii="Times New Roman;Times;serif" w:hAnsi="Times New Roman;Times;serif"/>
                  <w:b w:val="false"/>
                  <w:i w:val="false"/>
                  <w:caps w:val="false"/>
                  <w:smallCaps w:val="false"/>
                  <w:sz w:val="18"/>
                </w:rPr>
                <w:t>Amended and Restated Bylaws of Gevo, Inc.</w:t>
              </w:r>
            </w:hyperlink>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8-K</w:t>
            </w:r>
          </w:p>
        </w:tc>
        <w:tc>
          <w:tcPr>
            <w:tcW w:w="28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001-35073</w:t>
            </w:r>
          </w:p>
        </w:tc>
        <w:tc>
          <w:tcPr>
            <w:tcW w:w="286" w:type="dxa"/>
            <w:tcBorders/>
            <w:vAlign w:val="center"/>
          </w:tcPr>
          <w:p>
            <w:pPr>
              <w:pStyle w:val="TableContents"/>
              <w:bidi w:val="0"/>
              <w:spacing w:before="0" w:after="0"/>
              <w:ind w:left="0" w:right="0" w:hanging="0"/>
              <w:jc w:val="left"/>
              <w:rPr/>
            </w:pPr>
            <w:r>
              <w:rPr/>
              <w:t>​</w:t>
            </w:r>
          </w:p>
        </w:tc>
        <w:tc>
          <w:tcPr>
            <w:tcW w:w="113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December 15, 2025</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center"/>
              <w:rPr/>
            </w:pPr>
            <w:r>
              <w:rPr/>
              <w:t>​</w:t>
            </w:r>
          </w:p>
        </w:tc>
      </w:tr>
      <w:tr>
        <w:trPr/>
        <w:tc>
          <w:tcPr>
            <w:tcW w:w="6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4015"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37"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4.1</w:t>
            </w:r>
          </w:p>
        </w:tc>
        <w:tc>
          <w:tcPr>
            <w:tcW w:w="286" w:type="dxa"/>
            <w:tcBorders/>
            <w:vAlign w:val="center"/>
          </w:tcPr>
          <w:p>
            <w:pPr>
              <w:pStyle w:val="TableContents"/>
              <w:bidi w:val="0"/>
              <w:spacing w:before="0" w:after="0"/>
              <w:ind w:left="0" w:right="0" w:hanging="0"/>
              <w:jc w:val="left"/>
              <w:rPr/>
            </w:pPr>
            <w:r>
              <w:rPr/>
              <w:t>​</w:t>
            </w:r>
          </w:p>
        </w:tc>
        <w:tc>
          <w:tcPr>
            <w:tcW w:w="4015"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Form of Gevo, Inc. Common Stock Certificate.</w:t>
              </w:r>
            </w:hyperlink>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S-1</w:t>
            </w:r>
          </w:p>
        </w:tc>
        <w:tc>
          <w:tcPr>
            <w:tcW w:w="28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333-168792</w:t>
            </w:r>
          </w:p>
        </w:tc>
        <w:tc>
          <w:tcPr>
            <w:tcW w:w="286" w:type="dxa"/>
            <w:tcBorders/>
            <w:vAlign w:val="center"/>
          </w:tcPr>
          <w:p>
            <w:pPr>
              <w:pStyle w:val="TableContents"/>
              <w:bidi w:val="0"/>
              <w:spacing w:before="0" w:after="0"/>
              <w:ind w:left="0" w:right="0" w:hanging="0"/>
              <w:jc w:val="left"/>
              <w:rPr/>
            </w:pPr>
            <w:r>
              <w:rPr/>
              <w:t>​</w:t>
            </w:r>
          </w:p>
        </w:tc>
        <w:tc>
          <w:tcPr>
            <w:tcW w:w="113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January 19, 2011</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4.1</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center"/>
              <w:rPr/>
            </w:pPr>
            <w:r>
              <w:rPr/>
              <w:t>​</w:t>
            </w:r>
          </w:p>
        </w:tc>
      </w:tr>
      <w:tr>
        <w:trPr/>
        <w:tc>
          <w:tcPr>
            <w:tcW w:w="6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4015"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37"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4.2</w:t>
            </w:r>
          </w:p>
        </w:tc>
        <w:tc>
          <w:tcPr>
            <w:tcW w:w="286" w:type="dxa"/>
            <w:tcBorders/>
            <w:vAlign w:val="center"/>
          </w:tcPr>
          <w:p>
            <w:pPr>
              <w:pStyle w:val="TableContents"/>
              <w:bidi w:val="0"/>
              <w:spacing w:before="0" w:after="0"/>
              <w:ind w:left="0" w:right="0" w:hanging="0"/>
              <w:jc w:val="left"/>
              <w:rPr/>
            </w:pPr>
            <w:r>
              <w:rPr/>
              <w:t>​</w:t>
            </w:r>
          </w:p>
        </w:tc>
        <w:tc>
          <w:tcPr>
            <w:tcW w:w="4015"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Form of Series 2020-A Warrant.</w:t>
              </w:r>
            </w:hyperlink>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8-K</w:t>
            </w:r>
          </w:p>
        </w:tc>
        <w:tc>
          <w:tcPr>
            <w:tcW w:w="28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001-35073</w:t>
            </w:r>
          </w:p>
        </w:tc>
        <w:tc>
          <w:tcPr>
            <w:tcW w:w="286" w:type="dxa"/>
            <w:tcBorders/>
            <w:vAlign w:val="center"/>
          </w:tcPr>
          <w:p>
            <w:pPr>
              <w:pStyle w:val="TableContents"/>
              <w:bidi w:val="0"/>
              <w:spacing w:before="0" w:after="0"/>
              <w:ind w:left="0" w:right="0" w:hanging="0"/>
              <w:jc w:val="left"/>
              <w:rPr/>
            </w:pPr>
            <w:r>
              <w:rPr/>
              <w:t>​</w:t>
            </w:r>
          </w:p>
        </w:tc>
        <w:tc>
          <w:tcPr>
            <w:tcW w:w="113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July 8, 2020</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4.1</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center"/>
              <w:rPr/>
            </w:pPr>
            <w:r>
              <w:rPr/>
              <w:t>​</w:t>
            </w:r>
          </w:p>
        </w:tc>
      </w:tr>
      <w:tr>
        <w:trPr/>
        <w:tc>
          <w:tcPr>
            <w:tcW w:w="6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4015"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37"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4.3</w:t>
            </w:r>
          </w:p>
        </w:tc>
        <w:tc>
          <w:tcPr>
            <w:tcW w:w="286" w:type="dxa"/>
            <w:tcBorders/>
            <w:vAlign w:val="center"/>
          </w:tcPr>
          <w:p>
            <w:pPr>
              <w:pStyle w:val="TableContents"/>
              <w:bidi w:val="0"/>
              <w:spacing w:before="0" w:after="0"/>
              <w:ind w:left="0" w:right="0" w:hanging="0"/>
              <w:jc w:val="left"/>
              <w:rPr/>
            </w:pPr>
            <w:r>
              <w:rPr/>
              <w:t>​</w:t>
            </w:r>
          </w:p>
        </w:tc>
        <w:tc>
          <w:tcPr>
            <w:tcW w:w="4015" w:type="dxa"/>
            <w:tcBorders/>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Form of Series 2022-A Warrant.</w:t>
              </w:r>
            </w:hyperlink>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8-K</w:t>
            </w:r>
          </w:p>
        </w:tc>
        <w:tc>
          <w:tcPr>
            <w:tcW w:w="28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001-35073</w:t>
            </w:r>
          </w:p>
        </w:tc>
        <w:tc>
          <w:tcPr>
            <w:tcW w:w="286" w:type="dxa"/>
            <w:tcBorders/>
            <w:vAlign w:val="center"/>
          </w:tcPr>
          <w:p>
            <w:pPr>
              <w:pStyle w:val="TableContents"/>
              <w:bidi w:val="0"/>
              <w:spacing w:before="0" w:after="0"/>
              <w:ind w:left="0" w:right="0" w:hanging="0"/>
              <w:jc w:val="left"/>
              <w:rPr/>
            </w:pPr>
            <w:r>
              <w:rPr/>
              <w:t>​</w:t>
            </w:r>
          </w:p>
        </w:tc>
        <w:tc>
          <w:tcPr>
            <w:tcW w:w="113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June 8 2022</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4.1</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4015"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1137"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center"/>
              <w:rPr/>
            </w:pPr>
            <w:r>
              <w:rPr/>
              <w:t>​</w:t>
            </w:r>
          </w:p>
        </w:tc>
      </w:tr>
      <w:tr>
        <w:trPr/>
        <w:tc>
          <w:tcPr>
            <w:tcW w:w="64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4.4</w:t>
            </w:r>
          </w:p>
        </w:tc>
        <w:tc>
          <w:tcPr>
            <w:tcW w:w="286" w:type="dxa"/>
            <w:tcBorders/>
            <w:vAlign w:val="center"/>
          </w:tcPr>
          <w:p>
            <w:pPr>
              <w:pStyle w:val="TableContents"/>
              <w:bidi w:val="0"/>
              <w:spacing w:before="0" w:after="0"/>
              <w:ind w:left="0" w:right="0" w:hanging="0"/>
              <w:jc w:val="left"/>
              <w:rPr/>
            </w:pPr>
            <w:r>
              <w:rPr/>
              <w:t>​</w:t>
            </w:r>
          </w:p>
        </w:tc>
        <w:tc>
          <w:tcPr>
            <w:tcW w:w="4015" w:type="dxa"/>
            <w:tcBorders/>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Description of Securities.</w:t>
              </w:r>
            </w:hyperlink>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10-K</w:t>
            </w:r>
          </w:p>
        </w:tc>
        <w:tc>
          <w:tcPr>
            <w:tcW w:w="28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001-35073</w:t>
            </w:r>
          </w:p>
        </w:tc>
        <w:tc>
          <w:tcPr>
            <w:tcW w:w="286" w:type="dxa"/>
            <w:tcBorders/>
            <w:vAlign w:val="center"/>
          </w:tcPr>
          <w:p>
            <w:pPr>
              <w:pStyle w:val="TableContents"/>
              <w:bidi w:val="0"/>
              <w:spacing w:before="0" w:after="0"/>
              <w:ind w:left="0" w:right="0" w:hanging="0"/>
              <w:jc w:val="center"/>
              <w:rPr/>
            </w:pPr>
            <w:r>
              <w:rPr/>
              <w:t>​</w:t>
            </w:r>
          </w:p>
        </w:tc>
        <w:tc>
          <w:tcPr>
            <w:tcW w:w="113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February 24, 2022</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4.3</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center"/>
              <w:rPr/>
            </w:pPr>
            <w:r>
              <w:rPr/>
              <w:t>​</w:t>
            </w:r>
          </w:p>
        </w:tc>
      </w:tr>
      <w:tr>
        <w:trPr/>
        <w:tc>
          <w:tcPr>
            <w:tcW w:w="6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4015"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37"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w:t>
            </w:r>
          </w:p>
        </w:tc>
        <w:tc>
          <w:tcPr>
            <w:tcW w:w="286" w:type="dxa"/>
            <w:tcBorders/>
            <w:vAlign w:val="center"/>
          </w:tcPr>
          <w:p>
            <w:pPr>
              <w:pStyle w:val="TableContents"/>
              <w:bidi w:val="0"/>
              <w:spacing w:before="0" w:after="0"/>
              <w:ind w:left="0" w:right="0" w:hanging="0"/>
              <w:jc w:val="left"/>
              <w:rPr/>
            </w:pPr>
            <w:r>
              <w:rPr/>
              <w:t>​</w:t>
            </w:r>
          </w:p>
        </w:tc>
        <w:tc>
          <w:tcPr>
            <w:tcW w:w="4015" w:type="dxa"/>
            <w:tcBorders/>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20"/>
                </w:rPr>
                <w:t>Gevo, Inc. Amended and Restated 2010 Stock Incentive Plan.</w:t>
              </w:r>
            </w:hyperlink>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8-K</w:t>
            </w:r>
          </w:p>
        </w:tc>
        <w:tc>
          <w:tcPr>
            <w:tcW w:w="28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001-35073</w:t>
            </w:r>
          </w:p>
        </w:tc>
        <w:tc>
          <w:tcPr>
            <w:tcW w:w="286" w:type="dxa"/>
            <w:tcBorders/>
            <w:vAlign w:val="center"/>
          </w:tcPr>
          <w:p>
            <w:pPr>
              <w:pStyle w:val="TableContents"/>
              <w:bidi w:val="0"/>
              <w:spacing w:before="0" w:after="0"/>
              <w:ind w:left="0" w:right="0" w:hanging="0"/>
              <w:jc w:val="left"/>
              <w:rPr/>
            </w:pPr>
            <w:r>
              <w:rPr/>
              <w:t>​</w:t>
            </w:r>
          </w:p>
        </w:tc>
        <w:tc>
          <w:tcPr>
            <w:tcW w:w="113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May 27, 2025</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4015"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37"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10.2#</w:t>
            </w:r>
          </w:p>
        </w:tc>
        <w:tc>
          <w:tcPr>
            <w:tcW w:w="286" w:type="dxa"/>
            <w:tcBorders/>
            <w:vAlign w:val="center"/>
          </w:tcPr>
          <w:p>
            <w:pPr>
              <w:pStyle w:val="TableContents"/>
              <w:bidi w:val="0"/>
              <w:spacing w:before="0" w:after="0"/>
              <w:ind w:left="0" w:right="0" w:hanging="0"/>
              <w:jc w:val="left"/>
              <w:rPr/>
            </w:pPr>
            <w:r>
              <w:rPr/>
              <w:t>​</w:t>
            </w:r>
          </w:p>
        </w:tc>
        <w:tc>
          <w:tcPr>
            <w:tcW w:w="4015" w:type="dxa"/>
            <w:tcBorders/>
            <w:vAlign w:val="center"/>
          </w:tcPr>
          <w:p>
            <w:pPr>
              <w:pStyle w:val="TableContents"/>
              <w:bidi w:val="0"/>
              <w:spacing w:before="0" w:after="0"/>
              <w:ind w:left="0" w:right="0" w:hanging="0"/>
              <w:jc w:val="left"/>
              <w:rPr/>
            </w:pPr>
            <w:hyperlink r:id="rId11">
              <w:r>
                <w:rPr>
                  <w:rStyle w:val="InternetLink"/>
                  <w:rFonts w:ascii="Times New Roman;Times;serif" w:hAnsi="Times New Roman;Times;serif"/>
                  <w:b w:val="false"/>
                  <w:i w:val="false"/>
                  <w:caps w:val="false"/>
                  <w:smallCaps w:val="false"/>
                  <w:sz w:val="20"/>
                </w:rPr>
                <w:t>Form of Restricted Stock Unit Agreement under the Amended and Restated 2010 Stock Incentive Plan.</w:t>
              </w:r>
            </w:hyperlink>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S-1</w:t>
            </w:r>
          </w:p>
        </w:tc>
        <w:tc>
          <w:tcPr>
            <w:tcW w:w="28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333-168792</w:t>
            </w:r>
          </w:p>
        </w:tc>
        <w:tc>
          <w:tcPr>
            <w:tcW w:w="286" w:type="dxa"/>
            <w:tcBorders/>
            <w:vAlign w:val="center"/>
          </w:tcPr>
          <w:p>
            <w:pPr>
              <w:pStyle w:val="TableContents"/>
              <w:bidi w:val="0"/>
              <w:spacing w:before="0" w:after="0"/>
              <w:ind w:left="0" w:right="0" w:hanging="0"/>
              <w:jc w:val="left"/>
              <w:rPr/>
            </w:pPr>
            <w:r>
              <w:rPr/>
              <w:t>​</w:t>
            </w:r>
          </w:p>
        </w:tc>
        <w:tc>
          <w:tcPr>
            <w:tcW w:w="113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January 19, 2011</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10.15</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center"/>
              <w:rPr/>
            </w:pPr>
            <w:r>
              <w:rPr/>
              <w:t>​</w:t>
            </w:r>
          </w:p>
        </w:tc>
      </w:tr>
      <w:tr>
        <w:trPr/>
        <w:tc>
          <w:tcPr>
            <w:tcW w:w="6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4015"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1137"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10.3#</w:t>
            </w:r>
          </w:p>
        </w:tc>
        <w:tc>
          <w:tcPr>
            <w:tcW w:w="286" w:type="dxa"/>
            <w:tcBorders/>
            <w:vAlign w:val="center"/>
          </w:tcPr>
          <w:p>
            <w:pPr>
              <w:pStyle w:val="TableContents"/>
              <w:bidi w:val="0"/>
              <w:spacing w:before="0" w:after="0"/>
              <w:ind w:left="0" w:right="0" w:hanging="0"/>
              <w:jc w:val="left"/>
              <w:rPr/>
            </w:pPr>
            <w:r>
              <w:rPr/>
              <w:t>​</w:t>
            </w:r>
          </w:p>
        </w:tc>
        <w:tc>
          <w:tcPr>
            <w:tcW w:w="4015" w:type="dxa"/>
            <w:tcBorders/>
            <w:vAlign w:val="center"/>
          </w:tcPr>
          <w:p>
            <w:pPr>
              <w:pStyle w:val="TableContents"/>
              <w:bidi w:val="0"/>
              <w:spacing w:before="0" w:after="0"/>
              <w:ind w:left="0" w:right="0" w:hanging="0"/>
              <w:jc w:val="left"/>
              <w:rPr/>
            </w:pPr>
            <w:hyperlink r:id="rId12">
              <w:r>
                <w:rPr>
                  <w:rStyle w:val="InternetLink"/>
                  <w:rFonts w:ascii="Times New Roman;Times;serif" w:hAnsi="Times New Roman;Times;serif"/>
                  <w:b w:val="false"/>
                  <w:i w:val="false"/>
                  <w:caps w:val="false"/>
                  <w:smallCaps w:val="false"/>
                  <w:sz w:val="20"/>
                </w:rPr>
                <w:t>Form of Restricted Shares Award Agreement under the Amended and Restated 2010 Stock Incentive Plan.</w:t>
              </w:r>
            </w:hyperlink>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10-Q</w:t>
            </w:r>
          </w:p>
        </w:tc>
        <w:tc>
          <w:tcPr>
            <w:tcW w:w="28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001-35073</w:t>
            </w:r>
          </w:p>
        </w:tc>
        <w:tc>
          <w:tcPr>
            <w:tcW w:w="286" w:type="dxa"/>
            <w:tcBorders/>
            <w:vAlign w:val="center"/>
          </w:tcPr>
          <w:p>
            <w:pPr>
              <w:pStyle w:val="TableContents"/>
              <w:bidi w:val="0"/>
              <w:spacing w:before="0" w:after="0"/>
              <w:ind w:left="0" w:right="0" w:hanging="0"/>
              <w:jc w:val="left"/>
              <w:rPr/>
            </w:pPr>
            <w:r>
              <w:rPr/>
              <w:t>​</w:t>
            </w:r>
          </w:p>
        </w:tc>
        <w:tc>
          <w:tcPr>
            <w:tcW w:w="113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August 8, 2018</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10.7</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center"/>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54"/>
        <w:gridCol w:w="286"/>
        <w:gridCol w:w="4080"/>
        <w:gridCol w:w="286"/>
        <w:gridCol w:w="511"/>
        <w:gridCol w:w="286"/>
        <w:gridCol w:w="692"/>
        <w:gridCol w:w="286"/>
        <w:gridCol w:w="1093"/>
        <w:gridCol w:w="286"/>
        <w:gridCol w:w="631"/>
        <w:gridCol w:w="286"/>
        <w:gridCol w:w="828"/>
      </w:tblGrid>
      <w:tr>
        <w:trPr/>
        <w:tc>
          <w:tcPr>
            <w:tcW w:w="654"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207645" cy="175260"/>
                      <wp:effectExtent l="0" t="0" r="0" b="0"/>
                      <wp:wrapNone/>
                      <wp:docPr id="649" name="Frame649"/>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28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90805" cy="175260"/>
                      <wp:effectExtent l="0" t="0" r="0" b="0"/>
                      <wp:wrapNone/>
                      <wp:docPr id="650" name="Frame650"/>
                      <a:graphic xmlns:a="http://schemas.openxmlformats.org/drawingml/2006/main">
                        <a:graphicData uri="http://schemas.microsoft.com/office/word/2010/wordprocessingShape">
                          <wps:wsp>
                            <wps:cNvSpPr txBox="1"/>
                            <wps:spPr>
                              <a:xfrm>
                                <a:off x="0" y="0"/>
                                <a:ext cx="908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4080"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1295400" cy="175260"/>
                      <wp:effectExtent l="0" t="0" r="0" b="0"/>
                      <wp:wrapNone/>
                      <wp:docPr id="651" name="Frame651"/>
                      <a:graphic xmlns:a="http://schemas.openxmlformats.org/drawingml/2006/main">
                        <a:graphicData uri="http://schemas.microsoft.com/office/word/2010/wordprocessingShape">
                          <wps:wsp>
                            <wps:cNvSpPr txBox="1"/>
                            <wps:spPr>
                              <a:xfrm>
                                <a:off x="0" y="0"/>
                                <a:ext cx="129540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28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90805" cy="175260"/>
                      <wp:effectExtent l="0" t="0" r="0" b="0"/>
                      <wp:wrapNone/>
                      <wp:docPr id="652" name="Frame652"/>
                      <a:graphic xmlns:a="http://schemas.openxmlformats.org/drawingml/2006/main">
                        <a:graphicData uri="http://schemas.microsoft.com/office/word/2010/wordprocessingShape">
                          <wps:wsp>
                            <wps:cNvSpPr txBox="1"/>
                            <wps:spPr>
                              <a:xfrm>
                                <a:off x="0" y="0"/>
                                <a:ext cx="908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51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161925" cy="175260"/>
                      <wp:effectExtent l="0" t="0" r="0" b="0"/>
                      <wp:wrapNone/>
                      <wp:docPr id="653" name="Frame653"/>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28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90805" cy="175260"/>
                      <wp:effectExtent l="0" t="0" r="0" b="0"/>
                      <wp:wrapNone/>
                      <wp:docPr id="654" name="Frame654"/>
                      <a:graphic xmlns:a="http://schemas.openxmlformats.org/drawingml/2006/main">
                        <a:graphicData uri="http://schemas.microsoft.com/office/word/2010/wordprocessingShape">
                          <wps:wsp>
                            <wps:cNvSpPr txBox="1"/>
                            <wps:spPr>
                              <a:xfrm>
                                <a:off x="0" y="0"/>
                                <a:ext cx="908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692"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219710" cy="175260"/>
                      <wp:effectExtent l="0" t="0" r="0" b="0"/>
                      <wp:wrapNone/>
                      <wp:docPr id="655" name="Frame6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28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90805" cy="175260"/>
                      <wp:effectExtent l="0" t="0" r="0" b="0"/>
                      <wp:wrapNone/>
                      <wp:docPr id="656" name="Frame656"/>
                      <a:graphic xmlns:a="http://schemas.openxmlformats.org/drawingml/2006/main">
                        <a:graphicData uri="http://schemas.microsoft.com/office/word/2010/wordprocessingShape">
                          <wps:wsp>
                            <wps:cNvSpPr txBox="1"/>
                            <wps:spPr>
                              <a:xfrm>
                                <a:off x="0" y="0"/>
                                <a:ext cx="908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109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346710" cy="175260"/>
                      <wp:effectExtent l="0" t="0" r="0" b="0"/>
                      <wp:wrapNone/>
                      <wp:docPr id="657" name="Frame657"/>
                      <a:graphic xmlns:a="http://schemas.openxmlformats.org/drawingml/2006/main">
                        <a:graphicData uri="http://schemas.microsoft.com/office/word/2010/wordprocessingShape">
                          <wps:wsp>
                            <wps:cNvSpPr txBox="1"/>
                            <wps:spPr>
                              <a:xfrm>
                                <a:off x="0" y="0"/>
                                <a:ext cx="34671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28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90805" cy="175260"/>
                      <wp:effectExtent l="0" t="0" r="0" b="0"/>
                      <wp:wrapNone/>
                      <wp:docPr id="658" name="Frame658"/>
                      <a:graphic xmlns:a="http://schemas.openxmlformats.org/drawingml/2006/main">
                        <a:graphicData uri="http://schemas.microsoft.com/office/word/2010/wordprocessingShape">
                          <wps:wsp>
                            <wps:cNvSpPr txBox="1"/>
                            <wps:spPr>
                              <a:xfrm>
                                <a:off x="0" y="0"/>
                                <a:ext cx="908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63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200025" cy="175260"/>
                      <wp:effectExtent l="0" t="0" r="0" b="0"/>
                      <wp:wrapNone/>
                      <wp:docPr id="659" name="Frame659"/>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28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90805" cy="175260"/>
                      <wp:effectExtent l="0" t="0" r="0" b="0"/>
                      <wp:wrapNone/>
                      <wp:docPr id="660" name="Frame660"/>
                      <a:graphic xmlns:a="http://schemas.openxmlformats.org/drawingml/2006/main">
                        <a:graphicData uri="http://schemas.microsoft.com/office/word/2010/wordprocessingShape">
                          <wps:wsp>
                            <wps:cNvSpPr txBox="1"/>
                            <wps:spPr>
                              <a:xfrm>
                                <a:off x="0" y="0"/>
                                <a:ext cx="908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828"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262890" cy="175260"/>
                      <wp:effectExtent l="0" t="0" r="0" b="0"/>
                      <wp:wrapNone/>
                      <wp:docPr id="661" name="Frame661"/>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654" w:type="dxa"/>
            <w:tcBorders/>
            <w:vAlign w:val="center"/>
          </w:tcPr>
          <w:p>
            <w:pPr>
              <w:pStyle w:val="TableHeading"/>
              <w:bidi w:val="0"/>
              <w:spacing w:before="0" w:after="0"/>
              <w:ind w:left="0" w:right="0" w:hanging="0"/>
              <w:jc w:val="left"/>
              <w:rPr>
                <w:rFonts w:ascii="Times New Roman;Times;serif" w:hAnsi="Times New Roman;Times;serif"/>
                <w:b w:val="false"/>
                <w:sz w:val="16"/>
              </w:rPr>
            </w:pPr>
            <w:r>
              <w:rPr>
                <w:rFonts w:ascii="Times New Roman;Times;serif" w:hAnsi="Times New Roman;Times;serif"/>
                <w:b w:val="false"/>
                <w:sz w:val="16"/>
              </w:rPr>
              <w:t>.</w:t>
            </w:r>
          </w:p>
        </w:tc>
        <w:tc>
          <w:tcPr>
            <w:tcW w:w="286" w:type="dxa"/>
            <w:tcBorders/>
            <w:vAlign w:val="center"/>
          </w:tcPr>
          <w:p>
            <w:pPr>
              <w:pStyle w:val="TableHeading"/>
              <w:bidi w:val="0"/>
              <w:spacing w:before="0" w:after="0"/>
              <w:ind w:left="0" w:right="0" w:hanging="0"/>
              <w:jc w:val="left"/>
              <w:rPr/>
            </w:pPr>
            <w:r>
              <w:rPr/>
              <w:t>​</w:t>
            </w:r>
          </w:p>
        </w:tc>
        <w:tc>
          <w:tcPr>
            <w:tcW w:w="4080" w:type="dxa"/>
            <w:tcBorders/>
            <w:vAlign w:val="center"/>
          </w:tcPr>
          <w:p>
            <w:pPr>
              <w:pStyle w:val="TableHeading"/>
              <w:bidi w:val="0"/>
              <w:spacing w:before="0" w:after="0"/>
              <w:ind w:left="0" w:right="0" w:hanging="0"/>
              <w:jc w:val="left"/>
              <w:rPr/>
            </w:pPr>
            <w:r>
              <w:rPr/>
              <w:t>​</w:t>
            </w:r>
          </w:p>
        </w:tc>
        <w:tc>
          <w:tcPr>
            <w:tcW w:w="286" w:type="dxa"/>
            <w:tcBorders/>
            <w:vAlign w:val="center"/>
          </w:tcPr>
          <w:p>
            <w:pPr>
              <w:pStyle w:val="TableHeading"/>
              <w:bidi w:val="0"/>
              <w:spacing w:before="0" w:after="0"/>
              <w:ind w:left="0" w:right="0" w:hanging="0"/>
              <w:jc w:val="left"/>
              <w:rPr/>
            </w:pPr>
            <w:r>
              <w:rPr/>
              <w:t>​</w:t>
            </w:r>
          </w:p>
        </w:tc>
        <w:tc>
          <w:tcPr>
            <w:tcW w:w="3785" w:type="dxa"/>
            <w:gridSpan w:val="7"/>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r>
          </w:p>
        </w:tc>
        <w:tc>
          <w:tcPr>
            <w:tcW w:w="286" w:type="dxa"/>
            <w:tcBorders/>
            <w:vAlign w:val="center"/>
          </w:tcPr>
          <w:p>
            <w:pPr>
              <w:pStyle w:val="TableHeading"/>
              <w:bidi w:val="0"/>
              <w:spacing w:before="0" w:after="0"/>
              <w:ind w:left="0" w:right="0" w:hanging="0"/>
              <w:jc w:val="left"/>
              <w:rPr/>
            </w:pPr>
            <w:r>
              <w:rPr/>
              <w:t>​</w:t>
            </w:r>
          </w:p>
        </w:tc>
        <w:tc>
          <w:tcPr>
            <w:tcW w:w="828" w:type="dxa"/>
            <w:tcBorders/>
            <w:vAlign w:val="center"/>
          </w:tcPr>
          <w:p>
            <w:pPr>
              <w:pStyle w:val="TableHeading"/>
              <w:bidi w:val="0"/>
              <w:spacing w:before="0" w:after="0"/>
              <w:ind w:left="0" w:right="0" w:hanging="0"/>
              <w:jc w:val="left"/>
              <w:rPr/>
            </w:pPr>
            <w:r>
              <w:rPr/>
              <w:t>​</w:t>
            </w:r>
          </w:p>
        </w:tc>
      </w:tr>
      <w:tr>
        <w:trPr/>
        <w:tc>
          <w:tcPr>
            <w:tcW w:w="654"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No.</w:t>
            </w:r>
          </w:p>
        </w:tc>
        <w:tc>
          <w:tcPr>
            <w:tcW w:w="286" w:type="dxa"/>
            <w:tcBorders/>
            <w:vAlign w:val="center"/>
          </w:tcPr>
          <w:p>
            <w:pPr>
              <w:pStyle w:val="TableHeading"/>
              <w:bidi w:val="0"/>
              <w:spacing w:before="0" w:after="0"/>
              <w:ind w:left="0" w:right="0" w:hanging="0"/>
              <w:jc w:val="left"/>
              <w:rPr/>
            </w:pPr>
            <w:r>
              <w:rPr/>
              <w:t>  ​ ​</w:t>
            </w:r>
          </w:p>
        </w:tc>
        <w:tc>
          <w:tcPr>
            <w:tcW w:w="4080"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c>
          <w:tcPr>
            <w:tcW w:w="286" w:type="dxa"/>
            <w:tcBorders/>
            <w:vAlign w:val="center"/>
          </w:tcPr>
          <w:p>
            <w:pPr>
              <w:pStyle w:val="TableHeading"/>
              <w:bidi w:val="0"/>
              <w:spacing w:before="0" w:after="0"/>
              <w:ind w:left="0" w:right="0" w:hanging="0"/>
              <w:jc w:val="left"/>
              <w:rPr/>
            </w:pPr>
            <w:r>
              <w:rPr/>
              <w:t>  ​ ​</w:t>
            </w:r>
          </w:p>
        </w:tc>
        <w:tc>
          <w:tcPr>
            <w:tcW w:w="511"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286" w:type="dxa"/>
            <w:tcBorders>
              <w:top w:val="single" w:sz="2" w:space="0" w:color="000000"/>
            </w:tcBorders>
            <w:tcMar>
              <w:top w:w="28" w:type="dxa"/>
            </w:tcMar>
            <w:vAlign w:val="center"/>
          </w:tcPr>
          <w:p>
            <w:pPr>
              <w:pStyle w:val="TableHeading"/>
              <w:bidi w:val="0"/>
              <w:spacing w:before="0" w:after="0"/>
              <w:ind w:left="0" w:right="0" w:hanging="0"/>
              <w:jc w:val="left"/>
              <w:rPr/>
            </w:pPr>
            <w:r>
              <w:rPr/>
              <w:t>  ​ ​</w:t>
            </w:r>
          </w:p>
        </w:tc>
        <w:tc>
          <w:tcPr>
            <w:tcW w:w="692"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286" w:type="dxa"/>
            <w:tcBorders>
              <w:top w:val="single" w:sz="2" w:space="0" w:color="000000"/>
            </w:tcBorders>
            <w:tcMar>
              <w:top w:w="28" w:type="dxa"/>
            </w:tcMar>
            <w:vAlign w:val="center"/>
          </w:tcPr>
          <w:p>
            <w:pPr>
              <w:pStyle w:val="TableHeading"/>
              <w:bidi w:val="0"/>
              <w:spacing w:before="0" w:after="0"/>
              <w:ind w:left="0" w:right="0" w:hanging="0"/>
              <w:jc w:val="left"/>
              <w:rPr/>
            </w:pPr>
            <w:r>
              <w:rPr/>
              <w:t>  ​ ​</w:t>
            </w:r>
          </w:p>
        </w:tc>
        <w:tc>
          <w:tcPr>
            <w:tcW w:w="1093"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 Date</w:t>
            </w:r>
          </w:p>
        </w:tc>
        <w:tc>
          <w:tcPr>
            <w:tcW w:w="286" w:type="dxa"/>
            <w:tcBorders>
              <w:top w:val="single" w:sz="2" w:space="0" w:color="000000"/>
            </w:tcBorders>
            <w:tcMar>
              <w:top w:w="28" w:type="dxa"/>
            </w:tcMar>
            <w:vAlign w:val="center"/>
          </w:tcPr>
          <w:p>
            <w:pPr>
              <w:pStyle w:val="TableHeading"/>
              <w:bidi w:val="0"/>
              <w:spacing w:before="0" w:after="0"/>
              <w:ind w:left="0" w:right="0" w:hanging="0"/>
              <w:jc w:val="left"/>
              <w:rPr/>
            </w:pPr>
            <w:r>
              <w:rPr/>
              <w:t>  ​ ​</w:t>
            </w:r>
          </w:p>
        </w:tc>
        <w:tc>
          <w:tcPr>
            <w:tcW w:w="631"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286" w:type="dxa"/>
            <w:tcBorders/>
            <w:vAlign w:val="center"/>
          </w:tcPr>
          <w:p>
            <w:pPr>
              <w:pStyle w:val="TableHeading"/>
              <w:bidi w:val="0"/>
              <w:spacing w:before="0" w:after="0"/>
              <w:ind w:left="0" w:right="0" w:hanging="0"/>
              <w:jc w:val="left"/>
              <w:rPr/>
            </w:pPr>
            <w:r>
              <w:rPr/>
              <w:t>  ​ ​</w:t>
            </w:r>
          </w:p>
        </w:tc>
        <w:tc>
          <w:tcPr>
            <w:tcW w:w="828"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Filed</w:t>
              <w:br/>
              <w:t>Herewith</w:t>
            </w:r>
          </w:p>
        </w:tc>
      </w:tr>
      <w:tr>
        <w:trPr/>
        <w:tc>
          <w:tcPr>
            <w:tcW w:w="654"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286" w:type="dxa"/>
            <w:tcBorders/>
            <w:vAlign w:val="center"/>
          </w:tcPr>
          <w:p>
            <w:pPr>
              <w:pStyle w:val="TableHeading"/>
              <w:bidi w:val="0"/>
              <w:spacing w:before="0" w:after="0"/>
              <w:ind w:left="0" w:right="0" w:hanging="0"/>
              <w:jc w:val="left"/>
              <w:rPr/>
            </w:pPr>
            <w:r>
              <w:rPr/>
              <w:t>​</w:t>
            </w:r>
          </w:p>
        </w:tc>
        <w:tc>
          <w:tcPr>
            <w:tcW w:w="4080"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286" w:type="dxa"/>
            <w:tcBorders/>
            <w:vAlign w:val="center"/>
          </w:tcPr>
          <w:p>
            <w:pPr>
              <w:pStyle w:val="TableHeading"/>
              <w:bidi w:val="0"/>
              <w:spacing w:before="0" w:after="0"/>
              <w:ind w:left="0" w:right="0" w:hanging="0"/>
              <w:jc w:val="left"/>
              <w:rPr/>
            </w:pPr>
            <w:r>
              <w:rPr/>
              <w:t>​</w:t>
            </w:r>
          </w:p>
        </w:tc>
        <w:tc>
          <w:tcPr>
            <w:tcW w:w="511"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286" w:type="dxa"/>
            <w:tcBorders/>
            <w:vAlign w:val="center"/>
          </w:tcPr>
          <w:p>
            <w:pPr>
              <w:pStyle w:val="TableHeading"/>
              <w:bidi w:val="0"/>
              <w:spacing w:before="0" w:after="0"/>
              <w:ind w:left="0" w:right="0" w:hanging="0"/>
              <w:jc w:val="left"/>
              <w:rPr/>
            </w:pPr>
            <w:r>
              <w:rPr/>
              <w:t>​</w:t>
            </w:r>
          </w:p>
        </w:tc>
        <w:tc>
          <w:tcPr>
            <w:tcW w:w="692"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286" w:type="dxa"/>
            <w:tcBorders/>
            <w:vAlign w:val="center"/>
          </w:tcPr>
          <w:p>
            <w:pPr>
              <w:pStyle w:val="TableHeading"/>
              <w:bidi w:val="0"/>
              <w:spacing w:before="0" w:after="0"/>
              <w:ind w:left="0" w:right="0" w:hanging="0"/>
              <w:jc w:val="left"/>
              <w:rPr/>
            </w:pPr>
            <w:r>
              <w:rPr/>
              <w:t>​</w:t>
            </w:r>
          </w:p>
        </w:tc>
        <w:tc>
          <w:tcPr>
            <w:tcW w:w="1093"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286" w:type="dxa"/>
            <w:tcBorders/>
            <w:vAlign w:val="center"/>
          </w:tcPr>
          <w:p>
            <w:pPr>
              <w:pStyle w:val="TableHeading"/>
              <w:bidi w:val="0"/>
              <w:spacing w:before="0" w:after="0"/>
              <w:ind w:left="0" w:right="0" w:hanging="0"/>
              <w:jc w:val="left"/>
              <w:rPr/>
            </w:pPr>
            <w:r>
              <w:rPr/>
              <w:t>​</w:t>
            </w:r>
          </w:p>
        </w:tc>
        <w:tc>
          <w:tcPr>
            <w:tcW w:w="631"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286" w:type="dxa"/>
            <w:tcBorders/>
            <w:vAlign w:val="center"/>
          </w:tcPr>
          <w:p>
            <w:pPr>
              <w:pStyle w:val="TableHeading"/>
              <w:bidi w:val="0"/>
              <w:spacing w:before="0" w:after="0"/>
              <w:ind w:left="0" w:right="0" w:hanging="0"/>
              <w:jc w:val="left"/>
              <w:rPr/>
            </w:pPr>
            <w:r>
              <w:rPr/>
              <w:t>​</w:t>
            </w:r>
          </w:p>
        </w:tc>
        <w:tc>
          <w:tcPr>
            <w:tcW w:w="828"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r>
      <w:tr>
        <w:trPr/>
        <w:tc>
          <w:tcPr>
            <w:tcW w:w="654"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4080"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93"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r>
        <w:trPr/>
        <w:tc>
          <w:tcPr>
            <w:tcW w:w="65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10.4#</w:t>
            </w:r>
          </w:p>
        </w:tc>
        <w:tc>
          <w:tcPr>
            <w:tcW w:w="286" w:type="dxa"/>
            <w:tcBorders/>
            <w:vAlign w:val="center"/>
          </w:tcPr>
          <w:p>
            <w:pPr>
              <w:pStyle w:val="TableContents"/>
              <w:bidi w:val="0"/>
              <w:spacing w:before="0" w:after="0"/>
              <w:ind w:left="0" w:right="0" w:hanging="0"/>
              <w:jc w:val="left"/>
              <w:rPr/>
            </w:pPr>
            <w:r>
              <w:rPr/>
              <w:t>​</w:t>
            </w:r>
          </w:p>
        </w:tc>
        <w:tc>
          <w:tcPr>
            <w:tcW w:w="4080" w:type="dxa"/>
            <w:tcBorders/>
            <w:vAlign w:val="center"/>
          </w:tcPr>
          <w:p>
            <w:pPr>
              <w:pStyle w:val="TableContents"/>
              <w:bidi w:val="0"/>
              <w:spacing w:before="0" w:after="0"/>
              <w:ind w:left="0" w:right="0" w:hanging="0"/>
              <w:jc w:val="left"/>
              <w:rPr/>
            </w:pPr>
            <w:hyperlink r:id="rId13">
              <w:r>
                <w:rPr>
                  <w:rStyle w:val="InternetLink"/>
                  <w:rFonts w:ascii="Times New Roman;Times;serif" w:hAnsi="Times New Roman;Times;serif"/>
                  <w:b w:val="false"/>
                  <w:i w:val="false"/>
                  <w:caps w:val="false"/>
                  <w:smallCaps w:val="false"/>
                  <w:sz w:val="20"/>
                </w:rPr>
                <w:t>Form of Stock Option Award Agreement under the Amended and Restated 2010 Stock Incentive Plan.</w:t>
              </w:r>
            </w:hyperlink>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10-Q</w:t>
            </w:r>
          </w:p>
        </w:tc>
        <w:tc>
          <w:tcPr>
            <w:tcW w:w="286"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001-35073</w:t>
            </w:r>
          </w:p>
        </w:tc>
        <w:tc>
          <w:tcPr>
            <w:tcW w:w="286" w:type="dxa"/>
            <w:tcBorders/>
            <w:vAlign w:val="center"/>
          </w:tcPr>
          <w:p>
            <w:pPr>
              <w:pStyle w:val="TableContents"/>
              <w:bidi w:val="0"/>
              <w:spacing w:before="0" w:after="0"/>
              <w:ind w:left="0" w:right="0" w:hanging="0"/>
              <w:jc w:val="left"/>
              <w:rPr/>
            </w:pPr>
            <w:r>
              <w:rPr/>
              <w:t>​</w:t>
            </w:r>
          </w:p>
        </w:tc>
        <w:tc>
          <w:tcPr>
            <w:tcW w:w="109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August 8, 2018</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10.6</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center"/>
              <w:rPr/>
            </w:pPr>
            <w:r>
              <w:rPr/>
              <w:t>​</w:t>
            </w:r>
          </w:p>
        </w:tc>
      </w:tr>
      <w:tr>
        <w:trPr/>
        <w:tc>
          <w:tcPr>
            <w:tcW w:w="654"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4080"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93"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r>
        <w:trPr/>
        <w:tc>
          <w:tcPr>
            <w:tcW w:w="65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10.5#</w:t>
            </w:r>
          </w:p>
        </w:tc>
        <w:tc>
          <w:tcPr>
            <w:tcW w:w="286" w:type="dxa"/>
            <w:tcBorders/>
            <w:vAlign w:val="center"/>
          </w:tcPr>
          <w:p>
            <w:pPr>
              <w:pStyle w:val="TableContents"/>
              <w:bidi w:val="0"/>
              <w:spacing w:before="0" w:after="0"/>
              <w:ind w:left="0" w:right="0" w:hanging="0"/>
              <w:jc w:val="left"/>
              <w:rPr/>
            </w:pPr>
            <w:r>
              <w:rPr/>
              <w:t>​</w:t>
            </w:r>
          </w:p>
        </w:tc>
        <w:tc>
          <w:tcPr>
            <w:tcW w:w="4080" w:type="dxa"/>
            <w:tcBorders/>
            <w:vAlign w:val="center"/>
          </w:tcPr>
          <w:p>
            <w:pPr>
              <w:pStyle w:val="TableContents"/>
              <w:bidi w:val="0"/>
              <w:spacing w:before="0" w:after="0"/>
              <w:ind w:left="0" w:right="0" w:hanging="0"/>
              <w:jc w:val="left"/>
              <w:rPr/>
            </w:pPr>
            <w:hyperlink r:id="rId14">
              <w:r>
                <w:rPr>
                  <w:rStyle w:val="InternetLink"/>
                  <w:rFonts w:ascii="Times New Roman;Times;serif" w:hAnsi="Times New Roman;Times;serif"/>
                  <w:b w:val="false"/>
                  <w:i w:val="false"/>
                  <w:caps w:val="false"/>
                  <w:smallCaps w:val="false"/>
                  <w:sz w:val="20"/>
                </w:rPr>
                <w:t>Form of Stock Appreciation Rights Award Agreement under the Amended and Restated 2010 Stock Incentive Plan.</w:t>
              </w:r>
            </w:hyperlink>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10-Q</w:t>
            </w:r>
          </w:p>
        </w:tc>
        <w:tc>
          <w:tcPr>
            <w:tcW w:w="286"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001-35073</w:t>
            </w:r>
          </w:p>
        </w:tc>
        <w:tc>
          <w:tcPr>
            <w:tcW w:w="286" w:type="dxa"/>
            <w:tcBorders/>
            <w:vAlign w:val="center"/>
          </w:tcPr>
          <w:p>
            <w:pPr>
              <w:pStyle w:val="TableContents"/>
              <w:bidi w:val="0"/>
              <w:spacing w:before="0" w:after="0"/>
              <w:ind w:left="0" w:right="0" w:hanging="0"/>
              <w:jc w:val="left"/>
              <w:rPr/>
            </w:pPr>
            <w:r>
              <w:rPr/>
              <w:t>​</w:t>
            </w:r>
          </w:p>
        </w:tc>
        <w:tc>
          <w:tcPr>
            <w:tcW w:w="109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August 8, 2018</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10.8</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r>
        <w:trPr/>
        <w:tc>
          <w:tcPr>
            <w:tcW w:w="654"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4080"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93"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r>
        <w:trPr/>
        <w:tc>
          <w:tcPr>
            <w:tcW w:w="65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10.6#</w:t>
            </w:r>
          </w:p>
        </w:tc>
        <w:tc>
          <w:tcPr>
            <w:tcW w:w="286" w:type="dxa"/>
            <w:tcBorders/>
            <w:vAlign w:val="center"/>
          </w:tcPr>
          <w:p>
            <w:pPr>
              <w:pStyle w:val="TableContents"/>
              <w:bidi w:val="0"/>
              <w:spacing w:before="0" w:after="0"/>
              <w:ind w:left="0" w:right="0" w:hanging="0"/>
              <w:jc w:val="left"/>
              <w:rPr/>
            </w:pPr>
            <w:r>
              <w:rPr/>
              <w:t>​</w:t>
            </w:r>
          </w:p>
        </w:tc>
        <w:tc>
          <w:tcPr>
            <w:tcW w:w="4080" w:type="dxa"/>
            <w:tcBorders/>
            <w:vAlign w:val="center"/>
          </w:tcPr>
          <w:p>
            <w:pPr>
              <w:pStyle w:val="TableContents"/>
              <w:bidi w:val="0"/>
              <w:spacing w:before="0" w:after="0"/>
              <w:ind w:left="0" w:right="0" w:hanging="0"/>
              <w:jc w:val="left"/>
              <w:rPr/>
            </w:pPr>
            <w:hyperlink r:id="rId15">
              <w:r>
                <w:rPr>
                  <w:rStyle w:val="InternetLink"/>
                  <w:rFonts w:ascii="Times New Roman;Times;serif" w:hAnsi="Times New Roman;Times;serif"/>
                  <w:b w:val="false"/>
                  <w:i w:val="false"/>
                  <w:caps w:val="false"/>
                  <w:smallCaps w:val="false"/>
                  <w:sz w:val="20"/>
                </w:rPr>
                <w:t>Gevo, Inc. Employee Stock Purchase Plan.</w:t>
              </w:r>
            </w:hyperlink>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S-8</w:t>
            </w:r>
          </w:p>
        </w:tc>
        <w:tc>
          <w:tcPr>
            <w:tcW w:w="286"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333-172771</w:t>
            </w:r>
          </w:p>
        </w:tc>
        <w:tc>
          <w:tcPr>
            <w:tcW w:w="286" w:type="dxa"/>
            <w:tcBorders/>
            <w:vAlign w:val="center"/>
          </w:tcPr>
          <w:p>
            <w:pPr>
              <w:pStyle w:val="TableContents"/>
              <w:bidi w:val="0"/>
              <w:spacing w:before="0" w:after="0"/>
              <w:ind w:left="0" w:right="0" w:hanging="0"/>
              <w:jc w:val="left"/>
              <w:rPr/>
            </w:pPr>
            <w:r>
              <w:rPr/>
              <w:t>​</w:t>
            </w:r>
          </w:p>
        </w:tc>
        <w:tc>
          <w:tcPr>
            <w:tcW w:w="109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March 11, 2011</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4.7</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r>
        <w:trPr/>
        <w:tc>
          <w:tcPr>
            <w:tcW w:w="654"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4080"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93"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r>
        <w:trPr/>
        <w:tc>
          <w:tcPr>
            <w:tcW w:w="65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10.7#</w:t>
            </w:r>
          </w:p>
        </w:tc>
        <w:tc>
          <w:tcPr>
            <w:tcW w:w="286" w:type="dxa"/>
            <w:tcBorders/>
            <w:vAlign w:val="center"/>
          </w:tcPr>
          <w:p>
            <w:pPr>
              <w:pStyle w:val="TableContents"/>
              <w:bidi w:val="0"/>
              <w:spacing w:before="0" w:after="0"/>
              <w:ind w:left="0" w:right="0" w:hanging="0"/>
              <w:jc w:val="left"/>
              <w:rPr/>
            </w:pPr>
            <w:r>
              <w:rPr/>
              <w:t>​</w:t>
            </w:r>
          </w:p>
        </w:tc>
        <w:tc>
          <w:tcPr>
            <w:tcW w:w="4080" w:type="dxa"/>
            <w:tcBorders/>
            <w:vAlign w:val="center"/>
          </w:tcPr>
          <w:p>
            <w:pPr>
              <w:pStyle w:val="TableContents"/>
              <w:bidi w:val="0"/>
              <w:spacing w:before="0" w:after="0"/>
              <w:ind w:left="0" w:right="0" w:hanging="0"/>
              <w:jc w:val="left"/>
              <w:rPr/>
            </w:pPr>
            <w:hyperlink r:id="rId16">
              <w:r>
                <w:rPr>
                  <w:rStyle w:val="InternetLink"/>
                  <w:rFonts w:ascii="Times New Roman;Times;serif" w:hAnsi="Times New Roman;Times;serif"/>
                  <w:b w:val="false"/>
                  <w:i w:val="false"/>
                  <w:caps w:val="false"/>
                  <w:smallCaps w:val="false"/>
                  <w:sz w:val="18"/>
                </w:rPr>
                <w:t>Gevo, Inc. Executive Health Management Plan.</w:t>
              </w:r>
            </w:hyperlink>
            <w:r>
              <w:rPr>
                <w:rFonts w:ascii="Times New Roman;Times;serif" w:hAnsi="Times New Roman;Times;serif"/>
                <w:sz w:val="18"/>
              </w:rPr>
              <w:t xml:space="preserve"> </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10-Q</w:t>
            </w:r>
          </w:p>
        </w:tc>
        <w:tc>
          <w:tcPr>
            <w:tcW w:w="286"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001-35073</w:t>
            </w:r>
          </w:p>
        </w:tc>
        <w:tc>
          <w:tcPr>
            <w:tcW w:w="286" w:type="dxa"/>
            <w:tcBorders/>
            <w:vAlign w:val="center"/>
          </w:tcPr>
          <w:p>
            <w:pPr>
              <w:pStyle w:val="TableContents"/>
              <w:bidi w:val="0"/>
              <w:spacing w:before="0" w:after="0"/>
              <w:ind w:left="0" w:right="0" w:hanging="0"/>
              <w:jc w:val="left"/>
              <w:rPr/>
            </w:pPr>
            <w:r>
              <w:rPr/>
              <w:t>​</w:t>
            </w:r>
          </w:p>
        </w:tc>
        <w:tc>
          <w:tcPr>
            <w:tcW w:w="109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November 2, 2011</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r>
        <w:trPr/>
        <w:tc>
          <w:tcPr>
            <w:tcW w:w="654"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4080"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93"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r>
        <w:trPr/>
        <w:tc>
          <w:tcPr>
            <w:tcW w:w="65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10.8#</w:t>
            </w:r>
          </w:p>
        </w:tc>
        <w:tc>
          <w:tcPr>
            <w:tcW w:w="286" w:type="dxa"/>
            <w:tcBorders/>
            <w:vAlign w:val="center"/>
          </w:tcPr>
          <w:p>
            <w:pPr>
              <w:pStyle w:val="TableContents"/>
              <w:bidi w:val="0"/>
              <w:spacing w:before="0" w:after="0"/>
              <w:ind w:left="0" w:right="0" w:hanging="0"/>
              <w:jc w:val="left"/>
              <w:rPr/>
            </w:pPr>
            <w:r>
              <w:rPr/>
              <w:t>​</w:t>
            </w:r>
          </w:p>
        </w:tc>
        <w:tc>
          <w:tcPr>
            <w:tcW w:w="4080" w:type="dxa"/>
            <w:tcBorders/>
            <w:vAlign w:val="center"/>
          </w:tcPr>
          <w:p>
            <w:pPr>
              <w:pStyle w:val="TableContents"/>
              <w:bidi w:val="0"/>
              <w:spacing w:before="0" w:after="0"/>
              <w:ind w:left="0" w:right="0" w:hanging="0"/>
              <w:jc w:val="left"/>
              <w:rPr/>
            </w:pPr>
            <w:hyperlink r:id="rId17">
              <w:r>
                <w:rPr>
                  <w:rStyle w:val="InternetLink"/>
                  <w:rFonts w:ascii="Times New Roman;Times;serif" w:hAnsi="Times New Roman;Times;serif"/>
                  <w:b w:val="false"/>
                  <w:i w:val="false"/>
                  <w:caps w:val="false"/>
                  <w:smallCaps w:val="false"/>
                  <w:sz w:val="20"/>
                </w:rPr>
                <w:t>Form of Indemnification Agreement between Gevo, Inc. and its directors and officers.</w:t>
              </w:r>
            </w:hyperlink>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S-1</w:t>
            </w:r>
          </w:p>
        </w:tc>
        <w:tc>
          <w:tcPr>
            <w:tcW w:w="286"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333-168792</w:t>
            </w:r>
          </w:p>
        </w:tc>
        <w:tc>
          <w:tcPr>
            <w:tcW w:w="286" w:type="dxa"/>
            <w:tcBorders/>
            <w:vAlign w:val="center"/>
          </w:tcPr>
          <w:p>
            <w:pPr>
              <w:pStyle w:val="TableContents"/>
              <w:bidi w:val="0"/>
              <w:spacing w:before="0" w:after="0"/>
              <w:ind w:left="0" w:right="0" w:hanging="0"/>
              <w:jc w:val="left"/>
              <w:rPr/>
            </w:pPr>
            <w:r>
              <w:rPr/>
              <w:t>​</w:t>
            </w:r>
          </w:p>
        </w:tc>
        <w:tc>
          <w:tcPr>
            <w:tcW w:w="109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January 19, 2011</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10.33</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r>
        <w:trPr/>
        <w:tc>
          <w:tcPr>
            <w:tcW w:w="654"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4080"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93"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r>
        <w:trPr/>
        <w:tc>
          <w:tcPr>
            <w:tcW w:w="65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10.09†</w:t>
            </w:r>
          </w:p>
        </w:tc>
        <w:tc>
          <w:tcPr>
            <w:tcW w:w="286" w:type="dxa"/>
            <w:tcBorders/>
            <w:vAlign w:val="center"/>
          </w:tcPr>
          <w:p>
            <w:pPr>
              <w:pStyle w:val="TableContents"/>
              <w:bidi w:val="0"/>
              <w:spacing w:before="0" w:after="0"/>
              <w:ind w:left="0" w:right="0" w:hanging="0"/>
              <w:jc w:val="left"/>
              <w:rPr/>
            </w:pPr>
            <w:r>
              <w:rPr/>
              <w:t>​</w:t>
            </w:r>
          </w:p>
        </w:tc>
        <w:tc>
          <w:tcPr>
            <w:tcW w:w="4080" w:type="dxa"/>
            <w:tcBorders/>
            <w:vAlign w:val="center"/>
          </w:tcPr>
          <w:p>
            <w:pPr>
              <w:pStyle w:val="TableContents"/>
              <w:bidi w:val="0"/>
              <w:spacing w:before="0" w:after="0"/>
              <w:ind w:left="0" w:right="0" w:hanging="0"/>
              <w:jc w:val="left"/>
              <w:rPr/>
            </w:pPr>
            <w:hyperlink r:id="rId18">
              <w:r>
                <w:rPr>
                  <w:rStyle w:val="InternetLink"/>
                  <w:rFonts w:ascii="Times New Roman;Times;serif" w:hAnsi="Times New Roman;Times;serif"/>
                  <w:b w:val="false"/>
                  <w:i w:val="false"/>
                  <w:caps w:val="false"/>
                  <w:smallCaps w:val="false"/>
                  <w:sz w:val="20"/>
                </w:rPr>
                <w:t>At-The-Market Offering Agreement, dated January 16, 2024, between Gevo, Inc. and H.C. Wainwright &amp; Co., LLC.</w:t>
              </w:r>
            </w:hyperlink>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S-3</w:t>
            </w:r>
          </w:p>
        </w:tc>
        <w:tc>
          <w:tcPr>
            <w:tcW w:w="286"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333-276515</w:t>
            </w:r>
          </w:p>
        </w:tc>
        <w:tc>
          <w:tcPr>
            <w:tcW w:w="286" w:type="dxa"/>
            <w:tcBorders/>
            <w:vAlign w:val="center"/>
          </w:tcPr>
          <w:p>
            <w:pPr>
              <w:pStyle w:val="TableContents"/>
              <w:bidi w:val="0"/>
              <w:spacing w:before="0" w:after="0"/>
              <w:ind w:left="0" w:right="0" w:hanging="0"/>
              <w:jc w:val="left"/>
              <w:rPr/>
            </w:pPr>
            <w:r>
              <w:rPr/>
              <w:t>​</w:t>
            </w:r>
          </w:p>
        </w:tc>
        <w:tc>
          <w:tcPr>
            <w:tcW w:w="109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January 16, 2024</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1.2</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r>
        <w:trPr/>
        <w:tc>
          <w:tcPr>
            <w:tcW w:w="654"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4080"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93"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r>
        <w:trPr/>
        <w:tc>
          <w:tcPr>
            <w:tcW w:w="65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10.10#</w:t>
            </w:r>
          </w:p>
        </w:tc>
        <w:tc>
          <w:tcPr>
            <w:tcW w:w="286" w:type="dxa"/>
            <w:tcBorders/>
            <w:vAlign w:val="center"/>
          </w:tcPr>
          <w:p>
            <w:pPr>
              <w:pStyle w:val="TableContents"/>
              <w:bidi w:val="0"/>
              <w:spacing w:before="0" w:after="0"/>
              <w:ind w:left="0" w:right="0" w:hanging="0"/>
              <w:jc w:val="left"/>
              <w:rPr/>
            </w:pPr>
            <w:r>
              <w:rPr/>
              <w:t>​</w:t>
            </w:r>
          </w:p>
        </w:tc>
        <w:tc>
          <w:tcPr>
            <w:tcW w:w="4080" w:type="dxa"/>
            <w:tcBorders/>
            <w:vAlign w:val="center"/>
          </w:tcPr>
          <w:p>
            <w:pPr>
              <w:pStyle w:val="TableContents"/>
              <w:bidi w:val="0"/>
              <w:spacing w:before="0" w:after="0"/>
              <w:ind w:left="0" w:right="0" w:hanging="0"/>
              <w:jc w:val="left"/>
              <w:rPr/>
            </w:pPr>
            <w:hyperlink r:id="rId19">
              <w:r>
                <w:rPr>
                  <w:rStyle w:val="InternetLink"/>
                  <w:rFonts w:ascii="Times New Roman;Times;serif" w:hAnsi="Times New Roman;Times;serif"/>
                  <w:b w:val="false"/>
                  <w:i w:val="false"/>
                  <w:caps w:val="false"/>
                  <w:smallCaps w:val="false"/>
                  <w:sz w:val="18"/>
                </w:rPr>
                <w:t>Gevo, Inc. Change in Control Severance Plan</w:t>
              </w:r>
            </w:hyperlink>
            <w:r>
              <w:rPr>
                <w:rFonts w:ascii="Times New Roman;Times;serif" w:hAnsi="Times New Roman;Times;serif"/>
                <w:sz w:val="18"/>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8-K</w:t>
            </w:r>
          </w:p>
        </w:tc>
        <w:tc>
          <w:tcPr>
            <w:tcW w:w="286"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001-35073</w:t>
            </w:r>
          </w:p>
        </w:tc>
        <w:tc>
          <w:tcPr>
            <w:tcW w:w="286" w:type="dxa"/>
            <w:tcBorders/>
            <w:vAlign w:val="center"/>
          </w:tcPr>
          <w:p>
            <w:pPr>
              <w:pStyle w:val="TableContents"/>
              <w:bidi w:val="0"/>
              <w:spacing w:before="0" w:after="0"/>
              <w:ind w:left="0" w:right="0" w:hanging="0"/>
              <w:jc w:val="left"/>
              <w:rPr/>
            </w:pPr>
            <w:r>
              <w:rPr/>
              <w:t>​</w:t>
            </w:r>
          </w:p>
        </w:tc>
        <w:tc>
          <w:tcPr>
            <w:tcW w:w="109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December 2, 2022</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r>
        <w:trPr/>
        <w:tc>
          <w:tcPr>
            <w:tcW w:w="654"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4080"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1093"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r>
        <w:trPr/>
        <w:tc>
          <w:tcPr>
            <w:tcW w:w="65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10.11††</w:t>
            </w:r>
          </w:p>
        </w:tc>
        <w:tc>
          <w:tcPr>
            <w:tcW w:w="286" w:type="dxa"/>
            <w:tcBorders/>
            <w:vAlign w:val="center"/>
          </w:tcPr>
          <w:p>
            <w:pPr>
              <w:pStyle w:val="TableContents"/>
              <w:bidi w:val="0"/>
              <w:spacing w:before="0" w:after="0"/>
              <w:ind w:left="0" w:right="0" w:hanging="0"/>
              <w:jc w:val="left"/>
              <w:rPr/>
            </w:pPr>
            <w:r>
              <w:rPr/>
              <w:t>​</w:t>
            </w:r>
          </w:p>
        </w:tc>
        <w:tc>
          <w:tcPr>
            <w:tcW w:w="4080" w:type="dxa"/>
            <w:tcBorders/>
            <w:vAlign w:val="center"/>
          </w:tcPr>
          <w:p>
            <w:pPr>
              <w:pStyle w:val="TableContents"/>
              <w:bidi w:val="0"/>
              <w:spacing w:before="0" w:after="0"/>
              <w:ind w:left="0" w:right="0" w:hanging="0"/>
              <w:jc w:val="left"/>
              <w:rPr/>
            </w:pPr>
            <w:hyperlink r:id="rId20">
              <w:r>
                <w:rPr>
                  <w:rStyle w:val="InternetLink"/>
                  <w:rFonts w:ascii="Times New Roman;Times;serif" w:hAnsi="Times New Roman;Times;serif"/>
                  <w:b w:val="false"/>
                  <w:i w:val="false"/>
                  <w:caps w:val="false"/>
                  <w:smallCaps w:val="false"/>
                  <w:sz w:val="20"/>
                </w:rPr>
                <w:t>Credit Agreement, dated as of January 31, 2025, by and between the Net-Zero North HoldCo, LLC, OIC Investment Agent, LLC, as administrative agent for the Lenders, and the other parties thereto.</w:t>
              </w:r>
            </w:hyperlink>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8-K</w:t>
            </w:r>
          </w:p>
        </w:tc>
        <w:tc>
          <w:tcPr>
            <w:tcW w:w="286"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001-35073</w:t>
            </w:r>
          </w:p>
        </w:tc>
        <w:tc>
          <w:tcPr>
            <w:tcW w:w="286" w:type="dxa"/>
            <w:tcBorders/>
            <w:vAlign w:val="center"/>
          </w:tcPr>
          <w:p>
            <w:pPr>
              <w:pStyle w:val="TableContents"/>
              <w:bidi w:val="0"/>
              <w:spacing w:before="0" w:after="0"/>
              <w:ind w:left="0" w:right="0" w:hanging="0"/>
              <w:jc w:val="left"/>
              <w:rPr/>
            </w:pPr>
            <w:r>
              <w:rPr/>
              <w:t>​</w:t>
            </w:r>
          </w:p>
        </w:tc>
        <w:tc>
          <w:tcPr>
            <w:tcW w:w="109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February 3, 2025</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r>
        <w:trPr/>
        <w:tc>
          <w:tcPr>
            <w:tcW w:w="654"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4080"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1093"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r>
        <w:trPr/>
        <w:tc>
          <w:tcPr>
            <w:tcW w:w="65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10.12††</w:t>
            </w:r>
          </w:p>
        </w:tc>
        <w:tc>
          <w:tcPr>
            <w:tcW w:w="286" w:type="dxa"/>
            <w:tcBorders/>
            <w:vAlign w:val="center"/>
          </w:tcPr>
          <w:p>
            <w:pPr>
              <w:pStyle w:val="TableContents"/>
              <w:bidi w:val="0"/>
              <w:spacing w:before="0" w:after="0"/>
              <w:ind w:left="0" w:right="0" w:hanging="0"/>
              <w:jc w:val="left"/>
              <w:rPr/>
            </w:pPr>
            <w:r>
              <w:rPr/>
              <w:t>​</w:t>
            </w:r>
          </w:p>
        </w:tc>
        <w:tc>
          <w:tcPr>
            <w:tcW w:w="4080" w:type="dxa"/>
            <w:tcBorders/>
            <w:vAlign w:val="center"/>
          </w:tcPr>
          <w:p>
            <w:pPr>
              <w:pStyle w:val="TableContents"/>
              <w:bidi w:val="0"/>
              <w:spacing w:before="0" w:after="0"/>
              <w:ind w:left="0" w:right="0" w:hanging="0"/>
              <w:jc w:val="left"/>
              <w:rPr/>
            </w:pPr>
            <w:hyperlink r:id="rId21">
              <w:r>
                <w:rPr>
                  <w:rStyle w:val="InternetLink"/>
                  <w:rFonts w:ascii="Times New Roman;Times;serif" w:hAnsi="Times New Roman;Times;serif"/>
                  <w:b w:val="false"/>
                  <w:i w:val="false"/>
                  <w:caps w:val="false"/>
                  <w:smallCaps w:val="false"/>
                  <w:sz w:val="20"/>
                </w:rPr>
                <w:t>Form of Term Loan Note.</w:t>
              </w:r>
            </w:hyperlink>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8-K</w:t>
            </w:r>
          </w:p>
        </w:tc>
        <w:tc>
          <w:tcPr>
            <w:tcW w:w="286"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001-35073</w:t>
            </w:r>
          </w:p>
        </w:tc>
        <w:tc>
          <w:tcPr>
            <w:tcW w:w="286" w:type="dxa"/>
            <w:tcBorders/>
            <w:vAlign w:val="center"/>
          </w:tcPr>
          <w:p>
            <w:pPr>
              <w:pStyle w:val="TableContents"/>
              <w:bidi w:val="0"/>
              <w:spacing w:before="0" w:after="0"/>
              <w:ind w:left="0" w:right="0" w:hanging="0"/>
              <w:jc w:val="left"/>
              <w:rPr/>
            </w:pPr>
            <w:r>
              <w:rPr/>
              <w:t>​</w:t>
            </w:r>
          </w:p>
        </w:tc>
        <w:tc>
          <w:tcPr>
            <w:tcW w:w="109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February 3, 2025</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10.2</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r>
        <w:trPr/>
        <w:tc>
          <w:tcPr>
            <w:tcW w:w="654"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4080"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1093"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r>
        <w:trPr/>
        <w:tc>
          <w:tcPr>
            <w:tcW w:w="65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10.13#</w:t>
            </w:r>
          </w:p>
        </w:tc>
        <w:tc>
          <w:tcPr>
            <w:tcW w:w="286" w:type="dxa"/>
            <w:tcBorders/>
            <w:vAlign w:val="center"/>
          </w:tcPr>
          <w:p>
            <w:pPr>
              <w:pStyle w:val="TableContents"/>
              <w:bidi w:val="0"/>
              <w:spacing w:before="0" w:after="0"/>
              <w:ind w:left="0" w:right="0" w:hanging="0"/>
              <w:jc w:val="left"/>
              <w:rPr/>
            </w:pPr>
            <w:r>
              <w:rPr/>
              <w:t>​</w:t>
            </w:r>
          </w:p>
        </w:tc>
        <w:tc>
          <w:tcPr>
            <w:tcW w:w="4080" w:type="dxa"/>
            <w:tcBorders/>
            <w:vAlign w:val="center"/>
          </w:tcPr>
          <w:p>
            <w:pPr>
              <w:pStyle w:val="TableContents"/>
              <w:bidi w:val="0"/>
              <w:spacing w:before="0" w:after="0"/>
              <w:ind w:left="0" w:right="0" w:hanging="0"/>
              <w:jc w:val="left"/>
              <w:rPr/>
            </w:pPr>
            <w:hyperlink r:id="rId22">
              <w:r>
                <w:rPr>
                  <w:rStyle w:val="InternetLink"/>
                  <w:rFonts w:ascii="Times New Roman;Times;serif" w:hAnsi="Times New Roman;Times;serif"/>
                  <w:b w:val="false"/>
                  <w:i w:val="false"/>
                  <w:caps w:val="false"/>
                  <w:smallCaps w:val="false"/>
                  <w:sz w:val="20"/>
                </w:rPr>
                <w:t>Employment Agreement, amended and restated as of August 12, 2024, by and among Gevo, Inc. and Patrick Gruber.</w:t>
              </w:r>
            </w:hyperlink>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8-K</w:t>
            </w:r>
          </w:p>
        </w:tc>
        <w:tc>
          <w:tcPr>
            <w:tcW w:w="286"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001-35073</w:t>
            </w:r>
          </w:p>
        </w:tc>
        <w:tc>
          <w:tcPr>
            <w:tcW w:w="286" w:type="dxa"/>
            <w:tcBorders/>
            <w:vAlign w:val="center"/>
          </w:tcPr>
          <w:p>
            <w:pPr>
              <w:pStyle w:val="TableContents"/>
              <w:bidi w:val="0"/>
              <w:spacing w:before="0" w:after="0"/>
              <w:ind w:left="0" w:right="0" w:hanging="0"/>
              <w:jc w:val="left"/>
              <w:rPr/>
            </w:pPr>
            <w:r>
              <w:rPr/>
              <w:t>​</w:t>
            </w:r>
          </w:p>
        </w:tc>
        <w:tc>
          <w:tcPr>
            <w:tcW w:w="109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August 16, 2024</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r>
        <w:trPr/>
        <w:tc>
          <w:tcPr>
            <w:tcW w:w="654"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4080"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1093"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r>
        <w:trPr/>
        <w:tc>
          <w:tcPr>
            <w:tcW w:w="65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10.14#</w:t>
            </w:r>
          </w:p>
        </w:tc>
        <w:tc>
          <w:tcPr>
            <w:tcW w:w="286" w:type="dxa"/>
            <w:tcBorders/>
            <w:vAlign w:val="center"/>
          </w:tcPr>
          <w:p>
            <w:pPr>
              <w:pStyle w:val="TableContents"/>
              <w:bidi w:val="0"/>
              <w:spacing w:before="0" w:after="0"/>
              <w:ind w:left="0" w:right="0" w:hanging="0"/>
              <w:jc w:val="left"/>
              <w:rPr/>
            </w:pPr>
            <w:r>
              <w:rPr/>
              <w:t>​</w:t>
            </w:r>
          </w:p>
        </w:tc>
        <w:tc>
          <w:tcPr>
            <w:tcW w:w="4080" w:type="dxa"/>
            <w:tcBorders/>
            <w:vAlign w:val="center"/>
          </w:tcPr>
          <w:p>
            <w:pPr>
              <w:pStyle w:val="TableContents"/>
              <w:bidi w:val="0"/>
              <w:spacing w:before="0" w:after="0"/>
              <w:ind w:left="0" w:right="0" w:hanging="0"/>
              <w:jc w:val="left"/>
              <w:rPr/>
            </w:pPr>
            <w:hyperlink r:id="rId23">
              <w:r>
                <w:rPr>
                  <w:rStyle w:val="InternetLink"/>
                  <w:rFonts w:ascii="Times New Roman;Times;serif" w:hAnsi="Times New Roman;Times;serif"/>
                  <w:b w:val="false"/>
                  <w:i w:val="false"/>
                  <w:caps w:val="false"/>
                  <w:smallCaps w:val="false"/>
                  <w:sz w:val="20"/>
                </w:rPr>
                <w:t>Employment Agreement, amended and restated as of August 12, 2024, by and among Gevo, Inc. and Christopher Ryan.</w:t>
              </w:r>
            </w:hyperlink>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8-K</w:t>
            </w:r>
          </w:p>
        </w:tc>
        <w:tc>
          <w:tcPr>
            <w:tcW w:w="286"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001-35073</w:t>
            </w:r>
          </w:p>
        </w:tc>
        <w:tc>
          <w:tcPr>
            <w:tcW w:w="286" w:type="dxa"/>
            <w:tcBorders/>
            <w:vAlign w:val="center"/>
          </w:tcPr>
          <w:p>
            <w:pPr>
              <w:pStyle w:val="TableContents"/>
              <w:bidi w:val="0"/>
              <w:spacing w:before="0" w:after="0"/>
              <w:ind w:left="0" w:right="0" w:hanging="0"/>
              <w:jc w:val="left"/>
              <w:rPr/>
            </w:pPr>
            <w:r>
              <w:rPr/>
              <w:t>​</w:t>
            </w:r>
          </w:p>
        </w:tc>
        <w:tc>
          <w:tcPr>
            <w:tcW w:w="109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August 16, 2024</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10.2</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r>
        <w:trPr/>
        <w:tc>
          <w:tcPr>
            <w:tcW w:w="654"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4080"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1093"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r>
        <w:trPr/>
        <w:tc>
          <w:tcPr>
            <w:tcW w:w="65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10.15#</w:t>
            </w:r>
          </w:p>
        </w:tc>
        <w:tc>
          <w:tcPr>
            <w:tcW w:w="286" w:type="dxa"/>
            <w:tcBorders/>
            <w:vAlign w:val="center"/>
          </w:tcPr>
          <w:p>
            <w:pPr>
              <w:pStyle w:val="TableContents"/>
              <w:bidi w:val="0"/>
              <w:spacing w:before="0" w:after="0"/>
              <w:ind w:left="0" w:right="0" w:hanging="0"/>
              <w:jc w:val="left"/>
              <w:rPr/>
            </w:pPr>
            <w:r>
              <w:rPr/>
              <w:t>​</w:t>
            </w:r>
          </w:p>
        </w:tc>
        <w:tc>
          <w:tcPr>
            <w:tcW w:w="4080" w:type="dxa"/>
            <w:tcBorders/>
            <w:vAlign w:val="center"/>
          </w:tcPr>
          <w:p>
            <w:pPr>
              <w:pStyle w:val="TableContents"/>
              <w:bidi w:val="0"/>
              <w:spacing w:before="0" w:after="0"/>
              <w:ind w:left="0" w:right="0" w:hanging="0"/>
              <w:jc w:val="left"/>
              <w:rPr/>
            </w:pPr>
            <w:hyperlink r:id="rId24">
              <w:r>
                <w:rPr>
                  <w:rStyle w:val="InternetLink"/>
                  <w:rFonts w:ascii="Times New Roman;Times;serif" w:hAnsi="Times New Roman;Times;serif"/>
                  <w:b w:val="false"/>
                  <w:i w:val="false"/>
                  <w:caps w:val="false"/>
                  <w:smallCaps w:val="false"/>
                  <w:sz w:val="20"/>
                </w:rPr>
                <w:t>Employment Agreement, dated August 12, 2024, by and among Gevo, Inc. and Paul Bloom.</w:t>
              </w:r>
            </w:hyperlink>
          </w:p>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8-K</w:t>
            </w:r>
          </w:p>
        </w:tc>
        <w:tc>
          <w:tcPr>
            <w:tcW w:w="286"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001-35073</w:t>
            </w:r>
          </w:p>
        </w:tc>
        <w:tc>
          <w:tcPr>
            <w:tcW w:w="286" w:type="dxa"/>
            <w:tcBorders/>
            <w:vAlign w:val="center"/>
          </w:tcPr>
          <w:p>
            <w:pPr>
              <w:pStyle w:val="TableContents"/>
              <w:bidi w:val="0"/>
              <w:spacing w:before="0" w:after="0"/>
              <w:ind w:left="0" w:right="0" w:hanging="0"/>
              <w:jc w:val="left"/>
              <w:rPr/>
            </w:pPr>
            <w:r>
              <w:rPr/>
              <w:t>​</w:t>
            </w:r>
          </w:p>
        </w:tc>
        <w:tc>
          <w:tcPr>
            <w:tcW w:w="109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August 16, 2024</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10.3</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r>
        <w:trPr/>
        <w:tc>
          <w:tcPr>
            <w:tcW w:w="65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10.16#</w:t>
            </w:r>
          </w:p>
        </w:tc>
        <w:tc>
          <w:tcPr>
            <w:tcW w:w="286" w:type="dxa"/>
            <w:tcBorders/>
            <w:vAlign w:val="center"/>
          </w:tcPr>
          <w:p>
            <w:pPr>
              <w:pStyle w:val="TableContents"/>
              <w:bidi w:val="0"/>
              <w:spacing w:before="0" w:after="0"/>
              <w:ind w:left="0" w:right="0" w:hanging="0"/>
              <w:jc w:val="left"/>
              <w:rPr/>
            </w:pPr>
            <w:r>
              <w:rPr/>
              <w:t>​</w:t>
            </w:r>
          </w:p>
        </w:tc>
        <w:tc>
          <w:tcPr>
            <w:tcW w:w="4080" w:type="dxa"/>
            <w:tcBorders/>
            <w:vAlign w:val="center"/>
          </w:tcPr>
          <w:p>
            <w:pPr>
              <w:pStyle w:val="TableContents"/>
              <w:bidi w:val="0"/>
              <w:spacing w:before="0" w:after="0"/>
              <w:ind w:left="0" w:right="0" w:hanging="0"/>
              <w:jc w:val="left"/>
              <w:rPr/>
            </w:pPr>
            <w:hyperlink r:id="rId25">
              <w:r>
                <w:rPr>
                  <w:rStyle w:val="InternetLink"/>
                  <w:rFonts w:ascii="Times New Roman;Times;serif" w:hAnsi="Times New Roman;Times;serif"/>
                  <w:b w:val="false"/>
                  <w:i w:val="false"/>
                  <w:caps w:val="false"/>
                  <w:smallCaps w:val="false"/>
                  <w:sz w:val="20"/>
                </w:rPr>
                <w:t>Employment Agreement, dated August 12, 2024, by and among Gevo, Inc. and Kimberly Bowron.</w:t>
              </w:r>
            </w:hyperlink>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8-K</w:t>
            </w:r>
          </w:p>
        </w:tc>
        <w:tc>
          <w:tcPr>
            <w:tcW w:w="286"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001-35073</w:t>
            </w:r>
          </w:p>
        </w:tc>
        <w:tc>
          <w:tcPr>
            <w:tcW w:w="286" w:type="dxa"/>
            <w:tcBorders/>
            <w:vAlign w:val="center"/>
          </w:tcPr>
          <w:p>
            <w:pPr>
              <w:pStyle w:val="TableContents"/>
              <w:bidi w:val="0"/>
              <w:spacing w:before="0" w:after="0"/>
              <w:ind w:left="0" w:right="0" w:hanging="0"/>
              <w:jc w:val="left"/>
              <w:rPr/>
            </w:pPr>
            <w:r>
              <w:rPr/>
              <w:t>​</w:t>
            </w:r>
          </w:p>
        </w:tc>
        <w:tc>
          <w:tcPr>
            <w:tcW w:w="109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August 16, 2024</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10.4</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r>
        <w:trPr/>
        <w:tc>
          <w:tcPr>
            <w:tcW w:w="654"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4080"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1093"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r>
        <w:trPr/>
        <w:tc>
          <w:tcPr>
            <w:tcW w:w="65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10.17#</w:t>
            </w:r>
          </w:p>
        </w:tc>
        <w:tc>
          <w:tcPr>
            <w:tcW w:w="286" w:type="dxa"/>
            <w:tcBorders/>
            <w:vAlign w:val="center"/>
          </w:tcPr>
          <w:p>
            <w:pPr>
              <w:pStyle w:val="TableContents"/>
              <w:bidi w:val="0"/>
              <w:spacing w:before="0" w:after="0"/>
              <w:ind w:left="0" w:right="0" w:hanging="0"/>
              <w:jc w:val="left"/>
              <w:rPr/>
            </w:pPr>
            <w:r>
              <w:rPr/>
              <w:t>​</w:t>
            </w:r>
          </w:p>
        </w:tc>
        <w:tc>
          <w:tcPr>
            <w:tcW w:w="4080" w:type="dxa"/>
            <w:tcBorders/>
            <w:vAlign w:val="center"/>
          </w:tcPr>
          <w:p>
            <w:pPr>
              <w:pStyle w:val="TableContents"/>
              <w:bidi w:val="0"/>
              <w:spacing w:before="0" w:after="0"/>
              <w:ind w:left="0" w:right="0" w:hanging="0"/>
              <w:jc w:val="left"/>
              <w:rPr/>
            </w:pPr>
            <w:hyperlink r:id="rId26">
              <w:r>
                <w:rPr>
                  <w:rStyle w:val="InternetLink"/>
                  <w:rFonts w:ascii="Times New Roman;Times;serif" w:hAnsi="Times New Roman;Times;serif"/>
                  <w:b w:val="false"/>
                  <w:i w:val="false"/>
                  <w:caps w:val="false"/>
                  <w:smallCaps w:val="false"/>
                  <w:sz w:val="20"/>
                </w:rPr>
                <w:t>Offer Letter, dated October 13, 2023, by and between Gevo, Inc. and Andrew Shafer.</w:t>
              </w:r>
            </w:hyperlink>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10-Q</w:t>
            </w:r>
          </w:p>
        </w:tc>
        <w:tc>
          <w:tcPr>
            <w:tcW w:w="286"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001-35073</w:t>
            </w:r>
          </w:p>
        </w:tc>
        <w:tc>
          <w:tcPr>
            <w:tcW w:w="286" w:type="dxa"/>
            <w:tcBorders/>
            <w:vAlign w:val="center"/>
          </w:tcPr>
          <w:p>
            <w:pPr>
              <w:pStyle w:val="TableContents"/>
              <w:bidi w:val="0"/>
              <w:spacing w:before="0" w:after="0"/>
              <w:ind w:left="0" w:right="0" w:hanging="0"/>
              <w:jc w:val="left"/>
              <w:rPr/>
            </w:pPr>
            <w:r>
              <w:rPr/>
              <w:t>​</w:t>
            </w:r>
          </w:p>
        </w:tc>
        <w:tc>
          <w:tcPr>
            <w:tcW w:w="109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May 13, 2025</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10.3</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r>
        <w:trPr/>
        <w:tc>
          <w:tcPr>
            <w:tcW w:w="654"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4080"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1093"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r>
        <w:trPr/>
        <w:tc>
          <w:tcPr>
            <w:tcW w:w="65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10.18#</w:t>
            </w:r>
          </w:p>
        </w:tc>
        <w:tc>
          <w:tcPr>
            <w:tcW w:w="286" w:type="dxa"/>
            <w:tcBorders/>
            <w:vAlign w:val="center"/>
          </w:tcPr>
          <w:p>
            <w:pPr>
              <w:pStyle w:val="TableContents"/>
              <w:bidi w:val="0"/>
              <w:spacing w:before="0" w:after="0"/>
              <w:ind w:left="0" w:right="0" w:hanging="0"/>
              <w:jc w:val="left"/>
              <w:rPr/>
            </w:pPr>
            <w:r>
              <w:rPr/>
              <w:t>​</w:t>
            </w:r>
          </w:p>
        </w:tc>
        <w:tc>
          <w:tcPr>
            <w:tcW w:w="4080" w:type="dxa"/>
            <w:tcBorders/>
            <w:vAlign w:val="center"/>
          </w:tcPr>
          <w:p>
            <w:pPr>
              <w:pStyle w:val="TableContents"/>
              <w:bidi w:val="0"/>
              <w:spacing w:before="0" w:after="0"/>
              <w:ind w:left="0" w:right="0" w:hanging="0"/>
              <w:jc w:val="left"/>
              <w:rPr/>
            </w:pPr>
            <w:hyperlink r:id="rId27">
              <w:r>
                <w:rPr>
                  <w:rStyle w:val="InternetLink"/>
                  <w:rFonts w:ascii="Times New Roman;Times;serif" w:hAnsi="Times New Roman;Times;serif"/>
                  <w:b w:val="false"/>
                  <w:i w:val="false"/>
                  <w:caps w:val="false"/>
                  <w:smallCaps w:val="false"/>
                  <w:sz w:val="20"/>
                </w:rPr>
                <w:t>Employment Agreement, amended and restated as of January 1, 2026, by and among Gevo, Inc. and Paul Bloom.</w:t>
              </w:r>
            </w:hyperlink>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8-K</w:t>
            </w:r>
          </w:p>
        </w:tc>
        <w:tc>
          <w:tcPr>
            <w:tcW w:w="286"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001-35073</w:t>
            </w:r>
          </w:p>
        </w:tc>
        <w:tc>
          <w:tcPr>
            <w:tcW w:w="286" w:type="dxa"/>
            <w:tcBorders/>
            <w:vAlign w:val="center"/>
          </w:tcPr>
          <w:p>
            <w:pPr>
              <w:pStyle w:val="TableContents"/>
              <w:bidi w:val="0"/>
              <w:spacing w:before="0" w:after="0"/>
              <w:ind w:left="0" w:right="0" w:hanging="0"/>
              <w:jc w:val="left"/>
              <w:rPr/>
            </w:pPr>
            <w:r>
              <w:rPr/>
              <w:t>​</w:t>
            </w:r>
          </w:p>
        </w:tc>
        <w:tc>
          <w:tcPr>
            <w:tcW w:w="109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J</w:t>
            </w:r>
            <w:r>
              <w:rPr>
                <w:rFonts w:ascii="Times New Roman;Times;serif" w:hAnsi="Times New Roman;Times;serif"/>
                <w:sz w:val="20"/>
              </w:rPr>
              <w:t>anuary 5, 2026</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r>
        <w:trPr/>
        <w:tc>
          <w:tcPr>
            <w:tcW w:w="654"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4080"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1093"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85"/>
        <w:gridCol w:w="286"/>
        <w:gridCol w:w="4376"/>
        <w:gridCol w:w="286"/>
        <w:gridCol w:w="511"/>
        <w:gridCol w:w="286"/>
        <w:gridCol w:w="643"/>
        <w:gridCol w:w="286"/>
        <w:gridCol w:w="815"/>
        <w:gridCol w:w="286"/>
        <w:gridCol w:w="631"/>
        <w:gridCol w:w="286"/>
        <w:gridCol w:w="828"/>
      </w:tblGrid>
      <w:tr>
        <w:trPr/>
        <w:tc>
          <w:tcPr>
            <w:tcW w:w="685"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217170" cy="175260"/>
                      <wp:effectExtent l="0" t="0" r="0" b="0"/>
                      <wp:wrapNone/>
                      <wp:docPr id="662" name="Frame662"/>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28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90805" cy="175260"/>
                      <wp:effectExtent l="0" t="0" r="0" b="0"/>
                      <wp:wrapNone/>
                      <wp:docPr id="663" name="Frame663"/>
                      <a:graphic xmlns:a="http://schemas.openxmlformats.org/drawingml/2006/main">
                        <a:graphicData uri="http://schemas.microsoft.com/office/word/2010/wordprocessingShape">
                          <wps:wsp>
                            <wps:cNvSpPr txBox="1"/>
                            <wps:spPr>
                              <a:xfrm>
                                <a:off x="0" y="0"/>
                                <a:ext cx="908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437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1389380" cy="175260"/>
                      <wp:effectExtent l="0" t="0" r="0" b="0"/>
                      <wp:wrapNone/>
                      <wp:docPr id="664" name="Frame664"/>
                      <a:graphic xmlns:a="http://schemas.openxmlformats.org/drawingml/2006/main">
                        <a:graphicData uri="http://schemas.microsoft.com/office/word/2010/wordprocessingShape">
                          <wps:wsp>
                            <wps:cNvSpPr txBox="1"/>
                            <wps:spPr>
                              <a:xfrm>
                                <a:off x="0" y="0"/>
                                <a:ext cx="138938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28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90805" cy="175260"/>
                      <wp:effectExtent l="0" t="0" r="0" b="0"/>
                      <wp:wrapNone/>
                      <wp:docPr id="665" name="Frame665"/>
                      <a:graphic xmlns:a="http://schemas.openxmlformats.org/drawingml/2006/main">
                        <a:graphicData uri="http://schemas.microsoft.com/office/word/2010/wordprocessingShape">
                          <wps:wsp>
                            <wps:cNvSpPr txBox="1"/>
                            <wps:spPr>
                              <a:xfrm>
                                <a:off x="0" y="0"/>
                                <a:ext cx="908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51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161925" cy="175260"/>
                      <wp:effectExtent l="0" t="0" r="0" b="0"/>
                      <wp:wrapNone/>
                      <wp:docPr id="666" name="Frame666"/>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28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90805" cy="175260"/>
                      <wp:effectExtent l="0" t="0" r="0" b="0"/>
                      <wp:wrapNone/>
                      <wp:docPr id="667" name="Frame667"/>
                      <a:graphic xmlns:a="http://schemas.openxmlformats.org/drawingml/2006/main">
                        <a:graphicData uri="http://schemas.microsoft.com/office/word/2010/wordprocessingShape">
                          <wps:wsp>
                            <wps:cNvSpPr txBox="1"/>
                            <wps:spPr>
                              <a:xfrm>
                                <a:off x="0" y="0"/>
                                <a:ext cx="908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64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203835" cy="175260"/>
                      <wp:effectExtent l="0" t="0" r="0" b="0"/>
                      <wp:wrapNone/>
                      <wp:docPr id="668" name="Frame668"/>
                      <a:graphic xmlns:a="http://schemas.openxmlformats.org/drawingml/2006/main">
                        <a:graphicData uri="http://schemas.microsoft.com/office/word/2010/wordprocessingShape">
                          <wps:wsp>
                            <wps:cNvSpPr txBox="1"/>
                            <wps:spPr>
                              <a:xfrm>
                                <a:off x="0" y="0"/>
                                <a:ext cx="20383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28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90805" cy="175260"/>
                      <wp:effectExtent l="0" t="0" r="0" b="0"/>
                      <wp:wrapNone/>
                      <wp:docPr id="669" name="Frame669"/>
                      <a:graphic xmlns:a="http://schemas.openxmlformats.org/drawingml/2006/main">
                        <a:graphicData uri="http://schemas.microsoft.com/office/word/2010/wordprocessingShape">
                          <wps:wsp>
                            <wps:cNvSpPr txBox="1"/>
                            <wps:spPr>
                              <a:xfrm>
                                <a:off x="0" y="0"/>
                                <a:ext cx="908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815"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258445" cy="175260"/>
                      <wp:effectExtent l="0" t="0" r="0" b="0"/>
                      <wp:wrapNone/>
                      <wp:docPr id="670" name="Frame670"/>
                      <a:graphic xmlns:a="http://schemas.openxmlformats.org/drawingml/2006/main">
                        <a:graphicData uri="http://schemas.microsoft.com/office/word/2010/wordprocessingShape">
                          <wps:wsp>
                            <wps:cNvSpPr txBox="1"/>
                            <wps:spPr>
                              <a:xfrm>
                                <a:off x="0" y="0"/>
                                <a:ext cx="25844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28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90805" cy="175260"/>
                      <wp:effectExtent l="0" t="0" r="0" b="0"/>
                      <wp:wrapNone/>
                      <wp:docPr id="671" name="Frame671"/>
                      <a:graphic xmlns:a="http://schemas.openxmlformats.org/drawingml/2006/main">
                        <a:graphicData uri="http://schemas.microsoft.com/office/word/2010/wordprocessingShape">
                          <wps:wsp>
                            <wps:cNvSpPr txBox="1"/>
                            <wps:spPr>
                              <a:xfrm>
                                <a:off x="0" y="0"/>
                                <a:ext cx="908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63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200025" cy="175260"/>
                      <wp:effectExtent l="0" t="0" r="0" b="0"/>
                      <wp:wrapNone/>
                      <wp:docPr id="672" name="Frame672"/>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28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90805" cy="175260"/>
                      <wp:effectExtent l="0" t="0" r="0" b="0"/>
                      <wp:wrapNone/>
                      <wp:docPr id="673" name="Frame673"/>
                      <a:graphic xmlns:a="http://schemas.openxmlformats.org/drawingml/2006/main">
                        <a:graphicData uri="http://schemas.microsoft.com/office/word/2010/wordprocessingShape">
                          <wps:wsp>
                            <wps:cNvSpPr txBox="1"/>
                            <wps:spPr>
                              <a:xfrm>
                                <a:off x="0" y="0"/>
                                <a:ext cx="908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828"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262890" cy="175260"/>
                      <wp:effectExtent l="0" t="0" r="0" b="0"/>
                      <wp:wrapNone/>
                      <wp:docPr id="674" name="Frame674"/>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685" w:type="dxa"/>
            <w:tcBorders/>
            <w:vAlign w:val="center"/>
          </w:tcPr>
          <w:p>
            <w:pPr>
              <w:pStyle w:val="TableHeading"/>
              <w:bidi w:val="0"/>
              <w:spacing w:before="0" w:after="0"/>
              <w:ind w:left="0" w:right="0" w:hanging="0"/>
              <w:jc w:val="left"/>
              <w:rPr>
                <w:rFonts w:ascii="Times New Roman;Times;serif" w:hAnsi="Times New Roman;Times;serif"/>
                <w:b w:val="false"/>
                <w:sz w:val="16"/>
              </w:rPr>
            </w:pPr>
            <w:r>
              <w:rPr>
                <w:rFonts w:ascii="Times New Roman;Times;serif" w:hAnsi="Times New Roman;Times;serif"/>
                <w:b w:val="false"/>
                <w:sz w:val="16"/>
              </w:rPr>
              <w:t>.</w:t>
            </w:r>
          </w:p>
        </w:tc>
        <w:tc>
          <w:tcPr>
            <w:tcW w:w="286" w:type="dxa"/>
            <w:tcBorders/>
            <w:vAlign w:val="center"/>
          </w:tcPr>
          <w:p>
            <w:pPr>
              <w:pStyle w:val="TableHeading"/>
              <w:bidi w:val="0"/>
              <w:spacing w:before="0" w:after="0"/>
              <w:ind w:left="0" w:right="0" w:hanging="0"/>
              <w:jc w:val="left"/>
              <w:rPr/>
            </w:pPr>
            <w:r>
              <w:rPr/>
              <w:t>​</w:t>
            </w:r>
          </w:p>
        </w:tc>
        <w:tc>
          <w:tcPr>
            <w:tcW w:w="4376" w:type="dxa"/>
            <w:tcBorders/>
            <w:vAlign w:val="center"/>
          </w:tcPr>
          <w:p>
            <w:pPr>
              <w:pStyle w:val="TableHeading"/>
              <w:bidi w:val="0"/>
              <w:spacing w:before="0" w:after="0"/>
              <w:ind w:left="0" w:right="0" w:hanging="0"/>
              <w:jc w:val="left"/>
              <w:rPr/>
            </w:pPr>
            <w:r>
              <w:rPr/>
              <w:t>​</w:t>
            </w:r>
          </w:p>
        </w:tc>
        <w:tc>
          <w:tcPr>
            <w:tcW w:w="286" w:type="dxa"/>
            <w:tcBorders/>
            <w:vAlign w:val="center"/>
          </w:tcPr>
          <w:p>
            <w:pPr>
              <w:pStyle w:val="TableHeading"/>
              <w:bidi w:val="0"/>
              <w:spacing w:before="0" w:after="0"/>
              <w:ind w:left="0" w:right="0" w:hanging="0"/>
              <w:jc w:val="left"/>
              <w:rPr/>
            </w:pPr>
            <w:r>
              <w:rPr/>
              <w:t>​</w:t>
            </w:r>
          </w:p>
        </w:tc>
        <w:tc>
          <w:tcPr>
            <w:tcW w:w="3458" w:type="dxa"/>
            <w:gridSpan w:val="7"/>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r>
          </w:p>
        </w:tc>
        <w:tc>
          <w:tcPr>
            <w:tcW w:w="286" w:type="dxa"/>
            <w:tcBorders/>
            <w:vAlign w:val="center"/>
          </w:tcPr>
          <w:p>
            <w:pPr>
              <w:pStyle w:val="TableHeading"/>
              <w:bidi w:val="0"/>
              <w:spacing w:before="0" w:after="0"/>
              <w:ind w:left="0" w:right="0" w:hanging="0"/>
              <w:jc w:val="left"/>
              <w:rPr/>
            </w:pPr>
            <w:r>
              <w:rPr/>
              <w:t>​</w:t>
            </w:r>
          </w:p>
        </w:tc>
        <w:tc>
          <w:tcPr>
            <w:tcW w:w="828" w:type="dxa"/>
            <w:tcBorders/>
            <w:vAlign w:val="center"/>
          </w:tcPr>
          <w:p>
            <w:pPr>
              <w:pStyle w:val="TableHeading"/>
              <w:bidi w:val="0"/>
              <w:spacing w:before="0" w:after="0"/>
              <w:ind w:left="0" w:right="0" w:hanging="0"/>
              <w:jc w:val="left"/>
              <w:rPr/>
            </w:pPr>
            <w:r>
              <w:rPr/>
              <w:t>​</w:t>
            </w:r>
          </w:p>
        </w:tc>
      </w:tr>
      <w:tr>
        <w:trPr/>
        <w:tc>
          <w:tcPr>
            <w:tcW w:w="685"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No.</w:t>
            </w:r>
          </w:p>
        </w:tc>
        <w:tc>
          <w:tcPr>
            <w:tcW w:w="286" w:type="dxa"/>
            <w:tcBorders/>
            <w:vAlign w:val="center"/>
          </w:tcPr>
          <w:p>
            <w:pPr>
              <w:pStyle w:val="TableHeading"/>
              <w:bidi w:val="0"/>
              <w:spacing w:before="0" w:after="0"/>
              <w:ind w:left="0" w:right="0" w:hanging="0"/>
              <w:jc w:val="left"/>
              <w:rPr/>
            </w:pPr>
            <w:r>
              <w:rPr/>
              <w:t>  ​ ​</w:t>
            </w:r>
          </w:p>
        </w:tc>
        <w:tc>
          <w:tcPr>
            <w:tcW w:w="4376"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c>
          <w:tcPr>
            <w:tcW w:w="286" w:type="dxa"/>
            <w:tcBorders/>
            <w:vAlign w:val="center"/>
          </w:tcPr>
          <w:p>
            <w:pPr>
              <w:pStyle w:val="TableHeading"/>
              <w:bidi w:val="0"/>
              <w:spacing w:before="0" w:after="0"/>
              <w:ind w:left="0" w:right="0" w:hanging="0"/>
              <w:jc w:val="left"/>
              <w:rPr/>
            </w:pPr>
            <w:r>
              <w:rPr/>
              <w:t>  ​ ​</w:t>
            </w:r>
          </w:p>
        </w:tc>
        <w:tc>
          <w:tcPr>
            <w:tcW w:w="511"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286" w:type="dxa"/>
            <w:tcBorders>
              <w:top w:val="single" w:sz="2" w:space="0" w:color="000000"/>
            </w:tcBorders>
            <w:tcMar>
              <w:top w:w="28" w:type="dxa"/>
            </w:tcMar>
            <w:vAlign w:val="center"/>
          </w:tcPr>
          <w:p>
            <w:pPr>
              <w:pStyle w:val="TableHeading"/>
              <w:bidi w:val="0"/>
              <w:spacing w:before="0" w:after="0"/>
              <w:ind w:left="0" w:right="0" w:hanging="0"/>
              <w:jc w:val="left"/>
              <w:rPr/>
            </w:pPr>
            <w:r>
              <w:rPr/>
              <w:t>  ​ ​</w:t>
            </w:r>
          </w:p>
        </w:tc>
        <w:tc>
          <w:tcPr>
            <w:tcW w:w="643"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286" w:type="dxa"/>
            <w:tcBorders>
              <w:top w:val="single" w:sz="2" w:space="0" w:color="000000"/>
            </w:tcBorders>
            <w:tcMar>
              <w:top w:w="28" w:type="dxa"/>
            </w:tcMar>
            <w:vAlign w:val="center"/>
          </w:tcPr>
          <w:p>
            <w:pPr>
              <w:pStyle w:val="TableHeading"/>
              <w:bidi w:val="0"/>
              <w:spacing w:before="0" w:after="0"/>
              <w:ind w:left="0" w:right="0" w:hanging="0"/>
              <w:jc w:val="left"/>
              <w:rPr/>
            </w:pPr>
            <w:r>
              <w:rPr/>
              <w:t>  ​ ​</w:t>
            </w:r>
          </w:p>
        </w:tc>
        <w:tc>
          <w:tcPr>
            <w:tcW w:w="815"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 Date</w:t>
            </w:r>
          </w:p>
        </w:tc>
        <w:tc>
          <w:tcPr>
            <w:tcW w:w="286" w:type="dxa"/>
            <w:tcBorders>
              <w:top w:val="single" w:sz="2" w:space="0" w:color="000000"/>
            </w:tcBorders>
            <w:tcMar>
              <w:top w:w="28" w:type="dxa"/>
            </w:tcMar>
            <w:vAlign w:val="center"/>
          </w:tcPr>
          <w:p>
            <w:pPr>
              <w:pStyle w:val="TableHeading"/>
              <w:bidi w:val="0"/>
              <w:spacing w:before="0" w:after="0"/>
              <w:ind w:left="0" w:right="0" w:hanging="0"/>
              <w:jc w:val="left"/>
              <w:rPr/>
            </w:pPr>
            <w:r>
              <w:rPr/>
              <w:t>  ​ ​</w:t>
            </w:r>
          </w:p>
        </w:tc>
        <w:tc>
          <w:tcPr>
            <w:tcW w:w="631"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286" w:type="dxa"/>
            <w:tcBorders/>
            <w:vAlign w:val="center"/>
          </w:tcPr>
          <w:p>
            <w:pPr>
              <w:pStyle w:val="TableHeading"/>
              <w:bidi w:val="0"/>
              <w:spacing w:before="0" w:after="0"/>
              <w:ind w:left="0" w:right="0" w:hanging="0"/>
              <w:jc w:val="left"/>
              <w:rPr/>
            </w:pPr>
            <w:r>
              <w:rPr/>
              <w:t>  ​ ​</w:t>
            </w:r>
          </w:p>
        </w:tc>
        <w:tc>
          <w:tcPr>
            <w:tcW w:w="828"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Filed</w:t>
              <w:br/>
              <w:t>Herewith</w:t>
            </w:r>
          </w:p>
        </w:tc>
      </w:tr>
      <w:tr>
        <w:trPr/>
        <w:tc>
          <w:tcPr>
            <w:tcW w:w="685"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286" w:type="dxa"/>
            <w:tcBorders/>
            <w:vAlign w:val="center"/>
          </w:tcPr>
          <w:p>
            <w:pPr>
              <w:pStyle w:val="TableHeading"/>
              <w:bidi w:val="0"/>
              <w:spacing w:before="0" w:after="0"/>
              <w:ind w:left="0" w:right="0" w:hanging="0"/>
              <w:jc w:val="left"/>
              <w:rPr/>
            </w:pPr>
            <w:r>
              <w:rPr/>
              <w:t>​</w:t>
            </w:r>
          </w:p>
        </w:tc>
        <w:tc>
          <w:tcPr>
            <w:tcW w:w="4376"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286" w:type="dxa"/>
            <w:tcBorders/>
            <w:vAlign w:val="center"/>
          </w:tcPr>
          <w:p>
            <w:pPr>
              <w:pStyle w:val="TableHeading"/>
              <w:bidi w:val="0"/>
              <w:spacing w:before="0" w:after="0"/>
              <w:ind w:left="0" w:right="0" w:hanging="0"/>
              <w:jc w:val="left"/>
              <w:rPr/>
            </w:pPr>
            <w:r>
              <w:rPr/>
              <w:t>​</w:t>
            </w:r>
          </w:p>
        </w:tc>
        <w:tc>
          <w:tcPr>
            <w:tcW w:w="511"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286" w:type="dxa"/>
            <w:tcBorders/>
            <w:vAlign w:val="center"/>
          </w:tcPr>
          <w:p>
            <w:pPr>
              <w:pStyle w:val="TableHeading"/>
              <w:bidi w:val="0"/>
              <w:spacing w:before="0" w:after="0"/>
              <w:ind w:left="0" w:right="0" w:hanging="0"/>
              <w:jc w:val="left"/>
              <w:rPr/>
            </w:pPr>
            <w:r>
              <w:rPr/>
              <w:t>​</w:t>
            </w:r>
          </w:p>
        </w:tc>
        <w:tc>
          <w:tcPr>
            <w:tcW w:w="643"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286" w:type="dxa"/>
            <w:tcBorders/>
            <w:vAlign w:val="center"/>
          </w:tcPr>
          <w:p>
            <w:pPr>
              <w:pStyle w:val="TableHeading"/>
              <w:bidi w:val="0"/>
              <w:spacing w:before="0" w:after="0"/>
              <w:ind w:left="0" w:right="0" w:hanging="0"/>
              <w:jc w:val="left"/>
              <w:rPr/>
            </w:pPr>
            <w:r>
              <w:rPr/>
              <w:t>​</w:t>
            </w:r>
          </w:p>
        </w:tc>
        <w:tc>
          <w:tcPr>
            <w:tcW w:w="815"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286" w:type="dxa"/>
            <w:tcBorders/>
            <w:vAlign w:val="center"/>
          </w:tcPr>
          <w:p>
            <w:pPr>
              <w:pStyle w:val="TableHeading"/>
              <w:bidi w:val="0"/>
              <w:spacing w:before="0" w:after="0"/>
              <w:ind w:left="0" w:right="0" w:hanging="0"/>
              <w:jc w:val="left"/>
              <w:rPr/>
            </w:pPr>
            <w:r>
              <w:rPr/>
              <w:t>​</w:t>
            </w:r>
          </w:p>
        </w:tc>
        <w:tc>
          <w:tcPr>
            <w:tcW w:w="631"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286" w:type="dxa"/>
            <w:tcBorders/>
            <w:vAlign w:val="center"/>
          </w:tcPr>
          <w:p>
            <w:pPr>
              <w:pStyle w:val="TableHeading"/>
              <w:bidi w:val="0"/>
              <w:spacing w:before="0" w:after="0"/>
              <w:ind w:left="0" w:right="0" w:hanging="0"/>
              <w:jc w:val="left"/>
              <w:rPr/>
            </w:pPr>
            <w:r>
              <w:rPr/>
              <w:t>​</w:t>
            </w:r>
          </w:p>
        </w:tc>
        <w:tc>
          <w:tcPr>
            <w:tcW w:w="828"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r>
      <w:tr>
        <w:trPr/>
        <w:tc>
          <w:tcPr>
            <w:tcW w:w="68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10.19#</w:t>
            </w:r>
          </w:p>
        </w:tc>
        <w:tc>
          <w:tcPr>
            <w:tcW w:w="286" w:type="dxa"/>
            <w:tcBorders/>
            <w:vAlign w:val="center"/>
          </w:tcPr>
          <w:p>
            <w:pPr>
              <w:pStyle w:val="TableContents"/>
              <w:bidi w:val="0"/>
              <w:spacing w:before="0" w:after="0"/>
              <w:ind w:left="0" w:right="0" w:hanging="0"/>
              <w:jc w:val="left"/>
              <w:rPr/>
            </w:pPr>
            <w:r>
              <w:rPr/>
              <w:t>​</w:t>
            </w:r>
          </w:p>
        </w:tc>
        <w:tc>
          <w:tcPr>
            <w:tcW w:w="4376" w:type="dxa"/>
            <w:tcBorders/>
            <w:vAlign w:val="center"/>
          </w:tcPr>
          <w:p>
            <w:pPr>
              <w:pStyle w:val="TableContents"/>
              <w:bidi w:val="0"/>
              <w:spacing w:before="0" w:after="0"/>
              <w:ind w:left="0" w:right="0" w:hanging="0"/>
              <w:jc w:val="left"/>
              <w:rPr/>
            </w:pPr>
            <w:hyperlink r:id="rId28">
              <w:r>
                <w:rPr>
                  <w:rStyle w:val="InternetLink"/>
                  <w:rFonts w:ascii="Times New Roman;Times;serif" w:hAnsi="Times New Roman;Times;serif"/>
                  <w:b w:val="false"/>
                  <w:i w:val="false"/>
                  <w:caps w:val="false"/>
                  <w:smallCaps w:val="false"/>
                  <w:sz w:val="20"/>
                </w:rPr>
                <w:t>Employment Agreement, dated January 1, 2025, by and among Gevo, Inc. and Oluwagbemileke Agiri.</w:t>
              </w:r>
            </w:hyperlink>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8-K</w:t>
            </w:r>
          </w:p>
        </w:tc>
        <w:tc>
          <w:tcPr>
            <w:tcW w:w="286"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001-35073</w:t>
            </w:r>
          </w:p>
        </w:tc>
        <w:tc>
          <w:tcPr>
            <w:tcW w:w="286"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January 5, 2026</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10.2</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r>
        <w:trPr/>
        <w:tc>
          <w:tcPr>
            <w:tcW w:w="685"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437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r>
        <w:trPr/>
        <w:tc>
          <w:tcPr>
            <w:tcW w:w="68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10.20</w:t>
            </w:r>
          </w:p>
        </w:tc>
        <w:tc>
          <w:tcPr>
            <w:tcW w:w="286" w:type="dxa"/>
            <w:tcBorders/>
            <w:vAlign w:val="center"/>
          </w:tcPr>
          <w:p>
            <w:pPr>
              <w:pStyle w:val="TableContents"/>
              <w:bidi w:val="0"/>
              <w:spacing w:before="0" w:after="0"/>
              <w:ind w:left="0" w:right="0" w:hanging="0"/>
              <w:jc w:val="left"/>
              <w:rPr/>
            </w:pPr>
            <w:r>
              <w:rPr/>
              <w:t>​</w:t>
            </w:r>
          </w:p>
        </w:tc>
        <w:tc>
          <w:tcPr>
            <w:tcW w:w="4376" w:type="dxa"/>
            <w:tcBorders/>
            <w:vAlign w:val="center"/>
          </w:tcPr>
          <w:p>
            <w:pPr>
              <w:pStyle w:val="TableContents"/>
              <w:bidi w:val="0"/>
              <w:spacing w:before="0" w:after="0"/>
              <w:ind w:left="0" w:right="0" w:hanging="0"/>
              <w:jc w:val="left"/>
              <w:rPr/>
            </w:pPr>
            <w:hyperlink r:id="rId29">
              <w:r>
                <w:rPr>
                  <w:rStyle w:val="InternetLink"/>
                  <w:rFonts w:ascii="Times New Roman;Times;serif" w:hAnsi="Times New Roman;Times;serif"/>
                  <w:b w:val="false"/>
                  <w:i w:val="false"/>
                  <w:caps w:val="false"/>
                  <w:smallCaps w:val="false"/>
                  <w:sz w:val="20"/>
                </w:rPr>
                <w:t>Form of Tax Credit Transfer Agreement.</w:t>
              </w:r>
            </w:hyperlink>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8-K</w:t>
            </w:r>
          </w:p>
        </w:tc>
        <w:tc>
          <w:tcPr>
            <w:tcW w:w="286"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001-35073</w:t>
            </w:r>
          </w:p>
        </w:tc>
        <w:tc>
          <w:tcPr>
            <w:tcW w:w="286"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July 7, 2025</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r>
        <w:trPr/>
        <w:tc>
          <w:tcPr>
            <w:tcW w:w="685"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437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r>
        <w:trPr/>
        <w:tc>
          <w:tcPr>
            <w:tcW w:w="68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10.21††</w:t>
            </w:r>
          </w:p>
        </w:tc>
        <w:tc>
          <w:tcPr>
            <w:tcW w:w="286" w:type="dxa"/>
            <w:tcBorders/>
            <w:vAlign w:val="center"/>
          </w:tcPr>
          <w:p>
            <w:pPr>
              <w:pStyle w:val="TableContents"/>
              <w:bidi w:val="0"/>
              <w:spacing w:before="0" w:after="0"/>
              <w:ind w:left="0" w:right="0" w:hanging="0"/>
              <w:jc w:val="left"/>
              <w:rPr/>
            </w:pPr>
            <w:r>
              <w:rPr/>
              <w:t>​</w:t>
            </w:r>
          </w:p>
        </w:tc>
        <w:tc>
          <w:tcPr>
            <w:tcW w:w="4376" w:type="dxa"/>
            <w:tcBorders/>
            <w:vAlign w:val="center"/>
          </w:tcPr>
          <w:p>
            <w:pPr>
              <w:pStyle w:val="TableContents"/>
              <w:bidi w:val="0"/>
              <w:spacing w:before="0" w:after="0"/>
              <w:ind w:left="0" w:right="0" w:hanging="0"/>
              <w:jc w:val="left"/>
              <w:rPr/>
            </w:pPr>
            <w:hyperlink r:id="rId30">
              <w:r>
                <w:rPr>
                  <w:rStyle w:val="InternetLink"/>
                  <w:rFonts w:ascii="Times New Roman;Times;serif" w:hAnsi="Times New Roman;Times;serif"/>
                  <w:b w:val="false"/>
                  <w:i w:val="false"/>
                  <w:caps w:val="false"/>
                  <w:smallCaps w:val="false"/>
                  <w:sz w:val="20"/>
                </w:rPr>
                <w:t>Bond Financing Agreement, dated as of July 10, 2025, by and between Gevo NW Iowa RNG, LLC and the Iowa Finance Authority.</w:t>
              </w:r>
            </w:hyperlink>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8-K</w:t>
            </w:r>
          </w:p>
        </w:tc>
        <w:tc>
          <w:tcPr>
            <w:tcW w:w="286"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001-35073</w:t>
            </w:r>
          </w:p>
        </w:tc>
        <w:tc>
          <w:tcPr>
            <w:tcW w:w="286"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July 10, 2025</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r>
        <w:trPr/>
        <w:tc>
          <w:tcPr>
            <w:tcW w:w="685"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437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r>
        <w:trPr/>
        <w:tc>
          <w:tcPr>
            <w:tcW w:w="68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19.1</w:t>
            </w:r>
          </w:p>
        </w:tc>
        <w:tc>
          <w:tcPr>
            <w:tcW w:w="286" w:type="dxa"/>
            <w:tcBorders/>
            <w:vAlign w:val="center"/>
          </w:tcPr>
          <w:p>
            <w:pPr>
              <w:pStyle w:val="TableContents"/>
              <w:bidi w:val="0"/>
              <w:spacing w:before="0" w:after="0"/>
              <w:ind w:left="0" w:right="0" w:hanging="0"/>
              <w:jc w:val="left"/>
              <w:rPr/>
            </w:pPr>
            <w:r>
              <w:rPr/>
              <w:t>​</w:t>
            </w:r>
          </w:p>
        </w:tc>
        <w:tc>
          <w:tcPr>
            <w:tcW w:w="4376" w:type="dxa"/>
            <w:tcBorders/>
            <w:vAlign w:val="center"/>
          </w:tcPr>
          <w:p>
            <w:pPr>
              <w:pStyle w:val="TableContents"/>
              <w:bidi w:val="0"/>
              <w:spacing w:before="0" w:after="0"/>
              <w:ind w:left="0" w:right="0" w:hanging="0"/>
              <w:jc w:val="left"/>
              <w:rPr/>
            </w:pPr>
            <w:hyperlink w:anchor="gevo-20251231xex19d1.htm">
              <w:r>
                <w:rPr>
                  <w:rStyle w:val="InternetLink"/>
                  <w:rFonts w:ascii="Times New Roman;Times;serif" w:hAnsi="Times New Roman;Times;serif"/>
                  <w:b w:val="false"/>
                  <w:i w:val="false"/>
                  <w:caps w:val="false"/>
                  <w:smallCaps w:val="false"/>
                  <w:sz w:val="20"/>
                </w:rPr>
                <w:t>Insider Trading Policy.</w:t>
              </w:r>
            </w:hyperlink>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r>
      <w:tr>
        <w:trPr/>
        <w:tc>
          <w:tcPr>
            <w:tcW w:w="685"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437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r>
        <w:trPr/>
        <w:tc>
          <w:tcPr>
            <w:tcW w:w="68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21.1</w:t>
            </w:r>
          </w:p>
        </w:tc>
        <w:tc>
          <w:tcPr>
            <w:tcW w:w="286" w:type="dxa"/>
            <w:tcBorders/>
            <w:vAlign w:val="center"/>
          </w:tcPr>
          <w:p>
            <w:pPr>
              <w:pStyle w:val="TableContents"/>
              <w:bidi w:val="0"/>
              <w:spacing w:before="0" w:after="0"/>
              <w:ind w:left="0" w:right="0" w:hanging="0"/>
              <w:jc w:val="left"/>
              <w:rPr/>
            </w:pPr>
            <w:r>
              <w:rPr/>
              <w:t>​</w:t>
            </w:r>
          </w:p>
        </w:tc>
        <w:tc>
          <w:tcPr>
            <w:tcW w:w="4376" w:type="dxa"/>
            <w:tcBorders/>
            <w:vAlign w:val="center"/>
          </w:tcPr>
          <w:p>
            <w:pPr>
              <w:pStyle w:val="TableContents"/>
              <w:bidi w:val="0"/>
              <w:spacing w:before="0" w:after="0"/>
              <w:ind w:left="0" w:right="0" w:hanging="0"/>
              <w:jc w:val="left"/>
              <w:rPr/>
            </w:pPr>
            <w:hyperlink w:anchor="gevo-20251231xex21d1.htm">
              <w:r>
                <w:rPr>
                  <w:rStyle w:val="InternetLink"/>
                  <w:rFonts w:ascii="Times New Roman;Times;serif" w:hAnsi="Times New Roman;Times;serif"/>
                  <w:b w:val="false"/>
                  <w:i w:val="false"/>
                  <w:caps w:val="false"/>
                  <w:smallCaps w:val="false"/>
                  <w:sz w:val="20"/>
                </w:rPr>
                <w:t>List of Subsidiaries.</w:t>
              </w:r>
            </w:hyperlink>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r>
      <w:tr>
        <w:trPr/>
        <w:tc>
          <w:tcPr>
            <w:tcW w:w="685"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437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r>
        <w:trPr/>
        <w:tc>
          <w:tcPr>
            <w:tcW w:w="68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23.1</w:t>
            </w:r>
          </w:p>
        </w:tc>
        <w:tc>
          <w:tcPr>
            <w:tcW w:w="286" w:type="dxa"/>
            <w:tcBorders/>
            <w:vAlign w:val="center"/>
          </w:tcPr>
          <w:p>
            <w:pPr>
              <w:pStyle w:val="TableContents"/>
              <w:bidi w:val="0"/>
              <w:spacing w:before="0" w:after="0"/>
              <w:ind w:left="0" w:right="0" w:hanging="0"/>
              <w:jc w:val="left"/>
              <w:rPr/>
            </w:pPr>
            <w:r>
              <w:rPr/>
              <w:t>​</w:t>
            </w:r>
          </w:p>
        </w:tc>
        <w:tc>
          <w:tcPr>
            <w:tcW w:w="4376" w:type="dxa"/>
            <w:tcBorders/>
            <w:vAlign w:val="center"/>
          </w:tcPr>
          <w:p>
            <w:pPr>
              <w:pStyle w:val="TableContents"/>
              <w:bidi w:val="0"/>
              <w:spacing w:before="0" w:after="0"/>
              <w:ind w:left="0" w:right="0" w:hanging="0"/>
              <w:jc w:val="left"/>
              <w:rPr/>
            </w:pPr>
            <w:hyperlink w:anchor="gevo-20251231xex23d1.htm">
              <w:r>
                <w:rPr>
                  <w:rStyle w:val="InternetLink"/>
                  <w:rFonts w:ascii="Times New Roman;Times;serif" w:hAnsi="Times New Roman;Times;serif"/>
                  <w:b w:val="false"/>
                  <w:i w:val="false"/>
                  <w:caps w:val="false"/>
                  <w:smallCaps w:val="false"/>
                  <w:sz w:val="20"/>
                </w:rPr>
                <w:t>Consent of Deloitte &amp; Touche LLP</w:t>
              </w:r>
            </w:hyperlink>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r>
      <w:tr>
        <w:trPr/>
        <w:tc>
          <w:tcPr>
            <w:tcW w:w="685"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437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center"/>
              <w:rPr/>
            </w:pPr>
            <w:r>
              <w:rPr/>
              <w:t>​</w:t>
            </w:r>
          </w:p>
        </w:tc>
      </w:tr>
      <w:tr>
        <w:trPr/>
        <w:tc>
          <w:tcPr>
            <w:tcW w:w="68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31.1</w:t>
            </w:r>
          </w:p>
        </w:tc>
        <w:tc>
          <w:tcPr>
            <w:tcW w:w="286" w:type="dxa"/>
            <w:tcBorders/>
            <w:vAlign w:val="center"/>
          </w:tcPr>
          <w:p>
            <w:pPr>
              <w:pStyle w:val="TableContents"/>
              <w:bidi w:val="0"/>
              <w:spacing w:before="0" w:after="0"/>
              <w:ind w:left="0" w:right="0" w:hanging="0"/>
              <w:jc w:val="left"/>
              <w:rPr/>
            </w:pPr>
            <w:r>
              <w:rPr/>
              <w:t>​</w:t>
            </w:r>
          </w:p>
        </w:tc>
        <w:tc>
          <w:tcPr>
            <w:tcW w:w="4376" w:type="dxa"/>
            <w:tcBorders/>
            <w:vAlign w:val="center"/>
          </w:tcPr>
          <w:p>
            <w:pPr>
              <w:pStyle w:val="TableContents"/>
              <w:bidi w:val="0"/>
              <w:spacing w:before="0" w:after="0"/>
              <w:ind w:left="0" w:right="0" w:hanging="0"/>
              <w:jc w:val="left"/>
              <w:rPr/>
            </w:pPr>
            <w:hyperlink w:anchor="gevo-20251231xex31d1.htm">
              <w:r>
                <w:rPr>
                  <w:rStyle w:val="InternetLink"/>
                  <w:rFonts w:ascii="Times New Roman;Times;serif" w:hAnsi="Times New Roman;Times;serif"/>
                  <w:b w:val="false"/>
                  <w:i w:val="false"/>
                  <w:caps w:val="false"/>
                  <w:smallCaps w:val="false"/>
                  <w:sz w:val="20"/>
                </w:rPr>
                <w:t>Section 302 Certification of the Principal Executive Officer.</w:t>
              </w:r>
            </w:hyperlink>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r>
      <w:tr>
        <w:trPr/>
        <w:tc>
          <w:tcPr>
            <w:tcW w:w="685"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437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center"/>
              <w:rPr/>
            </w:pPr>
            <w:r>
              <w:rPr/>
              <w:t>​</w:t>
            </w:r>
          </w:p>
        </w:tc>
      </w:tr>
      <w:tr>
        <w:trPr/>
        <w:tc>
          <w:tcPr>
            <w:tcW w:w="68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31.2</w:t>
            </w:r>
          </w:p>
        </w:tc>
        <w:tc>
          <w:tcPr>
            <w:tcW w:w="286" w:type="dxa"/>
            <w:tcBorders/>
            <w:vAlign w:val="center"/>
          </w:tcPr>
          <w:p>
            <w:pPr>
              <w:pStyle w:val="TableContents"/>
              <w:bidi w:val="0"/>
              <w:spacing w:before="0" w:after="0"/>
              <w:ind w:left="0" w:right="0" w:hanging="0"/>
              <w:jc w:val="left"/>
              <w:rPr/>
            </w:pPr>
            <w:r>
              <w:rPr/>
              <w:t>​</w:t>
            </w:r>
          </w:p>
        </w:tc>
        <w:tc>
          <w:tcPr>
            <w:tcW w:w="4376" w:type="dxa"/>
            <w:tcBorders/>
            <w:vAlign w:val="center"/>
          </w:tcPr>
          <w:p>
            <w:pPr>
              <w:pStyle w:val="TableContents"/>
              <w:bidi w:val="0"/>
              <w:spacing w:before="0" w:after="0"/>
              <w:ind w:left="0" w:right="0" w:hanging="0"/>
              <w:jc w:val="left"/>
              <w:rPr/>
            </w:pPr>
            <w:hyperlink w:anchor="gevo-20251231xex31d2.htm">
              <w:r>
                <w:rPr>
                  <w:rStyle w:val="InternetLink"/>
                  <w:rFonts w:ascii="Times New Roman;Times;serif" w:hAnsi="Times New Roman;Times;serif"/>
                  <w:b w:val="false"/>
                  <w:i w:val="false"/>
                  <w:caps w:val="false"/>
                  <w:smallCaps w:val="false"/>
                  <w:sz w:val="20"/>
                </w:rPr>
                <w:t>Section 302 Certification of the Principal Financial Officer.</w:t>
              </w:r>
            </w:hyperlink>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r>
      <w:tr>
        <w:trPr/>
        <w:tc>
          <w:tcPr>
            <w:tcW w:w="685"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437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center"/>
              <w:rPr/>
            </w:pPr>
            <w:r>
              <w:rPr/>
              <w:t>​</w:t>
            </w:r>
          </w:p>
        </w:tc>
      </w:tr>
      <w:tr>
        <w:trPr/>
        <w:tc>
          <w:tcPr>
            <w:tcW w:w="68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32.1 *</w:t>
            </w:r>
          </w:p>
        </w:tc>
        <w:tc>
          <w:tcPr>
            <w:tcW w:w="286" w:type="dxa"/>
            <w:tcBorders/>
            <w:vAlign w:val="center"/>
          </w:tcPr>
          <w:p>
            <w:pPr>
              <w:pStyle w:val="TableContents"/>
              <w:bidi w:val="0"/>
              <w:spacing w:before="0" w:after="0"/>
              <w:ind w:left="0" w:right="0" w:hanging="0"/>
              <w:jc w:val="left"/>
              <w:rPr/>
            </w:pPr>
            <w:r>
              <w:rPr/>
              <w:t>​</w:t>
            </w:r>
          </w:p>
        </w:tc>
        <w:tc>
          <w:tcPr>
            <w:tcW w:w="4376" w:type="dxa"/>
            <w:tcBorders/>
            <w:vAlign w:val="center"/>
          </w:tcPr>
          <w:p>
            <w:pPr>
              <w:pStyle w:val="TableContents"/>
              <w:bidi w:val="0"/>
              <w:spacing w:before="0" w:after="0"/>
              <w:ind w:left="0" w:right="0" w:hanging="0"/>
              <w:jc w:val="left"/>
              <w:rPr/>
            </w:pPr>
            <w:hyperlink w:anchor="gevo-20251231xex32d1.htm">
              <w:r>
                <w:rPr>
                  <w:rStyle w:val="InternetLink"/>
                  <w:rFonts w:ascii="Times New Roman;Times;serif" w:hAnsi="Times New Roman;Times;serif"/>
                  <w:b w:val="false"/>
                  <w:i w:val="false"/>
                  <w:caps w:val="false"/>
                  <w:smallCaps w:val="false"/>
                  <w:sz w:val="20"/>
                </w:rPr>
                <w:t>Section 906 Certifications of the Principal Executive Officer and the Principal Financial Officer.</w:t>
              </w:r>
            </w:hyperlink>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r>
      <w:tr>
        <w:trPr/>
        <w:tc>
          <w:tcPr>
            <w:tcW w:w="685"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437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center"/>
              <w:rPr/>
            </w:pPr>
            <w:r>
              <w:rPr/>
              <w:t>​</w:t>
            </w:r>
          </w:p>
        </w:tc>
      </w:tr>
      <w:tr>
        <w:trPr/>
        <w:tc>
          <w:tcPr>
            <w:tcW w:w="68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97</w:t>
            </w:r>
          </w:p>
        </w:tc>
        <w:tc>
          <w:tcPr>
            <w:tcW w:w="286" w:type="dxa"/>
            <w:tcBorders/>
            <w:vAlign w:val="center"/>
          </w:tcPr>
          <w:p>
            <w:pPr>
              <w:pStyle w:val="TableContents"/>
              <w:bidi w:val="0"/>
              <w:spacing w:before="0" w:after="0"/>
              <w:ind w:left="0" w:right="0" w:hanging="0"/>
              <w:jc w:val="left"/>
              <w:rPr/>
            </w:pPr>
            <w:r>
              <w:rPr/>
              <w:t>​</w:t>
            </w:r>
          </w:p>
        </w:tc>
        <w:tc>
          <w:tcPr>
            <w:tcW w:w="4376" w:type="dxa"/>
            <w:tcBorders/>
            <w:vAlign w:val="center"/>
          </w:tcPr>
          <w:p>
            <w:pPr>
              <w:pStyle w:val="TableContents"/>
              <w:bidi w:val="0"/>
              <w:spacing w:before="0" w:after="0"/>
              <w:ind w:left="0" w:right="0" w:hanging="0"/>
              <w:jc w:val="left"/>
              <w:rPr/>
            </w:pPr>
            <w:hyperlink r:id="rId31">
              <w:r>
                <w:rPr>
                  <w:rStyle w:val="InternetLink"/>
                  <w:rFonts w:ascii="Times New Roman;Times;serif" w:hAnsi="Times New Roman;Times;serif"/>
                  <w:b w:val="false"/>
                  <w:i w:val="false"/>
                  <w:caps w:val="false"/>
                  <w:smallCaps w:val="false"/>
                  <w:sz w:val="20"/>
                </w:rPr>
                <w:t>Gevo, Inc. Compensation Recovery Policy</w:t>
              </w:r>
            </w:hyperlink>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10-K</w:t>
            </w:r>
          </w:p>
        </w:tc>
        <w:tc>
          <w:tcPr>
            <w:tcW w:w="286"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001-35073</w:t>
            </w:r>
          </w:p>
        </w:tc>
        <w:tc>
          <w:tcPr>
            <w:tcW w:w="286"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March 7, 2024</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97</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center"/>
              <w:rPr/>
            </w:pPr>
            <w:r>
              <w:rPr/>
              <w:t>​</w:t>
            </w:r>
          </w:p>
        </w:tc>
      </w:tr>
      <w:tr>
        <w:trPr/>
        <w:tc>
          <w:tcPr>
            <w:tcW w:w="685"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437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center"/>
              <w:rPr/>
            </w:pPr>
            <w:r>
              <w:rPr/>
              <w:t>​</w:t>
            </w:r>
          </w:p>
        </w:tc>
      </w:tr>
      <w:tr>
        <w:trPr/>
        <w:tc>
          <w:tcPr>
            <w:tcW w:w="68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101.INS</w:t>
            </w:r>
          </w:p>
        </w:tc>
        <w:tc>
          <w:tcPr>
            <w:tcW w:w="286" w:type="dxa"/>
            <w:tcBorders/>
            <w:vAlign w:val="center"/>
          </w:tcPr>
          <w:p>
            <w:pPr>
              <w:pStyle w:val="TableContents"/>
              <w:bidi w:val="0"/>
              <w:spacing w:before="0" w:after="0"/>
              <w:ind w:left="0" w:right="0" w:hanging="0"/>
              <w:jc w:val="left"/>
              <w:rPr/>
            </w:pPr>
            <w:r>
              <w:rPr/>
              <w:t>​</w:t>
            </w:r>
          </w:p>
        </w:tc>
        <w:tc>
          <w:tcPr>
            <w:tcW w:w="4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Instance Document (the Instance Document does not appear in the Interactive Data File because its XBRL tags are embedded within the Inline XBRL document)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r>
      <w:tr>
        <w:trPr/>
        <w:tc>
          <w:tcPr>
            <w:tcW w:w="685"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437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r>
        <w:trPr/>
        <w:tc>
          <w:tcPr>
            <w:tcW w:w="68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101.SCH</w:t>
            </w:r>
          </w:p>
        </w:tc>
        <w:tc>
          <w:tcPr>
            <w:tcW w:w="286" w:type="dxa"/>
            <w:tcBorders/>
            <w:vAlign w:val="center"/>
          </w:tcPr>
          <w:p>
            <w:pPr>
              <w:pStyle w:val="TableContents"/>
              <w:bidi w:val="0"/>
              <w:spacing w:before="0" w:after="0"/>
              <w:ind w:left="0" w:right="0" w:hanging="0"/>
              <w:jc w:val="left"/>
              <w:rPr/>
            </w:pPr>
            <w:r>
              <w:rPr/>
              <w:t>​</w:t>
            </w:r>
          </w:p>
        </w:tc>
        <w:tc>
          <w:tcPr>
            <w:tcW w:w="4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Schema</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r>
      <w:tr>
        <w:trPr/>
        <w:tc>
          <w:tcPr>
            <w:tcW w:w="685"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437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r>
        <w:trPr/>
        <w:tc>
          <w:tcPr>
            <w:tcW w:w="68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101.CAL</w:t>
            </w:r>
          </w:p>
        </w:tc>
        <w:tc>
          <w:tcPr>
            <w:tcW w:w="286" w:type="dxa"/>
            <w:tcBorders/>
            <w:vAlign w:val="center"/>
          </w:tcPr>
          <w:p>
            <w:pPr>
              <w:pStyle w:val="TableContents"/>
              <w:bidi w:val="0"/>
              <w:spacing w:before="0" w:after="0"/>
              <w:ind w:left="0" w:right="0" w:hanging="0"/>
              <w:jc w:val="left"/>
              <w:rPr/>
            </w:pPr>
            <w:r>
              <w:rPr/>
              <w:t>​</w:t>
            </w:r>
          </w:p>
        </w:tc>
        <w:tc>
          <w:tcPr>
            <w:tcW w:w="4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Calculation Linkbase</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r>
      <w:tr>
        <w:trPr/>
        <w:tc>
          <w:tcPr>
            <w:tcW w:w="685"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437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r>
        <w:trPr/>
        <w:tc>
          <w:tcPr>
            <w:tcW w:w="68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101.DEF</w:t>
            </w:r>
          </w:p>
        </w:tc>
        <w:tc>
          <w:tcPr>
            <w:tcW w:w="286" w:type="dxa"/>
            <w:tcBorders/>
            <w:vAlign w:val="center"/>
          </w:tcPr>
          <w:p>
            <w:pPr>
              <w:pStyle w:val="TableContents"/>
              <w:bidi w:val="0"/>
              <w:spacing w:before="0" w:after="0"/>
              <w:ind w:left="0" w:right="0" w:hanging="0"/>
              <w:jc w:val="left"/>
              <w:rPr/>
            </w:pPr>
            <w:r>
              <w:rPr/>
              <w:t>​</w:t>
            </w:r>
          </w:p>
        </w:tc>
        <w:tc>
          <w:tcPr>
            <w:tcW w:w="4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Definition Linkbase</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r>
      <w:tr>
        <w:trPr/>
        <w:tc>
          <w:tcPr>
            <w:tcW w:w="685"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437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r>
        <w:trPr/>
        <w:tc>
          <w:tcPr>
            <w:tcW w:w="68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01.LAB</w:t>
            </w:r>
          </w:p>
        </w:tc>
        <w:tc>
          <w:tcPr>
            <w:tcW w:w="286" w:type="dxa"/>
            <w:tcBorders/>
            <w:vAlign w:val="center"/>
          </w:tcPr>
          <w:p>
            <w:pPr>
              <w:pStyle w:val="TableContents"/>
              <w:bidi w:val="0"/>
              <w:spacing w:before="0" w:after="0"/>
              <w:ind w:left="0" w:right="0" w:hanging="0"/>
              <w:jc w:val="left"/>
              <w:rPr/>
            </w:pPr>
            <w:r>
              <w:rPr/>
              <w:t>​</w:t>
            </w:r>
          </w:p>
        </w:tc>
        <w:tc>
          <w:tcPr>
            <w:tcW w:w="4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Label Linkbase</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r>
      <w:tr>
        <w:trPr/>
        <w:tc>
          <w:tcPr>
            <w:tcW w:w="685"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437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r>
        <w:trPr/>
        <w:tc>
          <w:tcPr>
            <w:tcW w:w="68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101.PRE</w:t>
            </w:r>
          </w:p>
        </w:tc>
        <w:tc>
          <w:tcPr>
            <w:tcW w:w="286" w:type="dxa"/>
            <w:tcBorders/>
            <w:vAlign w:val="center"/>
          </w:tcPr>
          <w:p>
            <w:pPr>
              <w:pStyle w:val="TableContents"/>
              <w:bidi w:val="0"/>
              <w:spacing w:before="0" w:after="0"/>
              <w:ind w:left="0" w:right="0" w:hanging="0"/>
              <w:jc w:val="left"/>
              <w:rPr/>
            </w:pPr>
            <w:r>
              <w:rPr/>
              <w:t>​</w:t>
            </w:r>
          </w:p>
        </w:tc>
        <w:tc>
          <w:tcPr>
            <w:tcW w:w="4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Presentation Linkbase</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r>
      <w:tr>
        <w:trPr/>
        <w:tc>
          <w:tcPr>
            <w:tcW w:w="685"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437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r>
        <w:trPr/>
        <w:tc>
          <w:tcPr>
            <w:tcW w:w="68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104</w:t>
            </w:r>
          </w:p>
        </w:tc>
        <w:tc>
          <w:tcPr>
            <w:tcW w:w="286" w:type="dxa"/>
            <w:tcBorders/>
            <w:vAlign w:val="center"/>
          </w:tcPr>
          <w:p>
            <w:pPr>
              <w:pStyle w:val="TableContents"/>
              <w:bidi w:val="0"/>
              <w:spacing w:before="0" w:after="0"/>
              <w:ind w:left="0" w:right="0" w:hanging="0"/>
              <w:jc w:val="left"/>
              <w:rPr/>
            </w:pPr>
            <w:r>
              <w:rPr/>
              <w:t>​</w:t>
            </w:r>
          </w:p>
        </w:tc>
        <w:tc>
          <w:tcPr>
            <w:tcW w:w="4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Cover Page Interactive Data File (embedded within the Inline XBRL and contained in Exhibit 101)</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43"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00"/>
              <w:jc w:val="left"/>
              <w:rPr/>
            </w:pPr>
            <w:r>
              <w:rPr/>
              <w:t>†</w:t>
            </w:r>
          </w:p>
        </w:tc>
        <w:tc>
          <w:tcPr>
            <w:tcW w:w="9964"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Certain portions have been omitted pursuant to a confidential treatment request. Omitted information has been filed separately with the SEC.</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Certain portions of the exhibit have been omitted pursuant to Rule 601(b)(10) of Regulation S-K. The omitted information is (i) not material and (ii) would likely cause competitive harm to the Company if publicly disclosed.</w:t>
            </w:r>
          </w:p>
        </w:tc>
      </w:tr>
    </w:tbl>
    <w:tbl>
      <w:tblPr>
        <w:tblW w:w="10082" w:type="dxa"/>
        <w:jc w:val="left"/>
        <w:tblInd w:w="0" w:type="dxa"/>
        <w:tblLayout w:type="fixed"/>
        <w:tblCellMar>
          <w:top w:w="0" w:type="dxa"/>
          <w:left w:w="0" w:type="dxa"/>
          <w:bottom w:w="0" w:type="dxa"/>
          <w:right w:w="0" w:type="dxa"/>
        </w:tblCellMar>
      </w:tblPr>
      <w:tblGrid>
        <w:gridCol w:w="331"/>
        <w:gridCol w:w="9751"/>
      </w:tblGrid>
      <w:tr>
        <w:trPr/>
        <w:tc>
          <w:tcPr>
            <w:tcW w:w="331"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w:t>
            </w:r>
          </w:p>
        </w:tc>
        <w:tc>
          <w:tcPr>
            <w:tcW w:w="9751"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Confidential portions of the exhibit have been redacted from the filed version of the exhibit and are marked with a ***</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00"/>
              <w:jc w:val="left"/>
              <w:rPr/>
            </w:pPr>
            <w:r>
              <w:rPr/>
              <w:t>††</w:t>
            </w:r>
          </w:p>
        </w:tc>
        <w:tc>
          <w:tcPr>
            <w:tcW w:w="990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Schedules have been omitted pursuant to Item 601(a)(5) of Regulation S-K. The Company hereby undertakes to supplementally furnish copies of any omitted schedules to the Securities and Exchange Commission upon request.</w:t>
            </w:r>
          </w:p>
        </w:tc>
      </w:tr>
    </w:tbl>
    <w:tbl>
      <w:tblPr>
        <w:tblW w:w="6137" w:type="dxa"/>
        <w:jc w:val="left"/>
        <w:tblInd w:w="0" w:type="dxa"/>
        <w:tblLayout w:type="fixed"/>
        <w:tblCellMar>
          <w:top w:w="0" w:type="dxa"/>
          <w:left w:w="0" w:type="dxa"/>
          <w:bottom w:w="0" w:type="dxa"/>
          <w:right w:w="0" w:type="dxa"/>
        </w:tblCellMar>
      </w:tblPr>
      <w:tblGrid>
        <w:gridCol w:w="226"/>
        <w:gridCol w:w="5911"/>
      </w:tblGrid>
      <w:tr>
        <w:trPr/>
        <w:tc>
          <w:tcPr>
            <w:tcW w:w="226"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w:t>
            </w:r>
          </w:p>
        </w:tc>
        <w:tc>
          <w:tcPr>
            <w:tcW w:w="5911"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Indicates a management contract or compensatory plan or arrangement.</w:t>
            </w:r>
          </w:p>
        </w:tc>
      </w:tr>
    </w:tbl>
    <w:tbl>
      <w:tblPr>
        <w:tblW w:w="1937" w:type="dxa"/>
        <w:jc w:val="left"/>
        <w:tblInd w:w="0" w:type="dxa"/>
        <w:tblLayout w:type="fixed"/>
        <w:tblCellMar>
          <w:top w:w="0" w:type="dxa"/>
          <w:left w:w="0" w:type="dxa"/>
          <w:bottom w:w="0" w:type="dxa"/>
          <w:right w:w="0" w:type="dxa"/>
        </w:tblCellMar>
      </w:tblPr>
      <w:tblGrid>
        <w:gridCol w:w="226"/>
        <w:gridCol w:w="1711"/>
      </w:tblGrid>
      <w:tr>
        <w:trPr/>
        <w:tc>
          <w:tcPr>
            <w:tcW w:w="226"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w:t>
            </w:r>
          </w:p>
        </w:tc>
        <w:tc>
          <w:tcPr>
            <w:tcW w:w="1711"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Furnished herewith</w:t>
            </w:r>
          </w:p>
        </w:tc>
      </w:tr>
    </w:tbl>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(b) Exhibits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See Item 15(a)(3) above.</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 Financial Statement Schedules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See Item 15(a)(2) above.</w:t>
      </w:r>
    </w:p>
    <w:p>
      <w:pPr>
        <w:pStyle w:val="Normal"/>
        <w:bidi w:val="0"/>
        <w:spacing w:before="0" w:after="0"/>
        <w:jc w:val="left"/>
        <w:rPr>
          <w:sz w:val="4"/>
          <w:szCs w:val="4"/>
        </w:rPr>
      </w:pPr>
      <w:r>
        <w:rPr>
          <w:sz w:val="4"/>
          <w:szCs w:val="4"/>
        </w:rPr>
      </w:r>
      <w:bookmarkStart w:id="1855" w:name="Item16Form10KSummary_323491"/>
      <w:bookmarkStart w:id="1856" w:name="_066b76fe_e607_4869_9a6e_3de0321e3215"/>
      <w:bookmarkStart w:id="1857" w:name="Item16Form10KSummary_323491"/>
      <w:bookmarkStart w:id="1858" w:name="_066b76fe_e607_4869_9a6e_3de0321e3215"/>
      <w:bookmarkEnd w:id="1857"/>
      <w:bookmarkEnd w:id="1858"/>
    </w:p>
    <w:tbl>
      <w:tblPr>
        <w:tblW w:w="2792" w:type="dxa"/>
        <w:jc w:val="left"/>
        <w:tblInd w:w="0" w:type="dxa"/>
        <w:tblLayout w:type="fixed"/>
        <w:tblCellMar>
          <w:top w:w="0" w:type="dxa"/>
          <w:left w:w="0" w:type="dxa"/>
          <w:bottom w:w="0" w:type="dxa"/>
          <w:right w:w="0" w:type="dxa"/>
        </w:tblCellMar>
      </w:tblPr>
      <w:tblGrid>
        <w:gridCol w:w="811"/>
        <w:gridCol w:w="1981"/>
      </w:tblGrid>
      <w:tr>
        <w:trPr/>
        <w:tc>
          <w:tcPr>
            <w:tcW w:w="81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Item 16.</w:t>
            </w:r>
          </w:p>
        </w:tc>
        <w:tc>
          <w:tcPr>
            <w:tcW w:w="198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Form 10-K Summary</w:t>
            </w:r>
          </w:p>
        </w:tc>
      </w:tr>
    </w:tbl>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1859" w:name="SIGNATURES_915660"/>
      <w:bookmarkStart w:id="1860" w:name="_9f4a89f8_a2b3_4e80_9892_75887d757da2"/>
      <w:bookmarkEnd w:id="1859"/>
      <w:bookmarkEnd w:id="1860"/>
      <w:r>
        <w:rPr>
          <w:rFonts w:ascii="Times New Roman;Times;serif" w:hAnsi="Times New Roman;Times;serif"/>
          <w:b/>
          <w:sz w:val="20"/>
        </w:rPr>
        <w:t>SIGNATURES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4176" w:type="dxa"/>
        <w:jc w:val="left"/>
        <w:tblInd w:w="0" w:type="dxa"/>
        <w:tblLayout w:type="fixed"/>
        <w:tblCellMar>
          <w:top w:w="0" w:type="dxa"/>
          <w:left w:w="0" w:type="dxa"/>
          <w:bottom w:w="0" w:type="dxa"/>
          <w:right w:w="0" w:type="dxa"/>
        </w:tblCellMar>
      </w:tblPr>
      <w:tblGrid>
        <w:gridCol w:w="421"/>
        <w:gridCol w:w="3601"/>
        <w:gridCol w:w="154"/>
      </w:tblGrid>
      <w:tr>
        <w:trPr/>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267335" cy="175260"/>
                      <wp:effectExtent l="0" t="0" r="0" b="0"/>
                      <wp:wrapNone/>
                      <wp:docPr id="675" name="Frame675"/>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2286635" cy="175260"/>
                      <wp:effectExtent l="0" t="0" r="0" b="0"/>
                      <wp:wrapNone/>
                      <wp:docPr id="676" name="Frame676"/>
                      <a:graphic xmlns:a="http://schemas.openxmlformats.org/drawingml/2006/main">
                        <a:graphicData uri="http://schemas.microsoft.com/office/word/2010/wordprocessingShape">
                          <wps:wsp>
                            <wps:cNvSpPr txBox="1"/>
                            <wps:spPr>
                              <a:xfrm>
                                <a:off x="0" y="0"/>
                                <a:ext cx="2286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97790" cy="175260"/>
                      <wp:effectExtent l="0" t="0" r="0" b="0"/>
                      <wp:wrapNone/>
                      <wp:docPr id="677" name="Frame67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2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Gevo, Inc.</w:t>
            </w:r>
          </w:p>
        </w:tc>
        <w:tc>
          <w:tcPr>
            <w:tcW w:w="154" w:type="dxa"/>
            <w:tcBorders/>
            <w:vAlign w:val="center"/>
          </w:tcPr>
          <w:p>
            <w:pPr>
              <w:pStyle w:val="TableContents"/>
              <w:bidi w:val="0"/>
              <w:spacing w:before="0" w:after="0"/>
              <w:ind w:left="0" w:right="0" w:hanging="0"/>
              <w:jc w:val="left"/>
              <w:rPr/>
            </w:pPr>
            <w:r>
              <w:rPr/>
              <w:t>​</w:t>
            </w:r>
          </w:p>
        </w:tc>
      </w:tr>
      <w:tr>
        <w:trPr/>
        <w:tc>
          <w:tcPr>
            <w:tcW w:w="402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(REGISTRANT)</w:t>
            </w:r>
          </w:p>
        </w:tc>
        <w:tc>
          <w:tcPr>
            <w:tcW w:w="154" w:type="dxa"/>
            <w:tcBorders/>
            <w:vAlign w:val="center"/>
          </w:tcPr>
          <w:p>
            <w:pPr>
              <w:pStyle w:val="TableContents"/>
              <w:bidi w:val="0"/>
              <w:spacing w:before="0" w:after="0"/>
              <w:ind w:left="0" w:right="0" w:hanging="0"/>
              <w:jc w:val="left"/>
              <w:rPr/>
            </w:pPr>
            <w:r>
              <w:rPr/>
              <w:t>​</w:t>
            </w:r>
          </w:p>
        </w:tc>
      </w:tr>
      <w:tr>
        <w:trPr/>
        <w:tc>
          <w:tcPr>
            <w:tcW w:w="4022"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Sylvia Gendenjamts</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center"/>
              <w:rPr/>
            </w:pPr>
            <w:r>
              <w:rPr/>
              <w:t>​</w:t>
            </w:r>
          </w:p>
        </w:tc>
        <w:tc>
          <w:tcPr>
            <w:tcW w:w="360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Sylvia Gendenjamts, CPA</w:t>
              <w:br/>
              <w:t>Vice President Accounting and Treasurer</w:t>
              <w:br/>
              <w:t>(Principal Accounting Officer)</w:t>
            </w:r>
          </w:p>
        </w:tc>
        <w:tc>
          <w:tcPr>
            <w:tcW w:w="154" w:type="dxa"/>
            <w:tcBorders/>
            <w:vAlign w:val="center"/>
          </w:tcPr>
          <w:p>
            <w:pPr>
              <w:pStyle w:val="TableContents"/>
              <w:bidi w:val="0"/>
              <w:spacing w:before="0" w:after="0"/>
              <w:ind w:left="0" w:right="0" w:hanging="0"/>
              <w:jc w:val="left"/>
              <w:rPr/>
            </w:pPr>
            <w:r>
              <w:rPr/>
              <w:t>​</w:t>
            </w:r>
          </w:p>
        </w:tc>
      </w:tr>
      <w:tr>
        <w:trPr/>
        <w:tc>
          <w:tcPr>
            <w:tcW w:w="4022"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02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5, 2026</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47"/>
        <w:gridCol w:w="346"/>
        <w:gridCol w:w="5984"/>
        <w:gridCol w:w="346"/>
        <w:gridCol w:w="1182"/>
      </w:tblGrid>
      <w:tr>
        <w:trPr/>
        <w:tc>
          <w:tcPr>
            <w:tcW w:w="2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1490345" cy="175260"/>
                      <wp:effectExtent l="0" t="0" r="0" b="0"/>
                      <wp:wrapNone/>
                      <wp:docPr id="678" name="Frame678"/>
                      <a:graphic xmlns:a="http://schemas.openxmlformats.org/drawingml/2006/main">
                        <a:graphicData uri="http://schemas.microsoft.com/office/word/2010/wordprocessingShape">
                          <wps:wsp>
                            <wps:cNvSpPr txBox="1"/>
                            <wps:spPr>
                              <a:xfrm>
                                <a:off x="0" y="0"/>
                                <a:ext cx="1490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5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0">
                      <wp:simplePos x="0" y="0"/>
                      <wp:positionH relativeFrom="character">
                        <wp:align>left</wp:align>
                      </wp:positionH>
                      <wp:positionV relativeFrom="line">
                        <wp:posOffset>635</wp:posOffset>
                      </wp:positionV>
                      <wp:extent cx="3799840" cy="175260"/>
                      <wp:effectExtent l="0" t="0" r="0" b="0"/>
                      <wp:wrapNone/>
                      <wp:docPr id="679" name="Frame679"/>
                      <a:graphic xmlns:a="http://schemas.openxmlformats.org/drawingml/2006/main">
                        <a:graphicData uri="http://schemas.microsoft.com/office/word/2010/wordprocessingShape">
                          <wps:wsp>
                            <wps:cNvSpPr txBox="1"/>
                            <wps:spPr>
                              <a:xfrm>
                                <a:off x="0" y="0"/>
                                <a:ext cx="3799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750570" cy="175260"/>
                      <wp:effectExtent l="0" t="0" r="0" b="0"/>
                      <wp:wrapNone/>
                      <wp:docPr id="680" name="Frame680"/>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4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Signatures</w:t>
            </w:r>
          </w:p>
        </w:tc>
        <w:tc>
          <w:tcPr>
            <w:tcW w:w="346" w:type="dxa"/>
            <w:tcBorders/>
            <w:vAlign w:val="center"/>
          </w:tcPr>
          <w:p>
            <w:pPr>
              <w:pStyle w:val="TableContents"/>
              <w:bidi w:val="0"/>
              <w:spacing w:before="0" w:after="0"/>
              <w:ind w:left="0" w:right="0" w:hanging="0"/>
              <w:jc w:val="left"/>
              <w:rPr/>
            </w:pPr>
            <w:r>
              <w:rPr/>
              <w:t>  ​ ​ ​</w:t>
            </w:r>
          </w:p>
        </w:tc>
        <w:tc>
          <w:tcPr>
            <w:tcW w:w="598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w:t>
            </w:r>
          </w:p>
        </w:tc>
        <w:tc>
          <w:tcPr>
            <w:tcW w:w="346" w:type="dxa"/>
            <w:tcBorders/>
            <w:vAlign w:val="center"/>
          </w:tcPr>
          <w:p>
            <w:pPr>
              <w:pStyle w:val="TableContents"/>
              <w:bidi w:val="0"/>
              <w:spacing w:before="0" w:after="0"/>
              <w:ind w:left="0" w:right="0" w:hanging="0"/>
              <w:jc w:val="left"/>
              <w:rPr/>
            </w:pPr>
            <w:r>
              <w:rPr/>
              <w:t>  ​ ​ ​</w:t>
            </w:r>
          </w:p>
        </w:tc>
        <w:tc>
          <w:tcPr>
            <w:tcW w:w="118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w:t>
            </w:r>
          </w:p>
        </w:tc>
      </w:tr>
      <w:tr>
        <w:trPr/>
        <w:tc>
          <w:tcPr>
            <w:tcW w:w="2347"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984"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82"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234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PATRICK R. GRUBER</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98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(Principal Executive Officer) and Executive Chairman of the Board of Directors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05, 2026</w:t>
            </w:r>
          </w:p>
        </w:tc>
      </w:tr>
      <w:tr>
        <w:trPr/>
        <w:tc>
          <w:tcPr>
            <w:tcW w:w="2347"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Patrick R. Gruber</w:t>
            </w:r>
          </w:p>
        </w:tc>
        <w:tc>
          <w:tcPr>
            <w:tcW w:w="346" w:type="dxa"/>
            <w:tcBorders/>
            <w:vAlign w:val="center"/>
          </w:tcPr>
          <w:p>
            <w:pPr>
              <w:pStyle w:val="TableContents"/>
              <w:bidi w:val="0"/>
              <w:spacing w:before="0" w:after="0"/>
              <w:ind w:left="0" w:right="0" w:hanging="0"/>
              <w:jc w:val="left"/>
              <w:rPr/>
            </w:pPr>
            <w:r>
              <w:rPr/>
              <w:t>​</w:t>
            </w:r>
          </w:p>
        </w:tc>
        <w:tc>
          <w:tcPr>
            <w:tcW w:w="59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2" w:type="dxa"/>
            <w:tcBorders/>
            <w:vAlign w:val="center"/>
          </w:tcPr>
          <w:p>
            <w:pPr>
              <w:pStyle w:val="TableContents"/>
              <w:bidi w:val="0"/>
              <w:spacing w:before="0" w:after="0"/>
              <w:ind w:left="0" w:right="0" w:hanging="0"/>
              <w:jc w:val="center"/>
              <w:rPr/>
            </w:pPr>
            <w:r>
              <w:rPr/>
              <w:t>​</w:t>
            </w:r>
          </w:p>
        </w:tc>
      </w:tr>
      <w:tr>
        <w:trPr/>
        <w:tc>
          <w:tcPr>
            <w:tcW w:w="234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9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2" w:type="dxa"/>
            <w:tcBorders/>
            <w:vAlign w:val="center"/>
          </w:tcPr>
          <w:p>
            <w:pPr>
              <w:pStyle w:val="TableContents"/>
              <w:bidi w:val="0"/>
              <w:spacing w:before="0" w:after="0"/>
              <w:ind w:left="0" w:right="0" w:hanging="0"/>
              <w:jc w:val="center"/>
              <w:rPr/>
            </w:pPr>
            <w:r>
              <w:rPr/>
              <w:t>​</w:t>
            </w:r>
          </w:p>
        </w:tc>
      </w:tr>
      <w:tr>
        <w:trPr/>
        <w:tc>
          <w:tcPr>
            <w:tcW w:w="234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OLUWAGBEMILEKE AGIRI</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98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(Principal Financial Officer)</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05, 2026</w:t>
            </w:r>
          </w:p>
        </w:tc>
      </w:tr>
      <w:tr>
        <w:trPr/>
        <w:tc>
          <w:tcPr>
            <w:tcW w:w="2347"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Oluwagbemileke Agiri</w:t>
            </w:r>
          </w:p>
        </w:tc>
        <w:tc>
          <w:tcPr>
            <w:tcW w:w="346" w:type="dxa"/>
            <w:tcBorders/>
            <w:vAlign w:val="center"/>
          </w:tcPr>
          <w:p>
            <w:pPr>
              <w:pStyle w:val="TableContents"/>
              <w:bidi w:val="0"/>
              <w:spacing w:before="0" w:after="0"/>
              <w:ind w:left="0" w:right="0" w:hanging="0"/>
              <w:jc w:val="left"/>
              <w:rPr/>
            </w:pPr>
            <w:r>
              <w:rPr/>
              <w:t>​</w:t>
            </w:r>
          </w:p>
        </w:tc>
        <w:tc>
          <w:tcPr>
            <w:tcW w:w="59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2" w:type="dxa"/>
            <w:tcBorders/>
            <w:vAlign w:val="center"/>
          </w:tcPr>
          <w:p>
            <w:pPr>
              <w:pStyle w:val="TableContents"/>
              <w:bidi w:val="0"/>
              <w:spacing w:before="0" w:after="0"/>
              <w:ind w:left="0" w:right="0" w:hanging="0"/>
              <w:jc w:val="center"/>
              <w:rPr/>
            </w:pPr>
            <w:r>
              <w:rPr/>
              <w:t>​</w:t>
            </w:r>
          </w:p>
        </w:tc>
      </w:tr>
      <w:tr>
        <w:trPr/>
        <w:tc>
          <w:tcPr>
            <w:tcW w:w="234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9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2" w:type="dxa"/>
            <w:tcBorders/>
            <w:vAlign w:val="center"/>
          </w:tcPr>
          <w:p>
            <w:pPr>
              <w:pStyle w:val="TableContents"/>
              <w:bidi w:val="0"/>
              <w:spacing w:before="0" w:after="0"/>
              <w:ind w:left="0" w:right="0" w:hanging="0"/>
              <w:jc w:val="center"/>
              <w:rPr/>
            </w:pPr>
            <w:r>
              <w:rPr/>
              <w:t>​</w:t>
            </w:r>
          </w:p>
        </w:tc>
      </w:tr>
      <w:tr>
        <w:trPr/>
        <w:tc>
          <w:tcPr>
            <w:tcW w:w="234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SYLVIA GENDENJAMTS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98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President Accounting and Treasurer (Principal Accounting Officer)</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05, 2026</w:t>
            </w:r>
          </w:p>
        </w:tc>
      </w:tr>
      <w:tr>
        <w:trPr/>
        <w:tc>
          <w:tcPr>
            <w:tcW w:w="2347"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Sylvia Gendenjamts, CPA</w:t>
            </w:r>
          </w:p>
        </w:tc>
        <w:tc>
          <w:tcPr>
            <w:tcW w:w="346" w:type="dxa"/>
            <w:tcBorders/>
            <w:vAlign w:val="center"/>
          </w:tcPr>
          <w:p>
            <w:pPr>
              <w:pStyle w:val="TableContents"/>
              <w:bidi w:val="0"/>
              <w:spacing w:before="0" w:after="0"/>
              <w:ind w:left="0" w:right="0" w:hanging="0"/>
              <w:jc w:val="left"/>
              <w:rPr/>
            </w:pPr>
            <w:r>
              <w:rPr/>
              <w:t>​</w:t>
            </w:r>
          </w:p>
        </w:tc>
        <w:tc>
          <w:tcPr>
            <w:tcW w:w="59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2" w:type="dxa"/>
            <w:tcBorders/>
            <w:vAlign w:val="center"/>
          </w:tcPr>
          <w:p>
            <w:pPr>
              <w:pStyle w:val="TableContents"/>
              <w:bidi w:val="0"/>
              <w:spacing w:before="0" w:after="0"/>
              <w:ind w:left="0" w:right="0" w:hanging="0"/>
              <w:jc w:val="center"/>
              <w:rPr/>
            </w:pPr>
            <w:r>
              <w:rPr/>
              <w:t>​</w:t>
            </w:r>
          </w:p>
        </w:tc>
      </w:tr>
      <w:tr>
        <w:trPr/>
        <w:tc>
          <w:tcPr>
            <w:tcW w:w="234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9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2" w:type="dxa"/>
            <w:tcBorders/>
            <w:vAlign w:val="center"/>
          </w:tcPr>
          <w:p>
            <w:pPr>
              <w:pStyle w:val="TableContents"/>
              <w:bidi w:val="0"/>
              <w:spacing w:before="0" w:after="0"/>
              <w:ind w:left="0" w:right="0" w:hanging="0"/>
              <w:jc w:val="center"/>
              <w:rPr/>
            </w:pPr>
            <w:r>
              <w:rPr/>
              <w:t>​</w:t>
            </w:r>
          </w:p>
        </w:tc>
      </w:tr>
      <w:tr>
        <w:trPr/>
        <w:tc>
          <w:tcPr>
            <w:tcW w:w="234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WILLIAM H. BAUM</w:t>
            </w:r>
          </w:p>
        </w:tc>
        <w:tc>
          <w:tcPr>
            <w:tcW w:w="346" w:type="dxa"/>
            <w:tcBorders/>
            <w:vAlign w:val="center"/>
          </w:tcPr>
          <w:p>
            <w:pPr>
              <w:pStyle w:val="TableContents"/>
              <w:bidi w:val="0"/>
              <w:spacing w:before="0" w:after="0"/>
              <w:ind w:left="0" w:right="0" w:hanging="0"/>
              <w:jc w:val="left"/>
              <w:rPr/>
            </w:pPr>
            <w:r>
              <w:rPr/>
              <w:t>​</w:t>
            </w:r>
          </w:p>
        </w:tc>
        <w:tc>
          <w:tcPr>
            <w:tcW w:w="59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Lead Independent Director</w:t>
            </w:r>
          </w:p>
        </w:tc>
        <w:tc>
          <w:tcPr>
            <w:tcW w:w="346" w:type="dxa"/>
            <w:tcBorders/>
            <w:vAlign w:val="center"/>
          </w:tcPr>
          <w:p>
            <w:pPr>
              <w:pStyle w:val="TableContents"/>
              <w:bidi w:val="0"/>
              <w:spacing w:before="0" w:after="0"/>
              <w:ind w:left="0" w:right="0" w:hanging="0"/>
              <w:jc w:val="left"/>
              <w:rPr/>
            </w:pPr>
            <w:r>
              <w:rPr/>
              <w:t>​</w:t>
            </w:r>
          </w:p>
        </w:tc>
        <w:tc>
          <w:tcPr>
            <w:tcW w:w="118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05, 2026</w:t>
            </w:r>
          </w:p>
        </w:tc>
      </w:tr>
      <w:tr>
        <w:trPr/>
        <w:tc>
          <w:tcPr>
            <w:tcW w:w="2347"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William H. Baum</w:t>
            </w:r>
          </w:p>
        </w:tc>
        <w:tc>
          <w:tcPr>
            <w:tcW w:w="346" w:type="dxa"/>
            <w:tcBorders/>
            <w:vAlign w:val="center"/>
          </w:tcPr>
          <w:p>
            <w:pPr>
              <w:pStyle w:val="TableContents"/>
              <w:bidi w:val="0"/>
              <w:spacing w:before="0" w:after="0"/>
              <w:ind w:left="0" w:right="0" w:hanging="0"/>
              <w:jc w:val="left"/>
              <w:rPr/>
            </w:pPr>
            <w:r>
              <w:rPr/>
              <w:t>​</w:t>
            </w:r>
          </w:p>
        </w:tc>
        <w:tc>
          <w:tcPr>
            <w:tcW w:w="59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2" w:type="dxa"/>
            <w:tcBorders/>
            <w:vAlign w:val="center"/>
          </w:tcPr>
          <w:p>
            <w:pPr>
              <w:pStyle w:val="TableContents"/>
              <w:bidi w:val="0"/>
              <w:spacing w:before="0" w:after="0"/>
              <w:ind w:left="0" w:right="0" w:hanging="0"/>
              <w:jc w:val="center"/>
              <w:rPr/>
            </w:pPr>
            <w:r>
              <w:rPr/>
              <w:t>​</w:t>
            </w:r>
          </w:p>
        </w:tc>
      </w:tr>
      <w:tr>
        <w:trPr/>
        <w:tc>
          <w:tcPr>
            <w:tcW w:w="234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9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2" w:type="dxa"/>
            <w:tcBorders/>
            <w:vAlign w:val="center"/>
          </w:tcPr>
          <w:p>
            <w:pPr>
              <w:pStyle w:val="TableContents"/>
              <w:bidi w:val="0"/>
              <w:spacing w:before="0" w:after="0"/>
              <w:ind w:left="0" w:right="0" w:hanging="0"/>
              <w:jc w:val="center"/>
              <w:rPr/>
            </w:pPr>
            <w:r>
              <w:rPr/>
              <w:t>​</w:t>
            </w:r>
          </w:p>
        </w:tc>
      </w:tr>
      <w:tr>
        <w:trPr/>
        <w:tc>
          <w:tcPr>
            <w:tcW w:w="234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GARY W. MIZE</w:t>
            </w:r>
          </w:p>
        </w:tc>
        <w:tc>
          <w:tcPr>
            <w:tcW w:w="346" w:type="dxa"/>
            <w:tcBorders/>
            <w:vAlign w:val="center"/>
          </w:tcPr>
          <w:p>
            <w:pPr>
              <w:pStyle w:val="TableContents"/>
              <w:bidi w:val="0"/>
              <w:spacing w:before="0" w:after="0"/>
              <w:ind w:left="0" w:right="0" w:hanging="0"/>
              <w:jc w:val="left"/>
              <w:rPr/>
            </w:pPr>
            <w:r>
              <w:rPr/>
              <w:t>​</w:t>
            </w:r>
          </w:p>
        </w:tc>
        <w:tc>
          <w:tcPr>
            <w:tcW w:w="59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before="0" w:after="0"/>
              <w:ind w:left="0" w:right="0" w:hanging="0"/>
              <w:jc w:val="left"/>
              <w:rPr/>
            </w:pPr>
            <w:r>
              <w:rPr/>
              <w:t>​</w:t>
            </w:r>
          </w:p>
        </w:tc>
        <w:tc>
          <w:tcPr>
            <w:tcW w:w="118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05, 2026</w:t>
            </w:r>
          </w:p>
        </w:tc>
      </w:tr>
      <w:tr>
        <w:trPr/>
        <w:tc>
          <w:tcPr>
            <w:tcW w:w="2347"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Gary W. Mize</w:t>
            </w:r>
          </w:p>
        </w:tc>
        <w:tc>
          <w:tcPr>
            <w:tcW w:w="346" w:type="dxa"/>
            <w:tcBorders/>
            <w:vAlign w:val="center"/>
          </w:tcPr>
          <w:p>
            <w:pPr>
              <w:pStyle w:val="TableContents"/>
              <w:bidi w:val="0"/>
              <w:spacing w:before="0" w:after="0"/>
              <w:ind w:left="0" w:right="0" w:hanging="0"/>
              <w:jc w:val="left"/>
              <w:rPr/>
            </w:pPr>
            <w:r>
              <w:rPr/>
              <w:t>​</w:t>
            </w:r>
          </w:p>
        </w:tc>
        <w:tc>
          <w:tcPr>
            <w:tcW w:w="59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2" w:type="dxa"/>
            <w:tcBorders/>
            <w:vAlign w:val="center"/>
          </w:tcPr>
          <w:p>
            <w:pPr>
              <w:pStyle w:val="TableContents"/>
              <w:bidi w:val="0"/>
              <w:spacing w:before="0" w:after="0"/>
              <w:ind w:left="0" w:right="0" w:hanging="0"/>
              <w:jc w:val="center"/>
              <w:rPr/>
            </w:pPr>
            <w:r>
              <w:rPr/>
              <w:t>​</w:t>
            </w:r>
          </w:p>
        </w:tc>
      </w:tr>
      <w:tr>
        <w:trPr/>
        <w:tc>
          <w:tcPr>
            <w:tcW w:w="234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9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2" w:type="dxa"/>
            <w:tcBorders/>
            <w:vAlign w:val="center"/>
          </w:tcPr>
          <w:p>
            <w:pPr>
              <w:pStyle w:val="TableContents"/>
              <w:bidi w:val="0"/>
              <w:spacing w:before="0" w:after="0"/>
              <w:ind w:left="0" w:right="0" w:hanging="0"/>
              <w:jc w:val="center"/>
              <w:rPr/>
            </w:pPr>
            <w:r>
              <w:rPr/>
              <w:t>​</w:t>
            </w:r>
          </w:p>
        </w:tc>
      </w:tr>
      <w:tr>
        <w:trPr/>
        <w:tc>
          <w:tcPr>
            <w:tcW w:w="234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ANDREW J. MARSH</w:t>
            </w:r>
          </w:p>
        </w:tc>
        <w:tc>
          <w:tcPr>
            <w:tcW w:w="346" w:type="dxa"/>
            <w:tcBorders/>
            <w:vAlign w:val="center"/>
          </w:tcPr>
          <w:p>
            <w:pPr>
              <w:pStyle w:val="TableContents"/>
              <w:bidi w:val="0"/>
              <w:spacing w:before="0" w:after="0"/>
              <w:ind w:left="0" w:right="0" w:hanging="0"/>
              <w:jc w:val="left"/>
              <w:rPr/>
            </w:pPr>
            <w:r>
              <w:rPr/>
              <w:t>​</w:t>
            </w:r>
          </w:p>
        </w:tc>
        <w:tc>
          <w:tcPr>
            <w:tcW w:w="59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before="0" w:after="0"/>
              <w:ind w:left="0" w:right="0" w:hanging="0"/>
              <w:jc w:val="left"/>
              <w:rPr/>
            </w:pPr>
            <w:r>
              <w:rPr/>
              <w:t>​</w:t>
            </w:r>
          </w:p>
        </w:tc>
        <w:tc>
          <w:tcPr>
            <w:tcW w:w="118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05, 2026</w:t>
            </w:r>
          </w:p>
        </w:tc>
      </w:tr>
      <w:tr>
        <w:trPr/>
        <w:tc>
          <w:tcPr>
            <w:tcW w:w="2347"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Andrew J. Marsh</w:t>
            </w:r>
          </w:p>
        </w:tc>
        <w:tc>
          <w:tcPr>
            <w:tcW w:w="346" w:type="dxa"/>
            <w:tcBorders/>
            <w:vAlign w:val="center"/>
          </w:tcPr>
          <w:p>
            <w:pPr>
              <w:pStyle w:val="TableContents"/>
              <w:bidi w:val="0"/>
              <w:spacing w:before="0" w:after="0"/>
              <w:ind w:left="0" w:right="0" w:hanging="0"/>
              <w:jc w:val="left"/>
              <w:rPr/>
            </w:pPr>
            <w:r>
              <w:rPr/>
              <w:t>​</w:t>
            </w:r>
          </w:p>
        </w:tc>
        <w:tc>
          <w:tcPr>
            <w:tcW w:w="59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2" w:type="dxa"/>
            <w:tcBorders/>
            <w:vAlign w:val="center"/>
          </w:tcPr>
          <w:p>
            <w:pPr>
              <w:pStyle w:val="TableContents"/>
              <w:bidi w:val="0"/>
              <w:spacing w:before="0" w:after="0"/>
              <w:ind w:left="0" w:right="0" w:hanging="0"/>
              <w:jc w:val="center"/>
              <w:rPr/>
            </w:pPr>
            <w:r>
              <w:rPr/>
              <w:t>​</w:t>
            </w:r>
          </w:p>
        </w:tc>
      </w:tr>
      <w:tr>
        <w:trPr/>
        <w:tc>
          <w:tcPr>
            <w:tcW w:w="234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9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2" w:type="dxa"/>
            <w:tcBorders/>
            <w:vAlign w:val="center"/>
          </w:tcPr>
          <w:p>
            <w:pPr>
              <w:pStyle w:val="TableContents"/>
              <w:bidi w:val="0"/>
              <w:spacing w:before="0" w:after="0"/>
              <w:ind w:left="0" w:right="0" w:hanging="0"/>
              <w:jc w:val="center"/>
              <w:rPr/>
            </w:pPr>
            <w:r>
              <w:rPr/>
              <w:t>​</w:t>
            </w:r>
          </w:p>
        </w:tc>
      </w:tr>
      <w:tr>
        <w:trPr/>
        <w:tc>
          <w:tcPr>
            <w:tcW w:w="234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JAIME GUILLEN</w:t>
            </w:r>
          </w:p>
        </w:tc>
        <w:tc>
          <w:tcPr>
            <w:tcW w:w="346" w:type="dxa"/>
            <w:tcBorders/>
            <w:vAlign w:val="center"/>
          </w:tcPr>
          <w:p>
            <w:pPr>
              <w:pStyle w:val="TableContents"/>
              <w:bidi w:val="0"/>
              <w:spacing w:before="0" w:after="0"/>
              <w:ind w:left="0" w:right="0" w:hanging="0"/>
              <w:jc w:val="left"/>
              <w:rPr/>
            </w:pPr>
            <w:r>
              <w:rPr/>
              <w:t>​</w:t>
            </w:r>
          </w:p>
        </w:tc>
        <w:tc>
          <w:tcPr>
            <w:tcW w:w="59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before="0" w:after="0"/>
              <w:ind w:left="0" w:right="0" w:hanging="0"/>
              <w:jc w:val="left"/>
              <w:rPr/>
            </w:pPr>
            <w:r>
              <w:rPr/>
              <w:t>​</w:t>
            </w:r>
          </w:p>
        </w:tc>
        <w:tc>
          <w:tcPr>
            <w:tcW w:w="118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05, 2026</w:t>
            </w:r>
          </w:p>
        </w:tc>
      </w:tr>
      <w:tr>
        <w:trPr/>
        <w:tc>
          <w:tcPr>
            <w:tcW w:w="2347"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Jaime Guillen</w:t>
            </w:r>
          </w:p>
        </w:tc>
        <w:tc>
          <w:tcPr>
            <w:tcW w:w="346" w:type="dxa"/>
            <w:tcBorders/>
            <w:vAlign w:val="center"/>
          </w:tcPr>
          <w:p>
            <w:pPr>
              <w:pStyle w:val="TableContents"/>
              <w:bidi w:val="0"/>
              <w:spacing w:before="0" w:after="0"/>
              <w:ind w:left="0" w:right="0" w:hanging="0"/>
              <w:jc w:val="left"/>
              <w:rPr/>
            </w:pPr>
            <w:r>
              <w:rPr/>
              <w:t>​</w:t>
            </w:r>
          </w:p>
        </w:tc>
        <w:tc>
          <w:tcPr>
            <w:tcW w:w="59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2" w:type="dxa"/>
            <w:tcBorders/>
            <w:vAlign w:val="center"/>
          </w:tcPr>
          <w:p>
            <w:pPr>
              <w:pStyle w:val="TableContents"/>
              <w:bidi w:val="0"/>
              <w:spacing w:before="0" w:after="0"/>
              <w:ind w:left="0" w:right="0" w:hanging="0"/>
              <w:jc w:val="center"/>
              <w:rPr/>
            </w:pPr>
            <w:r>
              <w:rPr/>
              <w:t>​</w:t>
            </w:r>
          </w:p>
        </w:tc>
      </w:tr>
      <w:tr>
        <w:trPr/>
        <w:tc>
          <w:tcPr>
            <w:tcW w:w="234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9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2" w:type="dxa"/>
            <w:tcBorders/>
            <w:vAlign w:val="center"/>
          </w:tcPr>
          <w:p>
            <w:pPr>
              <w:pStyle w:val="TableContents"/>
              <w:bidi w:val="0"/>
              <w:spacing w:before="0" w:after="0"/>
              <w:ind w:left="0" w:right="0" w:hanging="0"/>
              <w:jc w:val="center"/>
              <w:rPr/>
            </w:pPr>
            <w:r>
              <w:rPr/>
              <w:t>​</w:t>
            </w:r>
          </w:p>
        </w:tc>
      </w:tr>
      <w:tr>
        <w:trPr/>
        <w:tc>
          <w:tcPr>
            <w:tcW w:w="234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CAROL J. BATTERSHELL</w:t>
            </w:r>
          </w:p>
        </w:tc>
        <w:tc>
          <w:tcPr>
            <w:tcW w:w="346" w:type="dxa"/>
            <w:tcBorders/>
            <w:vAlign w:val="center"/>
          </w:tcPr>
          <w:p>
            <w:pPr>
              <w:pStyle w:val="TableContents"/>
              <w:bidi w:val="0"/>
              <w:spacing w:before="0" w:after="0"/>
              <w:ind w:left="0" w:right="0" w:hanging="0"/>
              <w:jc w:val="left"/>
              <w:rPr/>
            </w:pPr>
            <w:r>
              <w:rPr/>
              <w:t>​</w:t>
            </w:r>
          </w:p>
        </w:tc>
        <w:tc>
          <w:tcPr>
            <w:tcW w:w="59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before="0" w:after="0"/>
              <w:ind w:left="0" w:right="0" w:hanging="0"/>
              <w:jc w:val="left"/>
              <w:rPr/>
            </w:pPr>
            <w:r>
              <w:rPr/>
              <w:t>​</w:t>
            </w:r>
          </w:p>
        </w:tc>
        <w:tc>
          <w:tcPr>
            <w:tcW w:w="118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05, 2026</w:t>
            </w:r>
          </w:p>
        </w:tc>
      </w:tr>
      <w:tr>
        <w:trPr/>
        <w:tc>
          <w:tcPr>
            <w:tcW w:w="2347"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Carol J. Battershell</w:t>
            </w:r>
          </w:p>
        </w:tc>
        <w:tc>
          <w:tcPr>
            <w:tcW w:w="346" w:type="dxa"/>
            <w:tcBorders/>
            <w:vAlign w:val="center"/>
          </w:tcPr>
          <w:p>
            <w:pPr>
              <w:pStyle w:val="TableContents"/>
              <w:bidi w:val="0"/>
              <w:spacing w:before="0" w:after="0"/>
              <w:ind w:left="0" w:right="0" w:hanging="0"/>
              <w:jc w:val="left"/>
              <w:rPr/>
            </w:pPr>
            <w:r>
              <w:rPr/>
              <w:t>​</w:t>
            </w:r>
          </w:p>
        </w:tc>
        <w:tc>
          <w:tcPr>
            <w:tcW w:w="59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2" w:type="dxa"/>
            <w:tcBorders/>
            <w:vAlign w:val="center"/>
          </w:tcPr>
          <w:p>
            <w:pPr>
              <w:pStyle w:val="TableContents"/>
              <w:bidi w:val="0"/>
              <w:spacing w:before="0" w:after="0"/>
              <w:ind w:left="0" w:right="0" w:hanging="0"/>
              <w:jc w:val="center"/>
              <w:rPr/>
            </w:pPr>
            <w:r>
              <w:rPr/>
              <w:t>​</w:t>
            </w:r>
          </w:p>
        </w:tc>
      </w:tr>
      <w:tr>
        <w:trPr/>
        <w:tc>
          <w:tcPr>
            <w:tcW w:w="23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9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2" w:type="dxa"/>
            <w:tcBorders/>
            <w:vAlign w:val="center"/>
          </w:tcPr>
          <w:p>
            <w:pPr>
              <w:pStyle w:val="TableContents"/>
              <w:bidi w:val="0"/>
              <w:spacing w:before="0" w:after="0"/>
              <w:ind w:left="0" w:right="0" w:hanging="0"/>
              <w:jc w:val="center"/>
              <w:rPr/>
            </w:pPr>
            <w:r>
              <w:rPr/>
              <w:t>​</w:t>
            </w:r>
          </w:p>
        </w:tc>
      </w:tr>
      <w:tr>
        <w:trPr/>
        <w:tc>
          <w:tcPr>
            <w:tcW w:w="234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ANGELO AMORELLI</w:t>
            </w:r>
          </w:p>
        </w:tc>
        <w:tc>
          <w:tcPr>
            <w:tcW w:w="346" w:type="dxa"/>
            <w:tcBorders/>
            <w:vAlign w:val="center"/>
          </w:tcPr>
          <w:p>
            <w:pPr>
              <w:pStyle w:val="TableContents"/>
              <w:bidi w:val="0"/>
              <w:spacing w:before="0" w:after="0"/>
              <w:ind w:left="0" w:right="0" w:hanging="0"/>
              <w:jc w:val="left"/>
              <w:rPr/>
            </w:pPr>
            <w:r>
              <w:rPr/>
              <w:t>​</w:t>
            </w:r>
          </w:p>
        </w:tc>
        <w:tc>
          <w:tcPr>
            <w:tcW w:w="59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before="0" w:after="0"/>
              <w:ind w:left="0" w:right="0" w:hanging="0"/>
              <w:jc w:val="left"/>
              <w:rPr/>
            </w:pPr>
            <w:r>
              <w:rPr/>
              <w:t>​</w:t>
            </w:r>
          </w:p>
        </w:tc>
        <w:tc>
          <w:tcPr>
            <w:tcW w:w="118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05, 2026</w:t>
            </w:r>
          </w:p>
        </w:tc>
      </w:tr>
      <w:tr>
        <w:trPr/>
        <w:tc>
          <w:tcPr>
            <w:tcW w:w="2347"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Angelo Amorelli</w:t>
            </w:r>
          </w:p>
        </w:tc>
        <w:tc>
          <w:tcPr>
            <w:tcW w:w="346" w:type="dxa"/>
            <w:tcBorders/>
            <w:vAlign w:val="center"/>
          </w:tcPr>
          <w:p>
            <w:pPr>
              <w:pStyle w:val="TableContents"/>
              <w:bidi w:val="0"/>
              <w:spacing w:before="0" w:after="0"/>
              <w:ind w:left="0" w:right="0" w:hanging="0"/>
              <w:jc w:val="left"/>
              <w:rPr/>
            </w:pPr>
            <w:r>
              <w:rPr/>
              <w:t>​</w:t>
            </w:r>
          </w:p>
        </w:tc>
        <w:tc>
          <w:tcPr>
            <w:tcW w:w="59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2" w:type="dxa"/>
            <w:tcBorders/>
            <w:vAlign w:val="center"/>
          </w:tcPr>
          <w:p>
            <w:pPr>
              <w:pStyle w:val="TableContents"/>
              <w:bidi w:val="0"/>
              <w:spacing w:before="0" w:after="0"/>
              <w:ind w:left="0" w:right="0" w:hanging="0"/>
              <w:jc w:val="center"/>
              <w:rPr/>
            </w:pPr>
            <w:r>
              <w:rPr/>
              <w:t>​</w:t>
            </w:r>
          </w:p>
        </w:tc>
      </w:tr>
      <w:tr>
        <w:trPr/>
        <w:tc>
          <w:tcPr>
            <w:tcW w:w="234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9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2" w:type="dxa"/>
            <w:tcBorders/>
            <w:vAlign w:val="center"/>
          </w:tcPr>
          <w:p>
            <w:pPr>
              <w:pStyle w:val="TableContents"/>
              <w:bidi w:val="0"/>
              <w:spacing w:before="0" w:after="0"/>
              <w:ind w:left="0" w:right="0" w:hanging="0"/>
              <w:jc w:val="center"/>
              <w:rPr/>
            </w:pPr>
            <w:r>
              <w:rPr/>
              <w:t>​</w:t>
            </w:r>
          </w:p>
        </w:tc>
      </w:tr>
      <w:tr>
        <w:trPr/>
        <w:tc>
          <w:tcPr>
            <w:tcW w:w="234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MARY KATHRYN ELLET</w:t>
            </w:r>
          </w:p>
        </w:tc>
        <w:tc>
          <w:tcPr>
            <w:tcW w:w="346" w:type="dxa"/>
            <w:tcBorders/>
            <w:vAlign w:val="center"/>
          </w:tcPr>
          <w:p>
            <w:pPr>
              <w:pStyle w:val="TableContents"/>
              <w:bidi w:val="0"/>
              <w:spacing w:before="0" w:after="0"/>
              <w:ind w:left="0" w:right="0" w:hanging="0"/>
              <w:jc w:val="left"/>
              <w:rPr/>
            </w:pPr>
            <w:r>
              <w:rPr/>
              <w:t>​</w:t>
            </w:r>
          </w:p>
        </w:tc>
        <w:tc>
          <w:tcPr>
            <w:tcW w:w="59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before="0" w:after="0"/>
              <w:ind w:left="0" w:right="0" w:hanging="0"/>
              <w:jc w:val="left"/>
              <w:rPr/>
            </w:pPr>
            <w:r>
              <w:rPr/>
              <w:t>​</w:t>
            </w:r>
          </w:p>
        </w:tc>
        <w:tc>
          <w:tcPr>
            <w:tcW w:w="118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05, 2026</w:t>
            </w:r>
          </w:p>
        </w:tc>
      </w:tr>
      <w:tr>
        <w:trPr/>
        <w:tc>
          <w:tcPr>
            <w:tcW w:w="2347"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Mary Kathryn Ellet</w:t>
            </w:r>
          </w:p>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984"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2" w:type="dxa"/>
            <w:tcBorders/>
            <w:vAlign w:val="center"/>
          </w:tcPr>
          <w:p>
            <w:pPr>
              <w:pStyle w:val="TableContents"/>
              <w:bidi w:val="0"/>
              <w:spacing w:before="0" w:after="0"/>
              <w:ind w:left="0" w:right="0" w:hanging="0"/>
              <w:jc w:val="center"/>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381" w:type="dxa"/>
        <w:jc w:val="left"/>
        <w:tblInd w:w="0" w:type="dxa"/>
        <w:tblLayout w:type="fixed"/>
        <w:tblCellMar>
          <w:top w:w="28" w:type="dxa"/>
          <w:left w:w="0" w:type="dxa"/>
          <w:bottom w:w="0" w:type="dxa"/>
          <w:right w:w="0" w:type="dxa"/>
        </w:tblCellMar>
      </w:tblPr>
      <w:tblGrid>
        <w:gridCol w:w="1816"/>
        <w:gridCol w:w="109"/>
        <w:gridCol w:w="1906"/>
        <w:gridCol w:w="109"/>
        <w:gridCol w:w="1441"/>
      </w:tblGrid>
      <w:tr>
        <w:trPr/>
        <w:tc>
          <w:tcPr>
            <w:tcW w:w="1816" w:type="dxa"/>
            <w:tcBorders>
              <w:top w:val="single" w:sz="2" w:space="0" w:color="000000"/>
            </w:tcBorders>
            <w:vAlign w:val="center"/>
          </w:tcPr>
          <w:p>
            <w:pPr>
              <w:pStyle w:val="TableContents"/>
              <w:bidi w:val="0"/>
              <w:spacing w:before="0" w:after="0"/>
              <w:ind w:left="0" w:right="0" w:hanging="0"/>
              <w:jc w:val="center"/>
              <w:rPr/>
            </w:pPr>
            <w:r>
              <w:rPr/>
              <w:t>​</w:t>
            </w:r>
          </w:p>
        </w:tc>
        <w:tc>
          <w:tcPr>
            <w:tcW w:w="109" w:type="dxa"/>
            <w:tcBorders/>
            <w:tcMar>
              <w:top w:w="0" w:type="dxa"/>
            </w:tcMar>
            <w:vAlign w:val="center"/>
          </w:tcPr>
          <w:p>
            <w:pPr>
              <w:pStyle w:val="TableContents"/>
              <w:bidi w:val="0"/>
              <w:spacing w:before="0" w:after="283"/>
              <w:ind w:left="0" w:right="0" w:hanging="0"/>
              <w:jc w:val="left"/>
              <w:rPr>
                <w:sz w:val="4"/>
                <w:szCs w:val="4"/>
              </w:rPr>
            </w:pPr>
            <w:r>
              <w:rPr>
                <w:sz w:val="4"/>
                <w:szCs w:val="4"/>
              </w:rPr>
            </w:r>
          </w:p>
        </w:tc>
        <w:tc>
          <w:tcPr>
            <w:tcW w:w="1906" w:type="dxa"/>
            <w:tcBorders/>
            <w:tcMar>
              <w:top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tcMar>
            <w:vAlign w:val="center"/>
          </w:tcPr>
          <w:p>
            <w:pPr>
              <w:pStyle w:val="TableContents"/>
              <w:bidi w:val="0"/>
              <w:spacing w:before="0" w:after="283"/>
              <w:ind w:left="0" w:right="0" w:hanging="0"/>
              <w:jc w:val="left"/>
              <w:rPr>
                <w:sz w:val="4"/>
                <w:szCs w:val="4"/>
              </w:rPr>
            </w:pPr>
            <w:r>
              <w:rPr>
                <w:sz w:val="4"/>
                <w:szCs w:val="4"/>
              </w:rPr>
            </w:r>
          </w:p>
        </w:tc>
        <w:tc>
          <w:tcPr>
            <w:tcW w:w="1441" w:type="dxa"/>
            <w:tcBorders/>
            <w:tcMar>
              <w:top w:w="0" w:type="dxa"/>
            </w:tcMar>
            <w:vAlign w:val="center"/>
          </w:tcPr>
          <w:p>
            <w:pPr>
              <w:pStyle w:val="TableContents"/>
              <w:bidi w:val="0"/>
              <w:spacing w:before="0" w:after="283"/>
              <w:ind w:left="0" w:right="0" w:hanging="0"/>
              <w:jc w:val="left"/>
              <w:rPr>
                <w:sz w:val="4"/>
                <w:szCs w:val="4"/>
              </w:rPr>
            </w:pPr>
            <w:r>
              <w:rPr>
                <w:sz w:val="4"/>
                <w:szCs w:val="4"/>
              </w:rPr>
            </w:r>
          </w:p>
        </w:tc>
      </w:tr>
      <w:tr>
        <w:trPr/>
        <w:tc>
          <w:tcPr>
            <w:tcW w:w="1816" w:type="dxa"/>
            <w:tcBorders/>
            <w:tcMar>
              <w:top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PAUL BLOOM</w:t>
            </w:r>
          </w:p>
        </w:tc>
        <w:tc>
          <w:tcPr>
            <w:tcW w:w="109" w:type="dxa"/>
            <w:tcBorders/>
            <w:tcMar>
              <w:top w:w="0" w:type="dxa"/>
            </w:tcMar>
            <w:vAlign w:val="center"/>
          </w:tcPr>
          <w:p>
            <w:pPr>
              <w:pStyle w:val="TableContents"/>
              <w:bidi w:val="0"/>
              <w:spacing w:before="0" w:after="0"/>
              <w:ind w:left="0" w:right="0" w:hanging="0"/>
              <w:jc w:val="left"/>
              <w:rPr/>
            </w:pPr>
            <w:r>
              <w:rPr/>
              <w:t>​</w:t>
            </w:r>
          </w:p>
        </w:tc>
        <w:tc>
          <w:tcPr>
            <w:tcW w:w="1906" w:type="dxa"/>
            <w:tcBorders/>
            <w:tcMar>
              <w:top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Director</w:t>
            </w:r>
          </w:p>
        </w:tc>
        <w:tc>
          <w:tcPr>
            <w:tcW w:w="109" w:type="dxa"/>
            <w:tcBorders/>
            <w:tcMar>
              <w:top w:w="0" w:type="dxa"/>
            </w:tcMar>
            <w:vAlign w:val="center"/>
          </w:tcPr>
          <w:p>
            <w:pPr>
              <w:pStyle w:val="TableContents"/>
              <w:bidi w:val="0"/>
              <w:spacing w:before="0" w:after="0"/>
              <w:ind w:left="0" w:right="0" w:hanging="0"/>
              <w:jc w:val="left"/>
              <w:rPr/>
            </w:pPr>
            <w:r>
              <w:rPr/>
              <w:t>​</w:t>
            </w:r>
          </w:p>
        </w:tc>
        <w:tc>
          <w:tcPr>
            <w:tcW w:w="1441" w:type="dxa"/>
            <w:tcBorders/>
            <w:tcMar>
              <w:top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05, 2026</w:t>
            </w:r>
          </w:p>
        </w:tc>
      </w:tr>
      <w:tr>
        <w:trPr/>
        <w:tc>
          <w:tcPr>
            <w:tcW w:w="1816" w:type="dxa"/>
            <w:tcBorders>
              <w:top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Paul Bloom</w:t>
            </w:r>
          </w:p>
        </w:tc>
        <w:tc>
          <w:tcPr>
            <w:tcW w:w="109" w:type="dxa"/>
            <w:tcBorders/>
            <w:tcMar>
              <w:top w:w="0" w:type="dxa"/>
            </w:tcMar>
            <w:vAlign w:val="center"/>
          </w:tcPr>
          <w:p>
            <w:pPr>
              <w:pStyle w:val="TableContents"/>
              <w:bidi w:val="0"/>
              <w:spacing w:before="0" w:after="0"/>
              <w:ind w:left="0" w:right="0" w:hanging="0"/>
              <w:jc w:val="left"/>
              <w:rPr/>
            </w:pPr>
            <w:r>
              <w:rPr/>
              <w:t>​</w:t>
            </w:r>
          </w:p>
        </w:tc>
        <w:tc>
          <w:tcPr>
            <w:tcW w:w="1906" w:type="dxa"/>
            <w:tcBorders/>
            <w:tcMar>
              <w:top w:w="0" w:type="dxa"/>
            </w:tcMar>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109" w:type="dxa"/>
            <w:tcBorders/>
            <w:tcMar>
              <w:top w:w="0" w:type="dxa"/>
            </w:tcMar>
            <w:vAlign w:val="center"/>
          </w:tcPr>
          <w:p>
            <w:pPr>
              <w:pStyle w:val="TableContents"/>
              <w:bidi w:val="0"/>
              <w:spacing w:before="0" w:after="0"/>
              <w:ind w:left="0" w:right="0" w:hanging="0"/>
              <w:jc w:val="left"/>
              <w:rPr/>
            </w:pPr>
            <w:r>
              <w:rPr/>
              <w:t>​</w:t>
            </w:r>
          </w:p>
        </w:tc>
        <w:tc>
          <w:tcPr>
            <w:tcW w:w="1441" w:type="dxa"/>
            <w:tcBorders/>
            <w:tcMar>
              <w:top w:w="0" w:type="dxa"/>
            </w:tcMar>
            <w:vAlign w:val="center"/>
          </w:tcPr>
          <w:p>
            <w:pPr>
              <w:pStyle w:val="TableContents"/>
              <w:bidi w:val="0"/>
              <w:spacing w:before="0" w:after="0"/>
              <w:ind w:left="0" w:right="0" w:hanging="0"/>
              <w:jc w:val="center"/>
              <w:rPr/>
            </w:pPr>
            <w:r>
              <w:rPr/>
              <w:t>​</w:t>
            </w:r>
          </w:p>
        </w:tc>
      </w:tr>
      <w:tr>
        <w:trPr/>
        <w:tc>
          <w:tcPr>
            <w:tcW w:w="1816" w:type="dxa"/>
            <w:tcBorders/>
            <w:tcMar>
              <w:top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JAMES BARBER</w:t>
            </w:r>
          </w:p>
        </w:tc>
        <w:tc>
          <w:tcPr>
            <w:tcW w:w="109" w:type="dxa"/>
            <w:tcBorders/>
            <w:tcMar>
              <w:top w:w="0" w:type="dxa"/>
            </w:tcMar>
            <w:vAlign w:val="center"/>
          </w:tcPr>
          <w:p>
            <w:pPr>
              <w:pStyle w:val="TableContents"/>
              <w:bidi w:val="0"/>
              <w:spacing w:before="0" w:after="0"/>
              <w:ind w:left="0" w:right="0" w:hanging="0"/>
              <w:jc w:val="left"/>
              <w:rPr/>
            </w:pPr>
            <w:r>
              <w:rPr/>
              <w:t>​</w:t>
            </w:r>
          </w:p>
        </w:tc>
        <w:tc>
          <w:tcPr>
            <w:tcW w:w="1906" w:type="dxa"/>
            <w:tcBorders/>
            <w:tcMar>
              <w:top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09" w:type="dxa"/>
            <w:tcBorders/>
            <w:tcMar>
              <w:top w:w="0" w:type="dxa"/>
            </w:tcMar>
            <w:vAlign w:val="center"/>
          </w:tcPr>
          <w:p>
            <w:pPr>
              <w:pStyle w:val="TableContents"/>
              <w:bidi w:val="0"/>
              <w:spacing w:before="0" w:after="0"/>
              <w:ind w:left="0" w:right="0" w:hanging="0"/>
              <w:jc w:val="left"/>
              <w:rPr/>
            </w:pPr>
            <w:r>
              <w:rPr/>
              <w:t>​</w:t>
            </w:r>
          </w:p>
        </w:tc>
        <w:tc>
          <w:tcPr>
            <w:tcW w:w="1441" w:type="dxa"/>
            <w:tcBorders/>
            <w:tcMar>
              <w:top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05, 2026</w:t>
            </w:r>
          </w:p>
        </w:tc>
      </w:tr>
      <w:tr>
        <w:trPr/>
        <w:tc>
          <w:tcPr>
            <w:tcW w:w="1816" w:type="dxa"/>
            <w:tcBorders>
              <w:top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James Barber</w:t>
            </w:r>
          </w:p>
        </w:tc>
        <w:tc>
          <w:tcPr>
            <w:tcW w:w="109" w:type="dxa"/>
            <w:tcBorders/>
            <w:tcMar>
              <w:top w:w="0" w:type="dxa"/>
            </w:tcMar>
            <w:vAlign w:val="center"/>
          </w:tcPr>
          <w:p>
            <w:pPr>
              <w:pStyle w:val="TableContents"/>
              <w:bidi w:val="0"/>
              <w:spacing w:before="0" w:after="0"/>
              <w:ind w:left="0" w:right="0" w:hanging="0"/>
              <w:jc w:val="left"/>
              <w:rPr/>
            </w:pPr>
            <w:r>
              <w:rPr/>
              <w:t>​</w:t>
            </w:r>
          </w:p>
        </w:tc>
        <w:tc>
          <w:tcPr>
            <w:tcW w:w="1906" w:type="dxa"/>
            <w:tcBorders/>
            <w:tcMar>
              <w:top w:w="0" w:type="dxa"/>
            </w:tcMar>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109" w:type="dxa"/>
            <w:tcBorders/>
            <w:tcMar>
              <w:top w:w="0" w:type="dxa"/>
            </w:tcMar>
            <w:vAlign w:val="center"/>
          </w:tcPr>
          <w:p>
            <w:pPr>
              <w:pStyle w:val="TableContents"/>
              <w:bidi w:val="0"/>
              <w:spacing w:before="0" w:after="0"/>
              <w:ind w:left="0" w:right="0" w:hanging="0"/>
              <w:jc w:val="left"/>
              <w:rPr/>
            </w:pPr>
            <w:r>
              <w:rPr/>
              <w:t>​</w:t>
            </w:r>
          </w:p>
        </w:tc>
        <w:tc>
          <w:tcPr>
            <w:tcW w:w="1441" w:type="dxa"/>
            <w:tcBorders/>
            <w:tcMar>
              <w:top w:w="0" w:type="dxa"/>
            </w:tcMar>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bidi w:val="0"/>
        <w:spacing w:before="0" w:after="240"/>
        <w:ind w:left="0" w:right="0" w:hanging="0"/>
        <w:jc w:val="right"/>
        <w:rPr>
          <w:rFonts w:ascii="Times New Roman;Times;serif" w:hAnsi="Times New Roman;Times;serif"/>
          <w:b/>
          <w:sz w:val="24"/>
        </w:rPr>
      </w:pPr>
      <w:bookmarkStart w:id="1861" w:name="gevo-20251231xex19d1.htm"/>
      <w:bookmarkStart w:id="1862" w:name="ksgevo20251231xex19d1"/>
      <w:bookmarkEnd w:id="1861"/>
      <w:bookmarkEnd w:id="1862"/>
      <w:r>
        <w:rPr>
          <w:rFonts w:ascii="Times New Roman;Times;serif" w:hAnsi="Times New Roman;Times;serif"/>
          <w:b/>
          <w:sz w:val="24"/>
        </w:rPr>
        <w:t>Exhibit 19.1</w:t>
      </w:r>
      <w:r>
        <w:br w:type="page"/>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GEVO, INC.</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INSIDER TRADING POLICY</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and Guidelines with Respect to</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Certain Transactions in Company Securities</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___________________</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This Insider Trading Policy (the “</w:t>
      </w:r>
      <w:r>
        <w:rPr>
          <w:rFonts w:ascii="Times New Roman;Times;serif" w:hAnsi="Times New Roman;Times;serif"/>
          <w:b/>
          <w:i/>
          <w:sz w:val="24"/>
        </w:rPr>
        <w:t>Policy</w:t>
      </w:r>
      <w:r>
        <w:rPr>
          <w:rFonts w:ascii="Times New Roman;Times;serif" w:hAnsi="Times New Roman;Times;serif"/>
          <w:sz w:val="24"/>
        </w:rPr>
        <w:t>”) provides guidelines to employees, officers and directors of Gevo, Inc. and any of its subsidiaries (collectively, the “</w:t>
      </w:r>
      <w:r>
        <w:rPr>
          <w:rFonts w:ascii="Times New Roman;Times;serif" w:hAnsi="Times New Roman;Times;serif"/>
          <w:b/>
          <w:i/>
          <w:sz w:val="24"/>
        </w:rPr>
        <w:t>Company</w:t>
      </w:r>
      <w:r>
        <w:rPr>
          <w:rFonts w:ascii="Times New Roman;Times;serif" w:hAnsi="Times New Roman;Times;serif"/>
          <w:sz w:val="24"/>
        </w:rPr>
        <w:t>”) with respect to transactions in the Company’s securities. The Company has adopted this Policy and the procedures set forth herein to help prevent insider trading and to assist the Company's employees, officers and directors in complying with their obligations under the federal securities laws.  Employees, officers and directors are individually responsible to understand and comply with this Policy.</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i w:val="false"/>
          <w:smallCaps/>
          <w:sz w:val="24"/>
        </w:rPr>
        <w:t>A.</w:t>
      </w:r>
      <w:r>
        <w:rPr>
          <w:rFonts w:ascii="Times New Roman;Times;serif" w:hAnsi="Times New Roman;Times;serif"/>
          <w:b/>
          <w:smallCaps/>
          <w:sz w:val="24"/>
        </w:rPr>
        <w:t>Applicability of Policy</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This Policy applies to all transactions in the Company’s securities, including common stock, restricted stock, restricted stock units, stock appreciation rights, performance units, deferred share units, options and warrants to purchase common stock and any other debt or equity securities the Company may issue from time to time, such as bonds, preferred stock and convertible debentures, as well as to derivative securities relating to the Company’s securities, whether or not issued by the Company, such as exchange-traded options.  This Policy applies to all employees, officers and directors of the Company and members of their immediate families who reside with them or anyone else who lives in their household, and family members who live elsewhere but whose transactions in the Company’s securities are directed by them or subject to their influence and control (collectively referred to as “</w:t>
      </w:r>
      <w:r>
        <w:rPr>
          <w:rFonts w:ascii="Times New Roman;Times;serif" w:hAnsi="Times New Roman;Times;serif"/>
          <w:b/>
          <w:i/>
          <w:sz w:val="24"/>
        </w:rPr>
        <w:t>Family Members</w:t>
      </w:r>
      <w:r>
        <w:rPr>
          <w:rFonts w:ascii="Times New Roman;Times;serif" w:hAnsi="Times New Roman;Times;serif"/>
          <w:sz w:val="24"/>
        </w:rPr>
        <w:t>”).  This Policy also imposes specific blackout period and pre-clearance procedures on directors, officers and certain other designated employees of the Company who receive or have access to Material Nonpublic Information (as defined below) and/or are subject to the reporting provisions and trading restrictions of Section 16 of the Securities Exchange Act of 1934, as amended (the “</w:t>
      </w:r>
      <w:r>
        <w:rPr>
          <w:rFonts w:ascii="Times New Roman;Times;serif" w:hAnsi="Times New Roman;Times;serif"/>
          <w:b/>
          <w:i/>
          <w:sz w:val="24"/>
        </w:rPr>
        <w:t>Exchange Act”</w:t>
      </w:r>
      <w:r>
        <w:rPr>
          <w:rFonts w:ascii="Times New Roman;Times;serif" w:hAnsi="Times New Roman;Times;serif"/>
          <w:sz w:val="24"/>
        </w:rPr>
        <w:t>).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The current “</w:t>
      </w:r>
      <w:r>
        <w:rPr>
          <w:rFonts w:ascii="Times New Roman;Times;serif" w:hAnsi="Times New Roman;Times;serif"/>
          <w:b/>
          <w:i/>
          <w:sz w:val="24"/>
        </w:rPr>
        <w:t>Insider Trading Compliance Officers</w:t>
      </w:r>
      <w:r>
        <w:rPr>
          <w:rFonts w:ascii="Times New Roman;Times;serif" w:hAnsi="Times New Roman;Times;serif"/>
          <w:sz w:val="24"/>
        </w:rPr>
        <w:t>” referred to herein are the Chief Accounting Officer and the Vice-President - General Counsel &amp; Secretary of the Company.</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i w:val="false"/>
          <w:smallCaps/>
          <w:sz w:val="24"/>
        </w:rPr>
        <w:t>B.</w:t>
      </w:r>
      <w:r>
        <w:rPr>
          <w:rFonts w:ascii="Times New Roman;Times;serif" w:hAnsi="Times New Roman;Times;serif"/>
          <w:b/>
          <w:smallCaps/>
          <w:sz w:val="24"/>
        </w:rPr>
        <w:t>Definition of Material Nonpublic Information</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 xml:space="preserve">It is not possible to define all categories of material information.  However, information should be regarded as material if there is a substantial likelihood that it would be considered important to a reasonable investor in making a voting decision or an investment decision to buy, hold or sell securities.  Any information that could be expected to affect the market price of the Company’s securities, whether such information is positive or negative, should be considered material.  Because trading that receives scrutiny will be evaluated after the fact with the benefit of hindsight, questions as to the materiality of particular information should be resolved in favor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lineRule="atLeast" w:line="200"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of materiality, and trading should be avoided.  Directors, officers and certain other employees of the Company are subject to the Blackout Period provisions described in </w:t>
      </w:r>
      <w:r>
        <w:rPr>
          <w:rFonts w:ascii="Times New Roman;Times;serif" w:hAnsi="Times New Roman;Times;serif"/>
          <w:b/>
          <w:sz w:val="24"/>
        </w:rPr>
        <w:t>Section F.1</w:t>
      </w:r>
      <w:r>
        <w:rPr>
          <w:rFonts w:ascii="Times New Roman;Times;serif" w:hAnsi="Times New Roman;Times;serif"/>
          <w:sz w:val="24"/>
        </w:rPr>
        <w:t xml:space="preserve"> of this Policy.</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While it may be difficult under this standard to determine whether particular information is material, there are various categories of information that are particularly sensitive and, as a general rule, should always be considered material.  Examples of such information may include:</w:t>
      </w:r>
    </w:p>
    <w:tbl>
      <w:tblPr>
        <w:tblW w:w="3093" w:type="dxa"/>
        <w:jc w:val="left"/>
        <w:tblInd w:w="0" w:type="dxa"/>
        <w:tblLayout w:type="fixed"/>
        <w:tblCellMar>
          <w:top w:w="0" w:type="dxa"/>
          <w:left w:w="0" w:type="dxa"/>
          <w:bottom w:w="0" w:type="dxa"/>
          <w:right w:w="0" w:type="dxa"/>
        </w:tblCellMar>
      </w:tblPr>
      <w:tblGrid>
        <w:gridCol w:w="23"/>
        <w:gridCol w:w="170"/>
        <w:gridCol w:w="29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Financial results and forecasts;</w:t>
            </w:r>
          </w:p>
        </w:tc>
      </w:tr>
    </w:tbl>
    <w:tbl>
      <w:tblPr>
        <w:tblW w:w="3978" w:type="dxa"/>
        <w:jc w:val="left"/>
        <w:tblInd w:w="0" w:type="dxa"/>
        <w:tblLayout w:type="fixed"/>
        <w:tblCellMar>
          <w:top w:w="0" w:type="dxa"/>
          <w:left w:w="0" w:type="dxa"/>
          <w:bottom w:w="0" w:type="dxa"/>
          <w:right w:w="0" w:type="dxa"/>
        </w:tblCellMar>
      </w:tblPr>
      <w:tblGrid>
        <w:gridCol w:w="23"/>
        <w:gridCol w:w="170"/>
        <w:gridCol w:w="37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Projections of future earnings or losses; </w:t>
            </w:r>
          </w:p>
        </w:tc>
      </w:tr>
    </w:tbl>
    <w:tbl>
      <w:tblPr>
        <w:tblW w:w="3948" w:type="dxa"/>
        <w:jc w:val="left"/>
        <w:tblInd w:w="0" w:type="dxa"/>
        <w:tblLayout w:type="fixed"/>
        <w:tblCellMar>
          <w:top w:w="0" w:type="dxa"/>
          <w:left w:w="0" w:type="dxa"/>
          <w:bottom w:w="0" w:type="dxa"/>
          <w:right w:w="0" w:type="dxa"/>
        </w:tblCellMar>
      </w:tblPr>
      <w:tblGrid>
        <w:gridCol w:w="23"/>
        <w:gridCol w:w="170"/>
        <w:gridCol w:w="37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Scientific, clinical or regulatory results;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Communications with government agencies, such as the Securities and Exchange Commission and the Environmental Protection Agency; </w:t>
            </w:r>
          </w:p>
        </w:tc>
      </w:tr>
    </w:tbl>
    <w:tbl>
      <w:tblPr>
        <w:tblW w:w="10188" w:type="dxa"/>
        <w:jc w:val="left"/>
        <w:tblInd w:w="0" w:type="dxa"/>
        <w:tblLayout w:type="fixed"/>
        <w:tblCellMar>
          <w:top w:w="0" w:type="dxa"/>
          <w:left w:w="0" w:type="dxa"/>
          <w:bottom w:w="0" w:type="dxa"/>
          <w:right w:w="0" w:type="dxa"/>
        </w:tblCellMar>
      </w:tblPr>
      <w:tblGrid>
        <w:gridCol w:w="23"/>
        <w:gridCol w:w="170"/>
        <w:gridCol w:w="99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Notice of issuance of patents or the acquisition or disposition of other material intellectual property rights; </w:t>
            </w:r>
          </w:p>
        </w:tc>
      </w:tr>
    </w:tbl>
    <w:tbl>
      <w:tblPr>
        <w:tblW w:w="8418" w:type="dxa"/>
        <w:jc w:val="left"/>
        <w:tblInd w:w="0" w:type="dxa"/>
        <w:tblLayout w:type="fixed"/>
        <w:tblCellMar>
          <w:top w:w="0" w:type="dxa"/>
          <w:left w:w="0" w:type="dxa"/>
          <w:bottom w:w="0" w:type="dxa"/>
          <w:right w:w="0" w:type="dxa"/>
        </w:tblCellMar>
      </w:tblPr>
      <w:tblGrid>
        <w:gridCol w:w="23"/>
        <w:gridCol w:w="170"/>
        <w:gridCol w:w="82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News of, or development in, a pending or proposed merger, acquisition or tender offer;</w:t>
            </w:r>
          </w:p>
        </w:tc>
      </w:tr>
    </w:tbl>
    <w:tbl>
      <w:tblPr>
        <w:tblW w:w="9453" w:type="dxa"/>
        <w:jc w:val="left"/>
        <w:tblInd w:w="0" w:type="dxa"/>
        <w:tblLayout w:type="fixed"/>
        <w:tblCellMar>
          <w:top w:w="0" w:type="dxa"/>
          <w:left w:w="0" w:type="dxa"/>
          <w:bottom w:w="0" w:type="dxa"/>
          <w:right w:w="0" w:type="dxa"/>
        </w:tblCellMar>
      </w:tblPr>
      <w:tblGrid>
        <w:gridCol w:w="23"/>
        <w:gridCol w:w="170"/>
        <w:gridCol w:w="92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News of, or development in, a pending or proposed acquisition or disposition of significant assets;</w:t>
            </w:r>
          </w:p>
        </w:tc>
      </w:tr>
    </w:tbl>
    <w:tbl>
      <w:tblPr>
        <w:tblW w:w="6513" w:type="dxa"/>
        <w:jc w:val="left"/>
        <w:tblInd w:w="0" w:type="dxa"/>
        <w:tblLayout w:type="fixed"/>
        <w:tblCellMar>
          <w:top w:w="0" w:type="dxa"/>
          <w:left w:w="0" w:type="dxa"/>
          <w:bottom w:w="0" w:type="dxa"/>
          <w:right w:w="0" w:type="dxa"/>
        </w:tblCellMar>
      </w:tblPr>
      <w:tblGrid>
        <w:gridCol w:w="23"/>
        <w:gridCol w:w="170"/>
        <w:gridCol w:w="63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News of, or development in, strategic partnerships or relationships;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Major discoveries or significant changes or developments in products or product lines, research or technologies;</w:t>
            </w:r>
          </w:p>
        </w:tc>
      </w:tr>
    </w:tbl>
    <w:tbl>
      <w:tblPr>
        <w:tblW w:w="5313" w:type="dxa"/>
        <w:jc w:val="left"/>
        <w:tblInd w:w="0" w:type="dxa"/>
        <w:tblLayout w:type="fixed"/>
        <w:tblCellMar>
          <w:top w:w="0" w:type="dxa"/>
          <w:left w:w="0" w:type="dxa"/>
          <w:bottom w:w="0" w:type="dxa"/>
          <w:right w:w="0" w:type="dxa"/>
        </w:tblCellMar>
      </w:tblPr>
      <w:tblGrid>
        <w:gridCol w:w="23"/>
        <w:gridCol w:w="170"/>
        <w:gridCol w:w="51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Impending bankruptcy or financial liquidity problems;</w:t>
            </w:r>
          </w:p>
        </w:tc>
      </w:tr>
    </w:tbl>
    <w:tbl>
      <w:tblPr>
        <w:tblW w:w="4848" w:type="dxa"/>
        <w:jc w:val="left"/>
        <w:tblInd w:w="0" w:type="dxa"/>
        <w:tblLayout w:type="fixed"/>
        <w:tblCellMar>
          <w:top w:w="0" w:type="dxa"/>
          <w:left w:w="0" w:type="dxa"/>
          <w:bottom w:w="0" w:type="dxa"/>
          <w:right w:w="0" w:type="dxa"/>
        </w:tblCellMar>
      </w:tblPr>
      <w:tblGrid>
        <w:gridCol w:w="23"/>
        <w:gridCol w:w="170"/>
        <w:gridCol w:w="46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Gain or loss of a significant customer or supplier;</w:t>
            </w:r>
          </w:p>
        </w:tc>
      </w:tr>
    </w:tbl>
    <w:tbl>
      <w:tblPr>
        <w:tblW w:w="4968" w:type="dxa"/>
        <w:jc w:val="left"/>
        <w:tblInd w:w="0" w:type="dxa"/>
        <w:tblLayout w:type="fixed"/>
        <w:tblCellMar>
          <w:top w:w="0" w:type="dxa"/>
          <w:left w:w="0" w:type="dxa"/>
          <w:bottom w:w="0" w:type="dxa"/>
          <w:right w:w="0" w:type="dxa"/>
        </w:tblCellMar>
      </w:tblPr>
      <w:tblGrid>
        <w:gridCol w:w="23"/>
        <w:gridCol w:w="170"/>
        <w:gridCol w:w="47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Significant expansion or curtailment of operations;</w:t>
            </w:r>
          </w:p>
        </w:tc>
      </w:tr>
    </w:tbl>
    <w:tbl>
      <w:tblPr>
        <w:tblW w:w="2838" w:type="dxa"/>
        <w:jc w:val="left"/>
        <w:tblInd w:w="0" w:type="dxa"/>
        <w:tblLayout w:type="fixed"/>
        <w:tblCellMar>
          <w:top w:w="0" w:type="dxa"/>
          <w:left w:w="0" w:type="dxa"/>
          <w:bottom w:w="0" w:type="dxa"/>
          <w:right w:w="0" w:type="dxa"/>
        </w:tblCellMar>
      </w:tblPr>
      <w:tblGrid>
        <w:gridCol w:w="23"/>
        <w:gridCol w:w="170"/>
        <w:gridCol w:w="26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Significant pricing changes;</w:t>
            </w:r>
          </w:p>
        </w:tc>
      </w:tr>
    </w:tbl>
    <w:tbl>
      <w:tblPr>
        <w:tblW w:w="4338" w:type="dxa"/>
        <w:jc w:val="left"/>
        <w:tblInd w:w="0" w:type="dxa"/>
        <w:tblLayout w:type="fixed"/>
        <w:tblCellMar>
          <w:top w:w="0" w:type="dxa"/>
          <w:left w:w="0" w:type="dxa"/>
          <w:bottom w:w="0" w:type="dxa"/>
          <w:right w:w="0" w:type="dxa"/>
        </w:tblCellMar>
      </w:tblPr>
      <w:tblGrid>
        <w:gridCol w:w="23"/>
        <w:gridCol w:w="170"/>
        <w:gridCol w:w="41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Stock splits and stock repurchase programs;</w:t>
            </w:r>
          </w:p>
        </w:tc>
      </w:tr>
    </w:tbl>
    <w:tbl>
      <w:tblPr>
        <w:tblW w:w="3003" w:type="dxa"/>
        <w:jc w:val="left"/>
        <w:tblInd w:w="0" w:type="dxa"/>
        <w:tblLayout w:type="fixed"/>
        <w:tblCellMar>
          <w:top w:w="0" w:type="dxa"/>
          <w:left w:w="0" w:type="dxa"/>
          <w:bottom w:w="0" w:type="dxa"/>
          <w:right w:w="0" w:type="dxa"/>
        </w:tblCellMar>
      </w:tblPr>
      <w:tblGrid>
        <w:gridCol w:w="23"/>
        <w:gridCol w:w="170"/>
        <w:gridCol w:w="28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New equity or debt offerings;</w:t>
            </w:r>
          </w:p>
        </w:tc>
      </w:tr>
    </w:tbl>
    <w:tbl>
      <w:tblPr>
        <w:tblW w:w="7368" w:type="dxa"/>
        <w:jc w:val="left"/>
        <w:tblInd w:w="0" w:type="dxa"/>
        <w:tblLayout w:type="fixed"/>
        <w:tblCellMar>
          <w:top w:w="0" w:type="dxa"/>
          <w:left w:w="0" w:type="dxa"/>
          <w:bottom w:w="0" w:type="dxa"/>
          <w:right w:w="0" w:type="dxa"/>
        </w:tblCellMar>
      </w:tblPr>
      <w:tblGrid>
        <w:gridCol w:w="23"/>
        <w:gridCol w:w="170"/>
        <w:gridCol w:w="71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Actual or threatened major litigation, or the resolution of such litigation; and</w:t>
            </w:r>
          </w:p>
        </w:tc>
      </w:tr>
    </w:tbl>
    <w:tbl>
      <w:tblPr>
        <w:tblW w:w="3228" w:type="dxa"/>
        <w:jc w:val="left"/>
        <w:tblInd w:w="0" w:type="dxa"/>
        <w:tblLayout w:type="fixed"/>
        <w:tblCellMar>
          <w:top w:w="0" w:type="dxa"/>
          <w:left w:w="0" w:type="dxa"/>
          <w:bottom w:w="0" w:type="dxa"/>
          <w:right w:w="0" w:type="dxa"/>
        </w:tblCellMar>
      </w:tblPr>
      <w:tblGrid>
        <w:gridCol w:w="23"/>
        <w:gridCol w:w="170"/>
        <w:gridCol w:w="30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Changes in senior management.</w:t>
            </w:r>
          </w:p>
        </w:tc>
      </w:tr>
    </w:tbl>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ab/>
      </w:r>
      <w:r>
        <w:rPr>
          <w:rFonts w:ascii="Times New Roman;Times;serif" w:hAnsi="Times New Roman;Times;serif"/>
          <w:sz w:val="24"/>
          <w:shd w:fill="FFFFFF" w:val="clear"/>
        </w:rPr>
        <w:t>2</w:t>
      </w:r>
      <w:r>
        <mc:AlternateContent>
          <mc:Choice Requires="wps">
            <w:drawing>
              <wp:anchor behindDoc="0" distT="0" distB="0" distL="0" distR="0" simplePos="0" locked="0" layoutInCell="1" allowOverlap="1" relativeHeight="682">
                <wp:simplePos x="0" y="0"/>
                <wp:positionH relativeFrom="page">
                  <wp:posOffset>0</wp:posOffset>
                </wp:positionH>
                <wp:positionV relativeFrom="line">
                  <wp:posOffset>635</wp:posOffset>
                </wp:positionV>
                <wp:extent cx="6480175" cy="175260"/>
                <wp:effectExtent l="0" t="0" r="0" b="0"/>
                <wp:wrapNone/>
                <wp:docPr id="681" name="Frame6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tLeast" w:line="200"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b/>
          <w:i/>
          <w:sz w:val="24"/>
        </w:rPr>
        <w:t>Material Nonpublic Information</w:t>
      </w:r>
      <w:r>
        <w:rPr>
          <w:rFonts w:ascii="Times New Roman;Times;serif" w:hAnsi="Times New Roman;Times;serif"/>
          <w:sz w:val="24"/>
        </w:rPr>
        <w:t>” is material information about the Company that has not been previously disclosed to the general public through a press release or securities filings and is otherwise not available generally to the general public.</w:t>
      </w:r>
    </w:p>
    <w:p>
      <w:pPr>
        <w:pStyle w:val="TextBody"/>
        <w:bidi w:val="0"/>
        <w:spacing w:before="0" w:after="240"/>
        <w:ind w:left="0" w:right="0" w:hanging="0"/>
        <w:jc w:val="center"/>
        <w:rPr>
          <w:rFonts w:ascii="Times New Roman;Times;serif" w:hAnsi="Times New Roman;Times;serif"/>
          <w:b/>
          <w:smallCaps/>
          <w:sz w:val="24"/>
        </w:rPr>
      </w:pPr>
      <w:r>
        <w:rPr>
          <w:rFonts w:ascii="Times New Roman;Times;serif" w:hAnsi="Times New Roman;Times;serif"/>
          <w:b/>
          <w:smallCaps/>
          <w:sz w:val="24"/>
        </w:rPr>
        <w:t>Statement of Policy</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i w:val="false"/>
          <w:smallCaps/>
          <w:sz w:val="24"/>
        </w:rPr>
        <w:t>C.</w:t>
      </w:r>
      <w:r>
        <w:rPr>
          <w:rFonts w:ascii="Times New Roman;Times;serif" w:hAnsi="Times New Roman;Times;serif"/>
          <w:b/>
          <w:smallCaps/>
          <w:sz w:val="24"/>
        </w:rPr>
        <w:t>General Policy</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It is the policy of the Company to oppose the unauthorized disclosure of any nonpublic information acquired in the workplace, the use of Material Nonpublic Information in securities trading, and any other violation of applicable securities laws.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i w:val="false"/>
          <w:smallCaps/>
          <w:sz w:val="24"/>
        </w:rPr>
        <w:t>D.</w:t>
      </w:r>
      <w:r>
        <w:rPr>
          <w:rFonts w:ascii="Times New Roman;Times;serif" w:hAnsi="Times New Roman;Times;serif"/>
          <w:b/>
          <w:smallCaps/>
          <w:sz w:val="24"/>
        </w:rPr>
        <w:t>Specific Policies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1.Trading on Material Nonpublic Information</w:t>
      </w:r>
      <w:r>
        <w:rPr>
          <w:rFonts w:ascii="Times New Roman;Times;serif" w:hAnsi="Times New Roman;Times;serif"/>
          <w:sz w:val="24"/>
        </w:rPr>
        <w:t>.  No employee, officer or director of the Company and no Family Member of any such person, shall engage in any transaction involving a purchase or sale of the Company’s securities, including any offer to purchase or offer to sell (other than pursuant to a trading plan that complies with Securities and Exchange Commission (“</w:t>
      </w:r>
      <w:r>
        <w:rPr>
          <w:rFonts w:ascii="Times New Roman;Times;serif" w:hAnsi="Times New Roman;Times;serif"/>
          <w:b/>
          <w:i/>
          <w:sz w:val="24"/>
        </w:rPr>
        <w:t>SEC”</w:t>
      </w:r>
      <w:r>
        <w:rPr>
          <w:rFonts w:ascii="Times New Roman;Times;serif" w:hAnsi="Times New Roman;Times;serif"/>
          <w:sz w:val="24"/>
        </w:rPr>
        <w:t xml:space="preserve">) Rule 10b5-1 and is implemented in accordance with </w:t>
      </w:r>
      <w:r>
        <w:rPr>
          <w:rFonts w:ascii="Times New Roman;Times;serif" w:hAnsi="Times New Roman;Times;serif"/>
          <w:b/>
          <w:sz w:val="24"/>
        </w:rPr>
        <w:t>Section G</w:t>
      </w:r>
      <w:r>
        <w:rPr>
          <w:rFonts w:ascii="Times New Roman;Times;serif" w:hAnsi="Times New Roman;Times;serif"/>
          <w:sz w:val="24"/>
        </w:rPr>
        <w:t xml:space="preserve"> of this Policy), during any period commencing with the date that he or she possesses Material Nonpublic Information and ending at the close of business on the second Trading Day (as defined below) following the date of public disclosure of that information, or at such time as such nonpublic information is no longer material.  As used in this Policy, the term “</w:t>
      </w:r>
      <w:r>
        <w:rPr>
          <w:rFonts w:ascii="Times New Roman;Times;serif" w:hAnsi="Times New Roman;Times;serif"/>
          <w:b/>
          <w:i/>
          <w:sz w:val="24"/>
        </w:rPr>
        <w:t>Trading Day”</w:t>
      </w:r>
      <w:r>
        <w:rPr>
          <w:rFonts w:ascii="Times New Roman;Times;serif" w:hAnsi="Times New Roman;Times;serif"/>
          <w:sz w:val="24"/>
        </w:rPr>
        <w:t xml:space="preserve"> shall mean a day on which The Nasdaq Stock Market, LLC (“</w:t>
      </w:r>
      <w:r>
        <w:rPr>
          <w:rFonts w:ascii="Times New Roman;Times;serif" w:hAnsi="Times New Roman;Times;serif"/>
          <w:b/>
          <w:i/>
          <w:sz w:val="24"/>
        </w:rPr>
        <w:t>Nasdaq”</w:t>
      </w:r>
      <w:r>
        <w:rPr>
          <w:rFonts w:ascii="Times New Roman;Times;serif" w:hAnsi="Times New Roman;Times;serif"/>
          <w:sz w:val="24"/>
        </w:rPr>
        <w:t>) is open for trading.  If, for example, the Company were to make an announcement of previously Material Nonpublic Information on a Monday, employees, officers and directors who had access to such information prior to such time shall not trade in the Company’s securities until that Thursday.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2.Tipping</w:t>
      </w:r>
      <w:r>
        <w:rPr>
          <w:rFonts w:ascii="Times New Roman;Times;serif" w:hAnsi="Times New Roman;Times;serif"/>
          <w:sz w:val="24"/>
        </w:rPr>
        <w:t>.  No employee, officer or director of the Company shall disclose or pass on (“</w:t>
      </w:r>
      <w:r>
        <w:rPr>
          <w:rFonts w:ascii="Times New Roman;Times;serif" w:hAnsi="Times New Roman;Times;serif"/>
          <w:b/>
          <w:i/>
          <w:sz w:val="24"/>
        </w:rPr>
        <w:t>tip”</w:t>
      </w:r>
      <w:r>
        <w:rPr>
          <w:rFonts w:ascii="Times New Roman;Times;serif" w:hAnsi="Times New Roman;Times;serif"/>
          <w:sz w:val="24"/>
        </w:rPr>
        <w:t>) Material Nonpublic Information to any other person, including a Family Member or friend, nor shall such person make recommendations or express opinions on the basis of Material Nonpublic Information as to trading in the Company’s securities.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3.Confidentiality of Nonpublic Information</w:t>
      </w:r>
      <w:r>
        <w:rPr>
          <w:rFonts w:ascii="Times New Roman;Times;serif" w:hAnsi="Times New Roman;Times;serif"/>
          <w:sz w:val="24"/>
        </w:rPr>
        <w:t>.  Nonpublic information relating to the Company is the property of the Company and the unauthorized disclosure of such information is forbidden.</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i w:val="false"/>
          <w:smallCaps/>
          <w:sz w:val="24"/>
        </w:rPr>
        <w:t>E.</w:t>
      </w:r>
      <w:r>
        <w:rPr>
          <w:rFonts w:ascii="Times New Roman;Times;serif" w:hAnsi="Times New Roman;Times;serif"/>
          <w:b/>
          <w:smallCaps/>
          <w:sz w:val="24"/>
        </w:rPr>
        <w:t>Potential Criminal and Civil Liability and/or Disciplinary Action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1.Liability for Insider Trading</w:t>
      </w:r>
      <w:r>
        <w:rPr>
          <w:rFonts w:ascii="Times New Roman;Times;serif" w:hAnsi="Times New Roman;Times;serif"/>
          <w:sz w:val="24"/>
        </w:rPr>
        <w:t>. Any employee, officer or director of the Company who engages in a transaction in the Company’s securities at a time when he or she has knowledge of Material Nonpublic Information may be subject to an SEC civil investigation, cease and desist order or other administrative action, and incur federal and state law penalties and sanctions, including but not limited to:</w:t>
      </w:r>
    </w:p>
    <w:tbl>
      <w:tblPr>
        <w:tblW w:w="9558" w:type="dxa"/>
        <w:jc w:val="left"/>
        <w:tblInd w:w="0" w:type="dxa"/>
        <w:tblLayout w:type="fixed"/>
        <w:tblCellMar>
          <w:top w:w="0" w:type="dxa"/>
          <w:left w:w="0" w:type="dxa"/>
          <w:bottom w:w="0" w:type="dxa"/>
          <w:right w:w="0" w:type="dxa"/>
        </w:tblCellMar>
      </w:tblPr>
      <w:tblGrid>
        <w:gridCol w:w="23"/>
        <w:gridCol w:w="170"/>
        <w:gridCol w:w="93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 civil penalty of up to three times the profit gained or loss avoided as a result of the insider trading;</w:t>
            </w:r>
          </w:p>
        </w:tc>
      </w:tr>
    </w:tbl>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ab/>
      </w:r>
      <w:r>
        <w:rPr>
          <w:rFonts w:ascii="Times New Roman;Times;serif" w:hAnsi="Times New Roman;Times;serif"/>
          <w:sz w:val="24"/>
          <w:shd w:fill="FFFFFF" w:val="clear"/>
        </w:rPr>
        <w:t>3</w:t>
      </w:r>
      <w:r>
        <mc:AlternateContent>
          <mc:Choice Requires="wps">
            <w:drawing>
              <wp:anchor behindDoc="0" distT="0" distB="0" distL="0" distR="0" simplePos="0" locked="0" layoutInCell="1" allowOverlap="1" relativeHeight="683">
                <wp:simplePos x="0" y="0"/>
                <wp:positionH relativeFrom="page">
                  <wp:posOffset>0</wp:posOffset>
                </wp:positionH>
                <wp:positionV relativeFrom="line">
                  <wp:posOffset>635</wp:posOffset>
                </wp:positionV>
                <wp:extent cx="6480175" cy="175260"/>
                <wp:effectExtent l="0" t="0" r="0" b="0"/>
                <wp:wrapNone/>
                <wp:docPr id="682" name="Frame6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tLeast" w:line="200" w:before="0" w:after="0"/>
        <w:ind w:left="0" w:right="0" w:hanging="0"/>
        <w:jc w:val="left"/>
        <w:rPr/>
      </w:pPr>
      <w:r>
        <w:rPr/>
        <w:t>​</w:t>
      </w:r>
    </w:p>
    <w:p>
      <w:pPr>
        <w:pStyle w:val="HorizontalLine"/>
        <w:pBdr>
          <w:bottom w:val="double" w:sz="2" w:space="0" w:color="808080"/>
        </w:pBdr>
        <w:bidi w:val="0"/>
        <w:spacing w:before="0" w:after="283"/>
        <w:jc w:val="left"/>
        <w:rPr/>
      </w:pPr>
      <w:r>
        <w:rPr/>
      </w:r>
    </w:p>
    <w:tbl>
      <w:tblPr>
        <w:tblW w:w="2598" w:type="dxa"/>
        <w:jc w:val="left"/>
        <w:tblInd w:w="0" w:type="dxa"/>
        <w:tblLayout w:type="fixed"/>
        <w:tblCellMar>
          <w:top w:w="0" w:type="dxa"/>
          <w:left w:w="0" w:type="dxa"/>
          <w:bottom w:w="0" w:type="dxa"/>
          <w:right w:w="0" w:type="dxa"/>
        </w:tblCellMar>
      </w:tblPr>
      <w:tblGrid>
        <w:gridCol w:w="23"/>
        <w:gridCol w:w="170"/>
        <w:gridCol w:w="24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up to 20 years in jail; and</w:t>
            </w:r>
          </w:p>
        </w:tc>
      </w:tr>
    </w:tbl>
    <w:tbl>
      <w:tblPr>
        <w:tblW w:w="3558" w:type="dxa"/>
        <w:jc w:val="left"/>
        <w:tblInd w:w="0" w:type="dxa"/>
        <w:tblLayout w:type="fixed"/>
        <w:tblCellMar>
          <w:top w:w="0" w:type="dxa"/>
          <w:left w:w="0" w:type="dxa"/>
          <w:bottom w:w="0" w:type="dxa"/>
          <w:right w:w="0" w:type="dxa"/>
        </w:tblCellMar>
      </w:tblPr>
      <w:tblGrid>
        <w:gridCol w:w="23"/>
        <w:gridCol w:w="170"/>
        <w:gridCol w:w="33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 criminal fine of up to $5,000,000.</w:t>
            </w:r>
          </w:p>
        </w:tc>
      </w:tr>
    </w:tbl>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 xml:space="preserve">There is no </w:t>
      </w:r>
      <w:r>
        <w:rPr>
          <w:rFonts w:ascii="Times New Roman;Times;serif" w:hAnsi="Times New Roman;Times;serif"/>
          <w:i/>
          <w:sz w:val="24"/>
        </w:rPr>
        <w:t>de minimis</w:t>
      </w:r>
      <w:r>
        <w:rPr>
          <w:rFonts w:ascii="Times New Roman;Times;serif" w:hAnsi="Times New Roman;Times;serif"/>
          <w:sz w:val="24"/>
        </w:rPr>
        <w:t xml:space="preserve"> exception to the rule against insider trading.  Use of inside information to gain personal benefit is as illegal with respect to a few shares of stock as it is with respect to a large number of shares.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2.Liability for Tipping</w:t>
      </w:r>
      <w:r>
        <w:rPr>
          <w:rFonts w:ascii="Times New Roman;Times;serif" w:hAnsi="Times New Roman;Times;serif"/>
          <w:sz w:val="24"/>
        </w:rPr>
        <w:t>.  Any employee, officer or director of the Company who tips (“</w:t>
      </w:r>
      <w:r>
        <w:rPr>
          <w:rFonts w:ascii="Times New Roman;Times;serif" w:hAnsi="Times New Roman;Times;serif"/>
          <w:b/>
          <w:i/>
          <w:sz w:val="24"/>
        </w:rPr>
        <w:t>tippers”</w:t>
      </w:r>
      <w:r>
        <w:rPr>
          <w:rFonts w:ascii="Times New Roman;Times;serif" w:hAnsi="Times New Roman;Times;serif"/>
          <w:sz w:val="24"/>
        </w:rPr>
        <w:t>) a third party (commonly referred to as a “</w:t>
      </w:r>
      <w:r>
        <w:rPr>
          <w:rFonts w:ascii="Times New Roman;Times;serif" w:hAnsi="Times New Roman;Times;serif"/>
          <w:b/>
          <w:i/>
          <w:sz w:val="24"/>
        </w:rPr>
        <w:t>tippee”</w:t>
      </w:r>
      <w:r>
        <w:rPr>
          <w:rFonts w:ascii="Times New Roman;Times;serif" w:hAnsi="Times New Roman;Times;serif"/>
          <w:sz w:val="24"/>
        </w:rPr>
        <w:t>) may also be liable for improper transactions by tippees to whom they have tipped Material Nonpublic Information regarding the Company or to whom they have made recommendations or expressed opinions on the basis of such information as to trading in the Company’s securities.  Tippers and tippees would be subject to the same penalties and sanctions as described above, and the SEC has imposed large penalties even when the tipper or tippee did not profit from the trading.  The SEC and the national securities exchanges use sophisticated electronic surveillance techniques to assess and uncover insider trading.</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3.Control Persons</w:t>
      </w:r>
      <w:r>
        <w:rPr>
          <w:rFonts w:ascii="Times New Roman;Times;serif" w:hAnsi="Times New Roman;Times;serif"/>
          <w:sz w:val="24"/>
        </w:rPr>
        <w:t>.  The Company and its supervisory personnel, if they fail to take appropriate steps to prevent illegal insider trading, may in certain circumstances be subject to the following penalties: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 xml:space="preserve">a civil penalty of up to the greater of $1,425,000 (as adjusted from year-to-year) and three times the profit gained or loss avoided as a result of the employee’s violation (which penalty is in addition to, not an alternative to, the employee’s liability discussed under </w:t>
            </w:r>
            <w:r>
              <w:rPr>
                <w:rFonts w:ascii="Times New Roman;Times;serif" w:hAnsi="Times New Roman;Times;serif"/>
                <w:b/>
                <w:i w:val="false"/>
                <w:caps w:val="false"/>
                <w:smallCaps w:val="false"/>
                <w:sz w:val="24"/>
              </w:rPr>
              <w:t>Section E.1</w:t>
            </w:r>
            <w:r>
              <w:rPr>
                <w:caps w:val="false"/>
                <w:smallCaps w:val="false"/>
              </w:rPr>
              <w:t xml:space="preserve"> </w:t>
            </w:r>
            <w:r>
              <w:rPr>
                <w:rFonts w:ascii="Times New Roman;Times;serif" w:hAnsi="Times New Roman;Times;serif"/>
                <w:b w:val="false"/>
                <w:i w:val="false"/>
                <w:caps w:val="false"/>
                <w:smallCaps w:val="false"/>
                <w:sz w:val="24"/>
              </w:rPr>
              <w:t>of this Policy); and</w:t>
            </w:r>
          </w:p>
        </w:tc>
      </w:tr>
    </w:tbl>
    <w:tbl>
      <w:tblPr>
        <w:tblW w:w="1923" w:type="dxa"/>
        <w:jc w:val="left"/>
        <w:tblInd w:w="0" w:type="dxa"/>
        <w:tblLayout w:type="fixed"/>
        <w:tblCellMar>
          <w:top w:w="0" w:type="dxa"/>
          <w:left w:w="0" w:type="dxa"/>
          <w:bottom w:w="0" w:type="dxa"/>
          <w:right w:w="0" w:type="dxa"/>
        </w:tblCellMar>
      </w:tblPr>
      <w:tblGrid>
        <w:gridCol w:w="23"/>
        <w:gridCol w:w="170"/>
        <w:gridCol w:w="17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criminal penalties.</w:t>
            </w:r>
          </w:p>
        </w:tc>
      </w:tr>
    </w:tbl>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4.Possible Company-Imposed Disciplinary Actions</w:t>
      </w:r>
      <w:r>
        <w:rPr>
          <w:rFonts w:ascii="Times New Roman;Times;serif" w:hAnsi="Times New Roman;Times;serif"/>
          <w:sz w:val="24"/>
        </w:rPr>
        <w:t>.  Employees of the Company who violate this Policy shall also be subject to disciplinary action by the Company, which may include ineligibility for future participation in the Company’s equity incentive plans or termination of employment for cause.  </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i w:val="false"/>
          <w:smallCaps/>
          <w:sz w:val="24"/>
        </w:rPr>
        <w:t>F.</w:t>
      </w:r>
      <w:r>
        <w:rPr>
          <w:rFonts w:ascii="Times New Roman;Times;serif" w:hAnsi="Times New Roman;Times;serif"/>
          <w:b/>
          <w:smallCaps/>
          <w:sz w:val="24"/>
        </w:rPr>
        <w:t>Mandatory Guidelines</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b/>
          <w:sz w:val="24"/>
        </w:rPr>
        <w:t>1.Trading Blackout Period.</w:t>
      </w:r>
      <w:r>
        <w:rPr>
          <w:rFonts w:ascii="Times New Roman;Times;serif" w:hAnsi="Times New Roman;Times;serif"/>
          <w:sz w:val="24"/>
        </w:rPr>
        <w:t xml:space="preserve">  To ensure compliance with this Policy and applicable securities laws, and to avoid even the appearance of trading on the basis of inside information, the Company requires that its directors and executive officers, each of whom is set forth on </w:t>
      </w:r>
      <w:r>
        <w:rPr>
          <w:rFonts w:ascii="Times New Roman;Times;serif" w:hAnsi="Times New Roman;Times;serif"/>
          <w:b/>
          <w:smallCaps/>
          <w:sz w:val="24"/>
        </w:rPr>
        <w:t>Appendix A</w:t>
      </w:r>
      <w:r>
        <w:rPr>
          <w:rFonts w:ascii="Times New Roman;Times;serif" w:hAnsi="Times New Roman;Times;serif"/>
          <w:sz w:val="24"/>
        </w:rPr>
        <w:t xml:space="preserve"> attached hereto, all other employees in the finance department of the Company set forth on </w:t>
      </w:r>
      <w:r>
        <w:rPr>
          <w:rFonts w:ascii="Times New Roman;Times;serif" w:hAnsi="Times New Roman;Times;serif"/>
          <w:b/>
          <w:smallCaps/>
          <w:sz w:val="24"/>
        </w:rPr>
        <w:t>Appendix B</w:t>
      </w:r>
      <w:r>
        <w:rPr>
          <w:rFonts w:ascii="Times New Roman;Times;serif" w:hAnsi="Times New Roman;Times;serif"/>
          <w:sz w:val="24"/>
        </w:rPr>
        <w:t xml:space="preserve"> hereto, and any other employees designated by an Insider Trading Compliance Officer as subject to the Blackout Period (as defined below) prohibitions because of their access to the Company’s internal financial statements or other Material Nonpublic Information regarding the Company’s performance during annual and quarterly fiscal periods set forth on </w:t>
      </w:r>
      <w:r>
        <w:rPr>
          <w:rFonts w:ascii="Times New Roman;Times;serif" w:hAnsi="Times New Roman;Times;serif"/>
          <w:b/>
          <w:smallCaps/>
          <w:sz w:val="24"/>
        </w:rPr>
        <w:t>Appendix C</w:t>
      </w:r>
      <w:r>
        <w:rPr>
          <w:rFonts w:ascii="Times New Roman;Times;serif" w:hAnsi="Times New Roman;Times;serif"/>
          <w:sz w:val="24"/>
        </w:rPr>
        <w:t xml:space="preserve"> hereto (collectively, “</w:t>
      </w:r>
      <w:r>
        <w:rPr>
          <w:rFonts w:ascii="Times New Roman;Times;serif" w:hAnsi="Times New Roman;Times;serif"/>
          <w:b/>
          <w:i/>
          <w:sz w:val="24"/>
        </w:rPr>
        <w:t>Designated Insiders”</w:t>
      </w:r>
      <w:r>
        <w:rPr>
          <w:rFonts w:ascii="Times New Roman;Times;serif" w:hAnsi="Times New Roman;Times;serif"/>
          <w:sz w:val="24"/>
        </w:rPr>
        <w:t xml:space="preserve">), and Family Members of the foregoing, refrain from conducting transactions involving the purchase or sale of the Company’s </w:t>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ab/>
      </w:r>
      <w:r>
        <w:rPr>
          <w:rFonts w:ascii="Times New Roman;Times;serif" w:hAnsi="Times New Roman;Times;serif"/>
          <w:sz w:val="24"/>
          <w:shd w:fill="FFFFFF" w:val="clear"/>
        </w:rPr>
        <w:t>4</w:t>
      </w:r>
      <w:r>
        <mc:AlternateContent>
          <mc:Choice Requires="wps">
            <w:drawing>
              <wp:anchor behindDoc="0" distT="0" distB="0" distL="0" distR="0" simplePos="0" locked="0" layoutInCell="1" allowOverlap="1" relativeHeight="684">
                <wp:simplePos x="0" y="0"/>
                <wp:positionH relativeFrom="page">
                  <wp:posOffset>0</wp:posOffset>
                </wp:positionH>
                <wp:positionV relativeFrom="line">
                  <wp:posOffset>635</wp:posOffset>
                </wp:positionV>
                <wp:extent cx="6480175" cy="175260"/>
                <wp:effectExtent l="0" t="0" r="0" b="0"/>
                <wp:wrapNone/>
                <wp:docPr id="683" name="Frame6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tLeast" w:line="200"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securities during the Blackout Periods established below.  Each of the following periods will constitute a “</w:t>
      </w:r>
      <w:r>
        <w:rPr>
          <w:rFonts w:ascii="Times New Roman;Times;serif" w:hAnsi="Times New Roman;Times;serif"/>
          <w:b/>
          <w:i/>
          <w:sz w:val="24"/>
        </w:rPr>
        <w:t>Blackout Period”</w:t>
      </w:r>
      <w:r>
        <w:rPr>
          <w:rFonts w:ascii="Times New Roman;Times;serif" w:hAnsi="Times New Roman;Times;serif"/>
          <w:sz w:val="24"/>
        </w:rPr>
        <w:t>:</w:t>
      </w:r>
    </w:p>
    <w:p>
      <w:pPr>
        <w:pStyle w:val="TextBody"/>
        <w:bidi w:val="0"/>
        <w:spacing w:before="0" w:after="240"/>
        <w:ind w:left="1440" w:right="720" w:hanging="0"/>
        <w:jc w:val="both"/>
        <w:rPr>
          <w:rFonts w:ascii="Times New Roman;Times;serif" w:hAnsi="Times New Roman;Times;serif"/>
          <w:sz w:val="24"/>
        </w:rPr>
      </w:pPr>
      <w:r>
        <w:rPr>
          <w:rFonts w:ascii="Times New Roman;Times;serif" w:hAnsi="Times New Roman;Times;serif"/>
          <w:sz w:val="24"/>
        </w:rPr>
        <w:t>The period commencing two (2) days prior to the end of each fiscal quarter and ending at the close of business on the second Trading Day following the date of public disclosure of the Company’s financial results for that quarter.  For purposes of clarification, the 2nd day of such 2-day period shall be the last date of such fiscal quarter. If such public disclosure occurs on a Trading Day before the markets close, then that day shall be considered the first Trading Day.  If such public disclosure occurs after the markets close on a Trading Day, then the date of public disclosure shall not be considered the first Trading Day following the date of public disclosure.</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In addition to the Blackout Periods described above, the Company may announce “special” Blackout Periods from time to time if, in the judgment of the Company’s Chief Executive Officer or an Insider Trading Compliance Officer, there are nonpublic developments that would be considered material for insider trading law purposes, such as, among other things, developments relating to regulatory matters, litigation or a major corporate transaction.  Depending on the circumstances, a “special” Blackout Period may apply to all Designated Insiders or only a specific group of Designated Insiders.  An Insider Trading Compliance Officer will provide written notice to Designated Insiders subject to a “special” Blackout Period.  Any person made aware of the existence of a “special” Blackout Period should not disclose the existence of the “special” Blackout Period to any other person.  The failure of the Company to designate a person as being subject to a “special” Blackout Period will not relieve that person of the obligation not to trade while he or she is aware of Material Nonpublic Information.  As used in this Policy, the term “Blackout Period” shall mean all periodic Blackout Periods and all “special” Blackout Periods announced by the Company.</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The purpose behind the Blackout Period is to help establish a diligent effort to avoid any improper transactions.  Trading in the Company’s securities outside a Blackout Period should not be considered a “safe harbor”, and all employees, officers and directors of the Company and other persons subject to this Policy should use good judgment at all times.  Even outside a Blackout Period, any person possessing Material Nonpublic Information concerning the Company should not engage in any transactions in the Company’s securities until such information has been known publicly for at least two Trading Days after the date of announcement.  Although the Company may from time to time impose “special” Blackout Periods, because of developments known to the Company and not yet disclosed to the public, each person is individually responsible at all times for compliance with the prohibitions against insider trading.</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 xml:space="preserve">Transactions effected pursuant to a SEC Rule 10b5-1 trading plan implemented in accordance with </w:t>
      </w:r>
      <w:r>
        <w:rPr>
          <w:rFonts w:ascii="Times New Roman;Times;serif" w:hAnsi="Times New Roman;Times;serif"/>
          <w:b/>
          <w:sz w:val="24"/>
        </w:rPr>
        <w:t>Section G</w:t>
      </w:r>
      <w:r>
        <w:rPr>
          <w:rFonts w:ascii="Times New Roman;Times;serif" w:hAnsi="Times New Roman;Times;serif"/>
          <w:sz w:val="24"/>
        </w:rPr>
        <w:t xml:space="preserve"> of this Policy are not subject to Blackout Periods.</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b/>
          <w:sz w:val="24"/>
        </w:rPr>
        <w:t>2.Pre-clearance of Trades</w:t>
      </w:r>
      <w:r>
        <w:rPr>
          <w:rFonts w:ascii="Times New Roman;Times;serif" w:hAnsi="Times New Roman;Times;serif"/>
          <w:sz w:val="24"/>
        </w:rPr>
        <w:t xml:space="preserve">.  The Company has determined that all directors and executive officers and their Family Members must refrain from trading in the Company’s securities without first complying with the Company’s “pre-clearance” process.  Each director or </w:t>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ab/>
      </w:r>
      <w:r>
        <w:rPr>
          <w:rFonts w:ascii="Times New Roman;Times;serif" w:hAnsi="Times New Roman;Times;serif"/>
          <w:sz w:val="24"/>
          <w:shd w:fill="FFFFFF" w:val="clear"/>
        </w:rPr>
        <w:t>5</w:t>
      </w:r>
      <w:r>
        <mc:AlternateContent>
          <mc:Choice Requires="wps">
            <w:drawing>
              <wp:anchor behindDoc="0" distT="0" distB="0" distL="0" distR="0" simplePos="0" locked="0" layoutInCell="1" allowOverlap="1" relativeHeight="685">
                <wp:simplePos x="0" y="0"/>
                <wp:positionH relativeFrom="page">
                  <wp:posOffset>0</wp:posOffset>
                </wp:positionH>
                <wp:positionV relativeFrom="line">
                  <wp:posOffset>635</wp:posOffset>
                </wp:positionV>
                <wp:extent cx="6480175" cy="175260"/>
                <wp:effectExtent l="0" t="0" r="0" b="0"/>
                <wp:wrapNone/>
                <wp:docPr id="684" name="Frame6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tLeast" w:line="200"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executive officer must contact an Insider Trading Compliance Officer not less than two Trading Days prior to commencing any trade, or before any of their Family Members commences any trade, in the Company’s securities.  This pre-clearance requirement applies to any transaction or transfer involving the Company’s securities, including a gift, transfer to a trust or any other transaction in the Company’s securities.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The Company may also find it necessary, from time to time, to require compliance with the pre-clearance process from other employees designated as Designated Insiders.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An Insider Trading Compliance Officer must pre-clear each proposed trade or transfer (provided that an Insider Trading Compliance Officer cannot pre-clear his or her own proposed trade or transfer under this Policy). The Insider Trading Compliance Officers are not under any obligation to approve a trade submitted for pre-clearance, and may determine not to permit a trade.</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 xml:space="preserve">To facilitate the process, the Company has prepared a pre-clearance request form, attached hereto as </w:t>
      </w:r>
      <w:r>
        <w:rPr>
          <w:rFonts w:ascii="Times New Roman;Times;serif" w:hAnsi="Times New Roman;Times;serif"/>
          <w:b/>
          <w:smallCaps/>
          <w:sz w:val="24"/>
        </w:rPr>
        <w:t>Exhibit B</w:t>
      </w:r>
      <w:r>
        <w:rPr>
          <w:rFonts w:ascii="Times New Roman;Times;serif" w:hAnsi="Times New Roman;Times;serif"/>
          <w:sz w:val="24"/>
        </w:rPr>
        <w:t>, to be completed and provided to an Insider Trading Compliance Officer.  An Insider Trading Compliance Officer will assist with the approval process.  No trade or transfer may be effected until the requesting director, executive officer, Family Member of a director or executive officer or, as required under this Policy, other employee of the Company, has received the approved Pre-Clearance Request Form, even if two (2) Trading Days have passed since the Pre-Clearance Request Form was submitted to an Insider Trading Compliance Officer.  If, upon requesting pre-clearance or otherwise, a director or executive officer or a Family Member of a director or executive officer is advised that Company securities may not be traded, such director, executive officer or Family Member may not buy, sell or otherwise trade any Company securities under any circumstance, and may not inform anyone of such restriction.  This trading restriction will apply until the officer, director or Family Member receives a subsequent pre-clearance to trade his or her Company securities.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 xml:space="preserve">Transactions effected pursuant to a SEC Rule 10b5-1 trading plan implemented in accordance with </w:t>
      </w:r>
      <w:r>
        <w:rPr>
          <w:rFonts w:ascii="Times New Roman;Times;serif" w:hAnsi="Times New Roman;Times;serif"/>
          <w:b/>
          <w:sz w:val="24"/>
        </w:rPr>
        <w:t>Section G</w:t>
      </w:r>
      <w:r>
        <w:rPr>
          <w:rFonts w:ascii="Times New Roman;Times;serif" w:hAnsi="Times New Roman;Times;serif"/>
          <w:sz w:val="24"/>
        </w:rPr>
        <w:t xml:space="preserve"> of this Policy will not require further pre-clearance at the time of each such transaction.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3.Hardship Exceptions.  </w:t>
      </w:r>
      <w:r>
        <w:rPr>
          <w:rFonts w:ascii="Times New Roman;Times;serif" w:hAnsi="Times New Roman;Times;serif"/>
          <w:sz w:val="24"/>
        </w:rPr>
        <w:t>Any Designated Insider or Family Member of such insider who has an unexpected and urgent need to sell Company securities in order to generate cash may, in appropriate circumstances, be permitted to sell Company securities even during a Blackout Period.  Hardship exceptions may be granted only by an Insider Trading Compliance Officer and must be requested at least two (2) days in advance of the proposed trade.  A hardship exception may be granted only if the Insider Trading Compliance Officer concludes that the Company’s earnings information for the applicable quarter does not constitute Material Nonpublic Information.  Under no circumstances will a hardship exception be granted during a “special” blackout period or to a director or executive officer.</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b/>
          <w:sz w:val="24"/>
        </w:rPr>
        <w:t>4.Individual Responsibility</w:t>
      </w:r>
      <w:r>
        <w:rPr>
          <w:rFonts w:ascii="Times New Roman;Times;serif" w:hAnsi="Times New Roman;Times;serif"/>
          <w:sz w:val="24"/>
        </w:rPr>
        <w:t xml:space="preserve">.  Every director, officer and employee of the Company has the individual responsibility to comply with this Policy regardless of whether a transaction is executed outside a Blackout Period or is pre-cleared by the Company.  The restrictions and procedures are intended to help avoid inadvertent instances of improper insider trading, but </w:t>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ab/>
      </w:r>
      <w:r>
        <w:rPr>
          <w:rFonts w:ascii="Times New Roman;Times;serif" w:hAnsi="Times New Roman;Times;serif"/>
          <w:sz w:val="24"/>
          <w:shd w:fill="FFFFFF" w:val="clear"/>
        </w:rPr>
        <w:t>6</w:t>
      </w:r>
      <w:r>
        <mc:AlternateContent>
          <mc:Choice Requires="wps">
            <w:drawing>
              <wp:anchor behindDoc="0" distT="0" distB="0" distL="0" distR="0" simplePos="0" locked="0" layoutInCell="1" allowOverlap="1" relativeHeight="686">
                <wp:simplePos x="0" y="0"/>
                <wp:positionH relativeFrom="page">
                  <wp:posOffset>0</wp:posOffset>
                </wp:positionH>
                <wp:positionV relativeFrom="line">
                  <wp:posOffset>635</wp:posOffset>
                </wp:positionV>
                <wp:extent cx="6480175" cy="175260"/>
                <wp:effectExtent l="0" t="0" r="0" b="0"/>
                <wp:wrapNone/>
                <wp:docPr id="685" name="Frame6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tLeast" w:line="200"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appropriate judgment should always be exercised by each employee, officer and director of the Company in connection with any trade in the Company’s securities.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An employee, officer or director of the Company may, from time to time, need to forego a proposed transaction in the Company’s securities even if he or she planned to make the transaction before learning of Material Nonpublic Information and even though the individual believes he or she may suffer an economic loss or forego anticipated profit by waiting.</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i w:val="false"/>
          <w:smallCaps/>
          <w:sz w:val="24"/>
        </w:rPr>
        <w:t>G.</w:t>
      </w:r>
      <w:r>
        <w:rPr>
          <w:rFonts w:ascii="Times New Roman;Times;serif" w:hAnsi="Times New Roman;Times;serif"/>
          <w:b/>
          <w:smallCaps/>
          <w:sz w:val="24"/>
        </w:rPr>
        <w:t>Rule 10b5-1 Trading Plans</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SEC Rule 10b5-1 provides an affirmative defense from insider trading liability under the federal securities laws for trading plans that meet certain requirements. It does not prevent someone from bringing a lawsuit. This Policy permits individuals to adopt SEC Rule 10b5-1 trading plans with brokers that outline a pre-set plan for trading of the Company’s securities, including the exercise of equity awards.</w:t>
      </w:r>
    </w:p>
    <w:p>
      <w:pPr>
        <w:pStyle w:val="TextBody"/>
        <w:bidi w:val="0"/>
        <w:spacing w:before="0" w:after="0"/>
        <w:ind w:left="0" w:right="0" w:hanging="0"/>
        <w:jc w:val="both"/>
        <w:rPr>
          <w:smallCaps/>
        </w:rPr>
      </w:pPr>
      <w:r>
        <w:rPr>
          <w:smallCaps/>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As required by SEC Rule 10b5-1, a director, executive officer or other employee of the Company identified as a Designated Insider may implement a trading plan under SEC Rule 10b5-1 only when he or she is not in possession of Material Nonpublic Information.  In addition, a trading plan may not be entered into during a Blackout Period.  Any executive officer or other employee of the Company identified as a Designated Insider who wishes to implement a trading plan under SEC Rule 10b5-1 must first pre-clear the plan with an Insider Trading Compliance Officer, and also must pre-clear any amendment to such plan with an Insider Trading Compliance Officer.</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Establishing a trading plan under SEC Rule 10b5-1 does not exempt transactions from the short-swing profit provisions of Section 16 of the Exchange Act (“</w:t>
      </w:r>
      <w:r>
        <w:rPr>
          <w:rFonts w:ascii="Times New Roman;Times;serif" w:hAnsi="Times New Roman;Times;serif"/>
          <w:b/>
          <w:i/>
          <w:sz w:val="24"/>
        </w:rPr>
        <w:t>Section 16”</w:t>
      </w:r>
      <w:r>
        <w:rPr>
          <w:rFonts w:ascii="Times New Roman;Times;serif" w:hAnsi="Times New Roman;Times;serif"/>
          <w:sz w:val="24"/>
        </w:rPr>
        <w:t>).</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i w:val="false"/>
          <w:smallCaps/>
          <w:sz w:val="24"/>
        </w:rPr>
        <w:t>H.</w:t>
      </w:r>
      <w:r>
        <w:rPr>
          <w:rFonts w:ascii="Times New Roman;Times;serif" w:hAnsi="Times New Roman;Times;serif"/>
          <w:b/>
          <w:smallCaps/>
          <w:sz w:val="24"/>
        </w:rPr>
        <w:t>Certain Exceptions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1.Equity Award Exercises</w:t>
      </w:r>
      <w:r>
        <w:rPr>
          <w:rFonts w:ascii="Times New Roman;Times;serif" w:hAnsi="Times New Roman;Times;serif"/>
          <w:sz w:val="24"/>
        </w:rPr>
        <w:t>.  For purposes of this Policy, the Company considers that the exercise of equity awards under the Company’s equity incentive plans (but not the sale of the underlying stock) to be exempt from this Policy.  This Policy does apply, however, to any sale of stock as part of a broker-assisted “cashless” exercise of an equity award, or any market sale for the purpose of generating the cash needed to pay the exercise price of an equity award.</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2.</w:t>
      </w:r>
      <w:r>
        <w:rPr>
          <w:rFonts w:ascii="Times New Roman;Times;serif" w:hAnsi="Times New Roman;Times;serif"/>
          <w:b/>
          <w:sz w:val="24"/>
        </w:rPr>
        <w:t>Restricted Stock Awards or Restricted Stock Units</w:t>
      </w:r>
      <w:r>
        <w:rPr>
          <w:rFonts w:ascii="Times New Roman;Times;serif" w:hAnsi="Times New Roman;Times;serif"/>
          <w:sz w:val="24"/>
        </w:rPr>
        <w:t>.  This Policy’s trading restrictions generally do not apply to the vesting of restricted stock or restricted stock units or the Company’s withholding of shares of stock to satisfy tax withholding requirements upon the vesting of any restricted stock or restricted stock units (assuming such withholding is permitted by the Company).  The trading restrictions do apply, however, to any market sale of stock received upon vesting of such awards.</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b/>
          <w:sz w:val="24"/>
        </w:rPr>
        <w:t>2.401(k) Plan</w:t>
      </w:r>
      <w:r>
        <w:rPr>
          <w:rFonts w:ascii="Times New Roman;Times;serif" w:hAnsi="Times New Roman;Times;serif"/>
          <w:sz w:val="24"/>
        </w:rPr>
        <w:t xml:space="preserve">.  This Policy does not apply to purchases of Company stock in the Company’s 401(k) plan resulting from periodic contributions of money to the plan pursuant to payroll deduction elections.  This Policy does apply, however, to certain elections that may be made under the 401(k) plan, including: (a) an election to increase or decrease the percentage of </w:t>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ab/>
      </w:r>
      <w:r>
        <w:rPr>
          <w:rFonts w:ascii="Times New Roman;Times;serif" w:hAnsi="Times New Roman;Times;serif"/>
          <w:sz w:val="24"/>
          <w:shd w:fill="FFFFFF" w:val="clear"/>
        </w:rPr>
        <w:t>7</w:t>
      </w:r>
      <w:r>
        <mc:AlternateContent>
          <mc:Choice Requires="wps">
            <w:drawing>
              <wp:anchor behindDoc="0" distT="0" distB="0" distL="0" distR="0" simplePos="0" locked="0" layoutInCell="1" allowOverlap="1" relativeHeight="687">
                <wp:simplePos x="0" y="0"/>
                <wp:positionH relativeFrom="page">
                  <wp:posOffset>0</wp:posOffset>
                </wp:positionH>
                <wp:positionV relativeFrom="line">
                  <wp:posOffset>635</wp:posOffset>
                </wp:positionV>
                <wp:extent cx="6480175" cy="175260"/>
                <wp:effectExtent l="0" t="0" r="0" b="0"/>
                <wp:wrapNone/>
                <wp:docPr id="686" name="Frame6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tLeast" w:line="200"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periodic contributions that will be allocated to the Company stock fund, if any; (b) an election to make an intra-plan transfer of an existing account balance into or out of the Company stock fund; (c) an election to borrow money against a 401(k) plan account if the loan will result in a liquidation of some or all of a participant’s Company stock fund balance; and (d) an election to pre-pay a plan loan if the pre-payment will result in allocation of loan proceeds to the Company stock fund.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3.Employee Stock Purchase Plan.</w:t>
      </w:r>
      <w:r>
        <w:rPr>
          <w:rFonts w:ascii="Times New Roman;Times;serif" w:hAnsi="Times New Roman;Times;serif"/>
          <w:sz w:val="24"/>
        </w:rPr>
        <w:t xml:space="preserve">  This Policy does not apply to purchases of Company stock in any employee stock purchase plan of the Company resulting from periodic contributions of money to the plan pursuant to the elections made at the time of enrollment in the plan.  This Policy also does not apply to purchases of Company stock resulting from lump sum contributions to the plan, provided that the participant elected to participate by lump-sum payment at the beginning of the applicable enrollment period.  This Policy does apply to a participant’s election to participate in or increase his or her participation in the plan, and to a participant’s sales of Company stock purchased pursuant to the plan.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4.Dividend Reinvestment Plan</w:t>
      </w:r>
      <w:r>
        <w:rPr>
          <w:rFonts w:ascii="Times New Roman;Times;serif" w:hAnsi="Times New Roman;Times;serif"/>
          <w:sz w:val="24"/>
        </w:rPr>
        <w:t>.  This Policy does not apply to purchases of Company stock under any dividend reinvestment plan of the Company resulting from reinvestment of dividends paid on Company securities.  This Policy does apply, however, to voluntary purchases of Company stock that result from additional contributions a participant chooses to make to the plan, and to a participant’s election to participate in the plan or increase his or her level of participation in the plan.  This Policy also applies to his or her sale of any Company stock purchased pursuant to the plan.</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 xml:space="preserve">In addition, </w:t>
      </w:r>
      <w:r>
        <w:rPr>
          <w:rFonts w:ascii="Times New Roman;Times;serif" w:hAnsi="Times New Roman;Times;serif"/>
          <w:i/>
          <w:sz w:val="24"/>
        </w:rPr>
        <w:t>bona fide gifts</w:t>
      </w:r>
      <w:r>
        <w:rPr>
          <w:rFonts w:ascii="Times New Roman;Times;serif" w:hAnsi="Times New Roman;Times;serif"/>
          <w:sz w:val="24"/>
        </w:rPr>
        <w:t xml:space="preserve"> are not transactions subject to this Policy, unless the person making the gift has reason to believe that the recipient intends to sell the Company securities while the donor is aware of Material Nonpublic Information, or the person making the gift is subject to any trading restrictions described under this Policy  </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i w:val="false"/>
          <w:smallCaps/>
          <w:sz w:val="24"/>
        </w:rPr>
        <w:t>I.</w:t>
      </w:r>
      <w:r>
        <w:rPr>
          <w:rFonts w:ascii="Times New Roman;Times;serif" w:hAnsi="Times New Roman;Times;serif"/>
          <w:b/>
          <w:smallCaps/>
          <w:sz w:val="24"/>
        </w:rPr>
        <w:t>Applicability of Policy to Inside Information Regarding Other Companies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This Policy and the guidelines described herein also apply to material nonpublic information relating to other companies, including the Company’s customers, vendors or suppliers (collectively, “</w:t>
      </w:r>
      <w:r>
        <w:rPr>
          <w:rFonts w:ascii="Times New Roman;Times;serif" w:hAnsi="Times New Roman;Times;serif"/>
          <w:b/>
          <w:i/>
          <w:sz w:val="24"/>
        </w:rPr>
        <w:t>business partners”</w:t>
      </w:r>
      <w:r>
        <w:rPr>
          <w:rFonts w:ascii="Times New Roman;Times;serif" w:hAnsi="Times New Roman;Times;serif"/>
          <w:sz w:val="24"/>
        </w:rPr>
        <w:t>), when that information is obtained in the course of employment with, or other services performed on behalf of, the Company.  Civil and criminal penalties, and termination of employment, may result from trading on inside information regarding the Company’s business partners.  All Company employees should treat material nonpublic information about the Company’s business partners with the same care required with respect to information related directly to the Company.</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i w:val="false"/>
          <w:smallCaps/>
          <w:sz w:val="24"/>
        </w:rPr>
        <w:t>J.</w:t>
      </w:r>
      <w:r>
        <w:rPr>
          <w:rFonts w:ascii="Times New Roman;Times;serif" w:hAnsi="Times New Roman;Times;serif"/>
          <w:b/>
          <w:smallCaps/>
          <w:sz w:val="24"/>
        </w:rPr>
        <w:t>Section 16 Liability - Directors and Officers</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 xml:space="preserve">Directors and certain officers of the Company must also comply with the reporting obligations and limitations on short-swing profit transactions set forth in Section 16.  The practical effect of these provisions is that these officers and directors who purchase and sell the Company’s securities within a six-month period must disgorge all profits to the Company whether or not they had knowledge of any Material Nonpublic Information.  Under these </w:t>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ab/>
      </w:r>
      <w:r>
        <w:rPr>
          <w:rFonts w:ascii="Times New Roman;Times;serif" w:hAnsi="Times New Roman;Times;serif"/>
          <w:sz w:val="24"/>
          <w:shd w:fill="FFFFFF" w:val="clear"/>
        </w:rPr>
        <w:t>8</w:t>
      </w:r>
      <w:r>
        <mc:AlternateContent>
          <mc:Choice Requires="wps">
            <w:drawing>
              <wp:anchor behindDoc="0" distT="0" distB="0" distL="0" distR="0" simplePos="0" locked="0" layoutInCell="1" allowOverlap="1" relativeHeight="688">
                <wp:simplePos x="0" y="0"/>
                <wp:positionH relativeFrom="page">
                  <wp:posOffset>0</wp:posOffset>
                </wp:positionH>
                <wp:positionV relativeFrom="line">
                  <wp:posOffset>635</wp:posOffset>
                </wp:positionV>
                <wp:extent cx="6480175" cy="175260"/>
                <wp:effectExtent l="0" t="0" r="0" b="0"/>
                <wp:wrapNone/>
                <wp:docPr id="687" name="Frame6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tLeast" w:line="200"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provisions, and so long as certain other criteria are met, neither the receipt of stock or stock options under the Company’s stock plans, nor the exercise of options nor the receipt of stock under a Company dividend reinvestment plan or the Company’s 401(k) retirement plan is deemed a purchase that can be matched against a sale for Section 16(b) short-swing profit disgorgement purposes; however, the sale of any such shares so obtained is a sale for these purposes.  The Company will provide separate memoranda and other appropriate materials to the affected officers and directors regarding compliance with Section 16 and its related rules.</w:t>
      </w:r>
    </w:p>
    <w:p>
      <w:pPr>
        <w:pStyle w:val="TextBody"/>
        <w:bidi w:val="0"/>
        <w:spacing w:before="0" w:after="240"/>
        <w:ind w:left="0" w:right="0" w:firstLine="720"/>
        <w:jc w:val="both"/>
        <w:rPr>
          <w:rFonts w:ascii="Times New Roman;Times;serif" w:hAnsi="Times New Roman;Times;serif"/>
          <w:b/>
          <w:sz w:val="24"/>
        </w:rPr>
      </w:pPr>
      <w:r>
        <w:rPr>
          <w:rFonts w:ascii="Times New Roman;Times;serif" w:hAnsi="Times New Roman;Times;serif"/>
          <w:b/>
          <w:sz w:val="24"/>
        </w:rPr>
        <w:t>The rules on recovery of short-swing profits are absolute and do not depend on whether a person has Material Nonpublic Information.</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i w:val="false"/>
          <w:smallCaps/>
          <w:sz w:val="24"/>
        </w:rPr>
        <w:t>K.</w:t>
      </w:r>
      <w:r>
        <w:rPr>
          <w:rFonts w:ascii="Times New Roman;Times;serif" w:hAnsi="Times New Roman;Times;serif"/>
          <w:b/>
          <w:smallCaps/>
          <w:sz w:val="24"/>
        </w:rPr>
        <w:t>Short Sales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No officer, director, other employee or consultant of the Company may engage in short sales of the Company’s securities, including a “sale against the box,” at any time.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i w:val="false"/>
          <w:smallCaps/>
          <w:sz w:val="24"/>
        </w:rPr>
        <w:t>L.</w:t>
      </w:r>
      <w:r>
        <w:rPr>
          <w:rFonts w:ascii="Times New Roman;Times;serif" w:hAnsi="Times New Roman;Times;serif"/>
          <w:b/>
          <w:smallCaps/>
          <w:sz w:val="24"/>
        </w:rPr>
        <w:t>Publicly-Traded Options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 xml:space="preserve">A transaction in options is, in effect, a bet on the short-term movement of the Company’s stock and therefore creates the appearance that the director or employee is trading based on inside information.  Transactions in options also may focus the trader’s attention on short-term performance at the expense of the Company’s long-term objectives. Accordingly, transactions in puts, calls or other derivative securities, on an exchange or in any other organized market, are prohibited.  Option positions arising from certain types of hedging transactions are governed by </w:t>
      </w:r>
      <w:r>
        <w:rPr>
          <w:rFonts w:ascii="Times New Roman;Times;serif" w:hAnsi="Times New Roman;Times;serif"/>
          <w:b/>
          <w:sz w:val="24"/>
        </w:rPr>
        <w:t>Section M</w:t>
      </w:r>
      <w:r>
        <w:rPr>
          <w:rFonts w:ascii="Times New Roman;Times;serif" w:hAnsi="Times New Roman;Times;serif"/>
          <w:sz w:val="24"/>
        </w:rPr>
        <w:t xml:space="preserve"> of this Policy.</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i w:val="false"/>
          <w:smallCaps/>
          <w:sz w:val="24"/>
        </w:rPr>
        <w:t>M.</w:t>
      </w:r>
      <w:r>
        <w:rPr>
          <w:rFonts w:ascii="Times New Roman;Times;serif" w:hAnsi="Times New Roman;Times;serif"/>
          <w:b/>
          <w:smallCaps/>
          <w:sz w:val="24"/>
        </w:rPr>
        <w:t>Hedging or Monetization Transactions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Certain forms of hedging or monetization transactions, such as zero-cost collars and forward sale contracts, allow a director, officer or employee to lock in much of the value of his or her stock holdings, often in exchange for all or part of the potential for upside appreciation in the stock.  These transactions would allow them to continue to own the covered securities, but without the full risks and rewards of ownership.  When that occurs, their interests and the interests of the Company and its stockholders may be misaligned and may signal a message to the trading market when disclosed in Section 16 reports that may not be in the best interests of the Company and its stockholders at the time it is conveyed.  Accordingly, transactions in hedging or monetization transactions involving Company securities are prohibited.</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i w:val="false"/>
          <w:smallCaps/>
          <w:sz w:val="24"/>
        </w:rPr>
        <w:t>N.</w:t>
      </w:r>
      <w:r>
        <w:rPr>
          <w:rFonts w:ascii="Times New Roman;Times;serif" w:hAnsi="Times New Roman;Times;serif"/>
          <w:b/>
          <w:smallCaps/>
          <w:sz w:val="24"/>
        </w:rPr>
        <w:t>Margin Accounts and Pledges</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 xml:space="preserve">Securities held in a margin account may be sold by the broker without the customer’s consent if the customer fails to meet a margin call.  Similarly, securities pledged (or hypothecated) as collateral for a loan may be sold in foreclosure if the borrower defaults on the loan.  A margin sale or foreclosure sale may occur at a time when the pledgor is aware of Material Nonpublic Information or otherwise is not permitted to trade in Company securities pursuant to Blackout Period restriction. Thus, unless pre-cleared by an Insider Trading Compliance Officer, directors, officers and employees are prohibited from pledging Company securities as collateral for a loan.  Any director, officer or employee of the Company preparing to </w:t>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ab/>
      </w:r>
      <w:r>
        <w:rPr>
          <w:rFonts w:ascii="Times New Roman;Times;serif" w:hAnsi="Times New Roman;Times;serif"/>
          <w:sz w:val="24"/>
          <w:shd w:fill="FFFFFF" w:val="clear"/>
        </w:rPr>
        <w:t>9</w:t>
      </w:r>
      <w:r>
        <mc:AlternateContent>
          <mc:Choice Requires="wps">
            <w:drawing>
              <wp:anchor behindDoc="0" distT="0" distB="0" distL="0" distR="0" simplePos="0" locked="0" layoutInCell="1" allowOverlap="1" relativeHeight="689">
                <wp:simplePos x="0" y="0"/>
                <wp:positionH relativeFrom="page">
                  <wp:posOffset>0</wp:posOffset>
                </wp:positionH>
                <wp:positionV relativeFrom="line">
                  <wp:posOffset>635</wp:posOffset>
                </wp:positionV>
                <wp:extent cx="6480175" cy="175260"/>
                <wp:effectExtent l="0" t="0" r="0" b="0"/>
                <wp:wrapNone/>
                <wp:docPr id="688" name="Frame6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tLeast" w:line="200"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pledge his or her Company securities must clearly demonstrate his or her financial capacity to repay the loan without resort to the pledged securities.  Any person proposing to pledge Company securities as collateral for a loan must submit a request for approval to an Insider Trading Compliance Officer at least two weeks prior to the proposed execution of documents evidencing the proposed pledge.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i w:val="false"/>
          <w:smallCaps/>
          <w:sz w:val="24"/>
        </w:rPr>
        <w:t>O.</w:t>
      </w:r>
      <w:r>
        <w:rPr>
          <w:rFonts w:ascii="Times New Roman;Times;serif" w:hAnsi="Times New Roman;Times;serif"/>
          <w:b/>
          <w:smallCaps/>
          <w:sz w:val="24"/>
        </w:rPr>
        <w:t>Standing Orders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Standing orders should be used only for a very brief period of time.  A standing order placed with a broker or other nominee to sell or purchase stock at a specified price leaves an employee, officer or director of the Company with no control over the timing of the transaction.  A standing order transaction executed by the broker or other nominee when such employee, officer or director of the Company is aware of Material Nonpublic Information may result in unlawful insider trading.</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i w:val="false"/>
          <w:smallCaps/>
          <w:sz w:val="24"/>
        </w:rPr>
        <w:t>P.</w:t>
      </w:r>
      <w:r>
        <w:rPr>
          <w:rFonts w:ascii="Times New Roman;Times;serif" w:hAnsi="Times New Roman;Times;serif"/>
          <w:b/>
          <w:smallCaps/>
          <w:sz w:val="24"/>
        </w:rPr>
        <w:t>Post-Termination Transactions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In the event an employee, officer or director of the Company resigns or terminates employment or service with the Company, this Policy shall continue to apply to transactions in Company securities by such individual for so long as he or she remains in possession of any Material Nonpublic Information possessed by such employee, officer or director as of his or her resignation or termination.  Notwithstanding the foregoing, all former employees, officers and directors shall remain subject to the prohibitions against insider trading set forth under federal and state securities laws any time they engage in transactions in Company securities following their resignation or termination.</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i w:val="false"/>
          <w:smallCaps/>
          <w:sz w:val="24"/>
        </w:rPr>
        <w:t>Q.</w:t>
      </w:r>
      <w:r>
        <w:rPr>
          <w:rFonts w:ascii="Times New Roman;Times;serif" w:hAnsi="Times New Roman;Times;serif"/>
          <w:b/>
          <w:smallCaps/>
          <w:sz w:val="24"/>
        </w:rPr>
        <w:t>Communications with the Public</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The Company is subject to the SEC’s Regulation FD (Fair Disclosure) and must avoid selective disclosure of Material Nonpublic Information.  The Company has established procedures for releasing material information in a manner that is designed to achieve broad public dissemination of the information immediately upon its release.  Pursuant to Company policy, only the executive officers who have been authorized to engage in communications with the public may disclose information to the public regarding the Company and its business activities and financial affairs.  The public includes, without limitation, research analysts, portfolio managers, financial and business reporters, news media and investors.  In addition, because of the risks associated with the exchange of information through such communications media, Company employees are strictly prohibited from posting or responding to messages containing information regarding the Company on Internet “bulletin boards,” Internet “chat rooms” or in similar online forums. Employees who inadvertently disclose any Material Nonpublic Information must immediately advise an Insider Trading Compliance Officer so the Company can assess its obligations under Regulation FD and other applicable securities laws.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i w:val="false"/>
          <w:smallCaps/>
          <w:sz w:val="24"/>
        </w:rPr>
        <w:t>R.</w:t>
      </w:r>
      <w:r>
        <w:rPr>
          <w:rFonts w:ascii="Times New Roman;Times;serif" w:hAnsi="Times New Roman;Times;serif"/>
          <w:b/>
          <w:smallCaps/>
          <w:sz w:val="24"/>
        </w:rPr>
        <w:t>Inquiries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Please direct questions as to any of the matters discussed in this Policy to either of the following Insider Trading Compliance Officers:</w:t>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ab/>
      </w:r>
      <w:r>
        <w:rPr>
          <w:rFonts w:ascii="Times New Roman;Times;serif" w:hAnsi="Times New Roman;Times;serif"/>
          <w:sz w:val="24"/>
          <w:shd w:fill="FFFFFF" w:val="clear"/>
        </w:rPr>
        <w:t>10</w:t>
      </w:r>
      <w:r>
        <mc:AlternateContent>
          <mc:Choice Requires="wps">
            <w:drawing>
              <wp:anchor behindDoc="0" distT="0" distB="0" distL="0" distR="0" simplePos="0" locked="0" layoutInCell="1" allowOverlap="1" relativeHeight="690">
                <wp:simplePos x="0" y="0"/>
                <wp:positionH relativeFrom="page">
                  <wp:posOffset>0</wp:posOffset>
                </wp:positionH>
                <wp:positionV relativeFrom="line">
                  <wp:posOffset>635</wp:posOffset>
                </wp:positionV>
                <wp:extent cx="6480175" cy="175260"/>
                <wp:effectExtent l="0" t="0" r="0" b="0"/>
                <wp:wrapNone/>
                <wp:docPr id="689" name="Frame6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tLeast" w:line="200" w:before="0" w:after="0"/>
        <w:ind w:left="0" w:right="0" w:hanging="0"/>
        <w:jc w:val="left"/>
        <w:rPr/>
      </w:pPr>
      <w:r>
        <w:rPr/>
        <w:t>​</w:t>
      </w:r>
    </w:p>
    <w:p>
      <w:pPr>
        <w:pStyle w:val="HorizontalLine"/>
        <w:pBdr>
          <w:bottom w:val="double" w:sz="2" w:space="0" w:color="808080"/>
        </w:pBdr>
        <w:bidi w:val="0"/>
        <w:spacing w:before="0" w:after="283"/>
        <w:jc w:val="left"/>
        <w:rPr/>
      </w:pPr>
      <w:r>
        <w:rPr/>
      </w:r>
    </w:p>
    <w:tbl>
      <w:tblPr>
        <w:tblW w:w="8927" w:type="dxa"/>
        <w:jc w:val="left"/>
        <w:tblInd w:w="0" w:type="dxa"/>
        <w:tblLayout w:type="fixed"/>
        <w:tblCellMar>
          <w:top w:w="0" w:type="dxa"/>
          <w:left w:w="0" w:type="dxa"/>
          <w:bottom w:w="0" w:type="dxa"/>
          <w:right w:w="0" w:type="dxa"/>
        </w:tblCellMar>
      </w:tblPr>
      <w:tblGrid>
        <w:gridCol w:w="4381"/>
        <w:gridCol w:w="4546"/>
      </w:tblGrid>
      <w:tr>
        <w:trPr/>
        <w:tc>
          <w:tcPr>
            <w:tcW w:w="4381" w:type="dxa"/>
            <w:tcBorders/>
            <w:vAlign w:val="center"/>
          </w:tcPr>
          <w:p>
            <w:pPr>
              <w:pStyle w:val="TableContents"/>
              <w:bidi w:val="0"/>
              <w:spacing w:lineRule="auto" w:line="266" w:before="0" w:after="0"/>
              <w:ind w:left="0" w:right="0" w:hanging="0"/>
              <w:jc w:val="left"/>
              <w:rPr>
                <w:rFonts w:ascii="Times New Roman;Times;serif" w:hAnsi="Times New Roman;Times;serif"/>
                <w:sz w:val="24"/>
              </w:rPr>
            </w:pPr>
            <w:r>
              <w:rPr>
                <w:rFonts w:ascii="Times New Roman;Times;serif" w:hAnsi="Times New Roman;Times;serif"/>
                <w:sz w:val="24"/>
              </w:rPr>
              <w:t>Sylvia Gendenjamts</w:t>
            </w:r>
          </w:p>
        </w:tc>
        <w:tc>
          <w:tcPr>
            <w:tcW w:w="4546" w:type="dxa"/>
            <w:tcBorders/>
            <w:vAlign w:val="center"/>
          </w:tcPr>
          <w:p>
            <w:pPr>
              <w:pStyle w:val="TableContents"/>
              <w:bidi w:val="0"/>
              <w:spacing w:lineRule="auto" w:line="266" w:before="0" w:after="0"/>
              <w:ind w:left="0" w:right="0" w:hanging="0"/>
              <w:jc w:val="left"/>
              <w:rPr>
                <w:rFonts w:ascii="Times New Roman;Times;serif" w:hAnsi="Times New Roman;Times;serif"/>
                <w:sz w:val="24"/>
              </w:rPr>
            </w:pPr>
            <w:r>
              <w:rPr>
                <w:rFonts w:ascii="Times New Roman;Times;serif" w:hAnsi="Times New Roman;Times;serif"/>
                <w:sz w:val="24"/>
              </w:rPr>
              <w:t>E. Cabell Massey</w:t>
            </w:r>
          </w:p>
        </w:tc>
      </w:tr>
      <w:tr>
        <w:trPr/>
        <w:tc>
          <w:tcPr>
            <w:tcW w:w="4381" w:type="dxa"/>
            <w:tcBorders/>
            <w:vAlign w:val="center"/>
          </w:tcPr>
          <w:p>
            <w:pPr>
              <w:pStyle w:val="TableContents"/>
              <w:bidi w:val="0"/>
              <w:spacing w:lineRule="auto" w:line="266" w:before="0" w:after="0"/>
              <w:ind w:left="0" w:right="0" w:hanging="0"/>
              <w:jc w:val="left"/>
              <w:rPr>
                <w:rFonts w:ascii="Times New Roman;Times;serif" w:hAnsi="Times New Roman;Times;serif"/>
                <w:sz w:val="24"/>
              </w:rPr>
            </w:pPr>
            <w:r>
              <w:rPr>
                <w:rFonts w:ascii="Times New Roman;Times;serif" w:hAnsi="Times New Roman;Times;serif"/>
                <w:sz w:val="24"/>
              </w:rPr>
              <w:t>Vice President of Accounting and Treasurer</w:t>
            </w:r>
          </w:p>
        </w:tc>
        <w:tc>
          <w:tcPr>
            <w:tcW w:w="4546" w:type="dxa"/>
            <w:tcBorders/>
            <w:vAlign w:val="center"/>
          </w:tcPr>
          <w:p>
            <w:pPr>
              <w:pStyle w:val="TableContents"/>
              <w:bidi w:val="0"/>
              <w:spacing w:lineRule="auto" w:line="266" w:before="0" w:after="0"/>
              <w:ind w:left="0" w:right="0" w:hanging="0"/>
              <w:jc w:val="left"/>
              <w:rPr>
                <w:rFonts w:ascii="Times New Roman;Times;serif" w:hAnsi="Times New Roman;Times;serif"/>
                <w:sz w:val="24"/>
              </w:rPr>
            </w:pPr>
            <w:r>
              <w:rPr>
                <w:rFonts w:ascii="Times New Roman;Times;serif" w:hAnsi="Times New Roman;Times;serif"/>
                <w:sz w:val="24"/>
              </w:rPr>
              <w:t>Vice President, Legal and Corporate Secretary</w:t>
            </w:r>
          </w:p>
        </w:tc>
      </w:tr>
      <w:tr>
        <w:trPr/>
        <w:tc>
          <w:tcPr>
            <w:tcW w:w="4381" w:type="dxa"/>
            <w:tcBorders/>
            <w:vAlign w:val="center"/>
          </w:tcPr>
          <w:p>
            <w:pPr>
              <w:pStyle w:val="TableContents"/>
              <w:bidi w:val="0"/>
              <w:spacing w:lineRule="auto" w:line="266" w:before="0" w:after="0"/>
              <w:ind w:left="0" w:right="0" w:hanging="0"/>
              <w:jc w:val="left"/>
              <w:rPr>
                <w:rFonts w:ascii="Times New Roman;Times;serif" w:hAnsi="Times New Roman;Times;serif"/>
                <w:sz w:val="24"/>
              </w:rPr>
            </w:pPr>
            <w:r>
              <w:rPr>
                <w:rFonts w:ascii="Times New Roman;Times;serif" w:hAnsi="Times New Roman;Times;serif"/>
                <w:sz w:val="24"/>
              </w:rPr>
              <w:t>Gevo, Inc.</w:t>
            </w:r>
          </w:p>
        </w:tc>
        <w:tc>
          <w:tcPr>
            <w:tcW w:w="4546" w:type="dxa"/>
            <w:tcBorders/>
            <w:vAlign w:val="center"/>
          </w:tcPr>
          <w:p>
            <w:pPr>
              <w:pStyle w:val="TableContents"/>
              <w:bidi w:val="0"/>
              <w:spacing w:lineRule="auto" w:line="266" w:before="0" w:after="0"/>
              <w:ind w:left="0" w:right="0" w:hanging="0"/>
              <w:jc w:val="left"/>
              <w:rPr>
                <w:rFonts w:ascii="Times New Roman;Times;serif" w:hAnsi="Times New Roman;Times;serif"/>
                <w:sz w:val="24"/>
              </w:rPr>
            </w:pPr>
            <w:r>
              <w:rPr>
                <w:rFonts w:ascii="Times New Roman;Times;serif" w:hAnsi="Times New Roman;Times;serif"/>
                <w:sz w:val="24"/>
              </w:rPr>
              <w:t>Gevo, Inc.</w:t>
            </w:r>
          </w:p>
        </w:tc>
      </w:tr>
      <w:tr>
        <w:trPr/>
        <w:tc>
          <w:tcPr>
            <w:tcW w:w="4381" w:type="dxa"/>
            <w:tcBorders/>
            <w:vAlign w:val="center"/>
          </w:tcPr>
          <w:p>
            <w:pPr>
              <w:pStyle w:val="TableContents"/>
              <w:bidi w:val="0"/>
              <w:spacing w:lineRule="auto" w:line="266" w:before="0" w:after="0"/>
              <w:ind w:left="0" w:right="0" w:hanging="0"/>
              <w:jc w:val="left"/>
              <w:rPr>
                <w:rFonts w:ascii="Times New Roman;Times;serif" w:hAnsi="Times New Roman;Times;serif"/>
                <w:sz w:val="24"/>
              </w:rPr>
            </w:pPr>
            <w:r>
              <w:rPr>
                <w:rFonts w:ascii="Times New Roman;Times;serif" w:hAnsi="Times New Roman;Times;serif"/>
                <w:sz w:val="24"/>
              </w:rPr>
              <w:t xml:space="preserve">345 Inverness Dr. South, Bldg. C, Suite 310 </w:t>
            </w:r>
          </w:p>
        </w:tc>
        <w:tc>
          <w:tcPr>
            <w:tcW w:w="4546" w:type="dxa"/>
            <w:tcBorders/>
            <w:vAlign w:val="center"/>
          </w:tcPr>
          <w:p>
            <w:pPr>
              <w:pStyle w:val="TableContents"/>
              <w:bidi w:val="0"/>
              <w:spacing w:lineRule="auto" w:line="266" w:before="0" w:after="0"/>
              <w:ind w:left="0" w:right="0" w:hanging="0"/>
              <w:jc w:val="left"/>
              <w:rPr>
                <w:rFonts w:ascii="Times New Roman;Times;serif" w:hAnsi="Times New Roman;Times;serif"/>
                <w:sz w:val="24"/>
              </w:rPr>
            </w:pPr>
            <w:r>
              <w:rPr>
                <w:rFonts w:ascii="Times New Roman;Times;serif" w:hAnsi="Times New Roman;Times;serif"/>
                <w:sz w:val="24"/>
              </w:rPr>
              <w:t xml:space="preserve">345 Inverness Dr. South, Bldg. C, Suite 310 </w:t>
            </w:r>
          </w:p>
        </w:tc>
      </w:tr>
      <w:tr>
        <w:trPr/>
        <w:tc>
          <w:tcPr>
            <w:tcW w:w="4381" w:type="dxa"/>
            <w:tcBorders/>
            <w:vAlign w:val="center"/>
          </w:tcPr>
          <w:p>
            <w:pPr>
              <w:pStyle w:val="TableContents"/>
              <w:bidi w:val="0"/>
              <w:spacing w:lineRule="auto" w:line="266" w:before="0" w:after="0"/>
              <w:ind w:left="0" w:right="0" w:hanging="0"/>
              <w:jc w:val="left"/>
              <w:rPr>
                <w:rFonts w:ascii="Times New Roman;Times;serif" w:hAnsi="Times New Roman;Times;serif"/>
                <w:sz w:val="24"/>
              </w:rPr>
            </w:pPr>
            <w:r>
              <w:rPr>
                <w:rFonts w:ascii="Times New Roman;Times;serif" w:hAnsi="Times New Roman;Times;serif"/>
                <w:sz w:val="24"/>
              </w:rPr>
              <w:t>Englewood, CO 80112</w:t>
            </w:r>
          </w:p>
        </w:tc>
        <w:tc>
          <w:tcPr>
            <w:tcW w:w="4546" w:type="dxa"/>
            <w:tcBorders/>
            <w:vAlign w:val="center"/>
          </w:tcPr>
          <w:p>
            <w:pPr>
              <w:pStyle w:val="TableContents"/>
              <w:bidi w:val="0"/>
              <w:spacing w:lineRule="auto" w:line="266" w:before="0" w:after="0"/>
              <w:ind w:left="0" w:right="0" w:hanging="0"/>
              <w:jc w:val="left"/>
              <w:rPr>
                <w:rFonts w:ascii="Times New Roman;Times;serif" w:hAnsi="Times New Roman;Times;serif"/>
                <w:sz w:val="24"/>
              </w:rPr>
            </w:pPr>
            <w:r>
              <w:rPr>
                <w:rFonts w:ascii="Times New Roman;Times;serif" w:hAnsi="Times New Roman;Times;serif"/>
                <w:sz w:val="24"/>
              </w:rPr>
              <w:t>Englewood, CO 80112</w:t>
            </w:r>
          </w:p>
        </w:tc>
      </w:tr>
      <w:tr>
        <w:trPr/>
        <w:tc>
          <w:tcPr>
            <w:tcW w:w="4381" w:type="dxa"/>
            <w:tcBorders/>
            <w:vAlign w:val="center"/>
          </w:tcPr>
          <w:p>
            <w:pPr>
              <w:pStyle w:val="TableContents"/>
              <w:bidi w:val="0"/>
              <w:spacing w:lineRule="auto" w:line="266" w:before="0" w:after="0"/>
              <w:ind w:left="0" w:right="0" w:hanging="0"/>
              <w:jc w:val="left"/>
              <w:rPr>
                <w:rFonts w:ascii="Times New Roman;Times;serif" w:hAnsi="Times New Roman;Times;serif"/>
                <w:sz w:val="24"/>
              </w:rPr>
            </w:pPr>
            <w:r>
              <w:rPr>
                <w:rFonts w:ascii="Times New Roman;Times;serif" w:hAnsi="Times New Roman;Times;serif"/>
                <w:sz w:val="24"/>
              </w:rPr>
              <w:t>Telephone: [*****]</w:t>
            </w:r>
          </w:p>
        </w:tc>
        <w:tc>
          <w:tcPr>
            <w:tcW w:w="4546" w:type="dxa"/>
            <w:tcBorders/>
            <w:vAlign w:val="center"/>
          </w:tcPr>
          <w:p>
            <w:pPr>
              <w:pStyle w:val="TableContents"/>
              <w:bidi w:val="0"/>
              <w:spacing w:lineRule="auto" w:line="266" w:before="0" w:after="0"/>
              <w:ind w:left="0" w:right="0" w:hanging="0"/>
              <w:jc w:val="left"/>
              <w:rPr>
                <w:rFonts w:ascii="Times New Roman;Times;serif" w:hAnsi="Times New Roman;Times;serif"/>
                <w:sz w:val="24"/>
              </w:rPr>
            </w:pPr>
            <w:r>
              <w:rPr>
                <w:rFonts w:ascii="Times New Roman;Times;serif" w:hAnsi="Times New Roman;Times;serif"/>
                <w:sz w:val="24"/>
              </w:rPr>
              <w:t>Telephone: [*****]</w:t>
            </w:r>
          </w:p>
        </w:tc>
      </w:tr>
      <w:tr>
        <w:trPr/>
        <w:tc>
          <w:tcPr>
            <w:tcW w:w="4381" w:type="dxa"/>
            <w:tcBorders/>
            <w:vAlign w:val="center"/>
          </w:tcPr>
          <w:p>
            <w:pPr>
              <w:pStyle w:val="TableContents"/>
              <w:bidi w:val="0"/>
              <w:spacing w:lineRule="auto" w:line="266" w:before="0" w:after="0"/>
              <w:ind w:left="0" w:right="0" w:hanging="0"/>
              <w:jc w:val="left"/>
              <w:rPr>
                <w:rFonts w:ascii="Times New Roman;Times;serif" w:hAnsi="Times New Roman;Times;serif"/>
                <w:sz w:val="24"/>
              </w:rPr>
            </w:pPr>
            <w:r>
              <w:rPr>
                <w:rFonts w:ascii="Times New Roman;Times;serif" w:hAnsi="Times New Roman;Times;serif"/>
                <w:sz w:val="24"/>
              </w:rPr>
              <w:t>E-mail: [*****]</w:t>
            </w:r>
          </w:p>
        </w:tc>
        <w:tc>
          <w:tcPr>
            <w:tcW w:w="4546" w:type="dxa"/>
            <w:tcBorders/>
            <w:vAlign w:val="center"/>
          </w:tcPr>
          <w:p>
            <w:pPr>
              <w:pStyle w:val="TableContents"/>
              <w:bidi w:val="0"/>
              <w:spacing w:lineRule="auto" w:line="266" w:before="0" w:after="0"/>
              <w:ind w:left="0" w:right="0" w:hanging="0"/>
              <w:jc w:val="left"/>
              <w:rPr>
                <w:rFonts w:ascii="Times New Roman;Times;serif" w:hAnsi="Times New Roman;Times;serif"/>
                <w:sz w:val="24"/>
              </w:rPr>
            </w:pPr>
            <w:r>
              <w:rPr>
                <w:rFonts w:ascii="Times New Roman;Times;serif" w:hAnsi="Times New Roman;Times;serif"/>
                <w:sz w:val="24"/>
              </w:rPr>
              <w:t>E-mail: [*****]</w:t>
            </w:r>
          </w:p>
        </w:tc>
      </w:tr>
    </w:tbl>
    <w:p>
      <w:pPr>
        <w:pStyle w:val="TextBody"/>
        <w:bidi w:val="0"/>
        <w:spacing w:before="0" w:after="0"/>
        <w:ind w:left="0" w:right="0" w:firstLine="1440"/>
        <w:jc w:val="left"/>
        <w:rPr/>
      </w:pPr>
      <w:r>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i w:val="false"/>
          <w:smallCaps/>
          <w:sz w:val="24"/>
        </w:rPr>
        <w:t>S.</w:t>
      </w:r>
      <w:r>
        <w:rPr>
          <w:rFonts w:ascii="Times New Roman;Times;serif" w:hAnsi="Times New Roman;Times;serif"/>
          <w:b/>
          <w:smallCaps/>
          <w:sz w:val="24"/>
        </w:rPr>
        <w:t>Suspected Violations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Any director, officer, other employee or consultant of the Company who knows of or suspects a violation of this Policy should report the violation immediately to an Insider Trading Compliance Officer or through the procedures for anonymous reporting outlined in the Company’s Open Door Policy for Reporting Complaints Regarding Accounting, Auditing and Other Matters.  The Company will comply with all requests from the SEC, Nasdaq and other agencies for information related to insider trading investigations.  </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i w:val="false"/>
          <w:smallCaps/>
          <w:sz w:val="24"/>
        </w:rPr>
        <w:t>T.</w:t>
      </w:r>
      <w:r>
        <w:rPr>
          <w:rFonts w:ascii="Times New Roman;Times;serif" w:hAnsi="Times New Roman;Times;serif"/>
          <w:b/>
          <w:smallCaps/>
          <w:sz w:val="24"/>
        </w:rPr>
        <w:t>Certification</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 xml:space="preserve">All employees, officers and directors of the Company must certify their understanding of, and intent to comply with, this Policy by executing the Certification attached hereto as </w:t>
      </w:r>
      <w:r>
        <w:rPr>
          <w:rFonts w:ascii="Times New Roman;Times;serif" w:hAnsi="Times New Roman;Times;serif"/>
          <w:b/>
          <w:smallCaps/>
          <w:sz w:val="24"/>
        </w:rPr>
        <w:t>Exhibit A</w:t>
      </w:r>
      <w:r>
        <w:rPr>
          <w:rFonts w:ascii="Times New Roman;Times;serif" w:hAnsi="Times New Roman;Times;serif"/>
          <w:sz w:val="24"/>
        </w:rPr>
        <w:t xml:space="preserve"> and returning it to an Insider Trading Compliance Officer.</w:t>
      </w:r>
    </w:p>
    <w:p>
      <w:pPr>
        <w:pStyle w:val="TextBody"/>
        <w:bidi w:val="0"/>
        <w:spacing w:before="0" w:after="240"/>
        <w:ind w:left="0" w:right="0" w:firstLine="720"/>
        <w:jc w:val="both"/>
        <w:rPr/>
      </w:pPr>
      <w:r>
        <w:rPr/>
        <w:t>​</w:t>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ab/>
      </w:r>
      <w:r>
        <w:rPr>
          <w:rFonts w:ascii="Times New Roman;Times;serif" w:hAnsi="Times New Roman;Times;serif"/>
          <w:sz w:val="24"/>
          <w:shd w:fill="FFFFFF" w:val="clear"/>
        </w:rPr>
        <w:t>11</w:t>
      </w:r>
      <w:r>
        <mc:AlternateContent>
          <mc:Choice Requires="wps">
            <w:drawing>
              <wp:anchor behindDoc="0" distT="0" distB="0" distL="0" distR="0" simplePos="0" locked="0" layoutInCell="1" allowOverlap="1" relativeHeight="691">
                <wp:simplePos x="0" y="0"/>
                <wp:positionH relativeFrom="page">
                  <wp:posOffset>0</wp:posOffset>
                </wp:positionH>
                <wp:positionV relativeFrom="line">
                  <wp:posOffset>635</wp:posOffset>
                </wp:positionV>
                <wp:extent cx="6480175" cy="175260"/>
                <wp:effectExtent l="0" t="0" r="0" b="0"/>
                <wp:wrapNone/>
                <wp:docPr id="690" name="Frame6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tLeast" w:line="200"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EXHIBIT A</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GEVO, INC.</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INSIDER TRADING POLICY</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CERTIFICATION</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I certify that: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1.</w:t>
      </w:r>
      <w:r>
        <w:rPr>
          <w:rFonts w:ascii="Times New Roman;Times;serif" w:hAnsi="Times New Roman;Times;serif"/>
          <w:sz w:val="24"/>
        </w:rPr>
        <w:t>I have received, read and understand the Insider Trading Policy (the “Policy”) of Gevo, Inc. (“Gevo”).  I understand that a Gevo Insider Trading Compliance Officer is available to answer any questions I have regarding the Policy.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2.</w:t>
      </w:r>
      <w:r>
        <w:rPr>
          <w:rFonts w:ascii="Times New Roman;Times;serif" w:hAnsi="Times New Roman;Times;serif"/>
          <w:sz w:val="24"/>
        </w:rPr>
        <w:t xml:space="preserve"> I will comply with the Policy for as long as I am subject to the Policy.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3.</w:t>
      </w:r>
      <w:r>
        <w:rPr>
          <w:rFonts w:ascii="Times New Roman;Times;serif" w:hAnsi="Times New Roman;Times;serif"/>
          <w:sz w:val="24"/>
        </w:rPr>
        <w:t>I understand that my failure to comply in all respects with the Policy is a basis for termination for cause of my employment or other service relationship with Gevo or any of its subsidiaries, as well as potential civil and criminal penalties.</w:t>
      </w:r>
    </w:p>
    <w:p>
      <w:pPr>
        <w:pStyle w:val="TextBody"/>
        <w:bidi w:val="0"/>
        <w:spacing w:before="480" w:after="480"/>
        <w:ind w:left="0" w:right="0" w:hanging="0"/>
        <w:jc w:val="both"/>
        <w:rPr>
          <w:rFonts w:ascii="Times New Roman;Times;serif" w:hAnsi="Times New Roman;Times;serif"/>
          <w:sz w:val="24"/>
        </w:rPr>
      </w:pPr>
      <w:r>
        <w:rPr>
          <w:rFonts w:ascii="Times New Roman;Times;serif" w:hAnsi="Times New Roman;Times;serif"/>
          <w:sz w:val="24"/>
        </w:rPr>
        <w:t xml:space="preserve">Signature: </w:t>
      </w:r>
      <w:r>
        <w:rPr>
          <w:rFonts w:ascii="Times New Roman;Times;serif" w:hAnsi="Times New Roman;Times;serif"/>
          <w:sz w:val="24"/>
          <w:u w:val="single"/>
        </w:rPr>
        <w:t>​ ​​ ​​ ​​ ​​ ​</w:t>
      </w:r>
      <w:r>
        <w:rPr>
          <w:rFonts w:ascii="Times New Roman;Times;serif" w:hAnsi="Times New Roman;Times;serif"/>
          <w:sz w:val="24"/>
        </w:rPr>
        <w:t xml:space="preserve"> </w:t>
      </w:r>
    </w:p>
    <w:p>
      <w:pPr>
        <w:pStyle w:val="TextBody"/>
        <w:bidi w:val="0"/>
        <w:spacing w:before="100" w:after="480"/>
        <w:ind w:left="0" w:right="0" w:hanging="0"/>
        <w:jc w:val="both"/>
        <w:rPr>
          <w:rFonts w:ascii="Times New Roman;Times;serif" w:hAnsi="Times New Roman;Times;serif"/>
          <w:sz w:val="24"/>
        </w:rPr>
      </w:pPr>
      <w:r>
        <w:rPr>
          <w:rFonts w:ascii="Times New Roman;Times;serif" w:hAnsi="Times New Roman;Times;serif"/>
          <w:sz w:val="24"/>
        </w:rPr>
        <w:t xml:space="preserve">Print name: </w:t>
      </w:r>
      <w:r>
        <w:rPr>
          <w:rFonts w:ascii="Times New Roman;Times;serif" w:hAnsi="Times New Roman;Times;serif"/>
          <w:sz w:val="24"/>
          <w:u w:val="single"/>
        </w:rPr>
        <w:t>​ ​​ ​​ ​​ ​​ ​</w:t>
      </w:r>
    </w:p>
    <w:p>
      <w:pPr>
        <w:pStyle w:val="TextBody"/>
        <w:bidi w:val="0"/>
        <w:spacing w:before="100" w:after="480"/>
        <w:ind w:left="0" w:right="0" w:hanging="0"/>
        <w:jc w:val="both"/>
        <w:rPr>
          <w:rFonts w:ascii="Times New Roman;Times;serif" w:hAnsi="Times New Roman;Times;serif"/>
          <w:sz w:val="24"/>
        </w:rPr>
      </w:pPr>
      <w:r>
        <w:rPr>
          <w:rFonts w:ascii="Times New Roman;Times;serif" w:hAnsi="Times New Roman;Times;serif"/>
          <w:sz w:val="24"/>
        </w:rPr>
        <w:t xml:space="preserve">Date: </w:t>
      </w:r>
      <w:r>
        <w:rPr>
          <w:rFonts w:ascii="Times New Roman;Times;serif" w:hAnsi="Times New Roman;Times;serif"/>
          <w:sz w:val="24"/>
          <w:u w:val="single"/>
        </w:rPr>
        <w:t>​ ​​ ​​ ​​ ​​ ​​ ​</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lineRule="atLeast" w:line="200"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ab/>
      </w:r>
      <w:r>
        <w:rPr>
          <w:rFonts w:ascii="Times New Roman;Times;serif" w:hAnsi="Times New Roman;Times;serif"/>
          <w:b w:val="false"/>
          <w:i w:val="false"/>
          <w:caps w:val="false"/>
          <w:smallCaps w:val="false"/>
          <w:sz w:val="20"/>
          <w:shd w:fill="FFFFFF" w:val="clear"/>
        </w:rPr>
        <w:t>A-</w:t>
      </w:r>
      <w:r>
        <w:rPr>
          <w:rFonts w:ascii="Times New Roman;Times;serif" w:hAnsi="Times New Roman;Times;serif"/>
          <w:sz w:val="20"/>
          <w:shd w:fill="FFFFFF" w:val="clear"/>
        </w:rPr>
        <w:t>1</w:t>
      </w:r>
      <w:r>
        <mc:AlternateContent>
          <mc:Choice Requires="wps">
            <w:drawing>
              <wp:anchor behindDoc="0" distT="0" distB="0" distL="0" distR="0" simplePos="0" locked="0" layoutInCell="1" allowOverlap="1" relativeHeight="692">
                <wp:simplePos x="0" y="0"/>
                <wp:positionH relativeFrom="page">
                  <wp:posOffset>0</wp:posOffset>
                </wp:positionH>
                <wp:positionV relativeFrom="line">
                  <wp:posOffset>635</wp:posOffset>
                </wp:positionV>
                <wp:extent cx="6480175" cy="175260"/>
                <wp:effectExtent l="0" t="0" r="0" b="0"/>
                <wp:wrapNone/>
                <wp:docPr id="691" name="Frame6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tLeast" w:line="200"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Meridien Roman" w:hAnsi="Meridien Roman"/>
          <w:b/>
          <w:sz w:val="24"/>
        </w:rPr>
      </w:pPr>
      <w:r>
        <w:rPr>
          <w:rFonts w:ascii="Meridien Roman" w:hAnsi="Meridien Roman"/>
          <w:b/>
          <w:sz w:val="24"/>
        </w:rPr>
        <w:t>EXHIBIT B</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4"/>
        </w:rPr>
      </w:pPr>
      <w:r>
        <w:rPr>
          <w:rFonts w:ascii="Meridien Roman" w:hAnsi="Meridien Roman"/>
          <w:b w:val="false"/>
          <w:i w:val="false"/>
          <w:caps w:val="false"/>
          <w:smallCaps w:val="false"/>
          <w:sz w:val="24"/>
        </w:rPr>
        <w:t>To:</w:t>
      </w:r>
      <w:r>
        <w:rPr>
          <w:rFonts w:ascii="Meridien Roman" w:hAnsi="Meridien Roman"/>
          <w:sz w:val="24"/>
        </w:rPr>
        <w:t>Gevo, Inc. (the “Company”)</w:t>
      </w:r>
    </w:p>
    <w:p>
      <w:pPr>
        <w:pStyle w:val="TextBody"/>
        <w:bidi w:val="0"/>
        <w:spacing w:before="0" w:after="0"/>
        <w:ind w:left="0" w:right="0" w:firstLine="720"/>
        <w:jc w:val="both"/>
        <w:rPr>
          <w:rFonts w:ascii="Meridien Roman" w:hAnsi="Meridien Roman"/>
          <w:sz w:val="24"/>
        </w:rPr>
      </w:pPr>
      <w:r>
        <w:rPr>
          <w:rFonts w:ascii="Meridien Roman" w:hAnsi="Meridien Roman"/>
          <w:sz w:val="24"/>
        </w:rPr>
        <w:t>Insider Trading Compliance Officer</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4"/>
        </w:rPr>
      </w:pPr>
      <w:r>
        <w:rPr>
          <w:rFonts w:ascii="Meridien Roman" w:hAnsi="Meridien Roman"/>
          <w:b w:val="false"/>
          <w:i w:val="false"/>
          <w:caps w:val="false"/>
          <w:smallCaps w:val="false"/>
          <w:sz w:val="24"/>
        </w:rPr>
        <w:t xml:space="preserve">From: </w:t>
      </w:r>
      <w:r>
        <w:rPr>
          <w:rFonts w:ascii="Meridien Roman" w:hAnsi="Meridien Roman"/>
          <w:sz w:val="24"/>
        </w:rPr>
        <w:t>_________________________ (telephone: _________________)</w:t>
      </w:r>
    </w:p>
    <w:p>
      <w:pPr>
        <w:pStyle w:val="TextBody"/>
        <w:bidi w:val="0"/>
        <w:spacing w:before="0" w:after="0"/>
        <w:ind w:left="0" w:right="0" w:hanging="0"/>
        <w:jc w:val="both"/>
        <w:rPr/>
      </w:pPr>
      <w:r>
        <w:rPr/>
        <w:t>​</w:t>
      </w:r>
    </w:p>
    <w:p>
      <w:pPr>
        <w:pStyle w:val="TextBody"/>
        <w:bidi w:val="0"/>
        <w:spacing w:before="0" w:after="0"/>
        <w:ind w:left="0" w:right="0" w:hanging="0"/>
        <w:jc w:val="both"/>
        <w:rPr>
          <w:rFonts w:ascii="Meridien Roman" w:hAnsi="Meridien Roman"/>
          <w:sz w:val="24"/>
        </w:rPr>
      </w:pPr>
      <w:r>
        <w:rPr>
          <w:rFonts w:ascii="Meridien Roman" w:hAnsi="Meridien Roman"/>
          <w:sz w:val="24"/>
        </w:rPr>
        <w:t>Re: Proposed Transaction in the Company’s Securities</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Meridien Roman" w:hAnsi="Meridien Roman"/>
          <w:sz w:val="24"/>
        </w:rPr>
        <w:t>This is to advise you that the undersigned intends to execute a transaction in the Company’s securities (the “Transaction”) on or before ____________________ (the “Transaction Deadline”)</w:t>
      </w:r>
      <w:hyperlink w:anchor="footnote-3">
        <w:r>
          <w:rPr>
            <w:rStyle w:val="InternetLink"/>
            <w:rFonts w:ascii="Meridien Roman" w:hAnsi="Meridien Roman"/>
            <w:sz w:val="18"/>
          </w:rPr>
          <w:t>1</w:t>
        </w:r>
      </w:hyperlink>
      <w:r>
        <w:rPr>
          <w:rFonts w:ascii="Meridien Roman" w:hAnsi="Meridien Roman"/>
          <w:sz w:val="24"/>
        </w:rPr>
        <w:t>, and does hereby request that the Company pre-clear the proposed Transaction, as required by the Company’s Insider Trading Policy (the “Policy”).</w:t>
      </w:r>
    </w:p>
    <w:p>
      <w:pPr>
        <w:pStyle w:val="TextBody"/>
        <w:bidi w:val="0"/>
        <w:spacing w:before="0" w:after="0"/>
        <w:ind w:left="0" w:right="0" w:hanging="0"/>
        <w:jc w:val="both"/>
        <w:rPr/>
      </w:pPr>
      <w:r>
        <w:rPr/>
        <w:t>​</w:t>
      </w:r>
    </w:p>
    <w:p>
      <w:pPr>
        <w:pStyle w:val="TextBody"/>
        <w:bidi w:val="0"/>
        <w:spacing w:before="0" w:after="0"/>
        <w:ind w:left="0" w:right="0" w:hanging="0"/>
        <w:jc w:val="both"/>
        <w:rPr>
          <w:rFonts w:ascii="Meridien Roman" w:hAnsi="Meridien Roman"/>
          <w:sz w:val="24"/>
        </w:rPr>
      </w:pPr>
      <w:r>
        <w:rPr>
          <w:rFonts w:ascii="Meridien Roman" w:hAnsi="Meridien Roman"/>
          <w:sz w:val="24"/>
        </w:rPr>
        <w:t>The terms of the proposed Transaction are as follows: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5411"/>
        <w:gridCol w:w="4794"/>
      </w:tblGrid>
      <w:tr>
        <w:trPr/>
        <w:tc>
          <w:tcPr>
            <w:tcW w:w="5411" w:type="dxa"/>
            <w:tcBorders/>
            <w:vAlign w:val="center"/>
          </w:tcPr>
          <w:p>
            <w:pPr>
              <w:pStyle w:val="TableContents"/>
              <w:bidi w:val="0"/>
              <w:spacing w:before="0" w:after="0"/>
              <w:ind w:left="0" w:right="0" w:hanging="0"/>
              <w:jc w:val="left"/>
              <w:rPr>
                <w:rFonts w:ascii="Times New Roman;Times;serif" w:hAnsi="Times New Roman;Times;serif"/>
                <w:sz w:val="24"/>
                <w:shd w:fill="FFFFFF" w:val="clear"/>
              </w:rPr>
            </w:pPr>
            <w:r>
              <w:rPr>
                <w:rFonts w:ascii="Times New Roman;Times;serif" w:hAnsi="Times New Roman;Times;serif"/>
                <w:b w:val="false"/>
                <w:i w:val="false"/>
                <w:caps w:val="false"/>
                <w:smallCaps w:val="false"/>
                <w:sz w:val="22"/>
                <w:shd w:fill="FFFFFF" w:val="clear"/>
              </w:rPr>
              <w:t xml:space="preserve">Nature of Transaction </w:t>
            </w:r>
            <w:r>
              <w:rPr>
                <w:rFonts w:ascii="Times New Roman;Times;serif" w:hAnsi="Times New Roman;Times;serif"/>
                <w:b w:val="false"/>
                <w:i/>
                <w:sz w:val="22"/>
                <w:shd w:fill="FFFFFF" w:val="clear"/>
              </w:rPr>
              <w:t>(check one)</w:t>
            </w:r>
            <w:r>
              <mc:AlternateContent>
                <mc:Choice Requires="wps">
                  <w:drawing>
                    <wp:anchor behindDoc="0" distT="0" distB="0" distL="0" distR="0" simplePos="0" locked="0" layoutInCell="1" allowOverlap="1" relativeHeight="693">
                      <wp:simplePos x="0" y="0"/>
                      <wp:positionH relativeFrom="page">
                        <wp:posOffset>0</wp:posOffset>
                      </wp:positionH>
                      <wp:positionV relativeFrom="line">
                        <wp:posOffset>635</wp:posOffset>
                      </wp:positionV>
                      <wp:extent cx="3435985" cy="175895"/>
                      <wp:effectExtent l="0" t="0" r="0" b="0"/>
                      <wp:wrapNone/>
                      <wp:docPr id="692" name="Frame692"/>
                      <a:graphic xmlns:a="http://schemas.openxmlformats.org/drawingml/2006/main">
                        <a:graphicData uri="http://schemas.microsoft.com/office/word/2010/wordprocessingShape">
                          <wps:wsp>
                            <wps:cNvSpPr txBox="1"/>
                            <wps:spPr>
                              <a:xfrm>
                                <a:off x="0" y="0"/>
                                <a:ext cx="343598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tc>
        <w:tc>
          <w:tcPr>
            <w:tcW w:w="479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Wingdings" w:hAnsi="Wingdings"/>
                <w:sz w:val="22"/>
              </w:rPr>
              <w:t>p</w:t>
            </w:r>
            <w:r>
              <w:rPr>
                <w:rFonts w:ascii="Times New Roman;Times;serif" w:hAnsi="Times New Roman;Times;serif"/>
                <w:sz w:val="22"/>
              </w:rPr>
              <w:t xml:space="preserve"> Purchase</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2"/>
              </w:rPr>
            </w:pPr>
            <w:r>
              <w:rPr>
                <w:rFonts w:ascii="Wingdings" w:hAnsi="Wingdings"/>
                <w:sz w:val="22"/>
              </w:rPr>
              <w:t>p</w:t>
            </w:r>
            <w:r>
              <w:rPr>
                <w:rFonts w:ascii="Times New Roman;Times;serif" w:hAnsi="Times New Roman;Times;serif"/>
                <w:sz w:val="22"/>
              </w:rPr>
              <w:t xml:space="preserve"> Sale</w:t>
            </w:r>
          </w:p>
        </w:tc>
      </w:tr>
      <w:tr>
        <w:trPr/>
        <w:tc>
          <w:tcPr>
            <w:tcW w:w="5411" w:type="dxa"/>
            <w:tcBorders/>
            <w:vAlign w:val="center"/>
          </w:tcPr>
          <w:p>
            <w:pPr>
              <w:pStyle w:val="TableContents"/>
              <w:bidi w:val="0"/>
              <w:spacing w:before="0" w:after="0"/>
              <w:ind w:left="0" w:right="0" w:hanging="0"/>
              <w:jc w:val="left"/>
              <w:rPr/>
            </w:pPr>
            <w:r>
              <w:rPr/>
              <w:t>​</w:t>
            </w:r>
          </w:p>
          <w:p>
            <w:pPr>
              <w:pStyle w:val="TableContents"/>
              <w:pBdr/>
              <w:bidi w:val="0"/>
              <w:spacing w:before="0" w:after="0"/>
              <w:ind w:left="0" w:right="0" w:hanging="0"/>
              <w:jc w:val="left"/>
              <w:rPr>
                <w:rFonts w:ascii="Times New Roman;Times;serif" w:hAnsi="Times New Roman;Times;serif"/>
                <w:b w:val="false"/>
                <w:i w:val="false"/>
                <w:caps w:val="false"/>
                <w:smallCaps w:val="false"/>
                <w:sz w:val="22"/>
                <w:shd w:fill="FFFFFF" w:val="clear"/>
              </w:rPr>
            </w:pPr>
            <w:r>
              <w:rPr>
                <w:rFonts w:ascii="Times New Roman;Times;serif" w:hAnsi="Times New Roman;Times;serif"/>
                <w:b w:val="false"/>
                <w:i w:val="false"/>
                <w:caps w:val="false"/>
                <w:smallCaps w:val="false"/>
                <w:sz w:val="22"/>
                <w:shd w:fill="FFFFFF" w:val="clear"/>
              </w:rPr>
              <w:t>Maximum Number of Shares of Common Stock, Units or Rights</w:t>
            </w:r>
            <w:r>
              <mc:AlternateContent>
                <mc:Choice Requires="wps">
                  <w:drawing>
                    <wp:anchor behindDoc="0" distT="0" distB="0" distL="0" distR="0" simplePos="0" locked="0" layoutInCell="1" allowOverlap="1" relativeHeight="694">
                      <wp:simplePos x="0" y="0"/>
                      <wp:positionH relativeFrom="character">
                        <wp:align>left</wp:align>
                      </wp:positionH>
                      <wp:positionV relativeFrom="line">
                        <wp:posOffset>635</wp:posOffset>
                      </wp:positionV>
                      <wp:extent cx="3070860" cy="175895"/>
                      <wp:effectExtent l="0" t="0" r="0" b="0"/>
                      <wp:wrapNone/>
                      <wp:docPr id="693" name="Frame693"/>
                      <a:graphic xmlns:a="http://schemas.openxmlformats.org/drawingml/2006/main">
                        <a:graphicData uri="http://schemas.microsoft.com/office/word/2010/wordprocessingShape">
                          <wps:wsp>
                            <wps:cNvSpPr txBox="1"/>
                            <wps:spPr>
                              <a:xfrm>
                                <a:off x="0" y="0"/>
                                <a:ext cx="3070860"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8pt;height:13.8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tc>
        <w:tc>
          <w:tcPr>
            <w:tcW w:w="4794"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Up to _______________________</w:t>
            </w:r>
          </w:p>
        </w:tc>
      </w:tr>
      <w:tr>
        <w:trPr/>
        <w:tc>
          <w:tcPr>
            <w:tcW w:w="5411"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2"/>
                <w:shd w:fill="FFFFFF" w:val="clear"/>
              </w:rPr>
            </w:pPr>
            <w:r>
              <w:rPr>
                <w:rFonts w:ascii="Times New Roman;Times;serif" w:hAnsi="Times New Roman;Times;serif"/>
                <w:b w:val="false"/>
                <w:i w:val="false"/>
                <w:caps w:val="false"/>
                <w:smallCaps w:val="false"/>
                <w:sz w:val="22"/>
                <w:shd w:fill="FFFFFF" w:val="clear"/>
              </w:rPr>
              <w:t>Price Limit(s)</w:t>
            </w:r>
            <w:r>
              <mc:AlternateContent>
                <mc:Choice Requires="wps">
                  <w:drawing>
                    <wp:anchor behindDoc="0" distT="0" distB="0" distL="0" distR="0" simplePos="0" locked="0" layoutInCell="1" allowOverlap="1" relativeHeight="695">
                      <wp:simplePos x="0" y="0"/>
                      <wp:positionH relativeFrom="page">
                        <wp:posOffset>0</wp:posOffset>
                      </wp:positionH>
                      <wp:positionV relativeFrom="line">
                        <wp:posOffset>635</wp:posOffset>
                      </wp:positionV>
                      <wp:extent cx="3435985" cy="175895"/>
                      <wp:effectExtent l="0" t="0" r="0" b="0"/>
                      <wp:wrapNone/>
                      <wp:docPr id="694" name="Frame694"/>
                      <a:graphic xmlns:a="http://schemas.openxmlformats.org/drawingml/2006/main">
                        <a:graphicData uri="http://schemas.microsoft.com/office/word/2010/wordprocessingShape">
                          <wps:wsp>
                            <wps:cNvSpPr txBox="1"/>
                            <wps:spPr>
                              <a:xfrm>
                                <a:off x="0" y="0"/>
                                <a:ext cx="343598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ableContents"/>
              <w:bidi w:val="0"/>
              <w:spacing w:before="0" w:after="0"/>
              <w:ind w:left="0" w:right="0" w:hanging="0"/>
              <w:jc w:val="left"/>
              <w:rPr/>
            </w:pPr>
            <w:r>
              <w:rPr/>
              <w:t>​</w:t>
            </w:r>
          </w:p>
        </w:tc>
        <w:tc>
          <w:tcPr>
            <w:tcW w:w="4794"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If Purchase: at or </w:t>
            </w:r>
            <w:r>
              <w:rPr>
                <w:rFonts w:ascii="Times New Roman;Times;serif" w:hAnsi="Times New Roman;Times;serif"/>
                <w:i/>
                <w:sz w:val="22"/>
              </w:rPr>
              <w:t>below</w:t>
            </w:r>
            <w:r>
              <w:rPr>
                <w:rFonts w:ascii="Times New Roman;Times;serif" w:hAnsi="Times New Roman;Times;serif"/>
                <w:sz w:val="22"/>
              </w:rPr>
              <w:t xml:space="preserve"> $________ per share/unit/right</w:t>
            </w:r>
          </w:p>
        </w:tc>
      </w:tr>
      <w:tr>
        <w:trPr/>
        <w:tc>
          <w:tcPr>
            <w:tcW w:w="5411" w:type="dxa"/>
            <w:tcBorders/>
            <w:vAlign w:val="center"/>
          </w:tcPr>
          <w:p>
            <w:pPr>
              <w:pStyle w:val="TableContents"/>
              <w:bidi w:val="0"/>
              <w:spacing w:before="0" w:after="0"/>
              <w:ind w:left="0" w:right="0" w:hanging="0"/>
              <w:jc w:val="left"/>
              <w:rPr/>
            </w:pPr>
            <w:r>
              <w:rPr/>
              <w:t>​</w:t>
            </w:r>
          </w:p>
        </w:tc>
        <w:tc>
          <w:tcPr>
            <w:tcW w:w="479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If Sale: at or </w:t>
            </w:r>
            <w:r>
              <w:rPr>
                <w:rFonts w:ascii="Times New Roman;Times;serif" w:hAnsi="Times New Roman;Times;serif"/>
                <w:i/>
                <w:sz w:val="22"/>
              </w:rPr>
              <w:t>above</w:t>
            </w:r>
            <w:r>
              <w:rPr>
                <w:rFonts w:ascii="Times New Roman;Times;serif" w:hAnsi="Times New Roman;Times;serif"/>
                <w:sz w:val="22"/>
              </w:rPr>
              <w:t xml:space="preserve"> $_________ per share/unit/right</w:t>
            </w:r>
          </w:p>
        </w:tc>
      </w:tr>
      <w:tr>
        <w:trPr/>
        <w:tc>
          <w:tcPr>
            <w:tcW w:w="5411" w:type="dxa"/>
            <w:tcBorders/>
            <w:vAlign w:val="center"/>
          </w:tcPr>
          <w:p>
            <w:pPr>
              <w:pStyle w:val="TableContents"/>
              <w:bidi w:val="0"/>
              <w:spacing w:before="0" w:after="0"/>
              <w:ind w:left="0" w:right="0" w:hanging="0"/>
              <w:jc w:val="left"/>
              <w:rPr/>
            </w:pPr>
            <w:r>
              <w:rPr/>
              <w:t>​</w:t>
            </w:r>
          </w:p>
        </w:tc>
        <w:tc>
          <w:tcPr>
            <w:tcW w:w="4794" w:type="dxa"/>
            <w:tcBorders/>
            <w:vAlign w:val="center"/>
          </w:tcPr>
          <w:p>
            <w:pPr>
              <w:pStyle w:val="TableContents"/>
              <w:bidi w:val="0"/>
              <w:spacing w:before="0" w:after="0"/>
              <w:ind w:left="0" w:right="0" w:hanging="0"/>
              <w:jc w:val="left"/>
              <w:rPr/>
            </w:pPr>
            <w:r>
              <w:rPr/>
              <w:t>​</w:t>
            </w:r>
          </w:p>
        </w:tc>
      </w:tr>
      <w:tr>
        <w:trPr/>
        <w:tc>
          <w:tcPr>
            <w:tcW w:w="541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Public or Private Transaction </w:t>
            </w:r>
            <w:r>
              <w:rPr>
                <w:rFonts w:ascii="Times New Roman;Times;serif" w:hAnsi="Times New Roman;Times;serif"/>
                <w:i/>
                <w:sz w:val="22"/>
              </w:rPr>
              <w:t>(check one)</w:t>
            </w:r>
            <w:r>
              <w:rPr>
                <w:rFonts w:ascii="Times New Roman;Times;serif" w:hAnsi="Times New Roman;Times;serif"/>
                <w:sz w:val="22"/>
              </w:rPr>
              <w:t xml:space="preserve"> </w:t>
            </w:r>
          </w:p>
        </w:tc>
        <w:tc>
          <w:tcPr>
            <w:tcW w:w="479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Wingdings" w:hAnsi="Wingdings"/>
                <w:sz w:val="22"/>
              </w:rPr>
              <w:t>p</w:t>
            </w:r>
            <w:r>
              <w:rPr>
                <w:rFonts w:ascii="Times New Roman;Times;serif" w:hAnsi="Times New Roman;Times;serif"/>
                <w:sz w:val="22"/>
              </w:rPr>
              <w:t xml:space="preserve"> Public</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2"/>
              </w:rPr>
            </w:pPr>
            <w:r>
              <w:rPr>
                <w:rFonts w:ascii="Wingdings" w:hAnsi="Wingdings"/>
                <w:sz w:val="22"/>
              </w:rPr>
              <w:t>p</w:t>
            </w:r>
            <w:r>
              <w:rPr>
                <w:rFonts w:ascii="Times New Roman;Times;serif" w:hAnsi="Times New Roman;Times;serif"/>
                <w:sz w:val="22"/>
              </w:rPr>
              <w:t xml:space="preserve"> Private</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Meridien Roman" w:hAnsi="Meridien Roman"/>
          <w:sz w:val="24"/>
        </w:rPr>
      </w:pPr>
      <w:r>
        <w:rPr>
          <w:rFonts w:ascii="Meridien Roman" w:hAnsi="Meridien Roman"/>
          <w:sz w:val="24"/>
        </w:rPr>
        <w:t>The undersigned is not in possession of material nonpublic information about the Company or its affiliates, including any of its subsidiaries, and agrees to not enter into the Transaction if the undersigned comes into possession of material nonpublic information about the Company or its affiliates, including any of its subsidiaries, between the date hereof and the time the Transaction is effected. The undersigned has read and understands the terms of the Policy and certifies that the proposed Transaction will not violate the Policy.</w:t>
      </w:r>
    </w:p>
    <w:p>
      <w:pPr>
        <w:pStyle w:val="TextBody"/>
        <w:bidi w:val="0"/>
        <w:spacing w:before="0" w:after="0"/>
        <w:ind w:left="0" w:right="0" w:hanging="0"/>
        <w:jc w:val="both"/>
        <w:rPr/>
      </w:pPr>
      <w:r>
        <w:rPr/>
        <w:t>​</w:t>
      </w:r>
    </w:p>
    <w:p>
      <w:pPr>
        <w:pStyle w:val="TextBody"/>
        <w:bidi w:val="0"/>
        <w:spacing w:before="0" w:after="0"/>
        <w:ind w:left="0" w:right="0" w:hanging="0"/>
        <w:jc w:val="both"/>
        <w:rPr>
          <w:rFonts w:ascii="Meridien Roman" w:hAnsi="Meridien Roman"/>
          <w:sz w:val="24"/>
        </w:rPr>
      </w:pPr>
      <w:r>
        <w:rPr>
          <w:rFonts w:ascii="Meridien Roman" w:hAnsi="Meridien Roman"/>
          <w:sz w:val="24"/>
        </w:rPr>
        <w:t>The undersigned agrees to advise the Insider Trading Compliance Officer immediately if, for any reason, any of the foregoing information becomes inaccurate or incomplete in any respect. The undersigned further acknowledges and agrees that if the proposed Transaction is not executed by the Transaction Deadline, the undersigned must submit an additional request for pre-clearance to, and receive approval from, the Insider Trading Compliance Officer (and any additional officer of the Company as required under the Policy) in order to execute the proposed Transaction.</w:t>
      </w:r>
    </w:p>
    <w:p>
      <w:pPr>
        <w:pStyle w:val="TextBody"/>
        <w:bidi w:val="0"/>
        <w:spacing w:before="0" w:after="120"/>
        <w:ind w:left="0" w:right="0" w:hanging="0"/>
        <w:jc w:val="left"/>
        <w:rPr>
          <w:rFonts w:ascii="Times New Roman;Times;serif" w:hAnsi="Times New Roman;Times;serif"/>
          <w:sz w:val="20"/>
        </w:rPr>
      </w:pPr>
      <w:bookmarkStart w:id="1863" w:name="footnote-3"/>
      <w:bookmarkEnd w:id="1863"/>
      <w:r>
        <w:rPr>
          <w:rFonts w:ascii="Times New Roman;Times;serif" w:hAnsi="Times New Roman;Times;serif"/>
          <w:sz w:val="15"/>
        </w:rPr>
        <w:t>1</w:t>
      </w:r>
      <w:r>
        <w:rPr>
          <w:rFonts w:ascii="Times New Roman;Times;serif" w:hAnsi="Times New Roman;Times;serif"/>
          <w:sz w:val="20"/>
        </w:rPr>
        <w:t xml:space="preserve"> The Transaction Deadline shall be the end of the third business day following the date of written approval of this request for pre-clearance by the Company.</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B-1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Meridien Roman" w:hAnsi="Meridien Roman"/>
          <w:sz w:val="24"/>
        </w:rPr>
      </w:pPr>
      <w:r>
        <w:rPr>
          <w:rFonts w:ascii="Meridien Roman" w:hAnsi="Meridien Roman"/>
          <w:sz w:val="24"/>
        </w:rPr>
        <w:t>The undersigned understands that the Company may require additional information about the Transaction, and agrees to provide such information immediately upon request.</w:t>
      </w:r>
    </w:p>
    <w:p>
      <w:pPr>
        <w:pStyle w:val="TextBody"/>
        <w:bidi w:val="0"/>
        <w:spacing w:before="0" w:after="0"/>
        <w:ind w:left="0" w:right="0" w:hanging="0"/>
        <w:jc w:val="left"/>
        <w:rPr/>
      </w:pPr>
      <w:r>
        <w:rPr/>
        <w:t>​</w:t>
      </w:r>
    </w:p>
    <w:p>
      <w:pPr>
        <w:pStyle w:val="TextBody"/>
        <w:bidi w:val="0"/>
        <w:spacing w:before="0" w:after="0"/>
        <w:ind w:left="0" w:right="0" w:hanging="0"/>
        <w:jc w:val="both"/>
        <w:rPr>
          <w:rFonts w:ascii="Meridien Roman" w:hAnsi="Meridien Roman"/>
          <w:sz w:val="24"/>
        </w:rPr>
      </w:pPr>
      <w:r>
        <w:rPr>
          <w:rFonts w:ascii="Meridien Roman" w:hAnsi="Meridien Roman"/>
          <w:sz w:val="24"/>
        </w:rPr>
        <w:t>The undersigned understands that any approval granted hereby on behalf of the Company may be rescinded prior to the time that any portion of the Transaction is effected if, in the sole reasonable judgment of the Company, the execution of such Transaction would violate the Policy or otherwise be inadvisable.</w:t>
      </w:r>
    </w:p>
    <w:p>
      <w:pPr>
        <w:pStyle w:val="TextBody"/>
        <w:bidi w:val="0"/>
        <w:spacing w:before="0" w:after="0"/>
        <w:ind w:left="0" w:right="0" w:hanging="0"/>
        <w:jc w:val="both"/>
        <w:rPr/>
      </w:pPr>
      <w:r>
        <w:rPr/>
        <w:t>​</w:t>
      </w:r>
    </w:p>
    <w:p>
      <w:pPr>
        <w:pStyle w:val="TextBody"/>
        <w:bidi w:val="0"/>
        <w:spacing w:before="0" w:after="0"/>
        <w:ind w:left="0" w:right="0" w:hanging="0"/>
        <w:jc w:val="both"/>
        <w:rPr>
          <w:rFonts w:ascii="Meridien Roman" w:hAnsi="Meridien Roman"/>
          <w:sz w:val="24"/>
        </w:rPr>
      </w:pPr>
      <w:r>
        <w:rPr>
          <w:rFonts w:ascii="Meridien Roman" w:hAnsi="Meridien Roman"/>
          <w:sz w:val="24"/>
        </w:rPr>
        <w:t>Dated: _______________, 20___</w:t>
      </w:r>
    </w:p>
    <w:p>
      <w:pPr>
        <w:pStyle w:val="TextBody"/>
        <w:bidi w:val="0"/>
        <w:spacing w:before="0" w:after="0"/>
        <w:ind w:left="0" w:right="0" w:hanging="0"/>
        <w:jc w:val="both"/>
        <w:rPr/>
      </w:pPr>
      <w:r>
        <w:rPr/>
        <w:t>​</w:t>
      </w:r>
    </w:p>
    <w:p>
      <w:pPr>
        <w:pStyle w:val="TextBody"/>
        <w:bidi w:val="0"/>
        <w:spacing w:before="0" w:after="0"/>
        <w:ind w:left="4320" w:right="0" w:hanging="0"/>
        <w:jc w:val="left"/>
        <w:rPr>
          <w:rFonts w:ascii="Meridien Roman" w:hAnsi="Meridien Roman"/>
          <w:sz w:val="24"/>
        </w:rPr>
      </w:pPr>
      <w:r>
        <w:rPr>
          <w:rFonts w:ascii="Meridien Roman" w:hAnsi="Meridien Roman"/>
          <w:sz w:val="24"/>
        </w:rPr>
        <w:t>Sincerely,</w:t>
      </w:r>
    </w:p>
    <w:p>
      <w:pPr>
        <w:pStyle w:val="TextBody"/>
        <w:bidi w:val="0"/>
        <w:spacing w:before="0" w:after="0"/>
        <w:ind w:left="4320" w:right="0" w:hanging="0"/>
        <w:jc w:val="left"/>
        <w:rPr/>
      </w:pPr>
      <w:r>
        <w:rPr/>
        <w:t>​</w:t>
      </w:r>
    </w:p>
    <w:p>
      <w:pPr>
        <w:pStyle w:val="TextBody"/>
        <w:bidi w:val="0"/>
        <w:spacing w:before="0" w:after="0"/>
        <w:ind w:left="4320" w:right="0" w:hanging="0"/>
        <w:jc w:val="left"/>
        <w:rPr/>
      </w:pPr>
      <w:r>
        <w:rPr/>
        <w:t>​</w:t>
      </w:r>
    </w:p>
    <w:p>
      <w:pPr>
        <w:pStyle w:val="TextBody"/>
        <w:bidi w:val="0"/>
        <w:spacing w:before="0" w:after="0"/>
        <w:ind w:left="4320" w:right="0" w:hanging="0"/>
        <w:jc w:val="left"/>
        <w:rPr>
          <w:rFonts w:ascii="Meridien Roman" w:hAnsi="Meridien Roman"/>
          <w:sz w:val="24"/>
        </w:rPr>
      </w:pPr>
      <w:r>
        <w:rPr>
          <w:rFonts w:ascii="Meridien Roman" w:hAnsi="Meridien Roman"/>
          <w:sz w:val="24"/>
        </w:rPr>
        <w:t>_______________________________________</w:t>
      </w:r>
    </w:p>
    <w:p>
      <w:pPr>
        <w:pStyle w:val="TextBody"/>
        <w:bidi w:val="0"/>
        <w:spacing w:before="0" w:after="0"/>
        <w:ind w:left="4320" w:right="0" w:hanging="0"/>
        <w:jc w:val="left"/>
        <w:rPr>
          <w:rFonts w:ascii="Meridien Roman" w:hAnsi="Meridien Roman"/>
          <w:sz w:val="24"/>
        </w:rPr>
      </w:pPr>
      <w:r>
        <w:rPr>
          <w:rFonts w:ascii="Meridien Roman" w:hAnsi="Meridien Roman"/>
          <w:sz w:val="24"/>
        </w:rPr>
        <w:t>[Signature]</w:t>
      </w:r>
    </w:p>
    <w:p>
      <w:pPr>
        <w:pStyle w:val="TextBody"/>
        <w:bidi w:val="0"/>
        <w:spacing w:before="0" w:after="0"/>
        <w:ind w:left="4320" w:right="0" w:hanging="0"/>
        <w:jc w:val="left"/>
        <w:rPr/>
      </w:pPr>
      <w:r>
        <w:rPr/>
        <w:t>​</w:t>
      </w:r>
    </w:p>
    <w:p>
      <w:pPr>
        <w:pStyle w:val="TextBody"/>
        <w:bidi w:val="0"/>
        <w:spacing w:before="0" w:after="0"/>
        <w:ind w:left="4320" w:right="0" w:hanging="0"/>
        <w:jc w:val="left"/>
        <w:rPr>
          <w:rFonts w:ascii="Meridien Roman" w:hAnsi="Meridien Roman"/>
          <w:sz w:val="24"/>
        </w:rPr>
      </w:pPr>
      <w:r>
        <w:rPr>
          <w:rFonts w:ascii="Meridien Roman" w:hAnsi="Meridien Roman"/>
          <w:sz w:val="24"/>
        </w:rPr>
        <w:t>_______________________________________</w:t>
      </w:r>
    </w:p>
    <w:p>
      <w:pPr>
        <w:pStyle w:val="TextBody"/>
        <w:bidi w:val="0"/>
        <w:spacing w:before="0" w:after="0"/>
        <w:ind w:left="4320" w:right="0" w:hanging="0"/>
        <w:jc w:val="left"/>
        <w:rPr>
          <w:rFonts w:ascii="Meridien Roman" w:hAnsi="Meridien Roman"/>
          <w:sz w:val="24"/>
        </w:rPr>
      </w:pPr>
      <w:r>
        <w:rPr>
          <w:rFonts w:ascii="Meridien Roman" w:hAnsi="Meridien Roman"/>
          <w:sz w:val="24"/>
        </w:rPr>
        <w:t>[Print Name]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Meridien Roman" w:hAnsi="Meridien Roman"/>
          <w:i/>
          <w:sz w:val="24"/>
        </w:rPr>
        <w:t>Approved</w:t>
      </w:r>
      <w:r>
        <w:rPr>
          <w:rFonts w:ascii="Meridien Roman" w:hAnsi="Meridien Roman"/>
          <w:sz w:val="24"/>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Meridien Roman" w:hAnsi="Meridien Roman"/>
          <w:sz w:val="24"/>
        </w:rPr>
      </w:pPr>
      <w:r>
        <w:rPr>
          <w:rFonts w:ascii="Meridien Roman" w:hAnsi="Meridien Roman"/>
          <w:sz w:val="24"/>
        </w:rPr>
        <w:t>By:___________________________________</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Insider Trading Compliance Officer</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Name:_________________________________</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B-2</w:t>
      </w:r>
    </w:p>
    <w:p>
      <w:pPr>
        <w:pStyle w:val="HorizontalLine"/>
        <w:pBdr>
          <w:bottom w:val="double" w:sz="2" w:space="0" w:color="808080"/>
        </w:pBdr>
        <w:bidi w:val="0"/>
        <w:spacing w:before="0" w:after="283"/>
        <w:jc w:val="left"/>
        <w:rPr/>
      </w:pPr>
      <w:r>
        <w:rPr/>
      </w:r>
    </w:p>
    <w:p>
      <w:pPr>
        <w:pStyle w:val="TextBody"/>
        <w:bidi w:val="0"/>
        <w:spacing w:before="0" w:after="0"/>
        <w:ind w:left="144" w:right="0" w:hanging="0"/>
        <w:jc w:val="right"/>
        <w:rPr>
          <w:rFonts w:ascii="Times New Roman;Times;serif" w:hAnsi="Times New Roman;Times;serif"/>
          <w:b/>
          <w:sz w:val="20"/>
        </w:rPr>
      </w:pPr>
      <w:bookmarkStart w:id="1864" w:name="gevo-20251231xex21d1.htm"/>
      <w:bookmarkStart w:id="1865" w:name="ksgevo20251231xex21d1"/>
      <w:bookmarkEnd w:id="1864"/>
      <w:bookmarkEnd w:id="1865"/>
      <w:r>
        <w:rPr>
          <w:rFonts w:ascii="Times New Roman;Times;serif" w:hAnsi="Times New Roman;Times;serif"/>
          <w:b/>
          <w:sz w:val="20"/>
        </w:rPr>
        <w:t>Exhibit 21.1</w:t>
      </w:r>
      <w:r>
        <w:br w:type="page"/>
      </w:r>
    </w:p>
    <w:p>
      <w:pPr>
        <w:pStyle w:val="TextBody"/>
        <w:bidi w:val="0"/>
        <w:spacing w:before="0" w:after="0"/>
        <w:ind w:left="144"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Subsidiaries of Gevo, Inc.</w:t>
      </w:r>
    </w:p>
    <w:p>
      <w:pPr>
        <w:pStyle w:val="TextBody"/>
        <w:bidi w:val="0"/>
        <w:spacing w:before="0" w:after="0"/>
        <w:ind w:left="0" w:right="0" w:hanging="0"/>
        <w:jc w:val="left"/>
        <w:rPr/>
      </w:pPr>
      <w:r>
        <w:rPr/>
        <w:t>​</w:t>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6">
                      <wp:simplePos x="0" y="0"/>
                      <wp:positionH relativeFrom="character">
                        <wp:align>left</wp:align>
                      </wp:positionH>
                      <wp:positionV relativeFrom="line">
                        <wp:posOffset>635</wp:posOffset>
                      </wp:positionV>
                      <wp:extent cx="78740" cy="175260"/>
                      <wp:effectExtent l="0" t="0" r="0" b="0"/>
                      <wp:wrapNone/>
                      <wp:docPr id="695" name="Frame69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7">
                      <wp:simplePos x="0" y="0"/>
                      <wp:positionH relativeFrom="character">
                        <wp:align>left</wp:align>
                      </wp:positionH>
                      <wp:positionV relativeFrom="line">
                        <wp:posOffset>635</wp:posOffset>
                      </wp:positionV>
                      <wp:extent cx="69215" cy="175260"/>
                      <wp:effectExtent l="0" t="0" r="0" b="0"/>
                      <wp:wrapNone/>
                      <wp:docPr id="696" name="Frame6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8">
                      <wp:simplePos x="0" y="0"/>
                      <wp:positionH relativeFrom="character">
                        <wp:align>left</wp:align>
                      </wp:positionH>
                      <wp:positionV relativeFrom="line">
                        <wp:posOffset>635</wp:posOffset>
                      </wp:positionV>
                      <wp:extent cx="97790" cy="175260"/>
                      <wp:effectExtent l="0" t="0" r="0" b="0"/>
                      <wp:wrapNone/>
                      <wp:docPr id="697" name="Frame69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9">
                      <wp:simplePos x="0" y="0"/>
                      <wp:positionH relativeFrom="character">
                        <wp:align>left</wp:align>
                      </wp:positionH>
                      <wp:positionV relativeFrom="line">
                        <wp:posOffset>635</wp:posOffset>
                      </wp:positionV>
                      <wp:extent cx="78740" cy="2346960"/>
                      <wp:effectExtent l="0" t="0" r="0" b="0"/>
                      <wp:wrapNone/>
                      <wp:docPr id="698" name="Frame698"/>
                      <a:graphic xmlns:a="http://schemas.openxmlformats.org/drawingml/2006/main">
                        <a:graphicData uri="http://schemas.microsoft.com/office/word/2010/wordprocessingShape">
                          <wps:wsp>
                            <wps:cNvSpPr txBox="1"/>
                            <wps:spPr>
                              <a:xfrm>
                                <a:off x="0" y="0"/>
                                <a:ext cx="78740" cy="2346960"/>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b/>
                                      <w:sz w:val="20"/>
                                    </w:rPr>
                                  </w:pPr>
                                  <w:r>
                                    <w:rPr>
                                      <w:rFonts w:ascii="Times New Roman;Times;serif" w:hAnsi="Times New Roman;Times;serif"/>
                                      <w:b/>
                                      <w:sz w:val="20"/>
                                    </w:rPr>
                                    <w:t>Name of Subsidiary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84.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b/>
                                <w:sz w:val="20"/>
                              </w:rPr>
                            </w:pPr>
                            <w:r>
                              <w:rPr>
                                <w:rFonts w:ascii="Times New Roman;Times;serif" w:hAnsi="Times New Roman;Times;serif"/>
                                <w:b/>
                                <w:sz w:val="20"/>
                              </w:rPr>
                              <w:t>Name of Subsidiary</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0">
                      <wp:simplePos x="0" y="0"/>
                      <wp:positionH relativeFrom="character">
                        <wp:align>left</wp:align>
                      </wp:positionH>
                      <wp:positionV relativeFrom="line">
                        <wp:posOffset>635</wp:posOffset>
                      </wp:positionV>
                      <wp:extent cx="69215" cy="175260"/>
                      <wp:effectExtent l="0" t="0" r="0" b="0"/>
                      <wp:wrapNone/>
                      <wp:docPr id="699" name="Frame6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1">
                      <wp:simplePos x="0" y="0"/>
                      <wp:positionH relativeFrom="character">
                        <wp:align>left</wp:align>
                      </wp:positionH>
                      <wp:positionV relativeFrom="line">
                        <wp:posOffset>635</wp:posOffset>
                      </wp:positionV>
                      <wp:extent cx="97790" cy="1320165"/>
                      <wp:effectExtent l="0" t="0" r="0" b="0"/>
                      <wp:wrapNone/>
                      <wp:docPr id="700" name="Frame700"/>
                      <a:graphic xmlns:a="http://schemas.openxmlformats.org/drawingml/2006/main">
                        <a:graphicData uri="http://schemas.microsoft.com/office/word/2010/wordprocessingShape">
                          <wps:wsp>
                            <wps:cNvSpPr txBox="1"/>
                            <wps:spPr>
                              <a:xfrm>
                                <a:off x="0" y="0"/>
                                <a:ext cx="97790" cy="132016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b/>
                                      <w:sz w:val="20"/>
                                    </w:rPr>
                                  </w:pPr>
                                  <w:r>
                                    <w:rPr>
                                      <w:rFonts w:ascii="Times New Roman;Times;serif" w:hAnsi="Times New Roman;Times;serif"/>
                                      <w:b/>
                                      <w:sz w:val="20"/>
                                    </w:rPr>
                                    <w:t>Jurisdiction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03.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b/>
                                <w:sz w:val="20"/>
                              </w:rPr>
                            </w:pPr>
                            <w:r>
                              <w:rPr>
                                <w:rFonts w:ascii="Times New Roman;Times;serif" w:hAnsi="Times New Roman;Times;serif"/>
                                <w:b/>
                                <w:sz w:val="20"/>
                              </w:rPr>
                              <w:t>Jurisdiction</w:t>
                            </w:r>
                          </w:p>
                        </w:txbxContent>
                      </v:textbox>
                      <w10:wrap type="none"/>
                    </v:rect>
                  </w:pict>
                </mc:Fallback>
              </mc:AlternateContent>
            </w:r>
          </w:p>
        </w:tc>
      </w:tr>
      <w:tr>
        <w:trPr/>
        <w:tc>
          <w:tcPr>
            <w:tcW w:w="124" w:type="dxa"/>
            <w:tcBorders>
              <w:top w:val="single" w:sz="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2">
                      <wp:simplePos x="0" y="0"/>
                      <wp:positionH relativeFrom="character">
                        <wp:align>left</wp:align>
                      </wp:positionH>
                      <wp:positionV relativeFrom="line">
                        <wp:posOffset>635</wp:posOffset>
                      </wp:positionV>
                      <wp:extent cx="78740" cy="175260"/>
                      <wp:effectExtent l="0" t="0" r="0" b="0"/>
                      <wp:wrapNone/>
                      <wp:docPr id="701" name="Frame70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3">
                      <wp:simplePos x="0" y="0"/>
                      <wp:positionH relativeFrom="character">
                        <wp:align>left</wp:align>
                      </wp:positionH>
                      <wp:positionV relativeFrom="line">
                        <wp:posOffset>635</wp:posOffset>
                      </wp:positionV>
                      <wp:extent cx="69215" cy="175260"/>
                      <wp:effectExtent l="0" t="0" r="0" b="0"/>
                      <wp:wrapNone/>
                      <wp:docPr id="702" name="Frame7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top w:val="single" w:sz="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4">
                      <wp:simplePos x="0" y="0"/>
                      <wp:positionH relativeFrom="character">
                        <wp:align>left</wp:align>
                      </wp:positionH>
                      <wp:positionV relativeFrom="line">
                        <wp:posOffset>635</wp:posOffset>
                      </wp:positionV>
                      <wp:extent cx="97790" cy="175260"/>
                      <wp:effectExtent l="0" t="0" r="0" b="0"/>
                      <wp:wrapNone/>
                      <wp:docPr id="703" name="Frame70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5">
                      <wp:simplePos x="0" y="0"/>
                      <wp:positionH relativeFrom="character">
                        <wp:align>left</wp:align>
                      </wp:positionH>
                      <wp:positionV relativeFrom="line">
                        <wp:posOffset>635</wp:posOffset>
                      </wp:positionV>
                      <wp:extent cx="78740" cy="1760220"/>
                      <wp:effectExtent l="0" t="0" r="0" b="0"/>
                      <wp:wrapNone/>
                      <wp:docPr id="704" name="Frame704"/>
                      <a:graphic xmlns:a="http://schemas.openxmlformats.org/drawingml/2006/main">
                        <a:graphicData uri="http://schemas.microsoft.com/office/word/2010/wordprocessingShape">
                          <wps:wsp>
                            <wps:cNvSpPr txBox="1"/>
                            <wps:spPr>
                              <a:xfrm>
                                <a:off x="0" y="0"/>
                                <a:ext cx="78740" cy="1760220"/>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Gevo Asset,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Gevo Asset, LLC</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6">
                      <wp:simplePos x="0" y="0"/>
                      <wp:positionH relativeFrom="character">
                        <wp:align>left</wp:align>
                      </wp:positionH>
                      <wp:positionV relativeFrom="line">
                        <wp:posOffset>635</wp:posOffset>
                      </wp:positionV>
                      <wp:extent cx="69215" cy="175260"/>
                      <wp:effectExtent l="0" t="0" r="0" b="0"/>
                      <wp:wrapNone/>
                      <wp:docPr id="705" name="Frame7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7">
                      <wp:simplePos x="0" y="0"/>
                      <wp:positionH relativeFrom="character">
                        <wp:align>left</wp:align>
                      </wp:positionH>
                      <wp:positionV relativeFrom="line">
                        <wp:posOffset>635</wp:posOffset>
                      </wp:positionV>
                      <wp:extent cx="97790" cy="1026795"/>
                      <wp:effectExtent l="0" t="0" r="0" b="0"/>
                      <wp:wrapNone/>
                      <wp:docPr id="706" name="Frame706"/>
                      <a:graphic xmlns:a="http://schemas.openxmlformats.org/drawingml/2006/main">
                        <a:graphicData uri="http://schemas.microsoft.com/office/word/2010/wordprocessingShape">
                          <wps:wsp>
                            <wps:cNvSpPr txBox="1"/>
                            <wps:spPr>
                              <a:xfrm>
                                <a:off x="0" y="0"/>
                                <a:ext cx="97790" cy="102679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0.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8">
                      <wp:simplePos x="0" y="0"/>
                      <wp:positionH relativeFrom="character">
                        <wp:align>left</wp:align>
                      </wp:positionH>
                      <wp:positionV relativeFrom="line">
                        <wp:posOffset>635</wp:posOffset>
                      </wp:positionV>
                      <wp:extent cx="78740" cy="175260"/>
                      <wp:effectExtent l="0" t="0" r="0" b="0"/>
                      <wp:wrapNone/>
                      <wp:docPr id="707" name="Frame707"/>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9">
                      <wp:simplePos x="0" y="0"/>
                      <wp:positionH relativeFrom="character">
                        <wp:align>left</wp:align>
                      </wp:positionH>
                      <wp:positionV relativeFrom="line">
                        <wp:posOffset>635</wp:posOffset>
                      </wp:positionV>
                      <wp:extent cx="69215" cy="175260"/>
                      <wp:effectExtent l="0" t="0" r="0" b="0"/>
                      <wp:wrapNone/>
                      <wp:docPr id="708" name="Frame7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0">
                      <wp:simplePos x="0" y="0"/>
                      <wp:positionH relativeFrom="character">
                        <wp:align>left</wp:align>
                      </wp:positionH>
                      <wp:positionV relativeFrom="line">
                        <wp:posOffset>635</wp:posOffset>
                      </wp:positionV>
                      <wp:extent cx="97790" cy="175260"/>
                      <wp:effectExtent l="0" t="0" r="0" b="0"/>
                      <wp:wrapNone/>
                      <wp:docPr id="709" name="Frame70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1">
                      <wp:simplePos x="0" y="0"/>
                      <wp:positionH relativeFrom="character">
                        <wp:align>left</wp:align>
                      </wp:positionH>
                      <wp:positionV relativeFrom="line">
                        <wp:posOffset>635</wp:posOffset>
                      </wp:positionV>
                      <wp:extent cx="78740" cy="2640330"/>
                      <wp:effectExtent l="0" t="0" r="0" b="0"/>
                      <wp:wrapNone/>
                      <wp:docPr id="710" name="Frame710"/>
                      <a:graphic xmlns:a="http://schemas.openxmlformats.org/drawingml/2006/main">
                        <a:graphicData uri="http://schemas.microsoft.com/office/word/2010/wordprocessingShape">
                          <wps:wsp>
                            <wps:cNvSpPr txBox="1"/>
                            <wps:spPr>
                              <a:xfrm>
                                <a:off x="0" y="0"/>
                                <a:ext cx="78740" cy="2640330"/>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Gevo RNG Holdco,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07.9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Gevo RNG Holdco, LLC</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2">
                      <wp:simplePos x="0" y="0"/>
                      <wp:positionH relativeFrom="character">
                        <wp:align>left</wp:align>
                      </wp:positionH>
                      <wp:positionV relativeFrom="line">
                        <wp:posOffset>635</wp:posOffset>
                      </wp:positionV>
                      <wp:extent cx="69215" cy="175260"/>
                      <wp:effectExtent l="0" t="0" r="0" b="0"/>
                      <wp:wrapNone/>
                      <wp:docPr id="711" name="Frame7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3">
                      <wp:simplePos x="0" y="0"/>
                      <wp:positionH relativeFrom="character">
                        <wp:align>left</wp:align>
                      </wp:positionH>
                      <wp:positionV relativeFrom="line">
                        <wp:posOffset>635</wp:posOffset>
                      </wp:positionV>
                      <wp:extent cx="97790" cy="1026795"/>
                      <wp:effectExtent l="0" t="0" r="0" b="0"/>
                      <wp:wrapNone/>
                      <wp:docPr id="712" name="Frame712"/>
                      <a:graphic xmlns:a="http://schemas.openxmlformats.org/drawingml/2006/main">
                        <a:graphicData uri="http://schemas.microsoft.com/office/word/2010/wordprocessingShape">
                          <wps:wsp>
                            <wps:cNvSpPr txBox="1"/>
                            <wps:spPr>
                              <a:xfrm>
                                <a:off x="0" y="0"/>
                                <a:ext cx="97790" cy="102679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0.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4">
                      <wp:simplePos x="0" y="0"/>
                      <wp:positionH relativeFrom="character">
                        <wp:align>left</wp:align>
                      </wp:positionH>
                      <wp:positionV relativeFrom="line">
                        <wp:posOffset>635</wp:posOffset>
                      </wp:positionV>
                      <wp:extent cx="78740" cy="175260"/>
                      <wp:effectExtent l="0" t="0" r="0" b="0"/>
                      <wp:wrapNone/>
                      <wp:docPr id="713" name="Frame713"/>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5">
                      <wp:simplePos x="0" y="0"/>
                      <wp:positionH relativeFrom="character">
                        <wp:align>left</wp:align>
                      </wp:positionH>
                      <wp:positionV relativeFrom="line">
                        <wp:posOffset>635</wp:posOffset>
                      </wp:positionV>
                      <wp:extent cx="69215" cy="175260"/>
                      <wp:effectExtent l="0" t="0" r="0" b="0"/>
                      <wp:wrapNone/>
                      <wp:docPr id="714" name="Frame7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6">
                      <wp:simplePos x="0" y="0"/>
                      <wp:positionH relativeFrom="character">
                        <wp:align>left</wp:align>
                      </wp:positionH>
                      <wp:positionV relativeFrom="line">
                        <wp:posOffset>635</wp:posOffset>
                      </wp:positionV>
                      <wp:extent cx="97790" cy="175260"/>
                      <wp:effectExtent l="0" t="0" r="0" b="0"/>
                      <wp:wrapNone/>
                      <wp:docPr id="715" name="Frame71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7">
                      <wp:simplePos x="0" y="0"/>
                      <wp:positionH relativeFrom="character">
                        <wp:align>left</wp:align>
                      </wp:positionH>
                      <wp:positionV relativeFrom="line">
                        <wp:posOffset>635</wp:posOffset>
                      </wp:positionV>
                      <wp:extent cx="78740" cy="2640330"/>
                      <wp:effectExtent l="0" t="0" r="0" b="0"/>
                      <wp:wrapNone/>
                      <wp:docPr id="716" name="Frame716"/>
                      <a:graphic xmlns:a="http://schemas.openxmlformats.org/drawingml/2006/main">
                        <a:graphicData uri="http://schemas.microsoft.com/office/word/2010/wordprocessingShape">
                          <wps:wsp>
                            <wps:cNvSpPr txBox="1"/>
                            <wps:spPr>
                              <a:xfrm>
                                <a:off x="0" y="0"/>
                                <a:ext cx="78740" cy="2640330"/>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Gevo NW Iowa RNG,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07.9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Gevo NW Iowa RNG, LLC</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8">
                      <wp:simplePos x="0" y="0"/>
                      <wp:positionH relativeFrom="character">
                        <wp:align>left</wp:align>
                      </wp:positionH>
                      <wp:positionV relativeFrom="line">
                        <wp:posOffset>635</wp:posOffset>
                      </wp:positionV>
                      <wp:extent cx="69215" cy="175260"/>
                      <wp:effectExtent l="0" t="0" r="0" b="0"/>
                      <wp:wrapNone/>
                      <wp:docPr id="717" name="Frame7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9">
                      <wp:simplePos x="0" y="0"/>
                      <wp:positionH relativeFrom="character">
                        <wp:align>left</wp:align>
                      </wp:positionH>
                      <wp:positionV relativeFrom="line">
                        <wp:posOffset>635</wp:posOffset>
                      </wp:positionV>
                      <wp:extent cx="97790" cy="1026795"/>
                      <wp:effectExtent l="0" t="0" r="0" b="0"/>
                      <wp:wrapNone/>
                      <wp:docPr id="718" name="Frame718"/>
                      <a:graphic xmlns:a="http://schemas.openxmlformats.org/drawingml/2006/main">
                        <a:graphicData uri="http://schemas.microsoft.com/office/word/2010/wordprocessingShape">
                          <wps:wsp>
                            <wps:cNvSpPr txBox="1"/>
                            <wps:spPr>
                              <a:xfrm>
                                <a:off x="0" y="0"/>
                                <a:ext cx="97790" cy="102679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0.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0">
                      <wp:simplePos x="0" y="0"/>
                      <wp:positionH relativeFrom="character">
                        <wp:align>left</wp:align>
                      </wp:positionH>
                      <wp:positionV relativeFrom="line">
                        <wp:posOffset>635</wp:posOffset>
                      </wp:positionV>
                      <wp:extent cx="78740" cy="175260"/>
                      <wp:effectExtent l="0" t="0" r="0" b="0"/>
                      <wp:wrapNone/>
                      <wp:docPr id="719" name="Frame71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1">
                      <wp:simplePos x="0" y="0"/>
                      <wp:positionH relativeFrom="character">
                        <wp:align>left</wp:align>
                      </wp:positionH>
                      <wp:positionV relativeFrom="line">
                        <wp:posOffset>635</wp:posOffset>
                      </wp:positionV>
                      <wp:extent cx="69215" cy="175260"/>
                      <wp:effectExtent l="0" t="0" r="0" b="0"/>
                      <wp:wrapNone/>
                      <wp:docPr id="720" name="Frame7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2">
                      <wp:simplePos x="0" y="0"/>
                      <wp:positionH relativeFrom="character">
                        <wp:align>left</wp:align>
                      </wp:positionH>
                      <wp:positionV relativeFrom="line">
                        <wp:posOffset>635</wp:posOffset>
                      </wp:positionV>
                      <wp:extent cx="97790" cy="175260"/>
                      <wp:effectExtent l="0" t="0" r="0" b="0"/>
                      <wp:wrapNone/>
                      <wp:docPr id="721" name="Frame72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3">
                      <wp:simplePos x="0" y="0"/>
                      <wp:positionH relativeFrom="character">
                        <wp:align>left</wp:align>
                      </wp:positionH>
                      <wp:positionV relativeFrom="line">
                        <wp:posOffset>635</wp:posOffset>
                      </wp:positionV>
                      <wp:extent cx="78740" cy="3080385"/>
                      <wp:effectExtent l="0" t="0" r="0" b="0"/>
                      <wp:wrapNone/>
                      <wp:docPr id="722" name="Frame722"/>
                      <a:graphic xmlns:a="http://schemas.openxmlformats.org/drawingml/2006/main">
                        <a:graphicData uri="http://schemas.microsoft.com/office/word/2010/wordprocessingShape">
                          <wps:wsp>
                            <wps:cNvSpPr txBox="1"/>
                            <wps:spPr>
                              <a:xfrm>
                                <a:off x="0" y="0"/>
                                <a:ext cx="78740" cy="308038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Gevo Net-Zero Holdco,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42.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Gevo Net-Zero Holdco, LLC</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4">
                      <wp:simplePos x="0" y="0"/>
                      <wp:positionH relativeFrom="character">
                        <wp:align>left</wp:align>
                      </wp:positionH>
                      <wp:positionV relativeFrom="line">
                        <wp:posOffset>635</wp:posOffset>
                      </wp:positionV>
                      <wp:extent cx="69215" cy="175260"/>
                      <wp:effectExtent l="0" t="0" r="0" b="0"/>
                      <wp:wrapNone/>
                      <wp:docPr id="723" name="Frame7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5">
                      <wp:simplePos x="0" y="0"/>
                      <wp:positionH relativeFrom="character">
                        <wp:align>left</wp:align>
                      </wp:positionH>
                      <wp:positionV relativeFrom="line">
                        <wp:posOffset>635</wp:posOffset>
                      </wp:positionV>
                      <wp:extent cx="97790" cy="1026795"/>
                      <wp:effectExtent l="0" t="0" r="0" b="0"/>
                      <wp:wrapNone/>
                      <wp:docPr id="724" name="Frame724"/>
                      <a:graphic xmlns:a="http://schemas.openxmlformats.org/drawingml/2006/main">
                        <a:graphicData uri="http://schemas.microsoft.com/office/word/2010/wordprocessingShape">
                          <wps:wsp>
                            <wps:cNvSpPr txBox="1"/>
                            <wps:spPr>
                              <a:xfrm>
                                <a:off x="0" y="0"/>
                                <a:ext cx="97790" cy="102679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0.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6">
                      <wp:simplePos x="0" y="0"/>
                      <wp:positionH relativeFrom="character">
                        <wp:align>left</wp:align>
                      </wp:positionH>
                      <wp:positionV relativeFrom="line">
                        <wp:posOffset>635</wp:posOffset>
                      </wp:positionV>
                      <wp:extent cx="78740" cy="175260"/>
                      <wp:effectExtent l="0" t="0" r="0" b="0"/>
                      <wp:wrapNone/>
                      <wp:docPr id="725" name="Frame72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7">
                      <wp:simplePos x="0" y="0"/>
                      <wp:positionH relativeFrom="character">
                        <wp:align>left</wp:align>
                      </wp:positionH>
                      <wp:positionV relativeFrom="line">
                        <wp:posOffset>635</wp:posOffset>
                      </wp:positionV>
                      <wp:extent cx="69215" cy="175260"/>
                      <wp:effectExtent l="0" t="0" r="0" b="0"/>
                      <wp:wrapNone/>
                      <wp:docPr id="726" name="Frame7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8">
                      <wp:simplePos x="0" y="0"/>
                      <wp:positionH relativeFrom="character">
                        <wp:align>left</wp:align>
                      </wp:positionH>
                      <wp:positionV relativeFrom="line">
                        <wp:posOffset>635</wp:posOffset>
                      </wp:positionV>
                      <wp:extent cx="97790" cy="175260"/>
                      <wp:effectExtent l="0" t="0" r="0" b="0"/>
                      <wp:wrapNone/>
                      <wp:docPr id="727" name="Frame72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9">
                      <wp:simplePos x="0" y="0"/>
                      <wp:positionH relativeFrom="character">
                        <wp:align>left</wp:align>
                      </wp:positionH>
                      <wp:positionV relativeFrom="line">
                        <wp:posOffset>635</wp:posOffset>
                      </wp:positionV>
                      <wp:extent cx="78740" cy="2346960"/>
                      <wp:effectExtent l="0" t="0" r="0" b="0"/>
                      <wp:wrapNone/>
                      <wp:docPr id="728" name="Frame728"/>
                      <a:graphic xmlns:a="http://schemas.openxmlformats.org/drawingml/2006/main">
                        <a:graphicData uri="http://schemas.microsoft.com/office/word/2010/wordprocessingShape">
                          <wps:wsp>
                            <wps:cNvSpPr txBox="1"/>
                            <wps:spPr>
                              <a:xfrm>
                                <a:off x="0" y="0"/>
                                <a:ext cx="78740" cy="2346960"/>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Gevo Net-Zero 1,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84.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Gevo Net-Zero 1, LLC</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0">
                      <wp:simplePos x="0" y="0"/>
                      <wp:positionH relativeFrom="character">
                        <wp:align>left</wp:align>
                      </wp:positionH>
                      <wp:positionV relativeFrom="line">
                        <wp:posOffset>635</wp:posOffset>
                      </wp:positionV>
                      <wp:extent cx="69215" cy="175260"/>
                      <wp:effectExtent l="0" t="0" r="0" b="0"/>
                      <wp:wrapNone/>
                      <wp:docPr id="729" name="Frame7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1">
                      <wp:simplePos x="0" y="0"/>
                      <wp:positionH relativeFrom="character">
                        <wp:align>left</wp:align>
                      </wp:positionH>
                      <wp:positionV relativeFrom="line">
                        <wp:posOffset>635</wp:posOffset>
                      </wp:positionV>
                      <wp:extent cx="97790" cy="1026795"/>
                      <wp:effectExtent l="0" t="0" r="0" b="0"/>
                      <wp:wrapNone/>
                      <wp:docPr id="730" name="Frame730"/>
                      <a:graphic xmlns:a="http://schemas.openxmlformats.org/drawingml/2006/main">
                        <a:graphicData uri="http://schemas.microsoft.com/office/word/2010/wordprocessingShape">
                          <wps:wsp>
                            <wps:cNvSpPr txBox="1"/>
                            <wps:spPr>
                              <a:xfrm>
                                <a:off x="0" y="0"/>
                                <a:ext cx="97790" cy="102679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0.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2">
                      <wp:simplePos x="0" y="0"/>
                      <wp:positionH relativeFrom="character">
                        <wp:align>left</wp:align>
                      </wp:positionH>
                      <wp:positionV relativeFrom="line">
                        <wp:posOffset>635</wp:posOffset>
                      </wp:positionV>
                      <wp:extent cx="78740" cy="175260"/>
                      <wp:effectExtent l="0" t="0" r="0" b="0"/>
                      <wp:wrapNone/>
                      <wp:docPr id="731" name="Frame73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3">
                      <wp:simplePos x="0" y="0"/>
                      <wp:positionH relativeFrom="character">
                        <wp:align>left</wp:align>
                      </wp:positionH>
                      <wp:positionV relativeFrom="line">
                        <wp:posOffset>635</wp:posOffset>
                      </wp:positionV>
                      <wp:extent cx="69215" cy="175260"/>
                      <wp:effectExtent l="0" t="0" r="0" b="0"/>
                      <wp:wrapNone/>
                      <wp:docPr id="732" name="Frame7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4">
                      <wp:simplePos x="0" y="0"/>
                      <wp:positionH relativeFrom="character">
                        <wp:align>left</wp:align>
                      </wp:positionH>
                      <wp:positionV relativeFrom="line">
                        <wp:posOffset>635</wp:posOffset>
                      </wp:positionV>
                      <wp:extent cx="97790" cy="175260"/>
                      <wp:effectExtent l="0" t="0" r="0" b="0"/>
                      <wp:wrapNone/>
                      <wp:docPr id="733" name="Frame73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5">
                      <wp:simplePos x="0" y="0"/>
                      <wp:positionH relativeFrom="character">
                        <wp:align>left</wp:align>
                      </wp:positionH>
                      <wp:positionV relativeFrom="line">
                        <wp:posOffset>635</wp:posOffset>
                      </wp:positionV>
                      <wp:extent cx="78740" cy="3520440"/>
                      <wp:effectExtent l="0" t="0" r="0" b="0"/>
                      <wp:wrapNone/>
                      <wp:docPr id="734" name="Frame734"/>
                      <a:graphic xmlns:a="http://schemas.openxmlformats.org/drawingml/2006/main">
                        <a:graphicData uri="http://schemas.microsoft.com/office/word/2010/wordprocessingShape">
                          <wps:wsp>
                            <wps:cNvSpPr txBox="1"/>
                            <wps:spPr>
                              <a:xfrm>
                                <a:off x="0" y="0"/>
                                <a:ext cx="78740" cy="3520440"/>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Gevo Net-Zero Operations,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77.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Gevo Net-Zero Operations, LLC</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6">
                      <wp:simplePos x="0" y="0"/>
                      <wp:positionH relativeFrom="character">
                        <wp:align>left</wp:align>
                      </wp:positionH>
                      <wp:positionV relativeFrom="line">
                        <wp:posOffset>635</wp:posOffset>
                      </wp:positionV>
                      <wp:extent cx="69215" cy="175260"/>
                      <wp:effectExtent l="0" t="0" r="0" b="0"/>
                      <wp:wrapNone/>
                      <wp:docPr id="735" name="Frame7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7">
                      <wp:simplePos x="0" y="0"/>
                      <wp:positionH relativeFrom="character">
                        <wp:align>left</wp:align>
                      </wp:positionH>
                      <wp:positionV relativeFrom="line">
                        <wp:posOffset>635</wp:posOffset>
                      </wp:positionV>
                      <wp:extent cx="97790" cy="1026795"/>
                      <wp:effectExtent l="0" t="0" r="0" b="0"/>
                      <wp:wrapNone/>
                      <wp:docPr id="736" name="Frame736"/>
                      <a:graphic xmlns:a="http://schemas.openxmlformats.org/drawingml/2006/main">
                        <a:graphicData uri="http://schemas.microsoft.com/office/word/2010/wordprocessingShape">
                          <wps:wsp>
                            <wps:cNvSpPr txBox="1"/>
                            <wps:spPr>
                              <a:xfrm>
                                <a:off x="0" y="0"/>
                                <a:ext cx="97790" cy="102679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0.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8">
                      <wp:simplePos x="0" y="0"/>
                      <wp:positionH relativeFrom="character">
                        <wp:align>left</wp:align>
                      </wp:positionH>
                      <wp:positionV relativeFrom="line">
                        <wp:posOffset>635</wp:posOffset>
                      </wp:positionV>
                      <wp:extent cx="78740" cy="175260"/>
                      <wp:effectExtent l="0" t="0" r="0" b="0"/>
                      <wp:wrapNone/>
                      <wp:docPr id="737" name="Frame737"/>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9">
                      <wp:simplePos x="0" y="0"/>
                      <wp:positionH relativeFrom="character">
                        <wp:align>left</wp:align>
                      </wp:positionH>
                      <wp:positionV relativeFrom="line">
                        <wp:posOffset>635</wp:posOffset>
                      </wp:positionV>
                      <wp:extent cx="69215" cy="175260"/>
                      <wp:effectExtent l="0" t="0" r="0" b="0"/>
                      <wp:wrapNone/>
                      <wp:docPr id="738" name="Frame7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0">
                      <wp:simplePos x="0" y="0"/>
                      <wp:positionH relativeFrom="character">
                        <wp:align>left</wp:align>
                      </wp:positionH>
                      <wp:positionV relativeFrom="line">
                        <wp:posOffset>635</wp:posOffset>
                      </wp:positionV>
                      <wp:extent cx="97790" cy="175260"/>
                      <wp:effectExtent l="0" t="0" r="0" b="0"/>
                      <wp:wrapNone/>
                      <wp:docPr id="739" name="Frame73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1">
                      <wp:simplePos x="0" y="0"/>
                      <wp:positionH relativeFrom="character">
                        <wp:align>left</wp:align>
                      </wp:positionH>
                      <wp:positionV relativeFrom="line">
                        <wp:posOffset>635</wp:posOffset>
                      </wp:positionV>
                      <wp:extent cx="78740" cy="4253865"/>
                      <wp:effectExtent l="0" t="0" r="0" b="0"/>
                      <wp:wrapNone/>
                      <wp:docPr id="740" name="Frame740"/>
                      <a:graphic xmlns:a="http://schemas.openxmlformats.org/drawingml/2006/main">
                        <a:graphicData uri="http://schemas.microsoft.com/office/word/2010/wordprocessingShape">
                          <wps:wsp>
                            <wps:cNvSpPr txBox="1"/>
                            <wps:spPr>
                              <a:xfrm>
                                <a:off x="0" y="0"/>
                                <a:ext cx="78740" cy="425386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Gevo Net-Zero Asset Management,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334.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Gevo Net-Zero Asset Management, LLC</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2">
                      <wp:simplePos x="0" y="0"/>
                      <wp:positionH relativeFrom="character">
                        <wp:align>left</wp:align>
                      </wp:positionH>
                      <wp:positionV relativeFrom="line">
                        <wp:posOffset>635</wp:posOffset>
                      </wp:positionV>
                      <wp:extent cx="69215" cy="175260"/>
                      <wp:effectExtent l="0" t="0" r="0" b="0"/>
                      <wp:wrapNone/>
                      <wp:docPr id="741" name="Frame7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3">
                      <wp:simplePos x="0" y="0"/>
                      <wp:positionH relativeFrom="character">
                        <wp:align>left</wp:align>
                      </wp:positionH>
                      <wp:positionV relativeFrom="line">
                        <wp:posOffset>635</wp:posOffset>
                      </wp:positionV>
                      <wp:extent cx="97790" cy="1026795"/>
                      <wp:effectExtent l="0" t="0" r="0" b="0"/>
                      <wp:wrapNone/>
                      <wp:docPr id="742" name="Frame742"/>
                      <a:graphic xmlns:a="http://schemas.openxmlformats.org/drawingml/2006/main">
                        <a:graphicData uri="http://schemas.microsoft.com/office/word/2010/wordprocessingShape">
                          <wps:wsp>
                            <wps:cNvSpPr txBox="1"/>
                            <wps:spPr>
                              <a:xfrm>
                                <a:off x="0" y="0"/>
                                <a:ext cx="97790" cy="102679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0.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4">
                      <wp:simplePos x="0" y="0"/>
                      <wp:positionH relativeFrom="character">
                        <wp:align>left</wp:align>
                      </wp:positionH>
                      <wp:positionV relativeFrom="line">
                        <wp:posOffset>635</wp:posOffset>
                      </wp:positionV>
                      <wp:extent cx="78740" cy="175260"/>
                      <wp:effectExtent l="0" t="0" r="0" b="0"/>
                      <wp:wrapNone/>
                      <wp:docPr id="743" name="Frame743"/>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5">
                      <wp:simplePos x="0" y="0"/>
                      <wp:positionH relativeFrom="character">
                        <wp:align>left</wp:align>
                      </wp:positionH>
                      <wp:positionV relativeFrom="line">
                        <wp:posOffset>635</wp:posOffset>
                      </wp:positionV>
                      <wp:extent cx="69215" cy="175260"/>
                      <wp:effectExtent l="0" t="0" r="0" b="0"/>
                      <wp:wrapNone/>
                      <wp:docPr id="744" name="Frame7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6">
                      <wp:simplePos x="0" y="0"/>
                      <wp:positionH relativeFrom="character">
                        <wp:align>left</wp:align>
                      </wp:positionH>
                      <wp:positionV relativeFrom="line">
                        <wp:posOffset>635</wp:posOffset>
                      </wp:positionV>
                      <wp:extent cx="97790" cy="175260"/>
                      <wp:effectExtent l="0" t="0" r="0" b="0"/>
                      <wp:wrapNone/>
                      <wp:docPr id="745" name="Frame74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7">
                      <wp:simplePos x="0" y="0"/>
                      <wp:positionH relativeFrom="character">
                        <wp:align>left</wp:align>
                      </wp:positionH>
                      <wp:positionV relativeFrom="line">
                        <wp:posOffset>635</wp:posOffset>
                      </wp:positionV>
                      <wp:extent cx="78740" cy="2493645"/>
                      <wp:effectExtent l="0" t="0" r="0" b="0"/>
                      <wp:wrapNone/>
                      <wp:docPr id="746" name="Frame746"/>
                      <a:graphic xmlns:a="http://schemas.openxmlformats.org/drawingml/2006/main">
                        <a:graphicData uri="http://schemas.microsoft.com/office/word/2010/wordprocessingShape">
                          <wps:wsp>
                            <wps:cNvSpPr txBox="1"/>
                            <wps:spPr>
                              <a:xfrm>
                                <a:off x="0" y="0"/>
                                <a:ext cx="78740" cy="249364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Verity Holdings,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96.3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Verity Holdings, LLC</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8">
                      <wp:simplePos x="0" y="0"/>
                      <wp:positionH relativeFrom="character">
                        <wp:align>left</wp:align>
                      </wp:positionH>
                      <wp:positionV relativeFrom="line">
                        <wp:posOffset>635</wp:posOffset>
                      </wp:positionV>
                      <wp:extent cx="69215" cy="175260"/>
                      <wp:effectExtent l="0" t="0" r="0" b="0"/>
                      <wp:wrapNone/>
                      <wp:docPr id="747" name="Frame7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9">
                      <wp:simplePos x="0" y="0"/>
                      <wp:positionH relativeFrom="character">
                        <wp:align>left</wp:align>
                      </wp:positionH>
                      <wp:positionV relativeFrom="line">
                        <wp:posOffset>635</wp:posOffset>
                      </wp:positionV>
                      <wp:extent cx="97790" cy="1026795"/>
                      <wp:effectExtent l="0" t="0" r="0" b="0"/>
                      <wp:wrapNone/>
                      <wp:docPr id="748" name="Frame748"/>
                      <a:graphic xmlns:a="http://schemas.openxmlformats.org/drawingml/2006/main">
                        <a:graphicData uri="http://schemas.microsoft.com/office/word/2010/wordprocessingShape">
                          <wps:wsp>
                            <wps:cNvSpPr txBox="1"/>
                            <wps:spPr>
                              <a:xfrm>
                                <a:off x="0" y="0"/>
                                <a:ext cx="97790" cy="102679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0.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0">
                      <wp:simplePos x="0" y="0"/>
                      <wp:positionH relativeFrom="character">
                        <wp:align>left</wp:align>
                      </wp:positionH>
                      <wp:positionV relativeFrom="line">
                        <wp:posOffset>635</wp:posOffset>
                      </wp:positionV>
                      <wp:extent cx="78740" cy="175260"/>
                      <wp:effectExtent l="0" t="0" r="0" b="0"/>
                      <wp:wrapNone/>
                      <wp:docPr id="749" name="Frame74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1">
                      <wp:simplePos x="0" y="0"/>
                      <wp:positionH relativeFrom="character">
                        <wp:align>left</wp:align>
                      </wp:positionH>
                      <wp:positionV relativeFrom="line">
                        <wp:posOffset>635</wp:posOffset>
                      </wp:positionV>
                      <wp:extent cx="69215" cy="175260"/>
                      <wp:effectExtent l="0" t="0" r="0" b="0"/>
                      <wp:wrapNone/>
                      <wp:docPr id="750" name="Frame7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2">
                      <wp:simplePos x="0" y="0"/>
                      <wp:positionH relativeFrom="character">
                        <wp:align>left</wp:align>
                      </wp:positionH>
                      <wp:positionV relativeFrom="line">
                        <wp:posOffset>635</wp:posOffset>
                      </wp:positionV>
                      <wp:extent cx="97790" cy="175260"/>
                      <wp:effectExtent l="0" t="0" r="0" b="0"/>
                      <wp:wrapNone/>
                      <wp:docPr id="751" name="Frame75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3">
                      <wp:simplePos x="0" y="0"/>
                      <wp:positionH relativeFrom="character">
                        <wp:align>left</wp:align>
                      </wp:positionH>
                      <wp:positionV relativeFrom="line">
                        <wp:posOffset>635</wp:posOffset>
                      </wp:positionV>
                      <wp:extent cx="78740" cy="4840605"/>
                      <wp:effectExtent l="0" t="0" r="0" b="0"/>
                      <wp:wrapNone/>
                      <wp:docPr id="752" name="Frame752"/>
                      <a:graphic xmlns:a="http://schemas.openxmlformats.org/drawingml/2006/main">
                        <a:graphicData uri="http://schemas.microsoft.com/office/word/2010/wordprocessingShape">
                          <wps:wsp>
                            <wps:cNvSpPr txBox="1"/>
                            <wps:spPr>
                              <a:xfrm>
                                <a:off x="0" y="0"/>
                                <a:ext cx="78740" cy="484060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Cultivate Agricultural Intelligence,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381.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Cultivate Agricultural Intelligence, LLC</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4">
                      <wp:simplePos x="0" y="0"/>
                      <wp:positionH relativeFrom="character">
                        <wp:align>left</wp:align>
                      </wp:positionH>
                      <wp:positionV relativeFrom="line">
                        <wp:posOffset>635</wp:posOffset>
                      </wp:positionV>
                      <wp:extent cx="69215" cy="175260"/>
                      <wp:effectExtent l="0" t="0" r="0" b="0"/>
                      <wp:wrapNone/>
                      <wp:docPr id="753" name="Frame7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5">
                      <wp:simplePos x="0" y="0"/>
                      <wp:positionH relativeFrom="character">
                        <wp:align>left</wp:align>
                      </wp:positionH>
                      <wp:positionV relativeFrom="line">
                        <wp:posOffset>635</wp:posOffset>
                      </wp:positionV>
                      <wp:extent cx="97790" cy="880110"/>
                      <wp:effectExtent l="0" t="0" r="0" b="0"/>
                      <wp:wrapNone/>
                      <wp:docPr id="754" name="Frame754"/>
                      <a:graphic xmlns:a="http://schemas.openxmlformats.org/drawingml/2006/main">
                        <a:graphicData uri="http://schemas.microsoft.com/office/word/2010/wordprocessingShape">
                          <wps:wsp>
                            <wps:cNvSpPr txBox="1"/>
                            <wps:spPr>
                              <a:xfrm>
                                <a:off x="0" y="0"/>
                                <a:ext cx="97790" cy="880110"/>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Florida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69.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Florida</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6">
                      <wp:simplePos x="0" y="0"/>
                      <wp:positionH relativeFrom="character">
                        <wp:align>left</wp:align>
                      </wp:positionH>
                      <wp:positionV relativeFrom="line">
                        <wp:posOffset>635</wp:posOffset>
                      </wp:positionV>
                      <wp:extent cx="78740" cy="175260"/>
                      <wp:effectExtent l="0" t="0" r="0" b="0"/>
                      <wp:wrapNone/>
                      <wp:docPr id="755" name="Frame75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7">
                      <wp:simplePos x="0" y="0"/>
                      <wp:positionH relativeFrom="character">
                        <wp:align>left</wp:align>
                      </wp:positionH>
                      <wp:positionV relativeFrom="line">
                        <wp:posOffset>635</wp:posOffset>
                      </wp:positionV>
                      <wp:extent cx="69215" cy="175260"/>
                      <wp:effectExtent l="0" t="0" r="0" b="0"/>
                      <wp:wrapNone/>
                      <wp:docPr id="756" name="Frame7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8">
                      <wp:simplePos x="0" y="0"/>
                      <wp:positionH relativeFrom="character">
                        <wp:align>left</wp:align>
                      </wp:positionH>
                      <wp:positionV relativeFrom="line">
                        <wp:posOffset>635</wp:posOffset>
                      </wp:positionV>
                      <wp:extent cx="97790" cy="175260"/>
                      <wp:effectExtent l="0" t="0" r="0" b="0"/>
                      <wp:wrapNone/>
                      <wp:docPr id="757" name="Frame75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9">
                      <wp:simplePos x="0" y="0"/>
                      <wp:positionH relativeFrom="character">
                        <wp:align>left</wp:align>
                      </wp:positionH>
                      <wp:positionV relativeFrom="line">
                        <wp:posOffset>635</wp:posOffset>
                      </wp:positionV>
                      <wp:extent cx="78740" cy="4693920"/>
                      <wp:effectExtent l="0" t="0" r="0" b="0"/>
                      <wp:wrapNone/>
                      <wp:docPr id="758" name="Frame758"/>
                      <a:graphic xmlns:a="http://schemas.openxmlformats.org/drawingml/2006/main">
                        <a:graphicData uri="http://schemas.microsoft.com/office/word/2010/wordprocessingShape">
                          <wps:wsp>
                            <wps:cNvSpPr txBox="1"/>
                            <wps:spPr>
                              <a:xfrm>
                                <a:off x="0" y="0"/>
                                <a:ext cx="78740" cy="4693920"/>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Gevo North Dakota Asset Management,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369.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Gevo North Dakota Asset Management, LLC</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0">
                      <wp:simplePos x="0" y="0"/>
                      <wp:positionH relativeFrom="character">
                        <wp:align>left</wp:align>
                      </wp:positionH>
                      <wp:positionV relativeFrom="line">
                        <wp:posOffset>635</wp:posOffset>
                      </wp:positionV>
                      <wp:extent cx="69215" cy="175260"/>
                      <wp:effectExtent l="0" t="0" r="0" b="0"/>
                      <wp:wrapNone/>
                      <wp:docPr id="759" name="Frame7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1">
                      <wp:simplePos x="0" y="0"/>
                      <wp:positionH relativeFrom="character">
                        <wp:align>left</wp:align>
                      </wp:positionH>
                      <wp:positionV relativeFrom="line">
                        <wp:posOffset>635</wp:posOffset>
                      </wp:positionV>
                      <wp:extent cx="97790" cy="1026795"/>
                      <wp:effectExtent l="0" t="0" r="0" b="0"/>
                      <wp:wrapNone/>
                      <wp:docPr id="760" name="Frame760"/>
                      <a:graphic xmlns:a="http://schemas.openxmlformats.org/drawingml/2006/main">
                        <a:graphicData uri="http://schemas.microsoft.com/office/word/2010/wordprocessingShape">
                          <wps:wsp>
                            <wps:cNvSpPr txBox="1"/>
                            <wps:spPr>
                              <a:xfrm>
                                <a:off x="0" y="0"/>
                                <a:ext cx="97790" cy="102679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0.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2">
                      <wp:simplePos x="0" y="0"/>
                      <wp:positionH relativeFrom="character">
                        <wp:align>left</wp:align>
                      </wp:positionH>
                      <wp:positionV relativeFrom="line">
                        <wp:posOffset>635</wp:posOffset>
                      </wp:positionV>
                      <wp:extent cx="78740" cy="175260"/>
                      <wp:effectExtent l="0" t="0" r="0" b="0"/>
                      <wp:wrapNone/>
                      <wp:docPr id="761" name="Frame76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3">
                      <wp:simplePos x="0" y="0"/>
                      <wp:positionH relativeFrom="character">
                        <wp:align>left</wp:align>
                      </wp:positionH>
                      <wp:positionV relativeFrom="line">
                        <wp:posOffset>635</wp:posOffset>
                      </wp:positionV>
                      <wp:extent cx="69215" cy="175260"/>
                      <wp:effectExtent l="0" t="0" r="0" b="0"/>
                      <wp:wrapNone/>
                      <wp:docPr id="762" name="Frame7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4">
                      <wp:simplePos x="0" y="0"/>
                      <wp:positionH relativeFrom="character">
                        <wp:align>left</wp:align>
                      </wp:positionH>
                      <wp:positionV relativeFrom="line">
                        <wp:posOffset>635</wp:posOffset>
                      </wp:positionV>
                      <wp:extent cx="97790" cy="175260"/>
                      <wp:effectExtent l="0" t="0" r="0" b="0"/>
                      <wp:wrapNone/>
                      <wp:docPr id="763" name="Frame76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5">
                      <wp:simplePos x="0" y="0"/>
                      <wp:positionH relativeFrom="character">
                        <wp:align>left</wp:align>
                      </wp:positionH>
                      <wp:positionV relativeFrom="line">
                        <wp:posOffset>635</wp:posOffset>
                      </wp:positionV>
                      <wp:extent cx="78740" cy="3813810"/>
                      <wp:effectExtent l="0" t="0" r="0" b="0"/>
                      <wp:wrapNone/>
                      <wp:docPr id="764" name="Frame764"/>
                      <a:graphic xmlns:a="http://schemas.openxmlformats.org/drawingml/2006/main">
                        <a:graphicData uri="http://schemas.microsoft.com/office/word/2010/wordprocessingShape">
                          <wps:wsp>
                            <wps:cNvSpPr txBox="1"/>
                            <wps:spPr>
                              <a:xfrm>
                                <a:off x="0" y="0"/>
                                <a:ext cx="78740" cy="3813810"/>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Gevo Intermediate HoldCo,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300.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Gevo Intermediate HoldCo, LLC</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6">
                      <wp:simplePos x="0" y="0"/>
                      <wp:positionH relativeFrom="character">
                        <wp:align>left</wp:align>
                      </wp:positionH>
                      <wp:positionV relativeFrom="line">
                        <wp:posOffset>635</wp:posOffset>
                      </wp:positionV>
                      <wp:extent cx="69215" cy="175260"/>
                      <wp:effectExtent l="0" t="0" r="0" b="0"/>
                      <wp:wrapNone/>
                      <wp:docPr id="765" name="Frame7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7">
                      <wp:simplePos x="0" y="0"/>
                      <wp:positionH relativeFrom="character">
                        <wp:align>left</wp:align>
                      </wp:positionH>
                      <wp:positionV relativeFrom="line">
                        <wp:posOffset>635</wp:posOffset>
                      </wp:positionV>
                      <wp:extent cx="97790" cy="1026795"/>
                      <wp:effectExtent l="0" t="0" r="0" b="0"/>
                      <wp:wrapNone/>
                      <wp:docPr id="766" name="Frame766"/>
                      <a:graphic xmlns:a="http://schemas.openxmlformats.org/drawingml/2006/main">
                        <a:graphicData uri="http://schemas.microsoft.com/office/word/2010/wordprocessingShape">
                          <wps:wsp>
                            <wps:cNvSpPr txBox="1"/>
                            <wps:spPr>
                              <a:xfrm>
                                <a:off x="0" y="0"/>
                                <a:ext cx="97790" cy="102679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0.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8">
                      <wp:simplePos x="0" y="0"/>
                      <wp:positionH relativeFrom="character">
                        <wp:align>left</wp:align>
                      </wp:positionH>
                      <wp:positionV relativeFrom="line">
                        <wp:posOffset>635</wp:posOffset>
                      </wp:positionV>
                      <wp:extent cx="78740" cy="175260"/>
                      <wp:effectExtent l="0" t="0" r="0" b="0"/>
                      <wp:wrapNone/>
                      <wp:docPr id="767" name="Frame767"/>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9">
                      <wp:simplePos x="0" y="0"/>
                      <wp:positionH relativeFrom="character">
                        <wp:align>left</wp:align>
                      </wp:positionH>
                      <wp:positionV relativeFrom="line">
                        <wp:posOffset>635</wp:posOffset>
                      </wp:positionV>
                      <wp:extent cx="69215" cy="175260"/>
                      <wp:effectExtent l="0" t="0" r="0" b="0"/>
                      <wp:wrapNone/>
                      <wp:docPr id="768" name="Frame7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0">
                      <wp:simplePos x="0" y="0"/>
                      <wp:positionH relativeFrom="character">
                        <wp:align>left</wp:align>
                      </wp:positionH>
                      <wp:positionV relativeFrom="line">
                        <wp:posOffset>635</wp:posOffset>
                      </wp:positionV>
                      <wp:extent cx="97790" cy="175260"/>
                      <wp:effectExtent l="0" t="0" r="0" b="0"/>
                      <wp:wrapNone/>
                      <wp:docPr id="769" name="Frame76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1">
                      <wp:simplePos x="0" y="0"/>
                      <wp:positionH relativeFrom="character">
                        <wp:align>left</wp:align>
                      </wp:positionH>
                      <wp:positionV relativeFrom="line">
                        <wp:posOffset>635</wp:posOffset>
                      </wp:positionV>
                      <wp:extent cx="78740" cy="3080385"/>
                      <wp:effectExtent l="0" t="0" r="0" b="0"/>
                      <wp:wrapNone/>
                      <wp:docPr id="770" name="Frame770"/>
                      <a:graphic xmlns:a="http://schemas.openxmlformats.org/drawingml/2006/main">
                        <a:graphicData uri="http://schemas.microsoft.com/office/word/2010/wordprocessingShape">
                          <wps:wsp>
                            <wps:cNvSpPr txBox="1"/>
                            <wps:spPr>
                              <a:xfrm>
                                <a:off x="0" y="0"/>
                                <a:ext cx="78740" cy="308038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Net-Zero North HoldCo,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42.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Net-Zero North HoldCo, LLC</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2">
                      <wp:simplePos x="0" y="0"/>
                      <wp:positionH relativeFrom="character">
                        <wp:align>left</wp:align>
                      </wp:positionH>
                      <wp:positionV relativeFrom="line">
                        <wp:posOffset>635</wp:posOffset>
                      </wp:positionV>
                      <wp:extent cx="69215" cy="175260"/>
                      <wp:effectExtent l="0" t="0" r="0" b="0"/>
                      <wp:wrapNone/>
                      <wp:docPr id="771" name="Frame7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3">
                      <wp:simplePos x="0" y="0"/>
                      <wp:positionH relativeFrom="character">
                        <wp:align>left</wp:align>
                      </wp:positionH>
                      <wp:positionV relativeFrom="line">
                        <wp:posOffset>635</wp:posOffset>
                      </wp:positionV>
                      <wp:extent cx="97790" cy="1026795"/>
                      <wp:effectExtent l="0" t="0" r="0" b="0"/>
                      <wp:wrapNone/>
                      <wp:docPr id="772" name="Frame772"/>
                      <a:graphic xmlns:a="http://schemas.openxmlformats.org/drawingml/2006/main">
                        <a:graphicData uri="http://schemas.microsoft.com/office/word/2010/wordprocessingShape">
                          <wps:wsp>
                            <wps:cNvSpPr txBox="1"/>
                            <wps:spPr>
                              <a:xfrm>
                                <a:off x="0" y="0"/>
                                <a:ext cx="97790" cy="102679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0.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4">
                      <wp:simplePos x="0" y="0"/>
                      <wp:positionH relativeFrom="character">
                        <wp:align>left</wp:align>
                      </wp:positionH>
                      <wp:positionV relativeFrom="line">
                        <wp:posOffset>635</wp:posOffset>
                      </wp:positionV>
                      <wp:extent cx="78740" cy="175260"/>
                      <wp:effectExtent l="0" t="0" r="0" b="0"/>
                      <wp:wrapNone/>
                      <wp:docPr id="773" name="Frame773"/>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5">
                      <wp:simplePos x="0" y="0"/>
                      <wp:positionH relativeFrom="character">
                        <wp:align>left</wp:align>
                      </wp:positionH>
                      <wp:positionV relativeFrom="line">
                        <wp:posOffset>635</wp:posOffset>
                      </wp:positionV>
                      <wp:extent cx="69215" cy="175260"/>
                      <wp:effectExtent l="0" t="0" r="0" b="0"/>
                      <wp:wrapNone/>
                      <wp:docPr id="774" name="Frame7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6">
                      <wp:simplePos x="0" y="0"/>
                      <wp:positionH relativeFrom="character">
                        <wp:align>left</wp:align>
                      </wp:positionH>
                      <wp:positionV relativeFrom="line">
                        <wp:posOffset>635</wp:posOffset>
                      </wp:positionV>
                      <wp:extent cx="97790" cy="175260"/>
                      <wp:effectExtent l="0" t="0" r="0" b="0"/>
                      <wp:wrapNone/>
                      <wp:docPr id="775" name="Frame77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7">
                      <wp:simplePos x="0" y="0"/>
                      <wp:positionH relativeFrom="character">
                        <wp:align>left</wp:align>
                      </wp:positionH>
                      <wp:positionV relativeFrom="line">
                        <wp:posOffset>635</wp:posOffset>
                      </wp:positionV>
                      <wp:extent cx="78740" cy="3080385"/>
                      <wp:effectExtent l="0" t="0" r="0" b="0"/>
                      <wp:wrapNone/>
                      <wp:docPr id="776" name="Frame776"/>
                      <a:graphic xmlns:a="http://schemas.openxmlformats.org/drawingml/2006/main">
                        <a:graphicData uri="http://schemas.microsoft.com/office/word/2010/wordprocessingShape">
                          <wps:wsp>
                            <wps:cNvSpPr txBox="1"/>
                            <wps:spPr>
                              <a:xfrm>
                                <a:off x="0" y="0"/>
                                <a:ext cx="78740" cy="308038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Net-Zero Richardton,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42.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Net-Zero Richardton, LLC</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8">
                      <wp:simplePos x="0" y="0"/>
                      <wp:positionH relativeFrom="character">
                        <wp:align>left</wp:align>
                      </wp:positionH>
                      <wp:positionV relativeFrom="line">
                        <wp:posOffset>635</wp:posOffset>
                      </wp:positionV>
                      <wp:extent cx="69215" cy="175260"/>
                      <wp:effectExtent l="0" t="0" r="0" b="0"/>
                      <wp:wrapNone/>
                      <wp:docPr id="777" name="Frame7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9">
                      <wp:simplePos x="0" y="0"/>
                      <wp:positionH relativeFrom="character">
                        <wp:align>left</wp:align>
                      </wp:positionH>
                      <wp:positionV relativeFrom="line">
                        <wp:posOffset>635</wp:posOffset>
                      </wp:positionV>
                      <wp:extent cx="97790" cy="1026795"/>
                      <wp:effectExtent l="0" t="0" r="0" b="0"/>
                      <wp:wrapNone/>
                      <wp:docPr id="778" name="Frame778"/>
                      <a:graphic xmlns:a="http://schemas.openxmlformats.org/drawingml/2006/main">
                        <a:graphicData uri="http://schemas.microsoft.com/office/word/2010/wordprocessingShape">
                          <wps:wsp>
                            <wps:cNvSpPr txBox="1"/>
                            <wps:spPr>
                              <a:xfrm>
                                <a:off x="0" y="0"/>
                                <a:ext cx="97790" cy="102679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0.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0">
                      <wp:simplePos x="0" y="0"/>
                      <wp:positionH relativeFrom="character">
                        <wp:align>left</wp:align>
                      </wp:positionH>
                      <wp:positionV relativeFrom="line">
                        <wp:posOffset>635</wp:posOffset>
                      </wp:positionV>
                      <wp:extent cx="78740" cy="175260"/>
                      <wp:effectExtent l="0" t="0" r="0" b="0"/>
                      <wp:wrapNone/>
                      <wp:docPr id="779" name="Frame77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1">
                      <wp:simplePos x="0" y="0"/>
                      <wp:positionH relativeFrom="character">
                        <wp:align>left</wp:align>
                      </wp:positionH>
                      <wp:positionV relativeFrom="line">
                        <wp:posOffset>635</wp:posOffset>
                      </wp:positionV>
                      <wp:extent cx="69215" cy="175260"/>
                      <wp:effectExtent l="0" t="0" r="0" b="0"/>
                      <wp:wrapNone/>
                      <wp:docPr id="780" name="Frame7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2">
                      <wp:simplePos x="0" y="0"/>
                      <wp:positionH relativeFrom="character">
                        <wp:align>left</wp:align>
                      </wp:positionH>
                      <wp:positionV relativeFrom="line">
                        <wp:posOffset>635</wp:posOffset>
                      </wp:positionV>
                      <wp:extent cx="97790" cy="175260"/>
                      <wp:effectExtent l="0" t="0" r="0" b="0"/>
                      <wp:wrapNone/>
                      <wp:docPr id="781" name="Frame78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3">
                      <wp:simplePos x="0" y="0"/>
                      <wp:positionH relativeFrom="character">
                        <wp:align>left</wp:align>
                      </wp:positionH>
                      <wp:positionV relativeFrom="line">
                        <wp:posOffset>635</wp:posOffset>
                      </wp:positionV>
                      <wp:extent cx="78740" cy="2493645"/>
                      <wp:effectExtent l="0" t="0" r="0" b="0"/>
                      <wp:wrapNone/>
                      <wp:docPr id="782" name="Frame782"/>
                      <a:graphic xmlns:a="http://schemas.openxmlformats.org/drawingml/2006/main">
                        <a:graphicData uri="http://schemas.microsoft.com/office/word/2010/wordprocessingShape">
                          <wps:wsp>
                            <wps:cNvSpPr txBox="1"/>
                            <wps:spPr>
                              <a:xfrm>
                                <a:off x="0" y="0"/>
                                <a:ext cx="78740" cy="249364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Richardton CCS,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96.3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Richardton CCS, LLC</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4">
                      <wp:simplePos x="0" y="0"/>
                      <wp:positionH relativeFrom="character">
                        <wp:align>left</wp:align>
                      </wp:positionH>
                      <wp:positionV relativeFrom="line">
                        <wp:posOffset>635</wp:posOffset>
                      </wp:positionV>
                      <wp:extent cx="69215" cy="175260"/>
                      <wp:effectExtent l="0" t="0" r="0" b="0"/>
                      <wp:wrapNone/>
                      <wp:docPr id="783" name="Frame7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5">
                      <wp:simplePos x="0" y="0"/>
                      <wp:positionH relativeFrom="character">
                        <wp:align>left</wp:align>
                      </wp:positionH>
                      <wp:positionV relativeFrom="line">
                        <wp:posOffset>635</wp:posOffset>
                      </wp:positionV>
                      <wp:extent cx="97790" cy="1026795"/>
                      <wp:effectExtent l="0" t="0" r="0" b="0"/>
                      <wp:wrapNone/>
                      <wp:docPr id="784" name="Frame784"/>
                      <a:graphic xmlns:a="http://schemas.openxmlformats.org/drawingml/2006/main">
                        <a:graphicData uri="http://schemas.microsoft.com/office/word/2010/wordprocessingShape">
                          <wps:wsp>
                            <wps:cNvSpPr txBox="1"/>
                            <wps:spPr>
                              <a:xfrm>
                                <a:off x="0" y="0"/>
                                <a:ext cx="97790" cy="102679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0.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6">
                      <wp:simplePos x="0" y="0"/>
                      <wp:positionH relativeFrom="character">
                        <wp:align>left</wp:align>
                      </wp:positionH>
                      <wp:positionV relativeFrom="line">
                        <wp:posOffset>635</wp:posOffset>
                      </wp:positionV>
                      <wp:extent cx="78740" cy="175260"/>
                      <wp:effectExtent l="0" t="0" r="0" b="0"/>
                      <wp:wrapNone/>
                      <wp:docPr id="785" name="Frame78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7">
                      <wp:simplePos x="0" y="0"/>
                      <wp:positionH relativeFrom="character">
                        <wp:align>left</wp:align>
                      </wp:positionH>
                      <wp:positionV relativeFrom="line">
                        <wp:posOffset>635</wp:posOffset>
                      </wp:positionV>
                      <wp:extent cx="69215" cy="175260"/>
                      <wp:effectExtent l="0" t="0" r="0" b="0"/>
                      <wp:wrapNone/>
                      <wp:docPr id="786" name="Frame7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8">
                      <wp:simplePos x="0" y="0"/>
                      <wp:positionH relativeFrom="character">
                        <wp:align>left</wp:align>
                      </wp:positionH>
                      <wp:positionV relativeFrom="line">
                        <wp:posOffset>635</wp:posOffset>
                      </wp:positionV>
                      <wp:extent cx="97790" cy="175260"/>
                      <wp:effectExtent l="0" t="0" r="0" b="0"/>
                      <wp:wrapNone/>
                      <wp:docPr id="787" name="Frame78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9">
                      <wp:simplePos x="0" y="0"/>
                      <wp:positionH relativeFrom="character">
                        <wp:align>left</wp:align>
                      </wp:positionH>
                      <wp:positionV relativeFrom="line">
                        <wp:posOffset>635</wp:posOffset>
                      </wp:positionV>
                      <wp:extent cx="78740" cy="2950210"/>
                      <wp:effectExtent l="0" t="0" r="0" b="0"/>
                      <wp:wrapNone/>
                      <wp:docPr id="788" name="Frame788"/>
                      <a:graphic xmlns:a="http://schemas.openxmlformats.org/drawingml/2006/main">
                        <a:graphicData uri="http://schemas.microsoft.com/office/word/2010/wordprocessingShape">
                          <wps:wsp>
                            <wps:cNvSpPr txBox="1"/>
                            <wps:spPr>
                              <a:xfrm>
                                <a:off x="0" y="0"/>
                                <a:ext cx="78740" cy="2950210"/>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Gevo North Dakota Operations,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32.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Gevo North Dakota Operations, LLC</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0">
                      <wp:simplePos x="0" y="0"/>
                      <wp:positionH relativeFrom="character">
                        <wp:align>left</wp:align>
                      </wp:positionH>
                      <wp:positionV relativeFrom="line">
                        <wp:posOffset>635</wp:posOffset>
                      </wp:positionV>
                      <wp:extent cx="69215" cy="175260"/>
                      <wp:effectExtent l="0" t="0" r="0" b="0"/>
                      <wp:wrapNone/>
                      <wp:docPr id="789" name="Frame7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1">
                      <wp:simplePos x="0" y="0"/>
                      <wp:positionH relativeFrom="character">
                        <wp:align>left</wp:align>
                      </wp:positionH>
                      <wp:positionV relativeFrom="line">
                        <wp:posOffset>635</wp:posOffset>
                      </wp:positionV>
                      <wp:extent cx="97790" cy="1026795"/>
                      <wp:effectExtent l="0" t="0" r="0" b="0"/>
                      <wp:wrapNone/>
                      <wp:docPr id="790" name="Frame790"/>
                      <a:graphic xmlns:a="http://schemas.openxmlformats.org/drawingml/2006/main">
                        <a:graphicData uri="http://schemas.microsoft.com/office/word/2010/wordprocessingShape">
                          <wps:wsp>
                            <wps:cNvSpPr txBox="1"/>
                            <wps:spPr>
                              <a:xfrm>
                                <a:off x="0" y="0"/>
                                <a:ext cx="97790" cy="102679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0.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2">
                      <wp:simplePos x="0" y="0"/>
                      <wp:positionH relativeFrom="character">
                        <wp:align>left</wp:align>
                      </wp:positionH>
                      <wp:positionV relativeFrom="line">
                        <wp:posOffset>635</wp:posOffset>
                      </wp:positionV>
                      <wp:extent cx="78740" cy="175260"/>
                      <wp:effectExtent l="0" t="0" r="0" b="0"/>
                      <wp:wrapNone/>
                      <wp:docPr id="791" name="Frame79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3">
                      <wp:simplePos x="0" y="0"/>
                      <wp:positionH relativeFrom="character">
                        <wp:align>left</wp:align>
                      </wp:positionH>
                      <wp:positionV relativeFrom="line">
                        <wp:posOffset>635</wp:posOffset>
                      </wp:positionV>
                      <wp:extent cx="69215" cy="175260"/>
                      <wp:effectExtent l="0" t="0" r="0" b="0"/>
                      <wp:wrapNone/>
                      <wp:docPr id="792" name="Frame7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4">
                      <wp:simplePos x="0" y="0"/>
                      <wp:positionH relativeFrom="character">
                        <wp:align>left</wp:align>
                      </wp:positionH>
                      <wp:positionV relativeFrom="line">
                        <wp:posOffset>635</wp:posOffset>
                      </wp:positionV>
                      <wp:extent cx="97790" cy="175260"/>
                      <wp:effectExtent l="0" t="0" r="0" b="0"/>
                      <wp:wrapNone/>
                      <wp:docPr id="793" name="Frame79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5">
                      <wp:simplePos x="0" y="0"/>
                      <wp:positionH relativeFrom="character">
                        <wp:align>left</wp:align>
                      </wp:positionH>
                      <wp:positionV relativeFrom="line">
                        <wp:posOffset>635</wp:posOffset>
                      </wp:positionV>
                      <wp:extent cx="78740" cy="2493645"/>
                      <wp:effectExtent l="0" t="0" r="0" b="0"/>
                      <wp:wrapNone/>
                      <wp:docPr id="794" name="Frame794"/>
                      <a:graphic xmlns:a="http://schemas.openxmlformats.org/drawingml/2006/main">
                        <a:graphicData uri="http://schemas.microsoft.com/office/word/2010/wordprocessingShape">
                          <wps:wsp>
                            <wps:cNvSpPr txBox="1"/>
                            <wps:spPr>
                              <a:xfrm>
                                <a:off x="0" y="0"/>
                                <a:ext cx="78740" cy="249364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Gevo Operations,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96.3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Gevo Operations, LLC</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6">
                      <wp:simplePos x="0" y="0"/>
                      <wp:positionH relativeFrom="character">
                        <wp:align>left</wp:align>
                      </wp:positionH>
                      <wp:positionV relativeFrom="line">
                        <wp:posOffset>635</wp:posOffset>
                      </wp:positionV>
                      <wp:extent cx="69215" cy="175260"/>
                      <wp:effectExtent l="0" t="0" r="0" b="0"/>
                      <wp:wrapNone/>
                      <wp:docPr id="795" name="Frame7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7">
                      <wp:simplePos x="0" y="0"/>
                      <wp:positionH relativeFrom="character">
                        <wp:align>left</wp:align>
                      </wp:positionH>
                      <wp:positionV relativeFrom="line">
                        <wp:posOffset>635</wp:posOffset>
                      </wp:positionV>
                      <wp:extent cx="97790" cy="1026795"/>
                      <wp:effectExtent l="0" t="0" r="0" b="0"/>
                      <wp:wrapNone/>
                      <wp:docPr id="796" name="Frame796"/>
                      <a:graphic xmlns:a="http://schemas.openxmlformats.org/drawingml/2006/main">
                        <a:graphicData uri="http://schemas.microsoft.com/office/word/2010/wordprocessingShape">
                          <wps:wsp>
                            <wps:cNvSpPr txBox="1"/>
                            <wps:spPr>
                              <a:xfrm>
                                <a:off x="0" y="0"/>
                                <a:ext cx="97790" cy="102679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0.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8">
                      <wp:simplePos x="0" y="0"/>
                      <wp:positionH relativeFrom="character">
                        <wp:align>left</wp:align>
                      </wp:positionH>
                      <wp:positionV relativeFrom="line">
                        <wp:posOffset>635</wp:posOffset>
                      </wp:positionV>
                      <wp:extent cx="78740" cy="175260"/>
                      <wp:effectExtent l="0" t="0" r="0" b="0"/>
                      <wp:wrapNone/>
                      <wp:docPr id="797" name="Frame797"/>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9">
                      <wp:simplePos x="0" y="0"/>
                      <wp:positionH relativeFrom="character">
                        <wp:align>left</wp:align>
                      </wp:positionH>
                      <wp:positionV relativeFrom="line">
                        <wp:posOffset>635</wp:posOffset>
                      </wp:positionV>
                      <wp:extent cx="69215" cy="175260"/>
                      <wp:effectExtent l="0" t="0" r="0" b="0"/>
                      <wp:wrapNone/>
                      <wp:docPr id="798" name="Frame7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0">
                      <wp:simplePos x="0" y="0"/>
                      <wp:positionH relativeFrom="character">
                        <wp:align>left</wp:align>
                      </wp:positionH>
                      <wp:positionV relativeFrom="line">
                        <wp:posOffset>635</wp:posOffset>
                      </wp:positionV>
                      <wp:extent cx="97790" cy="175260"/>
                      <wp:effectExtent l="0" t="0" r="0" b="0"/>
                      <wp:wrapNone/>
                      <wp:docPr id="799" name="Frame79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1">
                      <wp:simplePos x="0" y="0"/>
                      <wp:positionH relativeFrom="character">
                        <wp:align>left</wp:align>
                      </wp:positionH>
                      <wp:positionV relativeFrom="line">
                        <wp:posOffset>635</wp:posOffset>
                      </wp:positionV>
                      <wp:extent cx="78740" cy="2114550"/>
                      <wp:effectExtent l="0" t="0" r="0" b="0"/>
                      <wp:wrapNone/>
                      <wp:docPr id="800" name="Frame800"/>
                      <a:graphic xmlns:a="http://schemas.openxmlformats.org/drawingml/2006/main">
                        <a:graphicData uri="http://schemas.microsoft.com/office/word/2010/wordprocessingShape">
                          <wps:wsp>
                            <wps:cNvSpPr txBox="1"/>
                            <wps:spPr>
                              <a:xfrm>
                                <a:off x="0" y="0"/>
                                <a:ext cx="78740" cy="2114550"/>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Gevo Operating Holdings,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6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Gevo Operating Holdings, LLC</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2">
                      <wp:simplePos x="0" y="0"/>
                      <wp:positionH relativeFrom="character">
                        <wp:align>left</wp:align>
                      </wp:positionH>
                      <wp:positionV relativeFrom="line">
                        <wp:posOffset>635</wp:posOffset>
                      </wp:positionV>
                      <wp:extent cx="69215" cy="175260"/>
                      <wp:effectExtent l="0" t="0" r="0" b="0"/>
                      <wp:wrapNone/>
                      <wp:docPr id="801" name="Frame8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3">
                      <wp:simplePos x="0" y="0"/>
                      <wp:positionH relativeFrom="character">
                        <wp:align>left</wp:align>
                      </wp:positionH>
                      <wp:positionV relativeFrom="line">
                        <wp:posOffset>635</wp:posOffset>
                      </wp:positionV>
                      <wp:extent cx="97790" cy="1026795"/>
                      <wp:effectExtent l="0" t="0" r="0" b="0"/>
                      <wp:wrapNone/>
                      <wp:docPr id="802" name="Frame802"/>
                      <a:graphic xmlns:a="http://schemas.openxmlformats.org/drawingml/2006/main">
                        <a:graphicData uri="http://schemas.microsoft.com/office/word/2010/wordprocessingShape">
                          <wps:wsp>
                            <wps:cNvSpPr txBox="1"/>
                            <wps:spPr>
                              <a:xfrm>
                                <a:off x="0" y="0"/>
                                <a:ext cx="97790" cy="102679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0.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4">
                      <wp:simplePos x="0" y="0"/>
                      <wp:positionH relativeFrom="character">
                        <wp:align>left</wp:align>
                      </wp:positionH>
                      <wp:positionV relativeFrom="line">
                        <wp:posOffset>635</wp:posOffset>
                      </wp:positionV>
                      <wp:extent cx="78740" cy="175260"/>
                      <wp:effectExtent l="0" t="0" r="0" b="0"/>
                      <wp:wrapNone/>
                      <wp:docPr id="803" name="Frame803"/>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5">
                      <wp:simplePos x="0" y="0"/>
                      <wp:positionH relativeFrom="character">
                        <wp:align>left</wp:align>
                      </wp:positionH>
                      <wp:positionV relativeFrom="line">
                        <wp:posOffset>635</wp:posOffset>
                      </wp:positionV>
                      <wp:extent cx="69215" cy="175260"/>
                      <wp:effectExtent l="0" t="0" r="0" b="0"/>
                      <wp:wrapNone/>
                      <wp:docPr id="804" name="Frame8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6">
                      <wp:simplePos x="0" y="0"/>
                      <wp:positionH relativeFrom="character">
                        <wp:align>left</wp:align>
                      </wp:positionH>
                      <wp:positionV relativeFrom="line">
                        <wp:posOffset>635</wp:posOffset>
                      </wp:positionV>
                      <wp:extent cx="97790" cy="175260"/>
                      <wp:effectExtent l="0" t="0" r="0" b="0"/>
                      <wp:wrapNone/>
                      <wp:docPr id="805" name="Frame80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7">
                      <wp:simplePos x="0" y="0"/>
                      <wp:positionH relativeFrom="character">
                        <wp:align>left</wp:align>
                      </wp:positionH>
                      <wp:positionV relativeFrom="line">
                        <wp:posOffset>635</wp:posOffset>
                      </wp:positionV>
                      <wp:extent cx="78740" cy="175260"/>
                      <wp:effectExtent l="0" t="0" r="0" b="0"/>
                      <wp:wrapNone/>
                      <wp:docPr id="806" name="Frame806"/>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8">
                      <wp:simplePos x="0" y="0"/>
                      <wp:positionH relativeFrom="character">
                        <wp:align>left</wp:align>
                      </wp:positionH>
                      <wp:positionV relativeFrom="line">
                        <wp:posOffset>635</wp:posOffset>
                      </wp:positionV>
                      <wp:extent cx="69215" cy="175260"/>
                      <wp:effectExtent l="0" t="0" r="0" b="0"/>
                      <wp:wrapNone/>
                      <wp:docPr id="807" name="Frame8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809">
                      <wp:simplePos x="0" y="0"/>
                      <wp:positionH relativeFrom="character">
                        <wp:align>left</wp:align>
                      </wp:positionH>
                      <wp:positionV relativeFrom="line">
                        <wp:posOffset>635</wp:posOffset>
                      </wp:positionV>
                      <wp:extent cx="97790" cy="175260"/>
                      <wp:effectExtent l="0" t="0" r="0" b="0"/>
                      <wp:wrapNone/>
                      <wp:docPr id="808" name="Frame80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r>
                              <w:rPr/>
                              <w:t>​</w:t>
                            </w:r>
                          </w:p>
                        </w:txbxContent>
                      </v:textbox>
                      <w10:wrap type="none"/>
                    </v:rect>
                  </w:pict>
                </mc:Fallback>
              </mc:AlternateConten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866" w:name="gevo-20251231xex23d1.htm"/>
      <w:bookmarkStart w:id="1867" w:name="ksgevo20251231xex23d1"/>
      <w:bookmarkEnd w:id="1866"/>
      <w:bookmarkEnd w:id="1867"/>
      <w:r>
        <w:rPr>
          <w:rFonts w:ascii="Times New Roman;Times;serif" w:hAnsi="Times New Roman;Times;serif"/>
          <w:b/>
          <w:sz w:val="20"/>
        </w:rPr>
        <w:t>Exhibit 23.1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consent to the incorporation by reference in Registration Statement No. 333-276515 on Form S-3 and Registration Statement Nos. 333-172771, 333-195264, 333-207172, 333-212391, 333-226689, 333-232267, 333-239275, 333-257971, 333-272380 and 333-287822 on Form S-8 of our report dated March 5, 2026, relating to the financial statements of Gevo, Inc. appearing in the Annual Report on Form 10-K for the year ended December 31, 2025.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Deloitte &amp; Touche LLP</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Denver, Colorado</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5, 2026</w:t>
      </w:r>
    </w:p>
    <w:p>
      <w:pPr>
        <w:pStyle w:val="HorizontalLine"/>
        <w:pBdr>
          <w:bottom w:val="double" w:sz="2" w:space="0" w:color="808080"/>
        </w:pBdr>
        <w:bidi w:val="0"/>
        <w:spacing w:before="0" w:after="283"/>
        <w:jc w:val="left"/>
        <w:rPr/>
      </w:pPr>
      <w:r>
        <w:rPr/>
      </w:r>
    </w:p>
    <w:p>
      <w:pPr>
        <w:pStyle w:val="TextBody"/>
        <w:bidi w:val="0"/>
        <w:spacing w:before="0" w:after="0"/>
        <w:ind w:left="144" w:right="0" w:hanging="0"/>
        <w:jc w:val="right"/>
        <w:rPr>
          <w:rFonts w:ascii="Times New Roman;Times;serif" w:hAnsi="Times New Roman;Times;serif"/>
          <w:b/>
          <w:sz w:val="20"/>
        </w:rPr>
      </w:pPr>
      <w:bookmarkStart w:id="1868" w:name="gevo-20251231xex31d1.htm"/>
      <w:bookmarkStart w:id="1869" w:name="ksgevo20251231xex31d1"/>
      <w:bookmarkEnd w:id="1868"/>
      <w:bookmarkEnd w:id="1869"/>
      <w:r>
        <w:rPr>
          <w:rFonts w:ascii="Times New Roman;Times;serif" w:hAnsi="Times New Roman;Times;serif"/>
          <w:b/>
          <w:sz w:val="20"/>
        </w:rPr>
        <w:t>Exhibit 31.1</w:t>
      </w:r>
      <w:r>
        <w:br w:type="page"/>
      </w:r>
    </w:p>
    <w:p>
      <w:pPr>
        <w:pStyle w:val="TextBody"/>
        <w:bidi w:val="0"/>
        <w:spacing w:before="0" w:after="0"/>
        <w:ind w:left="144"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bidi w:val="0"/>
        <w:spacing w:before="0" w:after="0"/>
        <w:ind w:left="0" w:right="0" w:hanging="0"/>
        <w:jc w:val="center"/>
        <w:rPr/>
      </w:pPr>
      <w:r>
        <w:rPr/>
        <w:t>​</w:t>
      </w:r>
    </w:p>
    <w:p>
      <w:pPr>
        <w:pStyle w:val="TextBody"/>
        <w:bidi w:val="0"/>
        <w:spacing w:before="0" w:after="0"/>
        <w:ind w:left="144" w:right="0" w:hanging="0"/>
        <w:jc w:val="left"/>
        <w:rPr>
          <w:rFonts w:ascii="Times New Roman;Times;serif" w:hAnsi="Times New Roman;Times;serif"/>
          <w:sz w:val="20"/>
        </w:rPr>
      </w:pPr>
      <w:r>
        <w:rPr>
          <w:rFonts w:ascii="Times New Roman;Times;serif" w:hAnsi="Times New Roman;Times;serif"/>
          <w:sz w:val="20"/>
        </w:rPr>
        <w:t>I, Patrick R. Gruber, certify that:</w:t>
      </w:r>
    </w:p>
    <w:p>
      <w:pPr>
        <w:pStyle w:val="TextBody"/>
        <w:bidi w:val="0"/>
        <w:spacing w:before="0" w:after="0"/>
        <w:ind w:left="144" w:right="0" w:hanging="0"/>
        <w:jc w:val="left"/>
        <w:rPr/>
      </w:pPr>
      <w:r>
        <w:rPr/>
        <w:t>​</w:t>
      </w:r>
    </w:p>
    <w:tbl>
      <w:tblPr>
        <w:tblW w:w="5365" w:type="dxa"/>
        <w:jc w:val="left"/>
        <w:tblInd w:w="0" w:type="dxa"/>
        <w:tblLayout w:type="fixed"/>
        <w:tblCellMar>
          <w:top w:w="0" w:type="dxa"/>
          <w:left w:w="0" w:type="dxa"/>
          <w:bottom w:w="0" w:type="dxa"/>
          <w:right w:w="0" w:type="dxa"/>
        </w:tblCellMar>
      </w:tblPr>
      <w:tblGrid>
        <w:gridCol w:w="170"/>
        <w:gridCol w:w="5195"/>
      </w:tblGrid>
      <w:tr>
        <w:trPr/>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519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 have reviewed this Annual Report on Form 10-K of Gevo, Inc.;</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144" w:right="0" w:hanging="0"/>
        <w:jc w:val="left"/>
        <w:rPr/>
      </w:pPr>
      <w:r>
        <w:rPr/>
        <w:t>​</w:t>
      </w:r>
    </w:p>
    <w:p>
      <w:pPr>
        <w:pStyle w:val="TextBody"/>
        <w:bidi w:val="0"/>
        <w:spacing w:before="0" w:after="0"/>
        <w:ind w:left="144" w:right="0" w:hanging="0"/>
        <w:jc w:val="left"/>
        <w:rPr>
          <w:rFonts w:ascii="Times New Roman;Times;serif" w:hAnsi="Times New Roman;Times;serif"/>
          <w:sz w:val="20"/>
        </w:rPr>
      </w:pPr>
      <w:r>
        <w:rPr>
          <w:rFonts w:ascii="Times New Roman;Times;serif" w:hAnsi="Times New Roman;Times;serif"/>
          <w:sz w:val="20"/>
        </w:rPr>
        <w:t>Date: March 5, 2026</w:t>
      </w:r>
    </w:p>
    <w:p>
      <w:pPr>
        <w:pStyle w:val="TextBody"/>
        <w:bidi w:val="0"/>
        <w:spacing w:before="0" w:after="0"/>
        <w:ind w:left="0" w:right="0" w:hanging="0"/>
        <w:jc w:val="left"/>
        <w:rPr/>
      </w:pPr>
      <w:r>
        <w:rPr/>
        <w:t>​</w:t>
      </w:r>
    </w:p>
    <w:tbl>
      <w:tblPr>
        <w:tblW w:w="2611" w:type="dxa"/>
        <w:jc w:val="left"/>
        <w:tblInd w:w="0" w:type="dxa"/>
        <w:tblLayout w:type="fixed"/>
        <w:tblCellMar>
          <w:top w:w="0" w:type="dxa"/>
          <w:left w:w="0" w:type="dxa"/>
          <w:bottom w:w="28" w:type="dxa"/>
          <w:right w:w="0" w:type="dxa"/>
        </w:tblCellMar>
      </w:tblPr>
      <w:tblGrid>
        <w:gridCol w:w="2611"/>
      </w:tblGrid>
      <w:tr>
        <w:trPr/>
        <w:tc>
          <w:tcPr>
            <w:tcW w:w="2611" w:type="dxa"/>
            <w:tcBorders>
              <w:bottom w:val="single" w:sz="2" w:space="0" w:color="000000"/>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/s/ Patrick R. Gruber</w:t>
            </w:r>
          </w:p>
        </w:tc>
      </w:tr>
      <w:tr>
        <w:trPr/>
        <w:tc>
          <w:tcPr>
            <w:tcW w:w="261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Patrick R. Gruber</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Executive Officer</w:t>
            </w:r>
          </w:p>
          <w:p>
            <w:pPr>
              <w:pStyle w:val="TableContents"/>
              <w:bidi w:val="0"/>
              <w:spacing w:before="0" w:after="30"/>
              <w:ind w:left="0" w:right="0" w:hanging="0"/>
              <w:jc w:val="center"/>
              <w:rPr>
                <w:rFonts w:ascii="Times New Roman;Times;serif" w:hAnsi="Times New Roman;Times;serif"/>
                <w:b/>
                <w:sz w:val="20"/>
              </w:rPr>
            </w:pPr>
            <w:r>
              <w:rPr>
                <w:rFonts w:ascii="Times New Roman;Times;serif" w:hAnsi="Times New Roman;Times;serif"/>
                <w:b/>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144" w:right="0" w:hanging="0"/>
        <w:jc w:val="right"/>
        <w:rPr>
          <w:rFonts w:ascii="Times New Roman;Times;serif" w:hAnsi="Times New Roman;Times;serif"/>
          <w:b/>
          <w:sz w:val="20"/>
        </w:rPr>
      </w:pPr>
      <w:bookmarkStart w:id="1870" w:name="gevo-20251231xex31d2.htm"/>
      <w:bookmarkStart w:id="1871" w:name="ksgevo20251231xex31d2"/>
      <w:bookmarkEnd w:id="1870"/>
      <w:bookmarkEnd w:id="1871"/>
      <w:r>
        <w:rPr>
          <w:rFonts w:ascii="Times New Roman;Times;serif" w:hAnsi="Times New Roman;Times;serif"/>
          <w:b/>
          <w:sz w:val="20"/>
        </w:rPr>
        <w:t>Exhibit 31.2</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before="0" w:after="0"/>
        <w:ind w:left="0" w:right="0" w:hanging="0"/>
        <w:jc w:val="center"/>
        <w:rPr/>
      </w:pPr>
      <w:r>
        <w:rPr/>
        <w:t>​</w:t>
      </w:r>
    </w:p>
    <w:p>
      <w:pPr>
        <w:pStyle w:val="TextBody"/>
        <w:bidi w:val="0"/>
        <w:spacing w:before="0" w:after="0"/>
        <w:ind w:left="144" w:right="0" w:hanging="0"/>
        <w:jc w:val="left"/>
        <w:rPr>
          <w:rFonts w:ascii="Times New Roman;Times;serif" w:hAnsi="Times New Roman;Times;serif"/>
          <w:sz w:val="20"/>
        </w:rPr>
      </w:pPr>
      <w:r>
        <w:rPr>
          <w:rFonts w:ascii="Times New Roman;Times;serif" w:hAnsi="Times New Roman;Times;serif"/>
          <w:sz w:val="20"/>
        </w:rPr>
        <w:t>I, Oluwagbemileke Agiri, certify that:</w:t>
      </w:r>
    </w:p>
    <w:p>
      <w:pPr>
        <w:pStyle w:val="TextBody"/>
        <w:bidi w:val="0"/>
        <w:spacing w:before="0" w:after="0"/>
        <w:ind w:left="144" w:right="0" w:hanging="0"/>
        <w:jc w:val="left"/>
        <w:rPr/>
      </w:pPr>
      <w:r>
        <w:rPr/>
        <w:t>​</w:t>
      </w:r>
    </w:p>
    <w:tbl>
      <w:tblPr>
        <w:tblW w:w="5365" w:type="dxa"/>
        <w:jc w:val="left"/>
        <w:tblInd w:w="0" w:type="dxa"/>
        <w:tblLayout w:type="fixed"/>
        <w:tblCellMar>
          <w:top w:w="0" w:type="dxa"/>
          <w:left w:w="0" w:type="dxa"/>
          <w:bottom w:w="0" w:type="dxa"/>
          <w:right w:w="0" w:type="dxa"/>
        </w:tblCellMar>
      </w:tblPr>
      <w:tblGrid>
        <w:gridCol w:w="170"/>
        <w:gridCol w:w="5195"/>
      </w:tblGrid>
      <w:tr>
        <w:trPr/>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519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 have reviewed this Annual Report on Form 10-K of Gevo, Inc.;</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144" w:right="0" w:hanging="0"/>
        <w:jc w:val="left"/>
        <w:rPr/>
      </w:pPr>
      <w:r>
        <w:rPr/>
        <w:t>​</w:t>
      </w:r>
    </w:p>
    <w:p>
      <w:pPr>
        <w:pStyle w:val="TextBody"/>
        <w:bidi w:val="0"/>
        <w:spacing w:before="0" w:after="0"/>
        <w:ind w:left="144" w:right="0" w:hanging="0"/>
        <w:jc w:val="left"/>
        <w:rPr>
          <w:rFonts w:ascii="Times New Roman;Times;serif" w:hAnsi="Times New Roman;Times;serif"/>
          <w:sz w:val="20"/>
        </w:rPr>
      </w:pPr>
      <w:r>
        <w:rPr>
          <w:rFonts w:ascii="Times New Roman;Times;serif" w:hAnsi="Times New Roman;Times;serif"/>
          <w:sz w:val="20"/>
        </w:rPr>
        <w:t>Date: March 5, 2026</w:t>
      </w:r>
    </w:p>
    <w:p>
      <w:pPr>
        <w:pStyle w:val="TextBody"/>
        <w:bidi w:val="0"/>
        <w:spacing w:before="0" w:after="0"/>
        <w:ind w:left="144" w:right="0" w:hanging="0"/>
        <w:jc w:val="left"/>
        <w:rPr/>
      </w:pPr>
      <w:r>
        <w:rPr/>
        <w:t>​</w:t>
      </w:r>
    </w:p>
    <w:tbl>
      <w:tblPr>
        <w:tblW w:w="2581" w:type="dxa"/>
        <w:jc w:val="left"/>
        <w:tblInd w:w="0" w:type="dxa"/>
        <w:tblLayout w:type="fixed"/>
        <w:tblCellMar>
          <w:top w:w="0" w:type="dxa"/>
          <w:left w:w="0" w:type="dxa"/>
          <w:bottom w:w="0" w:type="dxa"/>
          <w:right w:w="0" w:type="dxa"/>
        </w:tblCellMar>
      </w:tblPr>
      <w:tblGrid>
        <w:gridCol w:w="2581"/>
      </w:tblGrid>
      <w:tr>
        <w:trPr/>
        <w:tc>
          <w:tcPr>
            <w:tcW w:w="2581" w:type="dxa"/>
            <w:tcBorders/>
            <w:vAlign w:val="center"/>
          </w:tcPr>
          <w:p>
            <w:pPr>
              <w:pStyle w:val="TableContents"/>
              <w:bidi w:val="0"/>
              <w:spacing w:before="0" w:after="0"/>
              <w:ind w:left="0" w:right="0" w:hanging="0"/>
              <w:jc w:val="left"/>
              <w:rPr/>
            </w:pPr>
            <w:r>
              <w:rPr/>
              <w:t>​</w:t>
            </w:r>
          </w:p>
        </w:tc>
      </w:tr>
      <w:tr>
        <w:trPr/>
        <w:tc>
          <w:tcPr>
            <w:tcW w:w="2581" w:type="dxa"/>
            <w:tcBorders/>
            <w:vAlign w:val="center"/>
          </w:tcPr>
          <w:p>
            <w:pPr>
              <w:pStyle w:val="TableContents"/>
              <w:bidi w:val="0"/>
              <w:spacing w:before="0" w:after="0"/>
              <w:ind w:left="0" w:right="0" w:hanging="0"/>
              <w:jc w:val="left"/>
              <w:rPr/>
            </w:pPr>
            <w:r>
              <w:rPr/>
              <w:t>​</w:t>
            </w:r>
          </w:p>
        </w:tc>
      </w:tr>
      <w:tr>
        <w:trPr/>
        <w:tc>
          <w:tcPr>
            <w:tcW w:w="2581" w:type="dxa"/>
            <w:tcBorders>
              <w:bottom w:val="single" w:sz="2" w:space="0" w:color="000000"/>
            </w:tcBorders>
            <w:tcMar>
              <w:bottom w:w="28" w:type="dxa"/>
            </w:tcMar>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/s/ Oluwagbemileke Agiri</w:t>
            </w:r>
          </w:p>
        </w:tc>
      </w:tr>
      <w:tr>
        <w:trPr/>
        <w:tc>
          <w:tcPr>
            <w:tcW w:w="25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Oluwagbemileke Agiri</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w:t>
            </w:r>
          </w:p>
          <w:p>
            <w:pPr>
              <w:pStyle w:val="TableContents"/>
              <w:bidi w:val="0"/>
              <w:spacing w:before="0" w:after="30"/>
              <w:ind w:left="0" w:right="0" w:hanging="0"/>
              <w:jc w:val="center"/>
              <w:rPr>
                <w:rFonts w:ascii="Times New Roman;Times;serif" w:hAnsi="Times New Roman;Times;serif"/>
                <w:b/>
                <w:sz w:val="20"/>
              </w:rPr>
            </w:pPr>
            <w:r>
              <w:rPr>
                <w:rFonts w:ascii="Times New Roman;Times;serif" w:hAnsi="Times New Roman;Times;serif"/>
                <w:b/>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144" w:right="0" w:hanging="0"/>
        <w:jc w:val="right"/>
        <w:rPr>
          <w:rFonts w:ascii="Times New Roman;Times;serif" w:hAnsi="Times New Roman;Times;serif"/>
          <w:b/>
          <w:sz w:val="20"/>
        </w:rPr>
      </w:pPr>
      <w:bookmarkStart w:id="1872" w:name="gevo-20251231xex32d1.htm"/>
      <w:bookmarkStart w:id="1873" w:name="ksgevo20251231xex32d1"/>
      <w:bookmarkEnd w:id="1872"/>
      <w:bookmarkEnd w:id="1873"/>
      <w:r>
        <w:rPr>
          <w:rFonts w:ascii="Times New Roman;Times;serif" w:hAnsi="Times New Roman;Times;serif"/>
          <w:b/>
          <w:sz w:val="20"/>
        </w:rPr>
        <w:t>Exhibit 32.1</w:t>
      </w:r>
      <w:r>
        <w:br w:type="page"/>
      </w:r>
    </w:p>
    <w:p>
      <w:pPr>
        <w:pStyle w:val="TextBody"/>
        <w:bidi w:val="0"/>
        <w:spacing w:before="0" w:after="0"/>
        <w:ind w:left="144"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 PURSUANT TO SECTION 906 OF THE SARBANES-OXLEY ACT OF 2002</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144" w:right="0" w:hanging="0"/>
        <w:jc w:val="left"/>
        <w:rPr/>
      </w:pPr>
      <w:r>
        <w:rPr/>
        <w:t>​</w:t>
      </w:r>
    </w:p>
    <w:p>
      <w:pPr>
        <w:pStyle w:val="TextBody"/>
        <w:bidi w:val="0"/>
        <w:spacing w:before="0" w:after="0"/>
        <w:ind w:left="144" w:right="0" w:firstLine="540"/>
        <w:jc w:val="left"/>
        <w:rPr>
          <w:rFonts w:ascii="Times New Roman;Times;serif" w:hAnsi="Times New Roman;Times;serif"/>
          <w:sz w:val="20"/>
        </w:rPr>
      </w:pPr>
      <w:r>
        <w:rPr>
          <w:rFonts w:ascii="Times New Roman;Times;serif" w:hAnsi="Times New Roman;Times;serif"/>
          <w:sz w:val="20"/>
        </w:rPr>
        <w:t>I, Patrick R. Gruber, Chief Executive Officer of Gevo, Inc. (the “Company”), and I, Oluwagbemileke Agiri, Chief Financial Officer of the Company, certify, pursuant to 18 U.S.C. Section 1350, as adopted pursuant to Section 906 of the Sarbanes-Oxley Act of 2002, that:</w:t>
      </w:r>
    </w:p>
    <w:p>
      <w:pPr>
        <w:pStyle w:val="TextBody"/>
        <w:bidi w:val="0"/>
        <w:spacing w:before="0" w:after="0"/>
        <w:ind w:left="144" w:right="0" w:hanging="0"/>
        <w:jc w:val="left"/>
        <w:rPr/>
      </w:pPr>
      <w:r>
        <w:rPr/>
        <w:t>​</w:t>
      </w:r>
    </w:p>
    <w:p>
      <w:pPr>
        <w:pStyle w:val="TextBody"/>
        <w:bidi w:val="0"/>
        <w:spacing w:before="0" w:after="0"/>
        <w:ind w:left="144" w:right="0" w:firstLine="540"/>
        <w:jc w:val="left"/>
        <w:rPr>
          <w:rFonts w:ascii="Times New Roman;Times;serif" w:hAnsi="Times New Roman;Times;serif"/>
          <w:sz w:val="20"/>
        </w:rPr>
      </w:pPr>
      <w:r>
        <w:rPr>
          <w:rFonts w:ascii="Times New Roman;Times;serif" w:hAnsi="Times New Roman;Times;serif"/>
          <w:sz w:val="20"/>
        </w:rPr>
        <w:t>(1) The Annual Report on Form 10-K of the Company for the year ended December 31, 2025, (the “Report”) fully complies with the requirements of Section 13(a) or 15(d) of the Securities Exchange Act of 1934, as amended; and</w:t>
      </w:r>
    </w:p>
    <w:p>
      <w:pPr>
        <w:pStyle w:val="TextBody"/>
        <w:bidi w:val="0"/>
        <w:spacing w:before="0" w:after="0"/>
        <w:ind w:left="144" w:right="0" w:hanging="0"/>
        <w:jc w:val="left"/>
        <w:rPr/>
      </w:pPr>
      <w:r>
        <w:rPr/>
        <w:t>​</w:t>
      </w:r>
    </w:p>
    <w:p>
      <w:pPr>
        <w:pStyle w:val="TextBody"/>
        <w:bidi w:val="0"/>
        <w:spacing w:before="0" w:after="0"/>
        <w:ind w:left="144" w:right="0" w:firstLine="54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 for the period covered by the Report.</w:t>
      </w:r>
    </w:p>
    <w:p>
      <w:pPr>
        <w:pStyle w:val="TextBody"/>
        <w:bidi w:val="0"/>
        <w:spacing w:before="0" w:after="0"/>
        <w:ind w:left="144" w:right="0" w:firstLine="540"/>
        <w:jc w:val="left"/>
        <w:rPr/>
      </w:pPr>
      <w:r>
        <w:rPr/>
        <w:t>​</w:t>
      </w:r>
    </w:p>
    <w:p>
      <w:pPr>
        <w:pStyle w:val="TextBody"/>
        <w:bidi w:val="0"/>
        <w:spacing w:before="0" w:after="0"/>
        <w:ind w:left="0" w:right="0" w:hanging="0"/>
        <w:jc w:val="left"/>
        <w:rPr/>
      </w:pPr>
      <w:r>
        <w:rPr/>
        <w:t>​</w:t>
      </w:r>
    </w:p>
    <w:tbl>
      <w:tblPr>
        <w:tblW w:w="2611" w:type="dxa"/>
        <w:jc w:val="left"/>
        <w:tblInd w:w="0" w:type="dxa"/>
        <w:tblLayout w:type="fixed"/>
        <w:tblCellMar>
          <w:top w:w="0" w:type="dxa"/>
          <w:left w:w="0" w:type="dxa"/>
          <w:bottom w:w="0" w:type="dxa"/>
          <w:right w:w="0" w:type="dxa"/>
        </w:tblCellMar>
      </w:tblPr>
      <w:tblGrid>
        <w:gridCol w:w="2611"/>
      </w:tblGrid>
      <w:tr>
        <w:trPr/>
        <w:tc>
          <w:tcPr>
            <w:tcW w:w="2611" w:type="dxa"/>
            <w:tcBorders/>
            <w:vAlign w:val="center"/>
          </w:tcPr>
          <w:p>
            <w:pPr>
              <w:pStyle w:val="TableContents"/>
              <w:bidi w:val="0"/>
              <w:spacing w:before="0" w:after="0"/>
              <w:ind w:left="0" w:right="0" w:hanging="0"/>
              <w:jc w:val="left"/>
              <w:rPr/>
            </w:pPr>
            <w:r>
              <w:rPr/>
              <w:t>​</w:t>
            </w:r>
          </w:p>
        </w:tc>
      </w:tr>
      <w:tr>
        <w:trPr/>
        <w:tc>
          <w:tcPr>
            <w:tcW w:w="2611" w:type="dxa"/>
            <w:tcBorders>
              <w:bottom w:val="single" w:sz="2" w:space="0" w:color="000000"/>
            </w:tcBorders>
            <w:tcMar>
              <w:bottom w:w="28" w:type="dxa"/>
            </w:tcMar>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/s/ Patrick R. Gruber</w:t>
            </w:r>
          </w:p>
        </w:tc>
      </w:tr>
      <w:tr>
        <w:trPr/>
        <w:tc>
          <w:tcPr>
            <w:tcW w:w="261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Patrick R. Gruber</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Executive Officer</w:t>
            </w:r>
          </w:p>
          <w:p>
            <w:pPr>
              <w:pStyle w:val="TableContents"/>
              <w:bidi w:val="0"/>
              <w:spacing w:before="0" w:after="30"/>
              <w:ind w:left="0" w:right="0" w:hanging="0"/>
              <w:jc w:val="center"/>
              <w:rPr>
                <w:rFonts w:ascii="Times New Roman;Times;serif" w:hAnsi="Times New Roman;Times;serif"/>
                <w:b/>
                <w:sz w:val="20"/>
              </w:rPr>
            </w:pPr>
            <w:r>
              <w:rPr>
                <w:rFonts w:ascii="Times New Roman;Times;serif" w:hAnsi="Times New Roman;Times;serif"/>
                <w:b/>
                <w:sz w:val="20"/>
              </w:rPr>
              <w:t>(Principal Executive Officer)</w:t>
            </w:r>
          </w:p>
        </w:tc>
      </w:tr>
      <w:tr>
        <w:trPr/>
        <w:tc>
          <w:tcPr>
            <w:tcW w:w="2611" w:type="dxa"/>
            <w:tcBorders/>
            <w:vAlign w:val="center"/>
          </w:tcPr>
          <w:p>
            <w:pPr>
              <w:pStyle w:val="TableContents"/>
              <w:bidi w:val="0"/>
              <w:spacing w:before="0" w:after="0"/>
              <w:ind w:left="0" w:right="0" w:hanging="0"/>
              <w:jc w:val="left"/>
              <w:rPr/>
            </w:pPr>
            <w:r>
              <w:rPr/>
              <w:t>​</w:t>
            </w:r>
          </w:p>
        </w:tc>
      </w:tr>
      <w:tr>
        <w:trPr/>
        <w:tc>
          <w:tcPr>
            <w:tcW w:w="2611"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Date: March 5, 2026</w:t>
            </w:r>
          </w:p>
        </w:tc>
      </w:tr>
      <w:tr>
        <w:trPr/>
        <w:tc>
          <w:tcPr>
            <w:tcW w:w="2611" w:type="dxa"/>
            <w:tcBorders/>
            <w:vAlign w:val="center"/>
          </w:tcPr>
          <w:p>
            <w:pPr>
              <w:pStyle w:val="TableContents"/>
              <w:bidi w:val="0"/>
              <w:spacing w:before="0" w:after="0"/>
              <w:ind w:left="0" w:right="0" w:hanging="0"/>
              <w:jc w:val="left"/>
              <w:rPr/>
            </w:pPr>
            <w:r>
              <w:rPr/>
              <w:t>​</w:t>
            </w:r>
          </w:p>
        </w:tc>
      </w:tr>
      <w:tr>
        <w:trPr/>
        <w:tc>
          <w:tcPr>
            <w:tcW w:w="2611" w:type="dxa"/>
            <w:tcBorders/>
            <w:vAlign w:val="center"/>
          </w:tcPr>
          <w:p>
            <w:pPr>
              <w:pStyle w:val="TableContents"/>
              <w:bidi w:val="0"/>
              <w:spacing w:before="0" w:after="0"/>
              <w:ind w:left="0" w:right="0" w:hanging="0"/>
              <w:jc w:val="left"/>
              <w:rPr/>
            </w:pPr>
            <w:r>
              <w:rPr/>
              <w:t>​</w:t>
            </w:r>
          </w:p>
        </w:tc>
      </w:tr>
      <w:tr>
        <w:trPr/>
        <w:tc>
          <w:tcPr>
            <w:tcW w:w="2611" w:type="dxa"/>
            <w:tcBorders>
              <w:bottom w:val="single" w:sz="2" w:space="0" w:color="000000"/>
            </w:tcBorders>
            <w:tcMar>
              <w:bottom w:w="28" w:type="dxa"/>
            </w:tcMar>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/s/ Oluwagbemileke Agiri</w:t>
            </w:r>
          </w:p>
        </w:tc>
      </w:tr>
      <w:tr>
        <w:trPr/>
        <w:tc>
          <w:tcPr>
            <w:tcW w:w="261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Oluwagbemileke Agiri</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w:t>
            </w:r>
          </w:p>
          <w:p>
            <w:pPr>
              <w:pStyle w:val="TableContents"/>
              <w:bidi w:val="0"/>
              <w:spacing w:before="0" w:after="30"/>
              <w:ind w:left="0" w:right="0" w:hanging="0"/>
              <w:jc w:val="center"/>
              <w:rPr>
                <w:rFonts w:ascii="Times New Roman;Times;serif" w:hAnsi="Times New Roman;Times;serif"/>
                <w:b/>
                <w:sz w:val="20"/>
              </w:rPr>
            </w:pPr>
            <w:r>
              <w:rPr>
                <w:rFonts w:ascii="Times New Roman;Times;serif" w:hAnsi="Times New Roman;Times;serif"/>
                <w:b/>
                <w:sz w:val="20"/>
              </w:rPr>
              <w:t>(Principal Financial Officer)</w:t>
            </w:r>
          </w:p>
        </w:tc>
      </w:tr>
      <w:tr>
        <w:trPr/>
        <w:tc>
          <w:tcPr>
            <w:tcW w:w="2611" w:type="dxa"/>
            <w:tcBorders/>
            <w:vAlign w:val="center"/>
          </w:tcPr>
          <w:p>
            <w:pPr>
              <w:pStyle w:val="TableContents"/>
              <w:bidi w:val="0"/>
              <w:spacing w:before="0" w:after="0"/>
              <w:ind w:left="0" w:right="0" w:hanging="0"/>
              <w:jc w:val="left"/>
              <w:rPr/>
            </w:pPr>
            <w:r>
              <w:rPr/>
              <w:t>​</w:t>
            </w:r>
          </w:p>
        </w:tc>
      </w:tr>
      <w:tr>
        <w:trPr/>
        <w:tc>
          <w:tcPr>
            <w:tcW w:w="2611"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Date: March 5, 2026</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ourier New">
    <w:charset w:val="01"/>
    <w:family w:val="auto"/>
    <w:pitch w:val="default"/>
  </w:font>
  <w:font w:name="Arial">
    <w:altName w:val="Helvetica"/>
    <w:charset w:val="01"/>
    <w:family w:val="auto"/>
    <w:pitch w:val="default"/>
  </w:font>
  <w:font w:name="Times New Roman">
    <w:charset w:val="01"/>
    <w:family w:val="auto"/>
    <w:pitch w:val="default"/>
  </w:font>
  <w:font w:name="Meridien Roman">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392380/000110465924099104/tm2423492d1_8k.htm" TargetMode="External"/><Relationship Id="rId3" Type="http://schemas.openxmlformats.org/officeDocument/2006/relationships/hyperlink" Target="https://www.sec.gov/Archives/edgar/data/1392380/000143774922004346/ex_337695.htm" TargetMode="External"/><Relationship Id="rId4" Type="http://schemas.openxmlformats.org/officeDocument/2006/relationships/hyperlink" Target="https://www.sec.gov/Archives/edgar/data/1392380/000143774921027382/ex_310252.htm" TargetMode="External"/><Relationship Id="rId5" Type="http://schemas.openxmlformats.org/officeDocument/2006/relationships/hyperlink" Target="https://www.sec.gov/Archives/edgar/data/1392380/000143774921027382/ex_310252.htm" TargetMode="External"/><Relationship Id="rId6" Type="http://schemas.openxmlformats.org/officeDocument/2006/relationships/hyperlink" Target="https://www.sec.gov/Archives/edgar/data/1392380/000119312511009935/dex41.htm" TargetMode="External"/><Relationship Id="rId7" Type="http://schemas.openxmlformats.org/officeDocument/2006/relationships/hyperlink" Target="https://www.sec.gov/Archives/edgar/data/1392380/000143774920014844/ex_193415.htm" TargetMode="External"/><Relationship Id="rId8" Type="http://schemas.openxmlformats.org/officeDocument/2006/relationships/hyperlink" Target="https://www.sec.gov/Archives/edgar/data/1392380/000143774922014599/ex_384616.htm" TargetMode="External"/><Relationship Id="rId9" Type="http://schemas.openxmlformats.org/officeDocument/2006/relationships/hyperlink" Target="https://www.sec.gov/Archives/edgar/data/1392380/000143774922004346/ex_337696.htm" TargetMode="External"/><Relationship Id="rId10" Type="http://schemas.openxmlformats.org/officeDocument/2006/relationships/hyperlink" Target="https://www.sec.gov/Archives/edgar/data/1392380/000139238023000034/gevo-ar2010stockincentivep.htm" TargetMode="External"/><Relationship Id="rId11" Type="http://schemas.openxmlformats.org/officeDocument/2006/relationships/hyperlink" Target="https://www.sec.gov/Archives/edgar/data/1392380/000119312511009935/dex1015.htm" TargetMode="External"/><Relationship Id="rId12" Type="http://schemas.openxmlformats.org/officeDocument/2006/relationships/hyperlink" Target="https://www.sec.gov/Archives/edgar/data/1392380/000143774918014943/ex_120807.htm" TargetMode="External"/><Relationship Id="rId13" Type="http://schemas.openxmlformats.org/officeDocument/2006/relationships/hyperlink" Target="https://www.sec.gov/Archives/edgar/data/1392380/000143774918014943/ex_120806.htm" TargetMode="External"/><Relationship Id="rId14" Type="http://schemas.openxmlformats.org/officeDocument/2006/relationships/hyperlink" Target="https://www.sec.gov/Archives/edgar/data/1392380/000143774918014943/ex_120808.htm" TargetMode="External"/><Relationship Id="rId15" Type="http://schemas.openxmlformats.org/officeDocument/2006/relationships/hyperlink" Target="https://www.sec.gov/Archives/edgar/data/1392380/000119312511063821/dex47.htm" TargetMode="External"/><Relationship Id="rId16" Type="http://schemas.openxmlformats.org/officeDocument/2006/relationships/hyperlink" Target="https://www.sec.gov/Archives/edgar/data/1392380/000119312511291482/d227403dex101.htm" TargetMode="External"/><Relationship Id="rId17" Type="http://schemas.openxmlformats.org/officeDocument/2006/relationships/hyperlink" Target="https://www.sec.gov/Archives/edgar/data/1392380/000119312511009935/dex1033.htm" TargetMode="External"/><Relationship Id="rId18" Type="http://schemas.openxmlformats.org/officeDocument/2006/relationships/hyperlink" Target="https://www.sec.gov/Archives/edgar/data/1392380/000110465924003920/tm243118d2_ex1-2.htm" TargetMode="External"/><Relationship Id="rId19" Type="http://schemas.openxmlformats.org/officeDocument/2006/relationships/hyperlink" Target="https://www.sec.gov/Archives/edgar/data/1392380/000139238022000040/gevo-cicseveranceplanfinal.htm" TargetMode="External"/><Relationship Id="rId20" Type="http://schemas.openxmlformats.org/officeDocument/2006/relationships/hyperlink" Target="https://www.sec.gov/Archives/edgar/data/1392380/000110465925008435/tm254998d1_ex10-1.htm" TargetMode="External"/><Relationship Id="rId21" Type="http://schemas.openxmlformats.org/officeDocument/2006/relationships/hyperlink" Target="https://www.sec.gov/Archives/edgar/data/1392380/000110465925008435/tm254998d1_ex10-2.htm" TargetMode="External"/><Relationship Id="rId22" Type="http://schemas.openxmlformats.org/officeDocument/2006/relationships/hyperlink" Target="https://www.sec.gov/Archives/edgar/data/1392380/000110465924090361/tm2421638d1_ex10-1.htm" TargetMode="External"/><Relationship Id="rId23" Type="http://schemas.openxmlformats.org/officeDocument/2006/relationships/hyperlink" Target="https://www.sec.gov/Archives/edgar/data/1392380/000110465924090361/tm2421638d1_ex10-2.htm" TargetMode="External"/><Relationship Id="rId24" Type="http://schemas.openxmlformats.org/officeDocument/2006/relationships/hyperlink" Target="https://www.sec.gov/Archives/edgar/data/1392380/000110465924090361/tm2421638d1_ex10-3.htm" TargetMode="External"/><Relationship Id="rId25" Type="http://schemas.openxmlformats.org/officeDocument/2006/relationships/hyperlink" Target="https://www.sec.gov/Archives/edgar/data/1392380/000110465924090361/tm2421638d1_ex10-4.htm" TargetMode="External"/><Relationship Id="rId26" Type="http://schemas.openxmlformats.org/officeDocument/2006/relationships/hyperlink" Target="https://www.sec.gov/Archives/edgar/data/1392380/000139238025000016/gevo-20250331xex10d3.htm" TargetMode="External"/><Relationship Id="rId27" Type="http://schemas.openxmlformats.org/officeDocument/2006/relationships/hyperlink" Target="https://www.sec.gov/Archives/edgar/data/1392380/000110465924090361/tm2421638d1_ex10-1.htm" TargetMode="External"/><Relationship Id="rId28" Type="http://schemas.openxmlformats.org/officeDocument/2006/relationships/hyperlink" Target="https://www.sec.gov/Archives/edgar/data/1392380/000110465926000442/tm2534603d1_ex10-2.htm" TargetMode="External"/><Relationship Id="rId29" Type="http://schemas.openxmlformats.org/officeDocument/2006/relationships/hyperlink" Target="https://www.sec.gov/Archives/edgar/data/1392380/000110465925065999/tm2519912d1_10-1.htm" TargetMode="External"/><Relationship Id="rId30" Type="http://schemas.openxmlformats.org/officeDocument/2006/relationships/hyperlink" Target="https://www.sec.gov/Archives/edgar/data/1392380/000110465925066988/tm2520303d1_ex10-1.htm" TargetMode="External"/><Relationship Id="rId31" Type="http://schemas.openxmlformats.org/officeDocument/2006/relationships/hyperlink" Target="https://www.sec.gov/Archives/edgar/data/1392380/000139238024000008/gevo-20231231xex97.htm" TargetMode="External"/><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59351</Words>
  <Characters>332058</Characters>
  <CharactersWithSpaces>394646</CharactersWithSpaces>
  <Paragraphs>10939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