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50930x10q.htm"/>
        <w:bookmarkStart w:id="1" w:name="ksgevo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zsyn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513741de_9d41_4ed7_b0c9_efe3608b09d6"/>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OCqfZS6_40O4CpIp_rkbLg_2_2"/>
      <w:bookmarkStart w:id="4" w:name="Tc_4r_V8l0OqUi1j5bVY-hKVw_2_0"/>
      <w:bookmarkStart w:id="5" w:name="_2546df90_7b40_4ff2_b8a3_71e1f1150cff"/>
      <w:bookmarkStart w:id="6" w:name="Tc_OCqfZS6_40O4CpIp_rkbLg_2_2"/>
      <w:bookmarkStart w:id="7" w:name="Tc_4r_V8l0OqUi1j5bVY-hKVw_2_0"/>
      <w:bookmarkStart w:id="8" w:name="_2546df90_7b40_4ff2_b8a3_71e1f1150cff"/>
      <w:bookmarkEnd w:id="6"/>
      <w:bookmarkEnd w:id="7"/>
      <w:bookmarkEnd w:id="8"/>
    </w:p>
    <w:tbl>
      <w:tblPr>
        <w:tblW w:w="4498" w:type="dxa"/>
        <w:jc w:val="left"/>
        <w:tblInd w:w="0" w:type="dxa"/>
        <w:tblLayout w:type="fixed"/>
        <w:tblCellMar>
          <w:top w:w="0" w:type="dxa"/>
          <w:left w:w="0" w:type="dxa"/>
          <w:bottom w:w="0" w:type="dxa"/>
          <w:right w:w="0" w:type="dxa"/>
        </w:tblCellMar>
      </w:tblPr>
      <w:tblGrid>
        <w:gridCol w:w="2581"/>
        <w:gridCol w:w="26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6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tjhvISQ8KkWxwg2hf2ymIg_2_2"/>
      <w:bookmarkStart w:id="10" w:name="Tc_ngatH684XkSGM9TLK2rXgg_2_0"/>
      <w:bookmarkStart w:id="11" w:name="Tc_ON2rJ42pF0aepmpSvZlCfQ_1_0"/>
      <w:bookmarkStart w:id="12" w:name="_480dcf84_8648_49b4_9ac4_507218ea7a4f"/>
      <w:bookmarkStart w:id="13" w:name="Tc_tjhvISQ8KkWxwg2hf2ymIg_2_2"/>
      <w:bookmarkStart w:id="14" w:name="Tc_ngatH684XkSGM9TLK2rXgg_2_0"/>
      <w:bookmarkStart w:id="15" w:name="Tc_ON2rJ42pF0aepmpSvZlCfQ_1_0"/>
      <w:bookmarkStart w:id="16" w:name="_480dcf84_8648_49b4_9ac4_507218ea7a4f"/>
      <w:bookmarkEnd w:id="13"/>
      <w:bookmarkEnd w:id="14"/>
      <w:bookmarkEnd w:id="15"/>
      <w:bookmarkEnd w:id="16"/>
    </w:p>
    <w:tbl>
      <w:tblPr>
        <w:tblW w:w="4603" w:type="dxa"/>
        <w:jc w:val="left"/>
        <w:tblInd w:w="0" w:type="dxa"/>
        <w:tblLayout w:type="fixed"/>
        <w:tblCellMar>
          <w:top w:w="0" w:type="dxa"/>
          <w:left w:w="0" w:type="dxa"/>
          <w:bottom w:w="0" w:type="dxa"/>
          <w:right w:w="0" w:type="dxa"/>
        </w:tblCellMar>
      </w:tblPr>
      <w:tblGrid>
        <w:gridCol w:w="3301"/>
        <w:gridCol w:w="26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345 Inverness Drive South,</w:t>
              <w:br/>
              <w:t>Building C, Suite 310</w:t>
              <w:br/>
              <w:t>Englewood, CO</w:t>
            </w:r>
          </w:p>
        </w:tc>
        <w:tc>
          <w:tcPr>
            <w:tcW w:w="26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8PGcC9kTDEekkRiXQn6HBg_1_4"/>
      <w:bookmarkStart w:id="18" w:name="Tc_Q5iLl_HAz02rkq3rmACIWA_1_2"/>
      <w:bookmarkStart w:id="19" w:name="Tc_0Q4NynbeWUCLYhCEsQ-XVQ_1_0"/>
      <w:bookmarkStart w:id="20" w:name="_77b96a2c_1cc3_4128_b0bb_4e2e37c10090"/>
      <w:bookmarkStart w:id="21" w:name="Tc_8PGcC9kTDEekkRiXQn6HBg_1_4"/>
      <w:bookmarkStart w:id="22" w:name="Tc_Q5iLl_HAz02rkq3rmACIWA_1_2"/>
      <w:bookmarkStart w:id="23" w:name="Tc_0Q4NynbeWUCLYhCEsQ-XVQ_1_0"/>
      <w:bookmarkStart w:id="24" w:name="_77b96a2c_1cc3_4128_b0bb_4e2e37c1009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501"/>
        <w:gridCol w:w="326"/>
        <w:gridCol w:w="402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u9Rb1yo0AE-EbZpG86NYFA_2_2"/>
      <w:bookmarkStart w:id="26" w:name="Tc_IjkB8z2cEEibg7HcI-7fCg_1_2"/>
      <w:bookmarkStart w:id="27" w:name="Tc_myWxtanpyEC7jzuijhzABA_1_1"/>
      <w:bookmarkStart w:id="28" w:name="Tc_jKMK4mWOBUuUqHoQj9FgZw_0_3"/>
      <w:bookmarkStart w:id="29" w:name="Tc_WfEtSR7e3Ue6hhAMMUxG_w_0_2"/>
      <w:bookmarkStart w:id="30" w:name="Tc_uuupT73CNkWTou4xqGBuZQ_0_1"/>
      <w:bookmarkStart w:id="31" w:name="Tc_tKKtqnFebUWF3MWfyT_vDA_0_0"/>
      <w:bookmarkStart w:id="32" w:name="_c97b7adc_7f84_4ae4_ace0_a37bf3a966ab"/>
      <w:bookmarkStart w:id="33" w:name="Tc_u9Rb1yo0AE-EbZpG86NYFA_2_2"/>
      <w:bookmarkStart w:id="34" w:name="Tc_IjkB8z2cEEibg7HcI-7fCg_1_2"/>
      <w:bookmarkStart w:id="35" w:name="Tc_myWxtanpyEC7jzuijhzABA_1_1"/>
      <w:bookmarkStart w:id="36" w:name="Tc_jKMK4mWOBUuUqHoQj9FgZw_0_3"/>
      <w:bookmarkStart w:id="37" w:name="Tc_WfEtSR7e3Ue6hhAMMUxG_w_0_2"/>
      <w:bookmarkStart w:id="38" w:name="Tc_uuupT73CNkWTou4xqGBuZQ_0_1"/>
      <w:bookmarkStart w:id="39" w:name="Tc_tKKtqnFebUWF3MWfyT_vDA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November 6, 2025, 242,308,806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50b6d9cf_c685_4af2_a53c_c7e573df7754"/>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 xml:space="preserve">Condensed Consolidated Balance Sheets as of September 30, 2025 (unaudited) and December 31, 2024 </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2025 and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September 30, 2025 and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20dc4851_9dd0_4e6f_9144_a67d1b1f3c36"/>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Pf5LDzAFMkusSeTufbiR5g_40_5"/>
      <w:bookmarkStart w:id="48" w:name="Tc_fd_mS2xHpU2VizpNxCJ4OQ_40_2"/>
      <w:bookmarkStart w:id="49" w:name="Tc_FRvE1z1nwkyjy4JQpf8_WQ_40_0"/>
      <w:bookmarkStart w:id="50" w:name="Tc_LvPT0-jWREGTIqfTYXDXCg_39_0"/>
      <w:bookmarkStart w:id="51" w:name="Tc_ftM62JEPu0W6lsDRzlv8NA_38_0"/>
      <w:bookmarkStart w:id="52" w:name="Tc_vp3Gc04KokyLD1kNx_wdbg_37_0"/>
      <w:bookmarkStart w:id="53" w:name="Tc_phlJACdq3kCDAMK4sc83Kg_36_0"/>
      <w:bookmarkStart w:id="54" w:name="Tc_16RTdm3qAkGNdg7yadVe-w_35_0"/>
      <w:bookmarkStart w:id="55" w:name="Tc_eXB_9yK_ekW6C91YLx-4ag_33_6"/>
      <w:bookmarkStart w:id="56" w:name="Tc_x1-t5mcFF0O0aKiZuUOhnQ_33_0"/>
      <w:bookmarkStart w:id="57" w:name="Tc_ZrxrtEslDkCHRPpCF8B7rA_31_0"/>
      <w:bookmarkStart w:id="58" w:name="Tc_B2rUzPeZv0yjE6BKZp4F4A_30_0"/>
      <w:bookmarkStart w:id="59" w:name="Tc_9JrK1lkdIUatYkXgtct7_Q_29_6"/>
      <w:bookmarkStart w:id="60" w:name="Tc_0dBUZsqYAk-xif5h9LMfwg_29_0"/>
      <w:bookmarkStart w:id="61" w:name="Tc_ojwDq_HiNkyqpTc8rwzjBQ_28_0"/>
      <w:bookmarkStart w:id="62" w:name="Tc_YaDvOZYnsU6rInNgPuJUKg_27_0"/>
      <w:bookmarkStart w:id="63" w:name="Tc_dp75BjRTAk-62XeBye_nZw_26_6"/>
      <w:bookmarkStart w:id="64" w:name="Tc_NgGH2k9I3kq1N7r5HGQgVg_26_0"/>
      <w:bookmarkStart w:id="65" w:name="Tc_YQvAFKEZ1EuZm4g8fxXjjg_25_0"/>
      <w:bookmarkStart w:id="66" w:name="Tc_TDMHgpIjH0Gc_3W-fByR8Q_24_0"/>
      <w:bookmarkStart w:id="67" w:name="Tc_pAeXyeYINUGWN_L8yGDGGQ_23_0"/>
      <w:bookmarkStart w:id="68" w:name="Tc_hC6DOoAysU-qMioI8EcJNA_22_0"/>
      <w:bookmarkStart w:id="69" w:name="Tc_NxyrnDf0R02FwMEP_Rm-iQ_21_0"/>
      <w:bookmarkStart w:id="70" w:name="Tc_tZzoAI15L0GazCkQi2F8CA_20_5"/>
      <w:bookmarkStart w:id="71" w:name="Tc_YCgDU0gLM0yxs7amNcya2Q_20_2"/>
      <w:bookmarkStart w:id="72" w:name="Tc_oLvtGPOxBkaaAG_whYv93w_20_0"/>
      <w:bookmarkStart w:id="73" w:name="Tc_Izz0Tm2eR0aLbhKx1a1pPg_19_0"/>
      <w:bookmarkStart w:id="74" w:name="Tc_33tljgqY4UOA1bG6peOcuQ_18_0"/>
      <w:bookmarkStart w:id="75" w:name="Tc_YCoABOgofESPtyHsjnCF6Q_17_5"/>
      <w:bookmarkStart w:id="76" w:name="Tc_xDOeZf9Mvkiok_MIqAeV8g_17_2"/>
      <w:bookmarkStart w:id="77" w:name="Tc_riZvCJMnX0aXjZRZbSdIZg_17_0"/>
      <w:bookmarkStart w:id="78" w:name="Tc_PaFs4sj-fkC5pSDDRq7k6A_16_0"/>
      <w:bookmarkStart w:id="79" w:name="Tc_5yylYM9k_UmkqoNsFGag9g_15_0"/>
      <w:bookmarkStart w:id="80" w:name="Tc_Vi0pQnQeLUG_z66DRGfRUg_14_0"/>
      <w:bookmarkStart w:id="81" w:name="Tc_QWBfrHvSiEqNPqPVebrk1g_13_0"/>
      <w:bookmarkStart w:id="82" w:name="Tc_mKlbKBJXg0Ol_klFsut0Ig_12_0"/>
      <w:bookmarkStart w:id="83" w:name="Tc_mIZQYrQmH0atRBtwFHQiZQ_11_0"/>
      <w:bookmarkStart w:id="84" w:name="Tc_FH23N67EC0uLlliILnxcZg_10_0"/>
      <w:bookmarkStart w:id="85" w:name="Tc_JSsjmeMKp0CdK6rbXZ-ofQ_9_0"/>
      <w:bookmarkStart w:id="86" w:name="Tc_Wuko62cJsk2Kuw79aQ9ksw_8_0"/>
      <w:bookmarkStart w:id="87" w:name="Tc_2FHa2VhniUiVYvfc5UNbzg_7_0"/>
      <w:bookmarkStart w:id="88" w:name="Tc_C532Xs_YQE6ecrsek2ydrA_6_0"/>
      <w:bookmarkStart w:id="89" w:name="Tc_RZHlHMH3ZUWAzFgNUo8Dlg_5_0"/>
      <w:bookmarkStart w:id="90" w:name="Tc_Yia7pfxow0qWnlyOT1G1pQ_4_5"/>
      <w:bookmarkStart w:id="91" w:name="Tc_U-Zwq-L7d0W_WRm6BvIsDA_4_2"/>
      <w:bookmarkStart w:id="92" w:name="Tc_AUNLSjezCkqFD6kXn1Eh_g_4_0"/>
      <w:bookmarkStart w:id="93" w:name="Tc_6ftauGKm3UmlGz1WwSVmBA_3_0"/>
      <w:bookmarkStart w:id="94" w:name="Tc_wxIb6-t9a0ipwiVr9ekMCA_2_0"/>
      <w:bookmarkStart w:id="95" w:name="Tc_YE2K3SRUCU-ZBFEbsdJiUw_1_5"/>
      <w:bookmarkStart w:id="96" w:name="Tc_cbWBSUjVXEi4gzWMyTwMHQ_1_2"/>
      <w:bookmarkStart w:id="97" w:name="_6d2b83b6_d1c6_4dea_8e24_6b7c1a1e72df"/>
      <w:bookmarkStart w:id="98" w:name="Tc_Pf5LDzAFMkusSeTufbiR5g_40_5"/>
      <w:bookmarkStart w:id="99" w:name="Tc_fd_mS2xHpU2VizpNxCJ4OQ_40_2"/>
      <w:bookmarkStart w:id="100" w:name="Tc_FRvE1z1nwkyjy4JQpf8_WQ_40_0"/>
      <w:bookmarkStart w:id="101" w:name="Tc_LvPT0-jWREGTIqfTYXDXCg_39_0"/>
      <w:bookmarkStart w:id="102" w:name="Tc_ftM62JEPu0W6lsDRzlv8NA_38_0"/>
      <w:bookmarkStart w:id="103" w:name="Tc_vp3Gc04KokyLD1kNx_wdbg_37_0"/>
      <w:bookmarkStart w:id="104" w:name="Tc_phlJACdq3kCDAMK4sc83Kg_36_0"/>
      <w:bookmarkStart w:id="105" w:name="Tc_16RTdm3qAkGNdg7yadVe-w_35_0"/>
      <w:bookmarkStart w:id="106" w:name="Tc_eXB_9yK_ekW6C91YLx-4ag_33_6"/>
      <w:bookmarkStart w:id="107" w:name="Tc_x1-t5mcFF0O0aKiZuUOhnQ_33_0"/>
      <w:bookmarkStart w:id="108" w:name="Tc_ZrxrtEslDkCHRPpCF8B7rA_31_0"/>
      <w:bookmarkStart w:id="109" w:name="Tc_B2rUzPeZv0yjE6BKZp4F4A_30_0"/>
      <w:bookmarkStart w:id="110" w:name="Tc_9JrK1lkdIUatYkXgtct7_Q_29_6"/>
      <w:bookmarkStart w:id="111" w:name="Tc_0dBUZsqYAk-xif5h9LMfwg_29_0"/>
      <w:bookmarkStart w:id="112" w:name="Tc_ojwDq_HiNkyqpTc8rwzjBQ_28_0"/>
      <w:bookmarkStart w:id="113" w:name="Tc_YaDvOZYnsU6rInNgPuJUKg_27_0"/>
      <w:bookmarkStart w:id="114" w:name="Tc_dp75BjRTAk-62XeBye_nZw_26_6"/>
      <w:bookmarkStart w:id="115" w:name="Tc_NgGH2k9I3kq1N7r5HGQgVg_26_0"/>
      <w:bookmarkStart w:id="116" w:name="Tc_YQvAFKEZ1EuZm4g8fxXjjg_25_0"/>
      <w:bookmarkStart w:id="117" w:name="Tc_TDMHgpIjH0Gc_3W-fByR8Q_24_0"/>
      <w:bookmarkStart w:id="118" w:name="Tc_pAeXyeYINUGWN_L8yGDGGQ_23_0"/>
      <w:bookmarkStart w:id="119" w:name="Tc_hC6DOoAysU-qMioI8EcJNA_22_0"/>
      <w:bookmarkStart w:id="120" w:name="Tc_NxyrnDf0R02FwMEP_Rm-iQ_21_0"/>
      <w:bookmarkStart w:id="121" w:name="Tc_tZzoAI15L0GazCkQi2F8CA_20_5"/>
      <w:bookmarkStart w:id="122" w:name="Tc_YCgDU0gLM0yxs7amNcya2Q_20_2"/>
      <w:bookmarkStart w:id="123" w:name="Tc_oLvtGPOxBkaaAG_whYv93w_20_0"/>
      <w:bookmarkStart w:id="124" w:name="Tc_Izz0Tm2eR0aLbhKx1a1pPg_19_0"/>
      <w:bookmarkStart w:id="125" w:name="Tc_33tljgqY4UOA1bG6peOcuQ_18_0"/>
      <w:bookmarkStart w:id="126" w:name="Tc_YCoABOgofESPtyHsjnCF6Q_17_5"/>
      <w:bookmarkStart w:id="127" w:name="Tc_xDOeZf9Mvkiok_MIqAeV8g_17_2"/>
      <w:bookmarkStart w:id="128" w:name="Tc_riZvCJMnX0aXjZRZbSdIZg_17_0"/>
      <w:bookmarkStart w:id="129" w:name="Tc_PaFs4sj-fkC5pSDDRq7k6A_16_0"/>
      <w:bookmarkStart w:id="130" w:name="Tc_5yylYM9k_UmkqoNsFGag9g_15_0"/>
      <w:bookmarkStart w:id="131" w:name="Tc_Vi0pQnQeLUG_z66DRGfRUg_14_0"/>
      <w:bookmarkStart w:id="132" w:name="Tc_QWBfrHvSiEqNPqPVebrk1g_13_0"/>
      <w:bookmarkStart w:id="133" w:name="Tc_mKlbKBJXg0Ol_klFsut0Ig_12_0"/>
      <w:bookmarkStart w:id="134" w:name="Tc_mIZQYrQmH0atRBtwFHQiZQ_11_0"/>
      <w:bookmarkStart w:id="135" w:name="Tc_FH23N67EC0uLlliILnxcZg_10_0"/>
      <w:bookmarkStart w:id="136" w:name="Tc_JSsjmeMKp0CdK6rbXZ-ofQ_9_0"/>
      <w:bookmarkStart w:id="137" w:name="Tc_Wuko62cJsk2Kuw79aQ9ksw_8_0"/>
      <w:bookmarkStart w:id="138" w:name="Tc_2FHa2VhniUiVYvfc5UNbzg_7_0"/>
      <w:bookmarkStart w:id="139" w:name="Tc_C532Xs_YQE6ecrsek2ydrA_6_0"/>
      <w:bookmarkStart w:id="140" w:name="Tc_RZHlHMH3ZUWAzFgNUo8Dlg_5_0"/>
      <w:bookmarkStart w:id="141" w:name="Tc_Yia7pfxow0qWnlyOT1G1pQ_4_5"/>
      <w:bookmarkStart w:id="142" w:name="Tc_U-Zwq-L7d0W_WRm6BvIsDA_4_2"/>
      <w:bookmarkStart w:id="143" w:name="Tc_AUNLSjezCkqFD6kXn1Eh_g_4_0"/>
      <w:bookmarkStart w:id="144" w:name="Tc_6ftauGKm3UmlGz1WwSVmBA_3_0"/>
      <w:bookmarkStart w:id="145" w:name="Tc_wxIb6-t9a0ipwiVr9ekMCA_2_0"/>
      <w:bookmarkStart w:id="146" w:name="Tc_YE2K3SRUCU-ZBFEbsdJiUw_1_5"/>
      <w:bookmarkStart w:id="147" w:name="Tc_cbWBSUjVXEi4gzWMyTwMHQ_1_2"/>
      <w:bookmarkStart w:id="148" w:name="_6d2b83b6_d1c6_4dea_8e24_6b7c1a1e72df"/>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tbl>
      <w:tblPr>
        <w:tblW w:w="10205" w:type="dxa"/>
        <w:jc w:val="left"/>
        <w:tblInd w:w="0" w:type="dxa"/>
        <w:tblLayout w:type="fixed"/>
        <w:tblCellMar>
          <w:top w:w="0" w:type="dxa"/>
          <w:left w:w="0" w:type="dxa"/>
          <w:bottom w:w="0" w:type="dxa"/>
          <w:right w:w="0" w:type="dxa"/>
        </w:tblCellMar>
      </w:tblPr>
      <w:tblGrid>
        <w:gridCol w:w="6461"/>
        <w:gridCol w:w="326"/>
        <w:gridCol w:w="285"/>
        <w:gridCol w:w="1261"/>
        <w:gridCol w:w="326"/>
        <w:gridCol w:w="274"/>
        <w:gridCol w:w="1272"/>
      </w:tblGrid>
      <w:tr>
        <w:trPr/>
        <w:tc>
          <w:tcPr>
            <w:tcW w:w="6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102735" cy="175260"/>
                      <wp:effectExtent l="0" t="0" r="0" b="0"/>
                      <wp:wrapNone/>
                      <wp:docPr id="7" name="Frame7"/>
                      <a:graphic xmlns:a="http://schemas.openxmlformats.org/drawingml/2006/main">
                        <a:graphicData uri="http://schemas.microsoft.com/office/word/2010/wordprocessingShape">
                          <wps:wsp>
                            <wps:cNvSpPr txBox="1"/>
                            <wps:spPr>
                              <a:xfrm>
                                <a:off x="0" y="0"/>
                                <a:ext cx="410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0975" cy="175260"/>
                      <wp:effectExtent l="0" t="0" r="0" b="0"/>
                      <wp:wrapNone/>
                      <wp:docPr id="9" name="Frame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800735" cy="175260"/>
                      <wp:effectExtent l="0" t="0" r="0" b="0"/>
                      <wp:wrapNone/>
                      <wp:docPr id="10" name="Frame1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73990" cy="175260"/>
                      <wp:effectExtent l="0" t="0" r="0" b="0"/>
                      <wp:wrapNone/>
                      <wp:docPr id="12" name="Frame1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7720" cy="175260"/>
                      <wp:effectExtent l="0" t="0" r="0" b="0"/>
                      <wp:wrapNone/>
                      <wp:docPr id="13" name="Frame13"/>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  </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72,598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189,389</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5,920</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136,708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203,711</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343,339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221,642</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79,559</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75,623</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685,207</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583,941</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pPr>
            <w:r>
              <w:rPr/>
              <w:t>  </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pPr>
            <w:r>
              <w:rPr/>
              <w:t>  </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22,006</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Bonds payable, net</w:t>
            </w:r>
          </w:p>
        </w:tc>
        <w:tc>
          <w:tcPr>
            <w:tcW w:w="326" w:type="dxa"/>
            <w:tcBorders/>
            <w:vAlign w:val="center"/>
          </w:tcPr>
          <w:p>
            <w:pPr>
              <w:pStyle w:val="TableContents"/>
              <w:bidi w:val="0"/>
              <w:spacing w:before="0" w:after="0"/>
              <w:ind w:left="0" w:right="0" w:hanging="0"/>
              <w:jc w:val="left"/>
              <w:rPr/>
            </w:pPr>
            <w:r>
              <w:rPr/>
              <w:t> </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30,281</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24,361</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Bonds payable, net</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67,109</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100,234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pPr>
            <w:r>
              <w:rPr/>
              <w:t>—</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210,380</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94,453</w:t>
            </w:r>
          </w:p>
        </w:tc>
      </w:tr>
      <w:tr>
        <w:trPr/>
        <w:tc>
          <w:tcPr>
            <w:tcW w:w="64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5,956</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pPr>
            <w:r>
              <w:rPr/>
              <w:t>  </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500,000,000 shares authorized; 242,124,640 and 239,176,293 shares issued and outstanding at September 30,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1,294,264</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1,287,333</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(827,814)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(800,237)</w:t>
            </w:r>
          </w:p>
        </w:tc>
      </w:tr>
      <w:tr>
        <w:trPr/>
        <w:tc>
          <w:tcPr>
            <w:tcW w:w="6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 </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468,871</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489,488</w:t>
            </w:r>
          </w:p>
        </w:tc>
      </w:tr>
      <w:tr>
        <w:trPr/>
        <w:tc>
          <w:tcPr>
            <w:tcW w:w="6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685,207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583,941</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9" w:name="_0f08ab4f_c705_499b_981e_e409c9f59a5d"/>
      <w:bookmarkEnd w:id="149"/>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50" w:name="CONSOLIDATEDSTATEMENTSOFOPERATIONS_79993"/>
      <w:bookmarkEnd w:id="15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1" w:name="Tc_yR8ypwhEuEqFwsQkmvFEnQ_24_0"/>
      <w:bookmarkStart w:id="152" w:name="Tc_OUOf0zpsKkyndZtcPaPnMA_23_11"/>
      <w:bookmarkStart w:id="153" w:name="Tc_92eC4Vlj-UmOM5O6S5YuIw_23_8"/>
      <w:bookmarkStart w:id="154" w:name="Tc_dWC2OV6A5E2lrH5vIq3zVQ_23_5"/>
      <w:bookmarkStart w:id="155" w:name="Tc_Oi3A6lkj6UGZ2i2CEymvUA_23_2"/>
      <w:bookmarkStart w:id="156" w:name="Tc_ZmOw2tmkP06-Q8Rw7jaKdQ_23_0"/>
      <w:bookmarkStart w:id="157" w:name="Tc_IzoeKfJU0ECU9YSpLav2WA_21_11"/>
      <w:bookmarkStart w:id="158" w:name="Tc_ySSG9p2H1ESevLKegJSOeg_21_8"/>
      <w:bookmarkStart w:id="159" w:name="Tc_tkVPglJ7KUKSp-DwS8qrRg_21_5"/>
      <w:bookmarkStart w:id="160" w:name="Tc_c42noyzHa0qOs7DoDCwjPg_21_2"/>
      <w:bookmarkStart w:id="161" w:name="Tc_fxCwdJhH50u5LWV0PhufNA_21_0"/>
      <w:bookmarkStart w:id="162" w:name="Tc_hN0k3QdcpU-_ZQeYqWHIbQ_20_12"/>
      <w:bookmarkStart w:id="163" w:name="Tc_Hjoom_vsc0O7ISRa3l742A_20_6"/>
      <w:bookmarkStart w:id="164" w:name="Tc_f9d88lJi30-wBHrlxGB_5Q_20_0"/>
      <w:bookmarkStart w:id="165" w:name="Tc_40P1xZrBfEGy6lGRhT9ENQ_19_0"/>
      <w:bookmarkStart w:id="166" w:name="Tc_DsO6zcELNUanmW_MzJ-nMQ_18_0"/>
      <w:bookmarkStart w:id="167" w:name="Tc_PT0TrTd0QUqxDGouxgys8w_17_0"/>
      <w:bookmarkStart w:id="168" w:name="Tc_Xcgm61pLsE2DvgSADSRgIw_16_0"/>
      <w:bookmarkStart w:id="169" w:name="Tc_spmErF3B5E2V1nrsjEUbQw_15_0"/>
      <w:bookmarkStart w:id="170" w:name="Tc_wxhyRayHwkKhuUGQlqGUFA_14_0"/>
      <w:bookmarkStart w:id="171" w:name="Tc_jO1qaPuI00WqESTQuwnKLg_13_0"/>
      <w:bookmarkStart w:id="172" w:name="Tc_iZiqwr9ZQkiSejYQetAwug_12_0"/>
      <w:bookmarkStart w:id="173" w:name="Tc_fx3Bweeq3EqBdSSk19WCVA_11_0"/>
      <w:bookmarkStart w:id="174" w:name="Tc_4mT2iUU0uEmsWre6zEjhoA_10_12"/>
      <w:bookmarkStart w:id="175" w:name="Tc_A9pqpZ5TzEOnRgZz8xSfNA_10_6"/>
      <w:bookmarkStart w:id="176" w:name="Tc_5hDBlWzPRU-x9U2Cf7H8iA_10_0"/>
      <w:bookmarkStart w:id="177" w:name="Tc_lpMp4RLnv0KAEMVjO1b3tg_9_0"/>
      <w:bookmarkStart w:id="178" w:name="Tc_QQfrTIXXmkG6q4nPxK6QAw_8_0"/>
      <w:bookmarkStart w:id="179" w:name="Tc_CV9XOpOJLUS5vgVVMBje_A_7_0"/>
      <w:bookmarkStart w:id="180" w:name="Tc_QVu6Zc-SdkGfVPyuL6v6mw_6_0"/>
      <w:bookmarkStart w:id="181" w:name="Tc_YRNzJuPk5U-hDM075ojU4A_5_0"/>
      <w:bookmarkStart w:id="182" w:name="Tc_kiPCK5UqMU-IbofHHay8PQ_4_0"/>
      <w:bookmarkStart w:id="183" w:name="Tc_9cbVeoxhxUShOSkZ6NN98A_3_11"/>
      <w:bookmarkStart w:id="184" w:name="Tc_4EAuX60tIEK4_nKppKcJMQ_3_8"/>
      <w:bookmarkStart w:id="185" w:name="Tc_w4_auaQTUUGch_zJBEgK0g_3_5"/>
      <w:bookmarkStart w:id="186" w:name="Tc_-PBpWzDeaUGDTlrpT5E40g_3_2"/>
      <w:bookmarkStart w:id="187" w:name="Tc_MAPDiJ6eKEquyeyWO28Vyg_3_0"/>
      <w:bookmarkStart w:id="188" w:name="Tc_qOymU6rTfkC0w7Dy9njG0Q_2_11"/>
      <w:bookmarkStart w:id="189" w:name="Tc_oZl9OUuTokS9f-Yr5FHOnw_2_8"/>
      <w:bookmarkStart w:id="190" w:name="Tc_O6CKWaXovU2YCZN-V8LnaA_2_5"/>
      <w:bookmarkStart w:id="191" w:name="Tc_jm3U-y1ylUq-BsPEE_DkyQ_2_2"/>
      <w:bookmarkStart w:id="192" w:name="Tc_bMS7yIPaN0qQArbKvJb33g_1_8"/>
      <w:bookmarkStart w:id="193" w:name="Tc_WZvTIBGrjUSou3-IofrbvA_1_2"/>
      <w:bookmarkStart w:id="194" w:name="_1c0bdacb_143d_4cae_82a0_fcb38a31f497"/>
      <w:bookmarkStart w:id="195" w:name="Tc_yR8ypwhEuEqFwsQkmvFEnQ_24_0"/>
      <w:bookmarkStart w:id="196" w:name="Tc_OUOf0zpsKkyndZtcPaPnMA_23_11"/>
      <w:bookmarkStart w:id="197" w:name="Tc_92eC4Vlj-UmOM5O6S5YuIw_23_8"/>
      <w:bookmarkStart w:id="198" w:name="Tc_dWC2OV6A5E2lrH5vIq3zVQ_23_5"/>
      <w:bookmarkStart w:id="199" w:name="Tc_Oi3A6lkj6UGZ2i2CEymvUA_23_2"/>
      <w:bookmarkStart w:id="200" w:name="Tc_ZmOw2tmkP06-Q8Rw7jaKdQ_23_0"/>
      <w:bookmarkStart w:id="201" w:name="Tc_IzoeKfJU0ECU9YSpLav2WA_21_11"/>
      <w:bookmarkStart w:id="202" w:name="Tc_ySSG9p2H1ESevLKegJSOeg_21_8"/>
      <w:bookmarkStart w:id="203" w:name="Tc_tkVPglJ7KUKSp-DwS8qrRg_21_5"/>
      <w:bookmarkStart w:id="204" w:name="Tc_c42noyzHa0qOs7DoDCwjPg_21_2"/>
      <w:bookmarkStart w:id="205" w:name="Tc_fxCwdJhH50u5LWV0PhufNA_21_0"/>
      <w:bookmarkStart w:id="206" w:name="Tc_hN0k3QdcpU-_ZQeYqWHIbQ_20_12"/>
      <w:bookmarkStart w:id="207" w:name="Tc_Hjoom_vsc0O7ISRa3l742A_20_6"/>
      <w:bookmarkStart w:id="208" w:name="Tc_f9d88lJi30-wBHrlxGB_5Q_20_0"/>
      <w:bookmarkStart w:id="209" w:name="Tc_40P1xZrBfEGy6lGRhT9ENQ_19_0"/>
      <w:bookmarkStart w:id="210" w:name="Tc_DsO6zcELNUanmW_MzJ-nMQ_18_0"/>
      <w:bookmarkStart w:id="211" w:name="Tc_PT0TrTd0QUqxDGouxgys8w_17_0"/>
      <w:bookmarkStart w:id="212" w:name="Tc_Xcgm61pLsE2DvgSADSRgIw_16_0"/>
      <w:bookmarkStart w:id="213" w:name="Tc_spmErF3B5E2V1nrsjEUbQw_15_0"/>
      <w:bookmarkStart w:id="214" w:name="Tc_wxhyRayHwkKhuUGQlqGUFA_14_0"/>
      <w:bookmarkStart w:id="215" w:name="Tc_jO1qaPuI00WqESTQuwnKLg_13_0"/>
      <w:bookmarkStart w:id="216" w:name="Tc_iZiqwr9ZQkiSejYQetAwug_12_0"/>
      <w:bookmarkStart w:id="217" w:name="Tc_fx3Bweeq3EqBdSSk19WCVA_11_0"/>
      <w:bookmarkStart w:id="218" w:name="Tc_4mT2iUU0uEmsWre6zEjhoA_10_12"/>
      <w:bookmarkStart w:id="219" w:name="Tc_A9pqpZ5TzEOnRgZz8xSfNA_10_6"/>
      <w:bookmarkStart w:id="220" w:name="Tc_5hDBlWzPRU-x9U2Cf7H8iA_10_0"/>
      <w:bookmarkStart w:id="221" w:name="Tc_lpMp4RLnv0KAEMVjO1b3tg_9_0"/>
      <w:bookmarkStart w:id="222" w:name="Tc_QQfrTIXXmkG6q4nPxK6QAw_8_0"/>
      <w:bookmarkStart w:id="223" w:name="Tc_CV9XOpOJLUS5vgVVMBje_A_7_0"/>
      <w:bookmarkStart w:id="224" w:name="Tc_QVu6Zc-SdkGfVPyuL6v6mw_6_0"/>
      <w:bookmarkStart w:id="225" w:name="Tc_YRNzJuPk5U-hDM075ojU4A_5_0"/>
      <w:bookmarkStart w:id="226" w:name="Tc_kiPCK5UqMU-IbofHHay8PQ_4_0"/>
      <w:bookmarkStart w:id="227" w:name="Tc_9cbVeoxhxUShOSkZ6NN98A_3_11"/>
      <w:bookmarkStart w:id="228" w:name="Tc_4EAuX60tIEK4_nKppKcJMQ_3_8"/>
      <w:bookmarkStart w:id="229" w:name="Tc_w4_auaQTUUGch_zJBEgK0g_3_5"/>
      <w:bookmarkStart w:id="230" w:name="Tc_-PBpWzDeaUGDTlrpT5E40g_3_2"/>
      <w:bookmarkStart w:id="231" w:name="Tc_MAPDiJ6eKEquyeyWO28Vyg_3_0"/>
      <w:bookmarkStart w:id="232" w:name="Tc_qOymU6rTfkC0w7Dy9njG0Q_2_11"/>
      <w:bookmarkStart w:id="233" w:name="Tc_oZl9OUuTokS9f-Yr5FHOnw_2_8"/>
      <w:bookmarkStart w:id="234" w:name="Tc_O6CKWaXovU2YCZN-V8LnaA_2_5"/>
      <w:bookmarkStart w:id="235" w:name="Tc_jm3U-y1ylUq-BsPEE_DkyQ_2_2"/>
      <w:bookmarkStart w:id="236" w:name="Tc_bMS7yIPaN0qQArbKvJb33g_1_8"/>
      <w:bookmarkStart w:id="237" w:name="Tc_WZvTIBGrjUSou3-IofrbvA_1_2"/>
      <w:bookmarkStart w:id="238" w:name="_1c0bdacb_143d_4cae_82a0_fcb38a31f497"/>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tbl>
      <w:tblPr>
        <w:tblW w:w="10205" w:type="dxa"/>
        <w:jc w:val="left"/>
        <w:tblInd w:w="0" w:type="dxa"/>
        <w:tblLayout w:type="fixed"/>
        <w:tblCellMar>
          <w:top w:w="0" w:type="dxa"/>
          <w:left w:w="0" w:type="dxa"/>
          <w:bottom w:w="0" w:type="dxa"/>
          <w:right w:w="0" w:type="dxa"/>
        </w:tblCellMar>
      </w:tblPr>
      <w:tblGrid>
        <w:gridCol w:w="3388"/>
        <w:gridCol w:w="326"/>
        <w:gridCol w:w="211"/>
        <w:gridCol w:w="1141"/>
        <w:gridCol w:w="326"/>
        <w:gridCol w:w="211"/>
        <w:gridCol w:w="1141"/>
        <w:gridCol w:w="326"/>
        <w:gridCol w:w="211"/>
        <w:gridCol w:w="1141"/>
        <w:gridCol w:w="326"/>
        <w:gridCol w:w="211"/>
        <w:gridCol w:w="1246"/>
      </w:tblGrid>
      <w:tr>
        <w:trPr/>
        <w:tc>
          <w:tcPr>
            <w:tcW w:w="3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51380" cy="175260"/>
                      <wp:effectExtent l="0" t="0" r="0" b="0"/>
                      <wp:wrapNone/>
                      <wp:docPr id="14" name="Frame14"/>
                      <a:graphic xmlns:a="http://schemas.openxmlformats.org/drawingml/2006/main">
                        <a:graphicData uri="http://schemas.microsoft.com/office/word/2010/wordprocessingShape">
                          <wps:wsp>
                            <wps:cNvSpPr txBox="1"/>
                            <wps:spPr>
                              <a:xfrm>
                                <a:off x="0" y="0"/>
                                <a:ext cx="2151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4535" cy="175260"/>
                      <wp:effectExtent l="0" t="0" r="0" b="0"/>
                      <wp:wrapNone/>
                      <wp:docPr id="23"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91210" cy="175260"/>
                      <wp:effectExtent l="0" t="0" r="0" b="0"/>
                      <wp:wrapNone/>
                      <wp:docPr id="26" name="Frame2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    </w:t>
            </w:r>
          </w:p>
        </w:tc>
        <w:tc>
          <w:tcPr>
            <w:tcW w:w="3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115,232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60,996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11,647</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33,514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35,342</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19,648</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133,265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82,393</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(71,178)</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46" w:type="dxa"/>
            <w:tcBorders/>
            <w:vAlign w:val="center"/>
          </w:tcPr>
          <w:p>
            <w:pPr>
              <w:pStyle w:val="TableContents"/>
              <w:bidi w:val="0"/>
              <w:spacing w:before="0" w:after="1"/>
              <w:ind w:left="0" w:right="0" w:hanging="0"/>
              <w:jc w:val="right"/>
              <w:rPr/>
            </w:pPr>
            <w:r>
              <w:rPr/>
              <w:t>  </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12,579</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(8,588)</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10,145</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redeemable 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attributable to Gevo, Inc.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r>
      <w:tr>
        <w:trPr/>
        <w:tc>
          <w:tcPr>
            <w:tcW w:w="3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per share - basic and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3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232,684,017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239,445,900</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233,338,776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239,767,047</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9" w:name="_62a63971_232f_460d_a6bb_b36010b8e37b"/>
      <w:bookmarkEnd w:id="239"/>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40" w:name="CONSOLIDATEDSTATEMENTSOFSTOCKHOLDERSEQUI"/>
      <w:bookmarkEnd w:id="240"/>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41" w:name="Tc_52q5tZock02qP5IzmB6LfA_19_17"/>
      <w:bookmarkStart w:id="242" w:name="Tc_CYctUP9pAEOChLE6mutTdw_19_16"/>
      <w:bookmarkStart w:id="243" w:name="Tc_AzxdX8cYlkqitqn9sbkYog_19_13"/>
      <w:bookmarkStart w:id="244" w:name="Tc_GwFshpuh8USgnh7-pfuXew_19_10"/>
      <w:bookmarkStart w:id="245" w:name="Tc_tML78RzhS0eTHaczScmUHA_19_7"/>
      <w:bookmarkStart w:id="246" w:name="Tc_IuVADAC0DEabLuvNWsvBEA_19_4"/>
      <w:bookmarkStart w:id="247" w:name="Tc_rec7DwDEoUO3qn9V2G20wQ_19_0"/>
      <w:bookmarkStart w:id="248" w:name="Tc_4Ek_8exB4U24upiwEjL-nA_18_17"/>
      <w:bookmarkStart w:id="249" w:name="Tc_dc5nv-2xCUCSIPDJRww__Q_18_8"/>
      <w:bookmarkStart w:id="250" w:name="Tc_aW8YytMGIEm4t-09WggW-Q_18_5"/>
      <w:bookmarkStart w:id="251" w:name="Tc_pBhao9jIckyAOiK3rNhWiQ_18_2"/>
      <w:bookmarkStart w:id="252" w:name="Tc_06p-EdnOw0ydggTWJf7KFQ_18_0"/>
      <w:bookmarkStart w:id="253" w:name="Tc_kRAyuwH1l0ujVSdxX5ssJg_17_17"/>
      <w:bookmarkStart w:id="254" w:name="Tc_XbKbLCKbvkGsY3VrJ11snw_17_11"/>
      <w:bookmarkStart w:id="255" w:name="Tc_FGHo-QXHykuAb2XVANy_5A_17_0"/>
      <w:bookmarkStart w:id="256" w:name="Tc_gm5nGO9ToEGrSY1PDy9k2g_16_17"/>
      <w:bookmarkStart w:id="257" w:name="Tc_8tAoYXcCnEafKqBLL-R7Fg_16_11"/>
      <w:bookmarkStart w:id="258" w:name="Tc_D3DaCT4ptkqeqBFzX-NQCw_16_0"/>
      <w:bookmarkStart w:id="259" w:name="Tc_W9g5yrgAuE-xR6HKeMXtdA_15_17"/>
      <w:bookmarkStart w:id="260" w:name="Tc_JYNbYO_ucUene6ZiyVonYQ_15_11"/>
      <w:bookmarkStart w:id="261" w:name="Tc_iDYxKYhQmEinPq3vKMKgAQ_15_0"/>
      <w:bookmarkStart w:id="262" w:name="Tc_D6MD58IfikWOuoiu9z4GOg_14_17"/>
      <w:bookmarkStart w:id="263" w:name="Tc_SANxZLbR4USTAmbvDOJQTw_14_11"/>
      <w:bookmarkStart w:id="264" w:name="Tc_VU_pJazDk0OluzJAce3beg_14_5"/>
      <w:bookmarkStart w:id="265" w:name="Tc_DC7wx81uOEuWQzvGU9rqKQ_14_2"/>
      <w:bookmarkStart w:id="266" w:name="Tc_AGs6KXcbo0SmBBPxolKfWg_14_0"/>
      <w:bookmarkStart w:id="267" w:name="Tc_NsiK4bzdX0KU4lwGbqt0rQ_13_17"/>
      <w:bookmarkStart w:id="268" w:name="Tc_S2518xfxX0S6RjHZqVTHbA_13_13"/>
      <w:bookmarkStart w:id="269" w:name="Tc_ZEmgh8vjjkqctxrrkWMeAw_13_10"/>
      <w:bookmarkStart w:id="270" w:name="Tc_8jr6vsVneU2n9jA_35_PLg_13_7"/>
      <w:bookmarkStart w:id="271" w:name="Tc_qukU6TsXu0uSO7J7qYALRg_13_4"/>
      <w:bookmarkStart w:id="272" w:name="Tc_RZ60cM4wLEqn_6nzHemrGg_13_0"/>
      <w:bookmarkStart w:id="273" w:name="Tc_PUqQ9wJ-3UmSucTN0DmcwQ_11_16"/>
      <w:bookmarkStart w:id="274" w:name="Tc_G_naRzBkmE-VluUBwASltg_11_13"/>
      <w:bookmarkStart w:id="275" w:name="Tc_20PG4MJr_Uul7ElIGn9y6A_11_10"/>
      <w:bookmarkStart w:id="276" w:name="Tc_v-5PzhGnqU68An6Yq8lgeQ_11_7"/>
      <w:bookmarkStart w:id="277" w:name="Tc_Fr0e518jgU22j5o5LVjrJQ_11_4"/>
      <w:bookmarkStart w:id="278" w:name="Tc_ccOVZRNdyUqtzNQ6K7K7-w_11_0"/>
      <w:bookmarkStart w:id="279" w:name="Tc_tlgn-tegMECBe8akFlerfw_10_8"/>
      <w:bookmarkStart w:id="280" w:name="Tc_mAL-gr_NHk-KTiXDCtfqeA_10_5"/>
      <w:bookmarkStart w:id="281" w:name="Tc_tVP_e_nVXU-UoV3jghgYPg_10_2"/>
      <w:bookmarkStart w:id="282" w:name="Tc_nNwr1Ug6rU-kwFYI23-24g_10_0"/>
      <w:bookmarkStart w:id="283" w:name="Tc_hlbCs2zH8UCj3qvnCiM-yQ_9_8"/>
      <w:bookmarkStart w:id="284" w:name="Tc_JVjgJtqdCka0XNIYl1WJyQ_9_5"/>
      <w:bookmarkStart w:id="285" w:name="Tc_olV8MNlc5EOIxJlZmUoRpg_9_2"/>
      <w:bookmarkStart w:id="286" w:name="Tc_Pl32cXkD-0CdFzaa8eUUbg_9_0"/>
      <w:bookmarkStart w:id="287" w:name="Tc_PhPXf7KzSEKxwVNbuenNgA_8_17"/>
      <w:bookmarkStart w:id="288" w:name="Tc_8xIvm3FtK0m5TraBc639DQ_8_11"/>
      <w:bookmarkStart w:id="289" w:name="Tc_uGOJ1QFL30ybGirWac1_Ow_8_0"/>
      <w:bookmarkStart w:id="290" w:name="Tc_2MBDXYAoXEWL28vh3UBptg_7_17"/>
      <w:bookmarkStart w:id="291" w:name="Tc_1L1BoqksLEidaFwdGMIYZg_7_11"/>
      <w:bookmarkStart w:id="292" w:name="Tc_CoEvJ_dSAUa_lXkZQr3TsA_7_5"/>
      <w:bookmarkStart w:id="293" w:name="Tc_nOu6mKunnkSeTn4r43xpjw_7_2"/>
      <w:bookmarkStart w:id="294" w:name="Tc_bDbn4DeCski7RqNdKRkCBw_7_0"/>
      <w:bookmarkStart w:id="295" w:name="Tc_c58mHCf1Q0mkjrZrFdcZ1A_6_16"/>
      <w:bookmarkStart w:id="296" w:name="Tc_VCSlogJTlEWGPKVaRkszVw_6_13"/>
      <w:bookmarkStart w:id="297" w:name="Tc_nGDkDvhr_k-yHWFjNz_lyA_6_10"/>
      <w:bookmarkStart w:id="298" w:name="Tc_bL1nXKbKLkiCA9G6krMGGg_6_7"/>
      <w:bookmarkStart w:id="299" w:name="Tc_lKKTcL2vwECWHhsON7lBdw_6_4"/>
      <w:bookmarkStart w:id="300" w:name="Tc_fRVK1GgbzU-37iFiLG-HJA_6_0"/>
      <w:bookmarkStart w:id="301" w:name="Tc_Tsk-1VAZYE-EHLchso0vfQ_5_16"/>
      <w:bookmarkStart w:id="302" w:name="Tc_AfZiU5bq2Ue3_yzf-DGFSQ_5_13"/>
      <w:bookmarkStart w:id="303" w:name="Tc_iOU8_PoQpUme6X_ikLkb4A_5_10"/>
      <w:bookmarkStart w:id="304" w:name="Tc_m7yd0Cdte0y4xyK3x-xx-A_5_7"/>
      <w:bookmarkStart w:id="305" w:name="Tc_bmMGJCuxGEq6U8c5IHBkFw_5_4"/>
      <w:bookmarkStart w:id="306" w:name="Tc_WaF4CG3lXkqpRErVC7PFhQ_5_2"/>
      <w:bookmarkStart w:id="307" w:name="Tc_EHF3Q0UjakiC0tW2ls0Esw_4_16"/>
      <w:bookmarkStart w:id="308" w:name="Tc_qFgp2iELSkeQpNCKTbJJvQ_4_13"/>
      <w:bookmarkStart w:id="309" w:name="Tc_wVZ1cwFFtki1LmOX55DKdQ_4_10"/>
      <w:bookmarkStart w:id="310" w:name="Tc_42WjCe4i-UiRruDTcABIHQ_4_7"/>
      <w:bookmarkStart w:id="311" w:name="Tc_Dv9rrZALbUu_favUYTkO5w_4_2"/>
      <w:bookmarkStart w:id="312" w:name="Tc_wRX8u4UrkESJAX4SgIg9iQ_3_16"/>
      <w:bookmarkStart w:id="313" w:name="Tc_j01y1sWIYUiyX0KptTKOSA_2_16"/>
      <w:bookmarkStart w:id="314" w:name="Tc_opU3WeITx0m9L-6nt6c3Fg_2_2"/>
      <w:bookmarkStart w:id="315" w:name="Tc_hmqh4Wopq0C2Lyz80OqJEQ_1_2"/>
      <w:bookmarkStart w:id="316" w:name="_78a4a9cb_369d_4c93_8519_a53b39122f97"/>
      <w:bookmarkStart w:id="317" w:name="Tc_52q5tZock02qP5IzmB6LfA_19_17"/>
      <w:bookmarkStart w:id="318" w:name="Tc_CYctUP9pAEOChLE6mutTdw_19_16"/>
      <w:bookmarkStart w:id="319" w:name="Tc_AzxdX8cYlkqitqn9sbkYog_19_13"/>
      <w:bookmarkStart w:id="320" w:name="Tc_GwFshpuh8USgnh7-pfuXew_19_10"/>
      <w:bookmarkStart w:id="321" w:name="Tc_tML78RzhS0eTHaczScmUHA_19_7"/>
      <w:bookmarkStart w:id="322" w:name="Tc_IuVADAC0DEabLuvNWsvBEA_19_4"/>
      <w:bookmarkStart w:id="323" w:name="Tc_rec7DwDEoUO3qn9V2G20wQ_19_0"/>
      <w:bookmarkStart w:id="324" w:name="Tc_4Ek_8exB4U24upiwEjL-nA_18_17"/>
      <w:bookmarkStart w:id="325" w:name="Tc_dc5nv-2xCUCSIPDJRww__Q_18_8"/>
      <w:bookmarkStart w:id="326" w:name="Tc_aW8YytMGIEm4t-09WggW-Q_18_5"/>
      <w:bookmarkStart w:id="327" w:name="Tc_pBhao9jIckyAOiK3rNhWiQ_18_2"/>
      <w:bookmarkStart w:id="328" w:name="Tc_06p-EdnOw0ydggTWJf7KFQ_18_0"/>
      <w:bookmarkStart w:id="329" w:name="Tc_kRAyuwH1l0ujVSdxX5ssJg_17_17"/>
      <w:bookmarkStart w:id="330" w:name="Tc_XbKbLCKbvkGsY3VrJ11snw_17_11"/>
      <w:bookmarkStart w:id="331" w:name="Tc_FGHo-QXHykuAb2XVANy_5A_17_0"/>
      <w:bookmarkStart w:id="332" w:name="Tc_gm5nGO9ToEGrSY1PDy9k2g_16_17"/>
      <w:bookmarkStart w:id="333" w:name="Tc_8tAoYXcCnEafKqBLL-R7Fg_16_11"/>
      <w:bookmarkStart w:id="334" w:name="Tc_D3DaCT4ptkqeqBFzX-NQCw_16_0"/>
      <w:bookmarkStart w:id="335" w:name="Tc_W9g5yrgAuE-xR6HKeMXtdA_15_17"/>
      <w:bookmarkStart w:id="336" w:name="Tc_JYNbYO_ucUene6ZiyVonYQ_15_11"/>
      <w:bookmarkStart w:id="337" w:name="Tc_iDYxKYhQmEinPq3vKMKgAQ_15_0"/>
      <w:bookmarkStart w:id="338" w:name="Tc_D6MD58IfikWOuoiu9z4GOg_14_17"/>
      <w:bookmarkStart w:id="339" w:name="Tc_SANxZLbR4USTAmbvDOJQTw_14_11"/>
      <w:bookmarkStart w:id="340" w:name="Tc_VU_pJazDk0OluzJAce3beg_14_5"/>
      <w:bookmarkStart w:id="341" w:name="Tc_DC7wx81uOEuWQzvGU9rqKQ_14_2"/>
      <w:bookmarkStart w:id="342" w:name="Tc_AGs6KXcbo0SmBBPxolKfWg_14_0"/>
      <w:bookmarkStart w:id="343" w:name="Tc_NsiK4bzdX0KU4lwGbqt0rQ_13_17"/>
      <w:bookmarkStart w:id="344" w:name="Tc_S2518xfxX0S6RjHZqVTHbA_13_13"/>
      <w:bookmarkStart w:id="345" w:name="Tc_ZEmgh8vjjkqctxrrkWMeAw_13_10"/>
      <w:bookmarkStart w:id="346" w:name="Tc_8jr6vsVneU2n9jA_35_PLg_13_7"/>
      <w:bookmarkStart w:id="347" w:name="Tc_qukU6TsXu0uSO7J7qYALRg_13_4"/>
      <w:bookmarkStart w:id="348" w:name="Tc_RZ60cM4wLEqn_6nzHemrGg_13_0"/>
      <w:bookmarkStart w:id="349" w:name="Tc_PUqQ9wJ-3UmSucTN0DmcwQ_11_16"/>
      <w:bookmarkStart w:id="350" w:name="Tc_G_naRzBkmE-VluUBwASltg_11_13"/>
      <w:bookmarkStart w:id="351" w:name="Tc_20PG4MJr_Uul7ElIGn9y6A_11_10"/>
      <w:bookmarkStart w:id="352" w:name="Tc_v-5PzhGnqU68An6Yq8lgeQ_11_7"/>
      <w:bookmarkStart w:id="353" w:name="Tc_Fr0e518jgU22j5o5LVjrJQ_11_4"/>
      <w:bookmarkStart w:id="354" w:name="Tc_ccOVZRNdyUqtzNQ6K7K7-w_11_0"/>
      <w:bookmarkStart w:id="355" w:name="Tc_tlgn-tegMECBe8akFlerfw_10_8"/>
      <w:bookmarkStart w:id="356" w:name="Tc_mAL-gr_NHk-KTiXDCtfqeA_10_5"/>
      <w:bookmarkStart w:id="357" w:name="Tc_tVP_e_nVXU-UoV3jghgYPg_10_2"/>
      <w:bookmarkStart w:id="358" w:name="Tc_nNwr1Ug6rU-kwFYI23-24g_10_0"/>
      <w:bookmarkStart w:id="359" w:name="Tc_hlbCs2zH8UCj3qvnCiM-yQ_9_8"/>
      <w:bookmarkStart w:id="360" w:name="Tc_JVjgJtqdCka0XNIYl1WJyQ_9_5"/>
      <w:bookmarkStart w:id="361" w:name="Tc_olV8MNlc5EOIxJlZmUoRpg_9_2"/>
      <w:bookmarkStart w:id="362" w:name="Tc_Pl32cXkD-0CdFzaa8eUUbg_9_0"/>
      <w:bookmarkStart w:id="363" w:name="Tc_PhPXf7KzSEKxwVNbuenNgA_8_17"/>
      <w:bookmarkStart w:id="364" w:name="Tc_8xIvm3FtK0m5TraBc639DQ_8_11"/>
      <w:bookmarkStart w:id="365" w:name="Tc_uGOJ1QFL30ybGirWac1_Ow_8_0"/>
      <w:bookmarkStart w:id="366" w:name="Tc_2MBDXYAoXEWL28vh3UBptg_7_17"/>
      <w:bookmarkStart w:id="367" w:name="Tc_1L1BoqksLEidaFwdGMIYZg_7_11"/>
      <w:bookmarkStart w:id="368" w:name="Tc_CoEvJ_dSAUa_lXkZQr3TsA_7_5"/>
      <w:bookmarkStart w:id="369" w:name="Tc_nOu6mKunnkSeTn4r43xpjw_7_2"/>
      <w:bookmarkStart w:id="370" w:name="Tc_bDbn4DeCski7RqNdKRkCBw_7_0"/>
      <w:bookmarkStart w:id="371" w:name="Tc_c58mHCf1Q0mkjrZrFdcZ1A_6_16"/>
      <w:bookmarkStart w:id="372" w:name="Tc_VCSlogJTlEWGPKVaRkszVw_6_13"/>
      <w:bookmarkStart w:id="373" w:name="Tc_nGDkDvhr_k-yHWFjNz_lyA_6_10"/>
      <w:bookmarkStart w:id="374" w:name="Tc_bL1nXKbKLkiCA9G6krMGGg_6_7"/>
      <w:bookmarkStart w:id="375" w:name="Tc_lKKTcL2vwECWHhsON7lBdw_6_4"/>
      <w:bookmarkStart w:id="376" w:name="Tc_fRVK1GgbzU-37iFiLG-HJA_6_0"/>
      <w:bookmarkStart w:id="377" w:name="Tc_Tsk-1VAZYE-EHLchso0vfQ_5_16"/>
      <w:bookmarkStart w:id="378" w:name="Tc_AfZiU5bq2Ue3_yzf-DGFSQ_5_13"/>
      <w:bookmarkStart w:id="379" w:name="Tc_iOU8_PoQpUme6X_ikLkb4A_5_10"/>
      <w:bookmarkStart w:id="380" w:name="Tc_m7yd0Cdte0y4xyK3x-xx-A_5_7"/>
      <w:bookmarkStart w:id="381" w:name="Tc_bmMGJCuxGEq6U8c5IHBkFw_5_4"/>
      <w:bookmarkStart w:id="382" w:name="Tc_WaF4CG3lXkqpRErVC7PFhQ_5_2"/>
      <w:bookmarkStart w:id="383" w:name="Tc_EHF3Q0UjakiC0tW2ls0Esw_4_16"/>
      <w:bookmarkStart w:id="384" w:name="Tc_qFgp2iELSkeQpNCKTbJJvQ_4_13"/>
      <w:bookmarkStart w:id="385" w:name="Tc_wVZ1cwFFtki1LmOX55DKdQ_4_10"/>
      <w:bookmarkStart w:id="386" w:name="Tc_42WjCe4i-UiRruDTcABIHQ_4_7"/>
      <w:bookmarkStart w:id="387" w:name="Tc_Dv9rrZALbUu_favUYTkO5w_4_2"/>
      <w:bookmarkStart w:id="388" w:name="Tc_wRX8u4UrkESJAX4SgIg9iQ_3_16"/>
      <w:bookmarkStart w:id="389" w:name="Tc_j01y1sWIYUiyX0KptTKOSA_2_16"/>
      <w:bookmarkStart w:id="390" w:name="Tc_opU3WeITx0m9L-6nt6c3Fg_2_2"/>
      <w:bookmarkStart w:id="391" w:name="Tc_hmqh4Wopq0C2Lyz80OqJEQ_1_2"/>
      <w:bookmarkStart w:id="392" w:name="_78a4a9cb_369d_4c93_8519_a53b39122f97"/>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tbl>
      <w:tblPr>
        <w:tblW w:w="10205" w:type="dxa"/>
        <w:jc w:val="left"/>
        <w:tblInd w:w="0" w:type="dxa"/>
        <w:tblLayout w:type="fixed"/>
        <w:tblCellMar>
          <w:top w:w="0" w:type="dxa"/>
          <w:left w:w="0" w:type="dxa"/>
          <w:bottom w:w="0" w:type="dxa"/>
          <w:right w:w="0" w:type="dxa"/>
        </w:tblCellMar>
      </w:tblPr>
      <w:tblGrid>
        <w:gridCol w:w="1777"/>
        <w:gridCol w:w="326"/>
        <w:gridCol w:w="1141"/>
        <w:gridCol w:w="326"/>
        <w:gridCol w:w="211"/>
        <w:gridCol w:w="571"/>
        <w:gridCol w:w="326"/>
        <w:gridCol w:w="227"/>
        <w:gridCol w:w="1004"/>
        <w:gridCol w:w="326"/>
        <w:gridCol w:w="211"/>
        <w:gridCol w:w="886"/>
        <w:gridCol w:w="326"/>
        <w:gridCol w:w="221"/>
        <w:gridCol w:w="820"/>
        <w:gridCol w:w="146"/>
        <w:gridCol w:w="366"/>
        <w:gridCol w:w="994"/>
      </w:tblGrid>
      <w:tr>
        <w:trPr/>
        <w:tc>
          <w:tcPr>
            <w:tcW w:w="1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28395" cy="175260"/>
                      <wp:effectExtent l="0" t="0" r="0" b="0"/>
                      <wp:wrapNone/>
                      <wp:docPr id="27" name="Frame27"/>
                      <a:graphic xmlns:a="http://schemas.openxmlformats.org/drawingml/2006/main">
                        <a:graphicData uri="http://schemas.microsoft.com/office/word/2010/wordprocessingShape">
                          <wps:wsp>
                            <wps:cNvSpPr txBox="1"/>
                            <wps:spPr>
                              <a:xfrm>
                                <a:off x="0" y="0"/>
                                <a:ext cx="1128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24535" cy="175260"/>
                      <wp:effectExtent l="0" t="0" r="0" b="0"/>
                      <wp:wrapNone/>
                      <wp:docPr id="29" name="Frame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4145" cy="175260"/>
                      <wp:effectExtent l="0" t="0" r="0" b="0"/>
                      <wp:wrapNone/>
                      <wp:docPr id="34" name="Frame34"/>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37540" cy="175260"/>
                      <wp:effectExtent l="0" t="0" r="0" b="0"/>
                      <wp:wrapNone/>
                      <wp:docPr id="35" name="Frame35"/>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62610" cy="175260"/>
                      <wp:effectExtent l="0" t="0" r="0" b="0"/>
                      <wp:wrapNone/>
                      <wp:docPr id="38" name="Frame3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0335" cy="175260"/>
                      <wp:effectExtent l="0" t="0" r="0" b="0"/>
                      <wp:wrapNone/>
                      <wp:docPr id="40" name="Frame4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0700" cy="175260"/>
                      <wp:effectExtent l="0" t="0" r="0" b="0"/>
                      <wp:wrapNone/>
                      <wp:docPr id="41" name="Frame41"/>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92710" cy="175260"/>
                      <wp:effectExtent l="0" t="0" r="0" b="0"/>
                      <wp:wrapNone/>
                      <wp:docPr id="42" name="Frame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32410" cy="175260"/>
                      <wp:effectExtent l="0" t="0" r="0" b="0"/>
                      <wp:wrapNone/>
                      <wp:docPr id="43" name="Frame43"/>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31190" cy="175260"/>
                      <wp:effectExtent l="0" t="0" r="0" b="0"/>
                      <wp:wrapNone/>
                      <wp:docPr id="44" name="Frame44"/>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102"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2025 and 2024</w:t>
            </w:r>
          </w:p>
        </w:tc>
      </w:tr>
      <w:tr>
        <w:trPr/>
        <w:tc>
          <w:tcPr>
            <w:tcW w:w="17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596"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146" w:type="dxa"/>
            <w:tcBorders/>
            <w:vAlign w:val="center"/>
          </w:tcPr>
          <w:p>
            <w:pPr>
              <w:pStyle w:val="TableContents"/>
              <w:bidi w:val="0"/>
              <w:spacing w:before="0" w:after="1"/>
              <w:ind w:left="0" w:right="0" w:hanging="0"/>
              <w:jc w:val="center"/>
              <w:rPr/>
            </w:pPr>
            <w:r>
              <w:rPr/>
              <w:t>​</w:t>
            </w:r>
          </w:p>
        </w:tc>
        <w:tc>
          <w:tcPr>
            <w:tcW w:w="13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Mezzanine Equity</w:t>
            </w:r>
          </w:p>
        </w:tc>
      </w:tr>
      <w:tr>
        <w:trPr/>
        <w:tc>
          <w:tcPr>
            <w:tcW w:w="17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10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82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17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center"/>
              <w:rPr/>
            </w:pPr>
            <w:r>
              <w:rPr/>
              <w:t>​</w:t>
            </w:r>
          </w:p>
        </w:tc>
        <w:tc>
          <w:tcPr>
            <w:tcW w:w="10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46" w:type="dxa"/>
            <w:tcBorders/>
            <w:vAlign w:val="center"/>
          </w:tcPr>
          <w:p>
            <w:pPr>
              <w:pStyle w:val="TableContents"/>
              <w:bidi w:val="0"/>
              <w:spacing w:before="0" w:after="1"/>
              <w:ind w:left="0" w:right="0" w:hanging="0"/>
              <w:jc w:val="center"/>
              <w:rPr/>
            </w:pPr>
            <w:r>
              <w:rPr/>
              <w:t> </w:t>
            </w:r>
          </w:p>
        </w:tc>
        <w:tc>
          <w:tcPr>
            <w:tcW w:w="13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r>
      <w:tr>
        <w:trPr/>
        <w:tc>
          <w:tcPr>
            <w:tcW w:w="177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1"/>
              <w:ind w:left="0" w:right="0" w:hanging="0"/>
              <w:jc w:val="left"/>
              <w:rPr/>
            </w:pPr>
            <w:r>
              <w:rPr/>
              <w:t>​</w:t>
            </w:r>
          </w:p>
        </w:tc>
        <w:tc>
          <w:tcPr>
            <w:tcW w:w="13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177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241,841,590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1,291,630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(819,945)</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474,104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5,664</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4" w:type="dxa"/>
            <w:tcBorders/>
            <w:vAlign w:val="center"/>
          </w:tcPr>
          <w:p>
            <w:pPr>
              <w:pStyle w:val="TableContents"/>
              <w:bidi w:val="0"/>
              <w:spacing w:before="0" w:after="1"/>
              <w:ind w:left="0" w:right="0" w:hanging="0"/>
              <w:jc w:val="right"/>
              <w:rPr/>
            </w:pPr>
            <w:r>
              <w:rPr/>
              <w:t>—</w:t>
            </w:r>
          </w:p>
        </w:tc>
      </w:tr>
      <w:tr>
        <w:trPr/>
        <w:tc>
          <w:tcPr>
            <w:tcW w:w="17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4" w:type="dxa"/>
            <w:tcBorders/>
            <w:shd w:fill="CCEEFF" w:val="clear"/>
            <w:vAlign w:val="center"/>
          </w:tcPr>
          <w:p>
            <w:pPr>
              <w:pStyle w:val="TableContents"/>
              <w:bidi w:val="0"/>
              <w:spacing w:before="0" w:after="1"/>
              <w:ind w:left="0" w:right="0" w:hanging="0"/>
              <w:jc w:val="right"/>
              <w:rPr/>
            </w:pPr>
            <w:r>
              <w:rPr/>
              <w:t>—</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redemption value of redeemable non-controlling interest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right"/>
              <w:rPr/>
            </w:pPr>
            <w:r>
              <w:rPr/>
              <w:t>​</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7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(7,954)</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2025</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242,124,640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1,294,264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(827,814)</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468,871</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5,956</w:t>
            </w:r>
          </w:p>
        </w:tc>
      </w:tr>
      <w:tr>
        <w:trPr/>
        <w:tc>
          <w:tcPr>
            <w:tcW w:w="177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4" w:type="dxa"/>
            <w:tcBorders/>
            <w:shd w:fill="CCEEFF" w:val="clear"/>
            <w:vAlign w:val="center"/>
          </w:tcPr>
          <w:p>
            <w:pPr>
              <w:pStyle w:val="TableContents"/>
              <w:bidi w:val="0"/>
              <w:spacing w:before="0" w:after="1"/>
              <w:ind w:left="0" w:right="0" w:hanging="0"/>
              <w:jc w:val="left"/>
              <w:rPr/>
            </w:pPr>
            <w:r>
              <w:rPr/>
              <w:t>​</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June 30, 2024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240,565,240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w:t>
            </w:r>
          </w:p>
        </w:tc>
        <w:tc>
          <w:tcPr>
            <w:tcW w:w="32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1,281,810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(761,474)</w:t>
            </w:r>
          </w:p>
        </w:tc>
        <w:tc>
          <w:tcPr>
            <w:tcW w:w="326" w:type="dxa"/>
            <w:tcBorders/>
            <w:vAlign w:val="center"/>
          </w:tcPr>
          <w:p>
            <w:pPr>
              <w:pStyle w:val="TableContents"/>
              <w:bidi w:val="0"/>
              <w:spacing w:before="0" w:after="1"/>
              <w:ind w:left="0" w:right="0" w:hanging="0"/>
              <w:jc w:val="right"/>
              <w:rPr/>
            </w:pPr>
            <w:r>
              <w:rPr/>
              <w:t>    </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522,742</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4" w:type="dxa"/>
            <w:tcBorders/>
            <w:vAlign w:val="center"/>
          </w:tcPr>
          <w:p>
            <w:pPr>
              <w:pStyle w:val="TableContents"/>
              <w:bidi w:val="0"/>
              <w:spacing w:before="0" w:after="1"/>
              <w:ind w:left="0" w:right="0" w:hanging="0"/>
              <w:jc w:val="right"/>
              <w:rPr/>
            </w:pPr>
            <w:r>
              <w:rPr/>
              <w:t>—</w:t>
            </w:r>
          </w:p>
        </w:tc>
      </w:tr>
      <w:tr>
        <w:trPr/>
        <w:tc>
          <w:tcPr>
            <w:tcW w:w="17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4" w:type="dxa"/>
            <w:tcBorders/>
            <w:shd w:fill="CCEEFF" w:val="clear"/>
            <w:vAlign w:val="center"/>
          </w:tcPr>
          <w:p>
            <w:pPr>
              <w:pStyle w:val="TableContents"/>
              <w:bidi w:val="0"/>
              <w:spacing w:before="0" w:after="1"/>
              <w:ind w:left="0" w:right="0" w:hanging="0"/>
              <w:jc w:val="right"/>
              <w:rPr/>
            </w:pPr>
            <w:r>
              <w:rPr/>
              <w:t>—</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4" w:type="dxa"/>
            <w:tcBorders/>
            <w:vAlign w:val="center"/>
          </w:tcPr>
          <w:p>
            <w:pPr>
              <w:pStyle w:val="TableContents"/>
              <w:bidi w:val="0"/>
              <w:spacing w:before="0" w:after="1"/>
              <w:ind w:left="0" w:right="0" w:hanging="0"/>
              <w:jc w:val="right"/>
              <w:rPr/>
            </w:pPr>
            <w:r>
              <w:rPr/>
              <w:t>—</w:t>
            </w:r>
          </w:p>
        </w:tc>
      </w:tr>
      <w:tr>
        <w:trPr/>
        <w:tc>
          <w:tcPr>
            <w:tcW w:w="17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(1,094,493)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4" w:type="dxa"/>
            <w:tcBorders/>
            <w:shd w:fill="CCEEFF" w:val="clear"/>
            <w:vAlign w:val="center"/>
          </w:tcPr>
          <w:p>
            <w:pPr>
              <w:pStyle w:val="TableContents"/>
              <w:bidi w:val="0"/>
              <w:spacing w:before="0" w:after="1"/>
              <w:ind w:left="0" w:right="0" w:hanging="0"/>
              <w:jc w:val="right"/>
              <w:rPr/>
            </w:pPr>
            <w:r>
              <w:rPr/>
              <w:t>—</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4" w:type="dxa"/>
            <w:tcBorders/>
            <w:vAlign w:val="center"/>
          </w:tcPr>
          <w:p>
            <w:pPr>
              <w:pStyle w:val="TableContents"/>
              <w:bidi w:val="0"/>
              <w:spacing w:before="0" w:after="1"/>
              <w:ind w:left="0" w:right="0" w:hanging="0"/>
              <w:jc w:val="right"/>
              <w:rPr/>
            </w:pPr>
            <w:r>
              <w:rPr/>
              <w:t>—</w:t>
            </w:r>
          </w:p>
        </w:tc>
      </w:tr>
      <w:tr>
        <w:trPr/>
        <w:tc>
          <w:tcPr>
            <w:tcW w:w="17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77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239,407,448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1,284,957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(782,630)</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504,721</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93" w:name="Tc_hRtVKUtrQ0ea6jWFFBUEjg_20_17"/>
      <w:bookmarkStart w:id="394" w:name="Tc_5VVWjW1qKUqW-HujqExXrw_20_16"/>
      <w:bookmarkStart w:id="395" w:name="Tc_YDjXwQRvg0Sub9QTqBUDqg_20_13"/>
      <w:bookmarkStart w:id="396" w:name="Tc_E60hQbaDgEiVl46eR0cVQA_20_10"/>
      <w:bookmarkStart w:id="397" w:name="Tc_KYfxeao2zEuOFxi4ZppiMw_20_7"/>
      <w:bookmarkStart w:id="398" w:name="Tc_n7FFKLjLgk249EnlUQN9IQ_20_4"/>
      <w:bookmarkStart w:id="399" w:name="Tc_XmQeBD8MjEG5N8st1-Rzkw_20_0"/>
      <w:bookmarkStart w:id="400" w:name="Tc_PWkf60FxkUWY-dcGIBPbWQ_19_17"/>
      <w:bookmarkStart w:id="401" w:name="Tc_epEA1VvjT0mbNkn1TQPh6Q_19_8"/>
      <w:bookmarkStart w:id="402" w:name="Tc_2OFJy_P6_kCh6qe1rSvK1g_19_5"/>
      <w:bookmarkStart w:id="403" w:name="Tc_7ZTAyixgfk2eW0HaHk-Uwg_19_2"/>
      <w:bookmarkStart w:id="404" w:name="Tc_mIeLME71Kk-_K8EbYSSNYw_19_0"/>
      <w:bookmarkStart w:id="405" w:name="Tc_C1-jOQeuo0--6IdvfNl-sQ_18_11"/>
      <w:bookmarkStart w:id="406" w:name="Tc_vBEO_cyO8kyznk9K2tby_g_18_0"/>
      <w:bookmarkStart w:id="407" w:name="Tc_Hw5VRIrfBkKxZPHsvB6nLQ_17_17"/>
      <w:bookmarkStart w:id="408" w:name="Tc_RU-Q9mGF30ibrlz3fquPAg_17_11"/>
      <w:bookmarkStart w:id="409" w:name="Tc_ofVA48ZZMEyaCJCaEGLGSQ_17_0"/>
      <w:bookmarkStart w:id="410" w:name="Tc_bA2YvgwizEKS3oixP2tLog_16_17"/>
      <w:bookmarkStart w:id="411" w:name="Tc_uQK8oj7xT0C_R1gkgp48zg_16_11"/>
      <w:bookmarkStart w:id="412" w:name="Tc_g9UjclMlY0eppkdVIXpJuQ_16_0"/>
      <w:bookmarkStart w:id="413" w:name="Tc_ukYWWLFiKU-mH9flUxNQLw_15_17"/>
      <w:bookmarkStart w:id="414" w:name="Tc_bl1LkkCFsEyVrkbWokpIGw_15_11"/>
      <w:bookmarkStart w:id="415" w:name="Tc_f1UFkQByDk6_580aVLze-Q_15_5"/>
      <w:bookmarkStart w:id="416" w:name="Tc_SsxRIQfOfEKewJ1mlXScUA_15_2"/>
      <w:bookmarkStart w:id="417" w:name="Tc_oKyyx6LO1UqMuqHREWbsMQ_15_0"/>
      <w:bookmarkStart w:id="418" w:name="Tc_pDiFuGm1dEynUGUPmRlzDg_14_17"/>
      <w:bookmarkStart w:id="419" w:name="Tc_uQ5QNyZB4EyOAZrraM5WjQ_14_13"/>
      <w:bookmarkStart w:id="420" w:name="Tc_O5YR3yIrXkKRqrnoKyrecA_14_10"/>
      <w:bookmarkStart w:id="421" w:name="Tc_eQz0UT6u7ECTtjC-CpzGSw_14_7"/>
      <w:bookmarkStart w:id="422" w:name="Tc_VDregLTdt02Jr7F1qcSeKA_14_4"/>
      <w:bookmarkStart w:id="423" w:name="Tc_4pS6eTOAjUa743Pi8H-7DQ_14_0"/>
      <w:bookmarkStart w:id="424" w:name="Tc_CK1fw3Jke0W2AzQOAcs9yg_12_16"/>
      <w:bookmarkStart w:id="425" w:name="Tc_5cVDWxmjq0SiYO2K7VIM6A_12_13"/>
      <w:bookmarkStart w:id="426" w:name="Tc_oNBBGs4tUUaAwQWP02z6RA_12_10"/>
      <w:bookmarkStart w:id="427" w:name="Tc__Qur5Y0sHkWGUIDQypeYbA_12_7"/>
      <w:bookmarkStart w:id="428" w:name="Tc_nl5ofQRldk2aVgenIo8Asw_12_4"/>
      <w:bookmarkStart w:id="429" w:name="Tc_QZtjcTiRp0SiLEJQ3_QIwg_12_0"/>
      <w:bookmarkStart w:id="430" w:name="Tc_55Ob1UmWuk6M37S_WYskyg_11_8"/>
      <w:bookmarkStart w:id="431" w:name="Tc_i3ErEbVbskWcYMijKYbtOg_11_5"/>
      <w:bookmarkStart w:id="432" w:name="Tc_vIvvtZq_g0COWF2_Eh1c-g_11_2"/>
      <w:bookmarkStart w:id="433" w:name="Tc_zjhy0cPf50KLb2xSgQgoBA_11_0"/>
      <w:bookmarkStart w:id="434" w:name="Tc_rqBf7eywREmO13KLNae-5g_10_8"/>
      <w:bookmarkStart w:id="435" w:name="Tc_RxrN87OxgkKyBJS1gfru-A_10_5"/>
      <w:bookmarkStart w:id="436" w:name="Tc_OmREIrpoYkyITwf8H4u-bw_10_2"/>
      <w:bookmarkStart w:id="437" w:name="Tc_XtjZw7efc0Otn5F-WvdKUA_10_0"/>
      <w:bookmarkStart w:id="438" w:name="Tc_wRX7w3e2ZUWJ6kJ4Jjjl0Q_9_17"/>
      <w:bookmarkStart w:id="439" w:name="Tc_DrwYEgJo6Ui8xM4FGA3yWQ_9_11"/>
      <w:bookmarkStart w:id="440" w:name="Tc_kICq2huS1UiYMHdxs9AxSA_9_0"/>
      <w:bookmarkStart w:id="441" w:name="Tc_IDOc47zfMkO-MSNMpNEcWA_8_17"/>
      <w:bookmarkStart w:id="442" w:name="Tc_zLKUWqWHcUKevnQBbDkHTA_8_11"/>
      <w:bookmarkStart w:id="443" w:name="Tc_KFevSjo5jEqN9nKuAopQtA_8_5"/>
      <w:bookmarkStart w:id="444" w:name="Tc_r0V1mDnOpUS8fcvJ-LAqww_8_2"/>
      <w:bookmarkStart w:id="445" w:name="Tc_W_Ra6soSiE29ZoBanLeGpA_8_0"/>
      <w:bookmarkStart w:id="446" w:name="Tc__ZMtErO6cUeUfL86Q6ibcQ_7_14"/>
      <w:bookmarkStart w:id="447" w:name="Tc_mcj4-ysyZUmOJiYZ5F1yFA_7_11"/>
      <w:bookmarkStart w:id="448" w:name="Tc_XDuMbpAyi06UH8NV2fhr4Q_7_8"/>
      <w:bookmarkStart w:id="449" w:name="Tc_zZ9r5_9mB06NjUrYI8upsQ_7_5"/>
      <w:bookmarkStart w:id="450" w:name="Tc_xoEYG3TFoU-SedcYYOnz0A_7_2"/>
      <w:bookmarkStart w:id="451" w:name="Tc_VN38_214RECG8UOF9Gwm7Q_7_0"/>
      <w:bookmarkStart w:id="452" w:name="Tc_Z_QwEqzvxUO7jbDQqllt4g_6_16"/>
      <w:bookmarkStart w:id="453" w:name="Tc_2dP0HZjZnU2Yr7V-cAp-6A_6_13"/>
      <w:bookmarkStart w:id="454" w:name="Tc_e_ftsJWLAEOpJ29s5PZTyA_6_10"/>
      <w:bookmarkStart w:id="455" w:name="Tc_eMc5Lf-EUUiK_Eai-knk3g_6_7"/>
      <w:bookmarkStart w:id="456" w:name="Tc_sAz6WiJd-kqN7NwR2p3JKw_6_4"/>
      <w:bookmarkStart w:id="457" w:name="Tc_gh7uwIwrB0y57KQwF-1rAA_6_0"/>
      <w:bookmarkStart w:id="458" w:name="Tc_1v7HOoI-tkWpW8v4nlVWRw_5_16"/>
      <w:bookmarkStart w:id="459" w:name="Tc_8F92-Xw6h022Jx8W_kPPKg_5_13"/>
      <w:bookmarkStart w:id="460" w:name="Tc_sRsU0sPEqUeFa0eb6BZIWA_5_10"/>
      <w:bookmarkStart w:id="461" w:name="Tc_6Oh0UNpfzEOc0b_CpBggHw_5_7"/>
      <w:bookmarkStart w:id="462" w:name="Tc_mx71SDDxRE6_bS149JcWRQ_5_4"/>
      <w:bookmarkStart w:id="463" w:name="Tc_V8it7v6QR0CThfITaQwt-A_5_2"/>
      <w:bookmarkStart w:id="464" w:name="Tc_AzWbFgPer061ISJZtfBolA_4_16"/>
      <w:bookmarkStart w:id="465" w:name="Tc_qfil0aPjJ0Gz5CgUcWZMWw_4_13"/>
      <w:bookmarkStart w:id="466" w:name="Tc_drkrlkGY7kGUXlt_4qEsqQ_4_10"/>
      <w:bookmarkStart w:id="467" w:name="Tc_JuxHwVR6lEqosBjPg6f6Bw_4_7"/>
      <w:bookmarkStart w:id="468" w:name="Tc_ezvokcyYKUy7ZkhePfYJ0w_4_2"/>
      <w:bookmarkStart w:id="469" w:name="Tc_dXDpIK48BUqkDA6UqG1ztA_3_16"/>
      <w:bookmarkStart w:id="470" w:name="Tc_Vh_Q-pRdb0msCnV7StF9uQ_2_16"/>
      <w:bookmarkStart w:id="471" w:name="Tc_9yCX7UsTikqchG4XDaZ_RQ_2_2"/>
      <w:bookmarkStart w:id="472" w:name="Tc_nTr8Yf3V60CJeMsTo03hmw_1_2"/>
      <w:bookmarkStart w:id="473" w:name="_6e04fd3c_cc99_4d2a_81e5_9516bb71e25d"/>
      <w:bookmarkStart w:id="474" w:name="Tc_hRtVKUtrQ0ea6jWFFBUEjg_20_17"/>
      <w:bookmarkStart w:id="475" w:name="Tc_5VVWjW1qKUqW-HujqExXrw_20_16"/>
      <w:bookmarkStart w:id="476" w:name="Tc_YDjXwQRvg0Sub9QTqBUDqg_20_13"/>
      <w:bookmarkStart w:id="477" w:name="Tc_E60hQbaDgEiVl46eR0cVQA_20_10"/>
      <w:bookmarkStart w:id="478" w:name="Tc_KYfxeao2zEuOFxi4ZppiMw_20_7"/>
      <w:bookmarkStart w:id="479" w:name="Tc_n7FFKLjLgk249EnlUQN9IQ_20_4"/>
      <w:bookmarkStart w:id="480" w:name="Tc_XmQeBD8MjEG5N8st1-Rzkw_20_0"/>
      <w:bookmarkStart w:id="481" w:name="Tc_PWkf60FxkUWY-dcGIBPbWQ_19_17"/>
      <w:bookmarkStart w:id="482" w:name="Tc_epEA1VvjT0mbNkn1TQPh6Q_19_8"/>
      <w:bookmarkStart w:id="483" w:name="Tc_2OFJy_P6_kCh6qe1rSvK1g_19_5"/>
      <w:bookmarkStart w:id="484" w:name="Tc_7ZTAyixgfk2eW0HaHk-Uwg_19_2"/>
      <w:bookmarkStart w:id="485" w:name="Tc_mIeLME71Kk-_K8EbYSSNYw_19_0"/>
      <w:bookmarkStart w:id="486" w:name="Tc_C1-jOQeuo0--6IdvfNl-sQ_18_11"/>
      <w:bookmarkStart w:id="487" w:name="Tc_vBEO_cyO8kyznk9K2tby_g_18_0"/>
      <w:bookmarkStart w:id="488" w:name="Tc_Hw5VRIrfBkKxZPHsvB6nLQ_17_17"/>
      <w:bookmarkStart w:id="489" w:name="Tc_RU-Q9mGF30ibrlz3fquPAg_17_11"/>
      <w:bookmarkStart w:id="490" w:name="Tc_ofVA48ZZMEyaCJCaEGLGSQ_17_0"/>
      <w:bookmarkStart w:id="491" w:name="Tc_bA2YvgwizEKS3oixP2tLog_16_17"/>
      <w:bookmarkStart w:id="492" w:name="Tc_uQK8oj7xT0C_R1gkgp48zg_16_11"/>
      <w:bookmarkStart w:id="493" w:name="Tc_g9UjclMlY0eppkdVIXpJuQ_16_0"/>
      <w:bookmarkStart w:id="494" w:name="Tc_ukYWWLFiKU-mH9flUxNQLw_15_17"/>
      <w:bookmarkStart w:id="495" w:name="Tc_bl1LkkCFsEyVrkbWokpIGw_15_11"/>
      <w:bookmarkStart w:id="496" w:name="Tc_f1UFkQByDk6_580aVLze-Q_15_5"/>
      <w:bookmarkStart w:id="497" w:name="Tc_SsxRIQfOfEKewJ1mlXScUA_15_2"/>
      <w:bookmarkStart w:id="498" w:name="Tc_oKyyx6LO1UqMuqHREWbsMQ_15_0"/>
      <w:bookmarkStart w:id="499" w:name="Tc_pDiFuGm1dEynUGUPmRlzDg_14_17"/>
      <w:bookmarkStart w:id="500" w:name="Tc_uQ5QNyZB4EyOAZrraM5WjQ_14_13"/>
      <w:bookmarkStart w:id="501" w:name="Tc_O5YR3yIrXkKRqrnoKyrecA_14_10"/>
      <w:bookmarkStart w:id="502" w:name="Tc_eQz0UT6u7ECTtjC-CpzGSw_14_7"/>
      <w:bookmarkStart w:id="503" w:name="Tc_VDregLTdt02Jr7F1qcSeKA_14_4"/>
      <w:bookmarkStart w:id="504" w:name="Tc_4pS6eTOAjUa743Pi8H-7DQ_14_0"/>
      <w:bookmarkStart w:id="505" w:name="Tc_CK1fw3Jke0W2AzQOAcs9yg_12_16"/>
      <w:bookmarkStart w:id="506" w:name="Tc_5cVDWxmjq0SiYO2K7VIM6A_12_13"/>
      <w:bookmarkStart w:id="507" w:name="Tc_oNBBGs4tUUaAwQWP02z6RA_12_10"/>
      <w:bookmarkStart w:id="508" w:name="Tc__Qur5Y0sHkWGUIDQypeYbA_12_7"/>
      <w:bookmarkStart w:id="509" w:name="Tc_nl5ofQRldk2aVgenIo8Asw_12_4"/>
      <w:bookmarkStart w:id="510" w:name="Tc_QZtjcTiRp0SiLEJQ3_QIwg_12_0"/>
      <w:bookmarkStart w:id="511" w:name="Tc_55Ob1UmWuk6M37S_WYskyg_11_8"/>
      <w:bookmarkStart w:id="512" w:name="Tc_i3ErEbVbskWcYMijKYbtOg_11_5"/>
      <w:bookmarkStart w:id="513" w:name="Tc_vIvvtZq_g0COWF2_Eh1c-g_11_2"/>
      <w:bookmarkStart w:id="514" w:name="Tc_zjhy0cPf50KLb2xSgQgoBA_11_0"/>
      <w:bookmarkStart w:id="515" w:name="Tc_rqBf7eywREmO13KLNae-5g_10_8"/>
      <w:bookmarkStart w:id="516" w:name="Tc_RxrN87OxgkKyBJS1gfru-A_10_5"/>
      <w:bookmarkStart w:id="517" w:name="Tc_OmREIrpoYkyITwf8H4u-bw_10_2"/>
      <w:bookmarkStart w:id="518" w:name="Tc_XtjZw7efc0Otn5F-WvdKUA_10_0"/>
      <w:bookmarkStart w:id="519" w:name="Tc_wRX7w3e2ZUWJ6kJ4Jjjl0Q_9_17"/>
      <w:bookmarkStart w:id="520" w:name="Tc_DrwYEgJo6Ui8xM4FGA3yWQ_9_11"/>
      <w:bookmarkStart w:id="521" w:name="Tc_kICq2huS1UiYMHdxs9AxSA_9_0"/>
      <w:bookmarkStart w:id="522" w:name="Tc_IDOc47zfMkO-MSNMpNEcWA_8_17"/>
      <w:bookmarkStart w:id="523" w:name="Tc_zLKUWqWHcUKevnQBbDkHTA_8_11"/>
      <w:bookmarkStart w:id="524" w:name="Tc_KFevSjo5jEqN9nKuAopQtA_8_5"/>
      <w:bookmarkStart w:id="525" w:name="Tc_r0V1mDnOpUS8fcvJ-LAqww_8_2"/>
      <w:bookmarkStart w:id="526" w:name="Tc_W_Ra6soSiE29ZoBanLeGpA_8_0"/>
      <w:bookmarkStart w:id="527" w:name="Tc__ZMtErO6cUeUfL86Q6ibcQ_7_14"/>
      <w:bookmarkStart w:id="528" w:name="Tc_mcj4-ysyZUmOJiYZ5F1yFA_7_11"/>
      <w:bookmarkStart w:id="529" w:name="Tc_XDuMbpAyi06UH8NV2fhr4Q_7_8"/>
      <w:bookmarkStart w:id="530" w:name="Tc_zZ9r5_9mB06NjUrYI8upsQ_7_5"/>
      <w:bookmarkStart w:id="531" w:name="Tc_xoEYG3TFoU-SedcYYOnz0A_7_2"/>
      <w:bookmarkStart w:id="532" w:name="Tc_VN38_214RECG8UOF9Gwm7Q_7_0"/>
      <w:bookmarkStart w:id="533" w:name="Tc_Z_QwEqzvxUO7jbDQqllt4g_6_16"/>
      <w:bookmarkStart w:id="534" w:name="Tc_2dP0HZjZnU2Yr7V-cAp-6A_6_13"/>
      <w:bookmarkStart w:id="535" w:name="Tc_e_ftsJWLAEOpJ29s5PZTyA_6_10"/>
      <w:bookmarkStart w:id="536" w:name="Tc_eMc5Lf-EUUiK_Eai-knk3g_6_7"/>
      <w:bookmarkStart w:id="537" w:name="Tc_sAz6WiJd-kqN7NwR2p3JKw_6_4"/>
      <w:bookmarkStart w:id="538" w:name="Tc_gh7uwIwrB0y57KQwF-1rAA_6_0"/>
      <w:bookmarkStart w:id="539" w:name="Tc_1v7HOoI-tkWpW8v4nlVWRw_5_16"/>
      <w:bookmarkStart w:id="540" w:name="Tc_8F92-Xw6h022Jx8W_kPPKg_5_13"/>
      <w:bookmarkStart w:id="541" w:name="Tc_sRsU0sPEqUeFa0eb6BZIWA_5_10"/>
      <w:bookmarkStart w:id="542" w:name="Tc_6Oh0UNpfzEOc0b_CpBggHw_5_7"/>
      <w:bookmarkStart w:id="543" w:name="Tc_mx71SDDxRE6_bS149JcWRQ_5_4"/>
      <w:bookmarkStart w:id="544" w:name="Tc_V8it7v6QR0CThfITaQwt-A_5_2"/>
      <w:bookmarkStart w:id="545" w:name="Tc_AzWbFgPer061ISJZtfBolA_4_16"/>
      <w:bookmarkStart w:id="546" w:name="Tc_qfil0aPjJ0Gz5CgUcWZMWw_4_13"/>
      <w:bookmarkStart w:id="547" w:name="Tc_drkrlkGY7kGUXlt_4qEsqQ_4_10"/>
      <w:bookmarkStart w:id="548" w:name="Tc_JuxHwVR6lEqosBjPg6f6Bw_4_7"/>
      <w:bookmarkStart w:id="549" w:name="Tc_ezvokcyYKUy7ZkhePfYJ0w_4_2"/>
      <w:bookmarkStart w:id="550" w:name="Tc_dXDpIK48BUqkDA6UqG1ztA_3_16"/>
      <w:bookmarkStart w:id="551" w:name="Tc_Vh_Q-pRdb0msCnV7StF9uQ_2_16"/>
      <w:bookmarkStart w:id="552" w:name="Tc_9yCX7UsTikqchG4XDaZ_RQ_2_2"/>
      <w:bookmarkStart w:id="553" w:name="Tc_nTr8Yf3V60CJeMsTo03hmw_1_2"/>
      <w:bookmarkStart w:id="554" w:name="_6e04fd3c_cc99_4d2a_81e5_9516bb71e25d"/>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10205" w:type="dxa"/>
        <w:jc w:val="left"/>
        <w:tblInd w:w="0" w:type="dxa"/>
        <w:tblLayout w:type="fixed"/>
        <w:tblCellMar>
          <w:top w:w="0" w:type="dxa"/>
          <w:left w:w="0" w:type="dxa"/>
          <w:bottom w:w="0" w:type="dxa"/>
          <w:right w:w="0" w:type="dxa"/>
        </w:tblCellMar>
      </w:tblPr>
      <w:tblGrid>
        <w:gridCol w:w="1986"/>
        <w:gridCol w:w="326"/>
        <w:gridCol w:w="1141"/>
        <w:gridCol w:w="326"/>
        <w:gridCol w:w="211"/>
        <w:gridCol w:w="571"/>
        <w:gridCol w:w="326"/>
        <w:gridCol w:w="227"/>
        <w:gridCol w:w="1004"/>
        <w:gridCol w:w="326"/>
        <w:gridCol w:w="211"/>
        <w:gridCol w:w="887"/>
        <w:gridCol w:w="109"/>
        <w:gridCol w:w="221"/>
        <w:gridCol w:w="822"/>
        <w:gridCol w:w="146"/>
        <w:gridCol w:w="366"/>
        <w:gridCol w:w="999"/>
      </w:tblGrid>
      <w:tr>
        <w:trPr/>
        <w:tc>
          <w:tcPr>
            <w:tcW w:w="1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61110" cy="175260"/>
                      <wp:effectExtent l="0" t="0" r="0" b="0"/>
                      <wp:wrapNone/>
                      <wp:docPr id="45" name="Frame45"/>
                      <a:graphic xmlns:a="http://schemas.openxmlformats.org/drawingml/2006/main">
                        <a:graphicData uri="http://schemas.microsoft.com/office/word/2010/wordprocessingShape">
                          <wps:wsp>
                            <wps:cNvSpPr txBox="1"/>
                            <wps:spPr>
                              <a:xfrm>
                                <a:off x="0" y="0"/>
                                <a:ext cx="1261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24535" cy="175260"/>
                      <wp:effectExtent l="0" t="0" r="0" b="0"/>
                      <wp:wrapNone/>
                      <wp:docPr id="47" name="Frame4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62585" cy="175260"/>
                      <wp:effectExtent l="0" t="0" r="0" b="0"/>
                      <wp:wrapNone/>
                      <wp:docPr id="50" name="Frame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4145" cy="175260"/>
                      <wp:effectExtent l="0" t="0" r="0" b="0"/>
                      <wp:wrapNone/>
                      <wp:docPr id="52" name="Frame5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37540" cy="175260"/>
                      <wp:effectExtent l="0" t="0" r="0" b="0"/>
                      <wp:wrapNone/>
                      <wp:docPr id="53" name="Frame53"/>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63245" cy="175260"/>
                      <wp:effectExtent l="0" t="0" r="0" b="0"/>
                      <wp:wrapNone/>
                      <wp:docPr id="56" name="Frame5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9215" cy="175260"/>
                      <wp:effectExtent l="0" t="0" r="0" b="0"/>
                      <wp:wrapNone/>
                      <wp:docPr id="57"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0335" cy="175260"/>
                      <wp:effectExtent l="0" t="0" r="0" b="0"/>
                      <wp:wrapNone/>
                      <wp:docPr id="58" name="Frame5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1970" cy="175260"/>
                      <wp:effectExtent l="0" t="0" r="0" b="0"/>
                      <wp:wrapNone/>
                      <wp:docPr id="59" name="Frame5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710" cy="175260"/>
                      <wp:effectExtent l="0" t="0" r="0" b="0"/>
                      <wp:wrapNone/>
                      <wp:docPr id="60" name="Frame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32410" cy="175260"/>
                      <wp:effectExtent l="0" t="0" r="0" b="0"/>
                      <wp:wrapNone/>
                      <wp:docPr id="61" name="Frame6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34365" cy="175260"/>
                      <wp:effectExtent l="0" t="0" r="0" b="0"/>
                      <wp:wrapNone/>
                      <wp:docPr id="62" name="Frame62"/>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9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2025 and 2024</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82"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146" w:type="dxa"/>
            <w:tcBorders/>
            <w:vAlign w:val="center"/>
          </w:tcPr>
          <w:p>
            <w:pPr>
              <w:pStyle w:val="TableContents"/>
              <w:bidi w:val="0"/>
              <w:spacing w:before="0" w:after="1"/>
              <w:ind w:left="0" w:right="0" w:hanging="0"/>
              <w:jc w:val="center"/>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Mezzanine Equity</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27" w:type="dxa"/>
            <w:tcBorders/>
            <w:vAlign w:val="center"/>
          </w:tcPr>
          <w:p>
            <w:pPr>
              <w:pStyle w:val="TableContents"/>
              <w:bidi w:val="0"/>
              <w:spacing w:before="0" w:after="1"/>
              <w:ind w:left="0" w:right="0" w:hanging="0"/>
              <w:jc w:val="center"/>
              <w:rPr/>
            </w:pPr>
            <w:r>
              <w:rPr/>
              <w:t>​</w:t>
            </w:r>
          </w:p>
        </w:tc>
        <w:tc>
          <w:tcPr>
            <w:tcW w:w="10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822"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09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146" w:type="dxa"/>
            <w:tcBorders/>
            <w:vAlign w:val="center"/>
          </w:tcPr>
          <w:p>
            <w:pPr>
              <w:pStyle w:val="TableContents"/>
              <w:bidi w:val="0"/>
              <w:spacing w:before="0" w:after="1"/>
              <w:ind w:left="0" w:right="0" w:hanging="0"/>
              <w:jc w:val="center"/>
              <w:rPr/>
            </w:pPr>
            <w:r>
              <w:rPr/>
              <w:t> </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center"/>
              <w:rPr/>
            </w:pPr>
            <w:r>
              <w:rPr/>
              <w:t>​</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146"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239,176,293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1,287,333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(800,237)</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489,488</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redeemable non-controlling interest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2,948,347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redemption value of redeemable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(27,538)</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(27,538)</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242,124,640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1,294,264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(827,814)</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468,871</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5,956</w:t>
            </w:r>
          </w:p>
        </w:tc>
      </w:tr>
      <w:tr>
        <w:trPr/>
        <w:tc>
          <w:tcPr>
            <w:tcW w:w="19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lef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240,499,833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1,276,581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(721,597)</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557,389</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6,015,823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(7,190,006)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(4,710)</w:t>
            </w:r>
          </w:p>
        </w:tc>
        <w:tc>
          <w:tcPr>
            <w:tcW w:w="14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999" w:type="dxa"/>
            <w:tcBorders/>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999" w:type="dxa"/>
            <w:tcBorders/>
            <w:shd w:fill="CCEEFF" w:val="clear"/>
            <w:vAlign w:val="center"/>
          </w:tcPr>
          <w:p>
            <w:pPr>
              <w:pStyle w:val="TableContents"/>
              <w:bidi w:val="0"/>
              <w:spacing w:before="0" w:after="1"/>
              <w:ind w:left="0" w:right="0" w:hanging="0"/>
              <w:jc w:val="right"/>
              <w:rPr/>
            </w:pPr>
            <w:r>
              <w:rPr/>
              <w:t>​</w:t>
            </w:r>
          </w:p>
        </w:tc>
      </w:tr>
      <w:tr>
        <w:trPr/>
        <w:tc>
          <w:tcPr>
            <w:tcW w:w="1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146" w:type="dxa"/>
            <w:tcBorders/>
            <w:vAlign w:val="center"/>
          </w:tcPr>
          <w:p>
            <w:pPr>
              <w:pStyle w:val="TableContents"/>
              <w:bidi w:val="0"/>
              <w:spacing w:before="0" w:after="1"/>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9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239,407,448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1,284,957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(782,630)</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504,721</w:t>
            </w:r>
          </w:p>
        </w:tc>
        <w:tc>
          <w:tcPr>
            <w:tcW w:w="146" w:type="dxa"/>
            <w:tcBorders/>
            <w:shd w:fill="CCEEFF" w:val="clear"/>
            <w:vAlign w:val="center"/>
          </w:tcPr>
          <w:p>
            <w:pPr>
              <w:pStyle w:val="TableContents"/>
              <w:bidi w:val="0"/>
              <w:spacing w:before="0" w:after="1"/>
              <w:ind w:left="0" w:right="0" w:hanging="0"/>
              <w:jc w:val="left"/>
              <w:rPr/>
            </w:pPr>
            <w:r>
              <w:rPr/>
              <w:t>​</w:t>
            </w:r>
          </w:p>
        </w:tc>
        <w:tc>
          <w:tcPr>
            <w:tcW w:w="3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555" w:name="_f40a59fb_1dca_49a6_94d0_671d01198324"/>
      <w:bookmarkEnd w:id="555"/>
      <w:r>
        <w:rPr>
          <w:rFonts w:ascii="Times New Roman;Times;serif" w:hAnsi="Times New Roman;Times;serif"/>
          <w:b/>
          <w:sz w:val="20"/>
        </w:rPr>
        <w:t>GEVO, INC.</w:t>
      </w:r>
    </w:p>
    <w:p>
      <w:pPr>
        <w:pStyle w:val="TextBody"/>
        <w:bidi w:val="0"/>
        <w:spacing w:lineRule="atLeast" w:line="200" w:before="0" w:after="0"/>
        <w:ind w:left="0" w:right="0" w:hanging="0"/>
        <w:jc w:val="center"/>
        <w:rPr>
          <w:rFonts w:ascii="Times New Roman;Times;serif" w:hAnsi="Times New Roman;Times;serif"/>
          <w:b/>
          <w:sz w:val="20"/>
        </w:rPr>
      </w:pPr>
      <w:bookmarkStart w:id="556" w:name="CONSOLIDATEDSTATEMENTSOFCASHFLOWS_224163"/>
      <w:bookmarkEnd w:id="556"/>
      <w:r>
        <w:rPr>
          <w:rFonts w:ascii="Times New Roman;Times;serif" w:hAnsi="Times New Roman;Times;serif"/>
          <w:b/>
          <w:sz w:val="20"/>
        </w:rPr>
        <w:t>CONDENSED 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7" w:name="Tc_CpLSPcZ20EeZkAPcPCk3-Q_39_5"/>
      <w:bookmarkStart w:id="558" w:name="Tc_QlCsHcBEKEeoXw0j46KpNg_39_2"/>
      <w:bookmarkStart w:id="559" w:name="Tc_UqUWhwdGgEyaSlZJJ6547A_39_0"/>
      <w:bookmarkStart w:id="560" w:name="Tc_kpTN7c4P6US1LGUhBzE_bw_38_0"/>
      <w:bookmarkStart w:id="561" w:name="Tc_1If_WhxGGUe6HUiMyASZVA_37_0"/>
      <w:bookmarkStart w:id="562" w:name="Tc_5GE0Vh3ye0qzxV7ciu10hQ_36_0"/>
      <w:bookmarkStart w:id="563" w:name="Tc_xbZzX-5FXESk_8Vsg_nW7g_35_3"/>
      <w:bookmarkStart w:id="564" w:name="Tc_P_8LTvL0mUW3Q9w55FxSzg_35_0"/>
      <w:bookmarkStart w:id="565" w:name="Tc_q73Zm3b-x0u2xewx196cCg_34_0"/>
      <w:bookmarkStart w:id="566" w:name="Tc_PZs3nI_P9U2MIprlkX3vDw_33_0"/>
      <w:bookmarkStart w:id="567" w:name="Tc_a8CnEIF26UyLx--uFS5odg_32_6"/>
      <w:bookmarkStart w:id="568" w:name="Tc_EWOndHH8TEapJ-0XFdC21Q_32_0"/>
      <w:bookmarkStart w:id="569" w:name="Tc_B5uYrBdsUEakjr3MSZnx0w_31_3"/>
      <w:bookmarkStart w:id="570" w:name="Tc_RfZHjyJmE0qANMaC_S6rbA_31_0"/>
      <w:bookmarkStart w:id="571" w:name="Tc_pS3yukUBF0OkdIbDb1yQMg_30_6"/>
      <w:bookmarkStart w:id="572" w:name="Tc_4nxDtuQAgEKHwCFKkfs7Ng_30_0"/>
      <w:bookmarkStart w:id="573" w:name="Tc_tRKj6xTS2EeoubJxcr4Aug_29_0"/>
      <w:bookmarkStart w:id="574" w:name="Tc_AuAoLk3bnUGyqnxgGsKlEg_28_6"/>
      <w:bookmarkStart w:id="575" w:name="Tc_JncucLNmg0WzmzAgKPbSUA_28_0"/>
      <w:bookmarkStart w:id="576" w:name="Tc_ha_9movLekiirJlO3nIYTg_27_0"/>
      <w:bookmarkStart w:id="577" w:name="Tc_PKn-axePNEKYCzmYObjcOw_26_0"/>
      <w:bookmarkStart w:id="578" w:name="Tc_DbWHrayZNES-VhfzYKlsWg_25_0"/>
      <w:bookmarkStart w:id="579" w:name="Tc_IdD7kdcZyUW5rG4cJ55mDA_24_0"/>
      <w:bookmarkStart w:id="580" w:name="Tc_MPuwYBoN3k-0iNSVzy_CVw_23_3"/>
      <w:bookmarkStart w:id="581" w:name="Tc_mf0dwIrzgECKkc2mtltGgw_23_0"/>
      <w:bookmarkStart w:id="582" w:name="Tc_ODkf8QJLNU6Soq0Irn491w_22_3"/>
      <w:bookmarkStart w:id="583" w:name="Tc_ZYGBN5d890-A8OZx1vipbA_22_0"/>
      <w:bookmarkStart w:id="584" w:name="Tc_dkULmPyKA0GLWw5wOcrDYg_21_3"/>
      <w:bookmarkStart w:id="585" w:name="Tc_oDe6Z-8NaUWPW-3WoEGfuw_21_0"/>
      <w:bookmarkStart w:id="586" w:name="Tc_MbsaJ1seqkelIflAmLiYyA_20_6"/>
      <w:bookmarkStart w:id="587" w:name="Tc_JzQii1TfiES-Eaz1K8WqnA_20_0"/>
      <w:bookmarkStart w:id="588" w:name="Tc_q5jBvfUZ-EOfqqQw5NIYNQ_19_0"/>
      <w:bookmarkStart w:id="589" w:name="Tc_U6OALOShTUiuzrnkyVbScg_18_0"/>
      <w:bookmarkStart w:id="590" w:name="Tc_gfBe8u5DpUOrLpga8CuYBQ_17_0"/>
      <w:bookmarkStart w:id="591" w:name="Tc_A-kGXfwS0UO_tFfX74CSlQ_16_0"/>
      <w:bookmarkStart w:id="592" w:name="Tc_zLAjrKeqp0qa1g8UubzItQ_15_0"/>
      <w:bookmarkStart w:id="593" w:name="Tc_-c3RcqrTw0uZGRGn7qLcKA_14_0"/>
      <w:bookmarkStart w:id="594" w:name="Tc_HnL286iV4kuH4rBab6Ht0w_13_0"/>
      <w:bookmarkStart w:id="595" w:name="Tc__QrQr-R1XUi7uoOKD43hqQ_12_0"/>
      <w:bookmarkStart w:id="596" w:name="Tc_oxLaSH7nE06ryIQQH9qW7w_11_0"/>
      <w:bookmarkStart w:id="597" w:name="Tc_UEycezNbgUC6g3lozv8ozA_10_6"/>
      <w:bookmarkStart w:id="598" w:name="Tc_9cZALJUEv0aGLDhBEMJHmA_10_0"/>
      <w:bookmarkStart w:id="599" w:name="Tc_v0iBisDOn0SKqav3ILDbxQ_9_6"/>
      <w:bookmarkStart w:id="600" w:name="Tc_YZeNNjC6qUq-qXkZpJp-jQ_9_0"/>
      <w:bookmarkStart w:id="601" w:name="Tc__ZD5tUnVBEqkDoGUiQeTxg_8_0"/>
      <w:bookmarkStart w:id="602" w:name="Tc_D_JqaaZMEUC2_3DvExxo1A_7_0"/>
      <w:bookmarkStart w:id="603" w:name="Tc_3EHExvS380Sr6p2IhZlkyQ_6_6"/>
      <w:bookmarkStart w:id="604" w:name="Tc_jxpk3uxZwUaRV5uwUBwbUA_6_0"/>
      <w:bookmarkStart w:id="605" w:name="Tc_FvDIMDjTGEuah5mVtwnfQg_5_0"/>
      <w:bookmarkStart w:id="606" w:name="Tc_0AtdQZQIzU6YECl5OMvxYg_4_5"/>
      <w:bookmarkStart w:id="607" w:name="Tc_Ym8UwkZaGkevABlXfAjmdA_4_2"/>
      <w:bookmarkStart w:id="608" w:name="Tc_lnFzNrX6ykWTfHFkdnwNhg_4_0"/>
      <w:bookmarkStart w:id="609" w:name="Tc_ZkQx2tvF-Eyn9BvyvN4YpA_3_0"/>
      <w:bookmarkStart w:id="610" w:name="Tc_Ix8WIU7E2UmpKOtfophj4g_2_5"/>
      <w:bookmarkStart w:id="611" w:name="Tc_U3D28tFEwUaOT7Ml2Qx0aQ_2_2"/>
      <w:bookmarkStart w:id="612" w:name="Tc_IM7Y1awp-Umpaqy3rF7Rsg_1_2"/>
      <w:bookmarkStart w:id="613" w:name="_75ea06c2_783f_429f_b903_71e05484714d"/>
      <w:bookmarkStart w:id="614" w:name="Tc_CpLSPcZ20EeZkAPcPCk3-Q_39_5"/>
      <w:bookmarkStart w:id="615" w:name="Tc_QlCsHcBEKEeoXw0j46KpNg_39_2"/>
      <w:bookmarkStart w:id="616" w:name="Tc_UqUWhwdGgEyaSlZJJ6547A_39_0"/>
      <w:bookmarkStart w:id="617" w:name="Tc_kpTN7c4P6US1LGUhBzE_bw_38_0"/>
      <w:bookmarkStart w:id="618" w:name="Tc_1If_WhxGGUe6HUiMyASZVA_37_0"/>
      <w:bookmarkStart w:id="619" w:name="Tc_5GE0Vh3ye0qzxV7ciu10hQ_36_0"/>
      <w:bookmarkStart w:id="620" w:name="Tc_xbZzX-5FXESk_8Vsg_nW7g_35_3"/>
      <w:bookmarkStart w:id="621" w:name="Tc_P_8LTvL0mUW3Q9w55FxSzg_35_0"/>
      <w:bookmarkStart w:id="622" w:name="Tc_q73Zm3b-x0u2xewx196cCg_34_0"/>
      <w:bookmarkStart w:id="623" w:name="Tc_PZs3nI_P9U2MIprlkX3vDw_33_0"/>
      <w:bookmarkStart w:id="624" w:name="Tc_a8CnEIF26UyLx--uFS5odg_32_6"/>
      <w:bookmarkStart w:id="625" w:name="Tc_EWOndHH8TEapJ-0XFdC21Q_32_0"/>
      <w:bookmarkStart w:id="626" w:name="Tc_B5uYrBdsUEakjr3MSZnx0w_31_3"/>
      <w:bookmarkStart w:id="627" w:name="Tc_RfZHjyJmE0qANMaC_S6rbA_31_0"/>
      <w:bookmarkStart w:id="628" w:name="Tc_pS3yukUBF0OkdIbDb1yQMg_30_6"/>
      <w:bookmarkStart w:id="629" w:name="Tc_4nxDtuQAgEKHwCFKkfs7Ng_30_0"/>
      <w:bookmarkStart w:id="630" w:name="Tc_tRKj6xTS2EeoubJxcr4Aug_29_0"/>
      <w:bookmarkStart w:id="631" w:name="Tc_AuAoLk3bnUGyqnxgGsKlEg_28_6"/>
      <w:bookmarkStart w:id="632" w:name="Tc_JncucLNmg0WzmzAgKPbSUA_28_0"/>
      <w:bookmarkStart w:id="633" w:name="Tc_ha_9movLekiirJlO3nIYTg_27_0"/>
      <w:bookmarkStart w:id="634" w:name="Tc_PKn-axePNEKYCzmYObjcOw_26_0"/>
      <w:bookmarkStart w:id="635" w:name="Tc_DbWHrayZNES-VhfzYKlsWg_25_0"/>
      <w:bookmarkStart w:id="636" w:name="Tc_IdD7kdcZyUW5rG4cJ55mDA_24_0"/>
      <w:bookmarkStart w:id="637" w:name="Tc_MPuwYBoN3k-0iNSVzy_CVw_23_3"/>
      <w:bookmarkStart w:id="638" w:name="Tc_mf0dwIrzgECKkc2mtltGgw_23_0"/>
      <w:bookmarkStart w:id="639" w:name="Tc_ODkf8QJLNU6Soq0Irn491w_22_3"/>
      <w:bookmarkStart w:id="640" w:name="Tc_ZYGBN5d890-A8OZx1vipbA_22_0"/>
      <w:bookmarkStart w:id="641" w:name="Tc_dkULmPyKA0GLWw5wOcrDYg_21_3"/>
      <w:bookmarkStart w:id="642" w:name="Tc_oDe6Z-8NaUWPW-3WoEGfuw_21_0"/>
      <w:bookmarkStart w:id="643" w:name="Tc_MbsaJ1seqkelIflAmLiYyA_20_6"/>
      <w:bookmarkStart w:id="644" w:name="Tc_JzQii1TfiES-Eaz1K8WqnA_20_0"/>
      <w:bookmarkStart w:id="645" w:name="Tc_q5jBvfUZ-EOfqqQw5NIYNQ_19_0"/>
      <w:bookmarkStart w:id="646" w:name="Tc_U6OALOShTUiuzrnkyVbScg_18_0"/>
      <w:bookmarkStart w:id="647" w:name="Tc_gfBe8u5DpUOrLpga8CuYBQ_17_0"/>
      <w:bookmarkStart w:id="648" w:name="Tc_A-kGXfwS0UO_tFfX74CSlQ_16_0"/>
      <w:bookmarkStart w:id="649" w:name="Tc_zLAjrKeqp0qa1g8UubzItQ_15_0"/>
      <w:bookmarkStart w:id="650" w:name="Tc_-c3RcqrTw0uZGRGn7qLcKA_14_0"/>
      <w:bookmarkStart w:id="651" w:name="Tc_HnL286iV4kuH4rBab6Ht0w_13_0"/>
      <w:bookmarkStart w:id="652" w:name="Tc__QrQr-R1XUi7uoOKD43hqQ_12_0"/>
      <w:bookmarkStart w:id="653" w:name="Tc_oxLaSH7nE06ryIQQH9qW7w_11_0"/>
      <w:bookmarkStart w:id="654" w:name="Tc_UEycezNbgUC6g3lozv8ozA_10_6"/>
      <w:bookmarkStart w:id="655" w:name="Tc_9cZALJUEv0aGLDhBEMJHmA_10_0"/>
      <w:bookmarkStart w:id="656" w:name="Tc_v0iBisDOn0SKqav3ILDbxQ_9_6"/>
      <w:bookmarkStart w:id="657" w:name="Tc_YZeNNjC6qUq-qXkZpJp-jQ_9_0"/>
      <w:bookmarkStart w:id="658" w:name="Tc__ZD5tUnVBEqkDoGUiQeTxg_8_0"/>
      <w:bookmarkStart w:id="659" w:name="Tc_D_JqaaZMEUC2_3DvExxo1A_7_0"/>
      <w:bookmarkStart w:id="660" w:name="Tc_3EHExvS380Sr6p2IhZlkyQ_6_6"/>
      <w:bookmarkStart w:id="661" w:name="Tc_jxpk3uxZwUaRV5uwUBwbUA_6_0"/>
      <w:bookmarkStart w:id="662" w:name="Tc_FvDIMDjTGEuah5mVtwnfQg_5_0"/>
      <w:bookmarkStart w:id="663" w:name="Tc_0AtdQZQIzU6YECl5OMvxYg_4_5"/>
      <w:bookmarkStart w:id="664" w:name="Tc_Ym8UwkZaGkevABlXfAjmdA_4_2"/>
      <w:bookmarkStart w:id="665" w:name="Tc_lnFzNrX6ykWTfHFkdnwNhg_4_0"/>
      <w:bookmarkStart w:id="666" w:name="Tc_ZkQx2tvF-Eyn9BvyvN4YpA_3_0"/>
      <w:bookmarkStart w:id="667" w:name="Tc_Ix8WIU7E2UmpKOtfophj4g_2_5"/>
      <w:bookmarkStart w:id="668" w:name="Tc_U3D28tFEwUaOT7Ml2Qx0aQ_2_2"/>
      <w:bookmarkStart w:id="669" w:name="Tc_IM7Y1awp-Umpaqy3rF7Rsg_1_2"/>
      <w:bookmarkStart w:id="670" w:name="_75ea06c2_783f_429f_b903_71e05484714d"/>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tbl>
      <w:tblPr>
        <w:tblW w:w="8892" w:type="dxa"/>
        <w:jc w:val="left"/>
        <w:tblInd w:w="0" w:type="dxa"/>
        <w:tblLayout w:type="fixed"/>
        <w:tblCellMar>
          <w:top w:w="0" w:type="dxa"/>
          <w:left w:w="0" w:type="dxa"/>
          <w:bottom w:w="0" w:type="dxa"/>
          <w:right w:w="0" w:type="dxa"/>
        </w:tblCellMar>
      </w:tblPr>
      <w:tblGrid>
        <w:gridCol w:w="6031"/>
        <w:gridCol w:w="326"/>
        <w:gridCol w:w="211"/>
        <w:gridCol w:w="901"/>
        <w:gridCol w:w="326"/>
        <w:gridCol w:w="211"/>
        <w:gridCol w:w="88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829685" cy="175260"/>
                      <wp:effectExtent l="0" t="0" r="0" b="0"/>
                      <wp:wrapNone/>
                      <wp:docPr id="63" name="Frame63"/>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72135" cy="175260"/>
                      <wp:effectExtent l="0" t="0" r="0" b="0"/>
                      <wp:wrapNone/>
                      <wp:docPr id="66" name="Frame6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loss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(26,621)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(61,033)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Loss on extinguishment of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12,485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20,239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12,222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Tax credit generation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(34,006)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Amortization of deferred financing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non-cash (income)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1,847</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 net of effects of acquisition: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1,417</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(1,542)</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 deposits and 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(10,750)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 accrued expenses and non-current liabilities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11,557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6,814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(38,540)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Acquisitions of property, plant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(18,907)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(36,459)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 of Red Trail Energy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(198,461)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sale of investment tax credit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15,336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earnest money deposit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(10,000)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Acquisition of CultivateAI,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(217,368)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(37,193)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issuance of bonds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68,155</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Redemption of bonds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(68,155)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Loan proceeds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105,000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debt issuance costs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(9,425)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(1,665)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Non-controlling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the exercise of warrants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the exercise of stock options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loans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Payment of finance lease liabilities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(4,710)</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(used in) financing activities</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100,065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(6,993)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(150,659)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(82,726)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259,033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375,597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cash equivalents and restricted cash at end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108,374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292,871</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71" w:name="Tc_d3J3xoQYSEabLRoYlrQHMw_6_5"/>
      <w:bookmarkStart w:id="672" w:name="Tc_irgE8fCkvUWpx5WhG0Izag_6_2"/>
      <w:bookmarkStart w:id="673" w:name="Tc_lXRJR0QnWEKDCXUajz69oQ_6_0"/>
      <w:bookmarkStart w:id="674" w:name="Tc_zVW0wpyTokqajoz_bdsNSA_5_0"/>
      <w:bookmarkStart w:id="675" w:name="Tc_dMdg7sGdjEqpVX6eCPZ_mQ_4_0"/>
      <w:bookmarkStart w:id="676" w:name="Tc_93x2redHt0e40OBWGk3Xmg_3_5"/>
      <w:bookmarkStart w:id="677" w:name="Tc_GI1tdIiqZEqb6tDkFZdpCA_3_2"/>
      <w:bookmarkStart w:id="678" w:name="Tc_sjcIDb8IAk-qmbIrMSVSWA_3_0"/>
      <w:bookmarkStart w:id="679" w:name="Tc_U1ttOzv0ykytgExXU7QJew_2_5"/>
      <w:bookmarkStart w:id="680" w:name="Tc_una-fcO2l0Onu5nBV89JPw_2_2"/>
      <w:bookmarkStart w:id="681" w:name="Tc_BUdtM0xZ-k6wuv4S03R9YA_2_0"/>
      <w:bookmarkStart w:id="682" w:name="Tc_W5vwvHLQHUWOXG3QqxMJyA_1_2"/>
      <w:bookmarkStart w:id="683" w:name="_a9c348a3_a5d0_4d9f_8481_89902312bf21"/>
      <w:bookmarkStart w:id="684" w:name="Tc_d3J3xoQYSEabLRoYlrQHMw_6_5"/>
      <w:bookmarkStart w:id="685" w:name="Tc_irgE8fCkvUWpx5WhG0Izag_6_2"/>
      <w:bookmarkStart w:id="686" w:name="Tc_lXRJR0QnWEKDCXUajz69oQ_6_0"/>
      <w:bookmarkStart w:id="687" w:name="Tc_zVW0wpyTokqajoz_bdsNSA_5_0"/>
      <w:bookmarkStart w:id="688" w:name="Tc_dMdg7sGdjEqpVX6eCPZ_mQ_4_0"/>
      <w:bookmarkStart w:id="689" w:name="Tc_93x2redHt0e40OBWGk3Xmg_3_5"/>
      <w:bookmarkStart w:id="690" w:name="Tc_GI1tdIiqZEqb6tDkFZdpCA_3_2"/>
      <w:bookmarkStart w:id="691" w:name="Tc_sjcIDb8IAk-qmbIrMSVSWA_3_0"/>
      <w:bookmarkStart w:id="692" w:name="Tc_U1ttOzv0ykytgExXU7QJew_2_5"/>
      <w:bookmarkStart w:id="693" w:name="Tc_una-fcO2l0Onu5nBV89JPw_2_2"/>
      <w:bookmarkStart w:id="694" w:name="Tc_BUdtM0xZ-k6wuv4S03R9YA_2_0"/>
      <w:bookmarkStart w:id="695" w:name="Tc_W5vwvHLQHUWOXG3QqxMJyA_1_2"/>
      <w:bookmarkStart w:id="696" w:name="_a9c348a3_a5d0_4d9f_8481_89902312bf21"/>
      <w:bookmarkEnd w:id="684"/>
      <w:bookmarkEnd w:id="685"/>
      <w:bookmarkEnd w:id="686"/>
      <w:bookmarkEnd w:id="687"/>
      <w:bookmarkEnd w:id="688"/>
      <w:bookmarkEnd w:id="689"/>
      <w:bookmarkEnd w:id="690"/>
      <w:bookmarkEnd w:id="691"/>
      <w:bookmarkEnd w:id="692"/>
      <w:bookmarkEnd w:id="693"/>
      <w:bookmarkEnd w:id="694"/>
      <w:bookmarkEnd w:id="695"/>
      <w:bookmarkEnd w:id="696"/>
    </w:p>
    <w:tbl>
      <w:tblPr>
        <w:tblW w:w="6911" w:type="dxa"/>
        <w:jc w:val="left"/>
        <w:tblInd w:w="0" w:type="dxa"/>
        <w:tblLayout w:type="fixed"/>
        <w:tblCellMar>
          <w:top w:w="0" w:type="dxa"/>
          <w:left w:w="0" w:type="dxa"/>
          <w:bottom w:w="0" w:type="dxa"/>
          <w:right w:w="0" w:type="dxa"/>
        </w:tblCellMar>
      </w:tblPr>
      <w:tblGrid>
        <w:gridCol w:w="4111"/>
        <w:gridCol w:w="326"/>
        <w:gridCol w:w="216"/>
        <w:gridCol w:w="800"/>
        <w:gridCol w:w="334"/>
        <w:gridCol w:w="216"/>
        <w:gridCol w:w="908"/>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610485" cy="175260"/>
                      <wp:effectExtent l="0" t="0" r="0" b="0"/>
                      <wp:wrapNone/>
                      <wp:docPr id="70" name="Frame7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7160" cy="175260"/>
                      <wp:effectExtent l="0" t="0" r="0" b="0"/>
                      <wp:wrapNone/>
                      <wp:docPr id="72" name="Frame7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8000" cy="175260"/>
                      <wp:effectExtent l="0" t="0" r="0" b="0"/>
                      <wp:wrapNone/>
                      <wp:docPr id="73" name="Frame73"/>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2090" cy="175260"/>
                      <wp:effectExtent l="0" t="0" r="0" b="0"/>
                      <wp:wrapNone/>
                      <wp:docPr id="74" name="Frame74"/>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7160" cy="175260"/>
                      <wp:effectExtent l="0" t="0" r="0" b="0"/>
                      <wp:wrapNone/>
                      <wp:docPr id="75" name="Frame7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76580" cy="175260"/>
                      <wp:effectExtent l="0" t="0" r="0" b="0"/>
                      <wp:wrapNone/>
                      <wp:docPr id="76" name="Frame76"/>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7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Schedule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10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334" w:type="dxa"/>
            <w:tcBorders/>
            <w:vAlign w:val="center"/>
          </w:tcPr>
          <w:p>
            <w:pPr>
              <w:pStyle w:val="TableContents"/>
              <w:bidi w:val="0"/>
              <w:spacing w:before="0" w:after="1"/>
              <w:ind w:left="0" w:right="0" w:hanging="0"/>
              <w:jc w:val="left"/>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72,598</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223,227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cash (current)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28,770</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Restricted cash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7,006</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68,155</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Total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108,374</w:t>
            </w:r>
          </w:p>
        </w:tc>
        <w:tc>
          <w:tcPr>
            <w:tcW w:w="334"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292,871</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97" w:name="Tc_9NqQL6Ec3ECNAg447dIAzQ_6_5"/>
      <w:bookmarkStart w:id="698" w:name="Tc_GTP_J-wGcUuBr-m_Jlvztg_6_3"/>
      <w:bookmarkStart w:id="699" w:name="Tc_8qC52-selUyoOUxpTFH96Q_6_2"/>
      <w:bookmarkStart w:id="700" w:name="Tc_ejZC4J0WDkCT_n5Nyuyc5g_6_0"/>
      <w:bookmarkStart w:id="701" w:name="Tc_GDwRnJ4kYUudioNjUkuoAQ_5_5"/>
      <w:bookmarkStart w:id="702" w:name="Tc_8oe5YyEyE0iWhY39HcLGOw_5_2"/>
      <w:bookmarkStart w:id="703" w:name="Tc_gPQZIDsHuUm_cX6Z5GGc1Q_5_0"/>
      <w:bookmarkStart w:id="704" w:name="Tc_K4BGMl6Hv0WxzqeSwrCHiA_4_5"/>
      <w:bookmarkStart w:id="705" w:name="Tc_COurS6zk8kSPntaevz0crA_4_2"/>
      <w:bookmarkStart w:id="706" w:name="Tc_UFQhx90r5UqEqL-4TbfRJA_4_0"/>
      <w:bookmarkStart w:id="707" w:name="Tc_k2KK7BmLaUubJWGOLnfokg_3_5"/>
      <w:bookmarkStart w:id="708" w:name="Tc_HI0aHS6lU0ie-Wl4O8Hmfg_3_2"/>
      <w:bookmarkStart w:id="709" w:name="Tc_fq9sJXIzxEK6znLqT7Vp-Q_3_0"/>
      <w:bookmarkStart w:id="710" w:name="Tc_U6gVT0eQBUCxTJZS855qkA_2_5"/>
      <w:bookmarkStart w:id="711" w:name="Tc_JZjfcig7zUumtntA-Acn_A_2_2"/>
      <w:bookmarkStart w:id="712" w:name="Tc_kutqXv5R4U-nNr-PvUmtEg_2_0"/>
      <w:bookmarkStart w:id="713" w:name="Tc_CxyG8st8MEurcOWniNl-xQ_1_2"/>
      <w:bookmarkStart w:id="714" w:name="_848ee656_dc8b_440b_bd65_52abb7af0673"/>
      <w:bookmarkStart w:id="715" w:name="Tc_9NqQL6Ec3ECNAg447dIAzQ_6_5"/>
      <w:bookmarkStart w:id="716" w:name="Tc_GTP_J-wGcUuBr-m_Jlvztg_6_3"/>
      <w:bookmarkStart w:id="717" w:name="Tc_8qC52-selUyoOUxpTFH96Q_6_2"/>
      <w:bookmarkStart w:id="718" w:name="Tc_ejZC4J0WDkCT_n5Nyuyc5g_6_0"/>
      <w:bookmarkStart w:id="719" w:name="Tc_GDwRnJ4kYUudioNjUkuoAQ_5_5"/>
      <w:bookmarkStart w:id="720" w:name="Tc_8oe5YyEyE0iWhY39HcLGOw_5_2"/>
      <w:bookmarkStart w:id="721" w:name="Tc_gPQZIDsHuUm_cX6Z5GGc1Q_5_0"/>
      <w:bookmarkStart w:id="722" w:name="Tc_K4BGMl6Hv0WxzqeSwrCHiA_4_5"/>
      <w:bookmarkStart w:id="723" w:name="Tc_COurS6zk8kSPntaevz0crA_4_2"/>
      <w:bookmarkStart w:id="724" w:name="Tc_UFQhx90r5UqEqL-4TbfRJA_4_0"/>
      <w:bookmarkStart w:id="725" w:name="Tc_k2KK7BmLaUubJWGOLnfokg_3_5"/>
      <w:bookmarkStart w:id="726" w:name="Tc_HI0aHS6lU0ie-Wl4O8Hmfg_3_2"/>
      <w:bookmarkStart w:id="727" w:name="Tc_fq9sJXIzxEK6znLqT7Vp-Q_3_0"/>
      <w:bookmarkStart w:id="728" w:name="Tc_U6gVT0eQBUCxTJZS855qkA_2_5"/>
      <w:bookmarkStart w:id="729" w:name="Tc_JZjfcig7zUumtntA-Acn_A_2_2"/>
      <w:bookmarkStart w:id="730" w:name="Tc_kutqXv5R4U-nNr-PvUmtEg_2_0"/>
      <w:bookmarkStart w:id="731" w:name="Tc_CxyG8st8MEurcOWniNl-xQ_1_2"/>
      <w:bookmarkStart w:id="732" w:name="_848ee656_dc8b_440b_bd65_52abb7af0673"/>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tbl>
      <w:tblPr>
        <w:tblW w:w="8410" w:type="dxa"/>
        <w:jc w:val="left"/>
        <w:tblInd w:w="0" w:type="dxa"/>
        <w:tblLayout w:type="fixed"/>
        <w:tblCellMar>
          <w:top w:w="0" w:type="dxa"/>
          <w:left w:w="0" w:type="dxa"/>
          <w:bottom w:w="0" w:type="dxa"/>
          <w:right w:w="0" w:type="dxa"/>
        </w:tblCellMar>
      </w:tblPr>
      <w:tblGrid>
        <w:gridCol w:w="5611"/>
        <w:gridCol w:w="326"/>
        <w:gridCol w:w="269"/>
        <w:gridCol w:w="730"/>
        <w:gridCol w:w="417"/>
        <w:gridCol w:w="269"/>
        <w:gridCol w:w="788"/>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562985" cy="175260"/>
                      <wp:effectExtent l="0" t="0" r="0" b="0"/>
                      <wp:wrapNone/>
                      <wp:docPr id="77" name="Frame77"/>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70815" cy="175260"/>
                      <wp:effectExtent l="0" t="0" r="0" b="0"/>
                      <wp:wrapNone/>
                      <wp:docPr id="79" name="Frame7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63550" cy="175260"/>
                      <wp:effectExtent l="0" t="0" r="0" b="0"/>
                      <wp:wrapNone/>
                      <wp:docPr id="80" name="Frame8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64795" cy="175260"/>
                      <wp:effectExtent l="0" t="0" r="0" b="0"/>
                      <wp:wrapNone/>
                      <wp:docPr id="81" name="Frame8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0815" cy="175260"/>
                      <wp:effectExtent l="0" t="0" r="0" b="0"/>
                      <wp:wrapNone/>
                      <wp:docPr id="82" name="Frame82"/>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00380" cy="175260"/>
                      <wp:effectExtent l="0" t="0" r="0" b="0"/>
                      <wp:wrapNone/>
                      <wp:docPr id="83" name="Frame83"/>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Supplemental disclosures of cash and non-cash investing and financing transactions</w:t>
            </w:r>
          </w:p>
        </w:tc>
        <w:tc>
          <w:tcPr>
            <w:tcW w:w="326" w:type="dxa"/>
            <w:tcBorders/>
            <w:vAlign w:val="center"/>
          </w:tcPr>
          <w:p>
            <w:pPr>
              <w:pStyle w:val="TableContents"/>
              <w:bidi w:val="0"/>
              <w:spacing w:before="0" w:after="1"/>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c>
          <w:tcPr>
            <w:tcW w:w="417" w:type="dxa"/>
            <w:tcBorders/>
            <w:vAlign w:val="center"/>
          </w:tcPr>
          <w:p>
            <w:pPr>
              <w:pStyle w:val="TableContents"/>
              <w:bidi w:val="0"/>
              <w:spacing w:before="0" w:after="1"/>
              <w:ind w:left="0" w:right="0" w:hanging="0"/>
              <w:jc w:val="center"/>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2024</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paid for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8,151</w:t>
            </w:r>
          </w:p>
        </w:tc>
        <w:tc>
          <w:tcPr>
            <w:tcW w:w="417"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1,556</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Non-cash purchase of property, plant and equipment</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3,997</w:t>
            </w:r>
          </w:p>
        </w:tc>
        <w:tc>
          <w:tcPr>
            <w:tcW w:w="417"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5,600</w:t>
            </w:r>
          </w:p>
        </w:tc>
      </w:tr>
      <w:tr>
        <w:trPr/>
        <w:tc>
          <w:tcPr>
            <w:tcW w:w="56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Right-of-use asset purchased with financing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202</w:t>
            </w:r>
          </w:p>
        </w:tc>
        <w:tc>
          <w:tcPr>
            <w:tcW w:w="417"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2,731</w:t>
            </w:r>
          </w:p>
        </w:tc>
      </w:tr>
      <w:tr>
        <w:trPr/>
        <w:tc>
          <w:tcPr>
            <w:tcW w:w="56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Right-of-use asset purchased with operating lease</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8" w:type="dxa"/>
            <w:tcBorders/>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32</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Condensed Consolidated Financial Statements.</w:t>
      </w:r>
    </w:p>
    <w:p>
      <w:pPr>
        <w:pStyle w:val="TextBody"/>
        <w:bidi w:val="0"/>
        <w:spacing w:lineRule="atLeast" w:line="142"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33" w:name="a1NatureofBusinessFinancialConditionandB"/>
      <w:bookmarkStart w:id="734" w:name="a1NatureofBusinessFinancialConditionandB"/>
      <w:bookmarkEnd w:id="734"/>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is focused on transforming renewable energy and carbon derived from photosynthesis into energy-dense liquid, drop-in and cost-effective hydrocarbon fuels. These fuels include jet fuel, gasoline and diesel. The Company’s technology and development activities are intended to enable additional domestic energy production, support the construction of new manufacturing facilities, create employment opportunities, expand agricultural markets, and contribute to broader economic growth. Moreover, through the use of carbon capture, sequestration and utilization (“CCUS”), we have the potential to achieve a “net-zero” greenhouse gas footprint, or even a carbon negative footprint as measured by the Argonne National Laboratory’s GREET (Greenhouse gases, Regulated Emissions, and Energy use in Transportation) model (the “GREET Model”) to measure, predict and verify GHG emissions across the life cycle. CCUS includes injecting carbon dioxide for permanent geological storage, as well as utilizing it in industrial products and for enhanced oil recovery.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Carbon dioxide (“CO₂”) is an important co-product that is monetized in both voluntary and compliance markets through the generation and sale of carbon abatement or removal credits, as well as through the qualification for certain tax credits. The Company is focused primarily on generating high-integrity carbon credits that derive the highest value in the marketplace. We believe it is important to measure and present traceable, auditable data from the source of carbon (i.e. a field or forest where photosynthesis occurs) through the end use, while accounting for all energy inputs and their associated carbon footprints throughout production.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Gevo’s production facility in North Dakota (“Gevo North Dakota” or “GevoND”) currently produces low-carbon ethanol, animal feed, and corn oil. A key differentiator of this facility is the wholly owned and operational carbon sequestration well located onsite. Carbon dioxide is captured from the fermentation process (the bubbles that occur from fermentation of plant sugars to alcohol). Gevo North Dakota processes the CO₂ and injects it to a carbon sequestration well more than one mile underground. This enables us to create carbon credits based on the CO₂ sequestered. These credits are sold into certain low-carbon fuel markets, or in voluntary carbon markets, independent of the sale of ethanol produced at the facility.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Gevo North Dakota benefits from Clean Fuel Production Credits (“CFPC”), included in Section 45Z of the One Big Beautiful Bill Act (“OBBBA”). These production tax credits are based upon the volume of ethanol produced and the carbon intensity (“CI”) score of ethanol produced. The CFPC are monetized by selling the credits to third parties.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views renewable jet fuel as a platform growth opportunity in which it has a proprietary position. Data from the United States Energy Information Agency (EIA) predicts a shortfall of domestic fossil-based jet fuel supply of about 2.3 billion gallons per year by 2035. Gevo is at the forefront of this market, being the first company to convert alcohol into jet fuel. We learned that it is possible to produce jet fuel at large scale that is both economically viable and environmentally beneficial. The Company believes that it can deliver jet fuel that is competitive with fossil-based jet fuel from a cost of production point of view, while also abating carbon emissions across the whole business system and value chain, thereby addressing an unmet market need.</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Gevo North Dakota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North Dakota consists of an ethanol production plant with approximately 67 million gallons per year of capacity, a carbon capture and sequestration (“CCS”) well injecting approximately 165,000 metric tons of CO₂ per year, and leases which give us rights to use additional pore space for carbon capture with an estimated capacity of one million metric tons per year. We view this asset as a strategic growth platform.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North Dakota was acquired when Gevo acquired substantially all of the assets and assumed certain liabilities of Red Trail Energy, LLC (“Red Trail Energy”) in an acquisition completed on January 31, 2025, for a purchase price of $210 million, subject to customary adjustments, including a working capital adjustment. The acquired assets are now known as Gevo North Dakota. The transaction was funded through a combination of Gevo cash, and a $105 million senior secured term loan facility. Simultaneous with the closing of the transaction, Orion Infrastructure Capital (“OIC”), a U.S.-based private investment firm made a $5 million investment in the form of a redeemable non-controlling interest in Gevo North Dakota. The acquired assets include the ethanol production plant, the carbon capture and storage well, and the pore space. See Note 2, Business Combinations, for 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Renewable Natural Gas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has a renewable natural gas (“RNG”) facility in Northwest Iowa (“NW Iowa RNG”). NW Iowa RNG was originally built because we believed we would need RNG to lower the carbon footprint of our jet fuel plants by using the RNG rather than fossil-based natural gas. However, because we have made significant innovations in how energy can be efficiently used and recycled in our jet fuel plant designs, we no longer believe that we will need the RNG for those plants. Currently, we operate our RNG business primarily to supply RNG to markets such as California’s compressed natural gas trucking fleets.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NW Iowa RNG recorded in the Renewable Natural Gas segment, produced RNG from dairy cow manure supplied by three local dairies. Animal manure can be digested anaerobically by microorganisms to produce biogas, which is then upgraded to pipeline quality gas. </w:t>
      </w:r>
      <w:r>
        <w:rPr>
          <w:rFonts w:ascii="Times New Roman;Times;serif" w:hAnsi="Times New Roman;Times;serif"/>
          <w:color w:val="212529"/>
          <w:sz w:val="20"/>
          <w:shd w:fill="FFFFFF" w:val="clear"/>
        </w:rPr>
        <w:t>In 2024, we completed an expansion to the RNG business to increase its annual expected output from</w:t>
      </w:r>
      <w:r>
        <w:rPr>
          <w:rFonts w:ascii="Times New Roman;Times;serif" w:hAnsi="Times New Roman;Times;serif"/>
          <w:sz w:val="20"/>
        </w:rPr>
        <w:t xml:space="preserve"> 355,000 million British thermal units (“MMBtu”) to 400,000 MMBtu. We sell our RNG to the California market through an agreement with BP Canada Energy Marketing Corp. and BP Products North America Inc. (collectively, “BP”). In addition, we generate and sell LCFS credits, D3 Renewable Identification Numbers (“RINs”), and Clean Fuel Production Credits through the production of RNG (collectively, “environmental attributes”). During the third quarter of 2025, we refinanced $40 million of our tax-exempt bonds on a non-recourse basis, resulting in the release of approximately $30 million of restricted cash on our balance sheet. See Note 16, Debt, 2025 Bonds section for further information.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Verity</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Verity Holdings, LLC (“Verity”), a wholly owned subsidiary of Gevo, is developing a data and software platform designed to support traceability, compliance reporting, and the monetization of CI reductions across the renewable fuels supply chain. The Verity platform currently enables the collection, aggregation and end-to-end tracking of data from agricultural production and processing partners to support reporting under federal and state regulatory programs, including Section 45Zof the Internal Revenue Code and Low Carbon Fuel Standard (“LCFS”) programs in California, Oregon, Washington, British Columbia and other Canadian provinces. In 2025, Verity began onboarding customers across multiple segments of the supply chain, including grain elevators, biofuel producers, and supply chain partners, with the goal of enabling full lifecycle CI tracking and audit support. While still in the early stages of commercialization, Verity is actively building capabilities to support measurement, reporting, and verification (“MRV”) of Scope 1 and Scope 3 carbon insets and other environmental attributes. The platform is intended to support Gevo’s Alcohol-to-Jet Projects and is expected to evolve into a core infrastructure asset for CI tracking and carbon monetization across the broader low-carbon fuels and agriculture ecosystem.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Renewable Jet Fuel Platform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continue developing improved technology, processes and engineering targeted to large scale deployment of hydrocarbon fuels and chemicals made from renewable resources. We have a large portfolio inclusive of hundreds of patents. We also are engaged as a developer and enabler/licensor for large scale commercial production and plan to be an investor in certain projects. Gevo’s business model is that of a developer of projects, licensor, process technology developer, and operator of certain assets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owns our Alcohol-to-Jet (“ATJ”) plant designs and the overall Gevo net-zero process (i.e., the process to enable carbon-negative olefins, and hydrocarbon fuels with an anticipated net zero or better carbon footprint measured across the lifecycle of the whole processes). The proprietary Gevo ATJ processes and plant designs are based upon the conversion of carbohydrates to alcohols, followed by the conversion of the alcohols to olefins (i.e., building blocks for chemicals, plastics, and fuels), and then the conversion of the olefins into fuels, all optimized and integrated to achieve a net zero carbon footprint. Our partners in developing and executing the ATJ projects have included Fluid Quip Technologies, LLC, Axens North America, Inc. (“Axens”), PRAJ Industries Limited (“PRAJ”), Zero6 Clean Energy Assets, Inc. (“Zero6”), McDermott International Ltd., and Fagen, Inc. Gevo owns the overall proprietary plant designs, engineering details, integration technologies, and associated intellectual property, and we have filed patents on several process improvements. One of the key characteristics of our plant design is the extent of modularization of the process, which helps to enable a duplicate and revise approach to serve the industry. In this approach, we will offer for sale the modularized processes, and encompassing business system, that are already designed in order to save potential customers time and money to enter the renewable jet fuel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business system and engineering packages have been developed for three different size ATJ production facilities of 30, 60 and 150 million gallons per year (“MMGPY”) of jet fuel, referred to as ATJ-30, ATJ-60 and ATJ-150, respectively. Along with hydrocarbons, ATJ-60 is currently being designed to produce approximately 1.3 billion pounds per year of high-value protein products for use in the food chain and approximately 30 million pounds per year of corn oil. We have duplicated and revised the ATJ-60 design into a 30 MMGPY plant design (“ATJ-30”), which we plan to deploy at our Gevo North Dakota site and would upgrade the low-carbon ethanol already produced onsite to jet fuel.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are also developing commercial production projects for ATJ jet fuel at other locations in the United States, as well as in other parts of the world where we plan to be the project developer, plant designer, licensor of the technology and product marketer in exchange for an ownership stake in the project.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May 2025, Gevo entered into a definitive agreement to sell Agri-Energy, LLC (“Agri”), a wholly owned subsidiary of Gevo, to A.E. Innovation, LLC (“A.E.”) for $7 million, which closed in October 2025. The transaction includes Agri’s 18-million-gallon-per-year ethanol-production facility located in Luverne, Minnesota (the “Luverne Facility”) Gevo retained the ownership of certain equipment at the facility, including isobutanol fermentation capacity and some of the vacant land. Gevo and A.E. expect to cooperate to produce isobutanol as needed at the facility in the future. Prior to the closing, the Luverne Facility was being used for market development and customer education but was not operating as a production plant. The plant was originally constructed in 1998 and is located on approximately 55 acres of land, which contains approximately 50,000 square feet of building space.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nine months ended September 30, 2025,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2024</w:t>
      </w:r>
      <w:r>
        <w:rPr>
          <w:rFonts w:ascii="Times New Roman;Times;serif" w:hAnsi="Times New Roman;Times;serif"/>
          <w:i/>
          <w:sz w:val="20"/>
        </w:rPr>
        <w:t xml:space="preserve">. </w:t>
      </w:r>
      <w:r>
        <w:rPr>
          <w:rFonts w:ascii="Times New Roman;Times;serif" w:hAnsi="Times New Roman;Times;serif"/>
          <w:sz w:val="20"/>
        </w:rPr>
        <w:t>The financial statements at December 31, 2024, have been derived from the audited financial statements as of that date. For further information, refer to our audited financial statements and notes thereto included for the year ended December 31, 2024 (the “2024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Use of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revenues, expenses, and related disclosures. These estimates and assumptions are inherently subject to uncertainty, and actual results could differ from these estimates. Significant areas requiring estimates and assumptions include, but are not limited to, the determination of useful lives of property, plant and equipment, inventory, asset retirement obligations, the recognition of revenue, the valuation of business combinations and the fair value of clean fuel production tax credits (“PTC”). Management regularly reviews our estimates based on the most current available information. Changes in facts and circumstances may result in revised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Combinations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its business combinations in accordance with the provisions of Accounting Standards Codification (“ASC”) Topic 805-10, Business Combinations ("ASC 805-10"). ASC 805-10 mandates the use of the purchase method of accounting for all business combinations. Under this method, assets acquired and liabilities assumed are recorded at their respective fair values as of the acquisition date. For transactions meeting the definition of business combinations, the Company evaluates the recognition of goodwill. Goodwill represents the excess of the purchase price over the fair value of the identifiable tangible and intangible assets acquired, and liabilities assumed, in a business combination. ASC 805-10 further stipulates criteria that intangible assets acquired in a business combination must meet in order to be recognized and reported separately from goodwill. Acquisition-related costs, including transaction fees, are recognized separately from the business combination and expensed as incurred.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determination of the fair value of net assets acquired, including the allocation of fair value to identifiable assets and liabilities, is based on established valuation techniques. Fair value is defined as the price that would be received to sell an asset or paid to transfer a liability in an orderly transaction between market participants at the measurement date. In the context of purchase accounting, determining fair value often requires significant judgments and estimates by management, including the selection of appropriate valuation methodologies, estimates of future revenues, costs, cash flows, discount rates, and the identification of comparable companies. The estimated fair values of assets acquired and liabilities assumed are based on management's judgment, supplemented by the expertise of third-party valuation specialists engaged to assist in determining fair value. The allocation of fair value to the identifiable assets and liabilities is based on available information at the acquisition date and assumptions deemed reasonable by management. However, changes in facts and circumstances may result in adjustments to the initial fair value estimates during the measurement period, which may not exceed one year from the acquisition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Tax Credit Recognition and Sales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accounts for tax credits associated with the U.S. federal clean fuel production incentives under Section 45Z of the Internal Revenue Code in accordance with IAS 20 - Accounting for Government Grants and Disclosure of Government Assistance. These credits, as they are generated are recorded based on the eligible PTC rate per gallon, the emission factor based on the carbon intensity score and are adjusted to their estimated fair value. The credits are recognized as a nonmonetary asset in intangible assets and a reduction to cost of goods sold (“COGS”), reflecting their role in offsetting the production costs of low-carbon fuels.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After acquiring an ethanol operating facility in the first quarter of 2025, the Company integrated commodity-based derivative transactions, specifically corn futures contracts, into its hedging strategy to manage its exposure to commodity price fluctuations. This strategy aims to protect cash flows associated with the increased exposure to commodity price volatility arising from its GevoND operations, which include corn-based production and procurement activities. These derivative contracts are intended to economically hedge the Company’s cash flow exposure to changes in corn prices, which directly impact the cost of raw materials used in production.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does not apply hedge accounting to these instruments under Financial Accounting Standards Board (“FASB”) ASC 815, Derivatives and Hedging. As such, all derivative instruments are recorded at fair value on the consolidated balance sheet, and changes in the fair value of these instruments are recognized in earnings in the period in which they occur. Gains and losses resulting from changes in the fair value of corn derivative contracts are included in the cost of goods sold in the consolidated statements of operations, as they directly relate to the Company’s inventory procurement and production activities. The fair value of the derivative contracts is included in prepaid and other current assets on the consolidated balance sheets. These instruments may create volatility in earnings from period to period, as the timing of derivative gains or losses may not align with the recognition of the related exposure in the financial statements. The Company does not use derivative instruments for speculative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Asset Retirement Obligation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fair value of an asset retirement obligation (“ARO”) is recognized in the period in which it is incurred, provided that a reasonable estimate of fair value can be made. The Company’s ARO is primarily related to commitments to restore or decommission property subject to operating leases associated with its GevoND and RNG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January 2025, Gevo completed the acquisition of substantially all of the assets and certain liabilities of Red Trail Energy. As part of the acquisition, management recorded the ARO related to the Broom Creek formation pore space, which includes plugging injection wells, sealing the site, and post-closure monitoring, as required by regulatory and environmental standards to ensure long-term CO₂ containment. These requirements are driven by both regulatory mandates and industry best practices to ensure long-term environmental safety and mitigate the risk of CO₂ leakage.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during the first quarter of 2025, certain operating lease agreements were amended, resulting in changes to the terms of property restitution. As a result of these amendments, the Company recognized new AROs and corresponding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capitalized ARO costs included in property, plant, and equipment are depreciated over the shorter of the useful life of the related asset or the term of the associated lease. ARO liabilities are accreted over time using the credit-adjusted risk-free rate applied at initial recognition and recorded in operations expense on the Condensed</w:t>
      </w:r>
      <w:r>
        <w:rPr>
          <w:rFonts w:ascii="Times New Roman;Times;serif" w:hAnsi="Times New Roman;Times;serif"/>
          <w:sz w:val="20"/>
          <w:shd w:fill="FFFFFF" w:val="clear"/>
        </w:rPr>
        <w:t xml:space="preserve"> Consolidated Statement of Operations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for Redeemable Non-Controlling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acquisition of substantially all of the assets and certain liabilities of Red Trail Energy, Gevo Intermediate HoldCo, LLC (“HoldCo”), a wholly owned subsidiary of Gevo entered into a membership subscription agreement with OIC, pursuant to which OIC purchased equity units. The subscription agreement includes put and call options (the "Put/Call Option") related to the non-controlling interest. Specifically, the Company has the right to exercise a call option to purchase all outstanding units, and OIC holds a put option requiring the Company to purchase the outstanding units at fair value. These options are exercisable for a period of three years (the "Option Period") following the date on which all indebtedness under the related credit agreement with OIC has been paid.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Under applicable accounting guidance, an equity instrument that is redeemable for cash or other assets must be classified outside of permanent equity if it is redeemable (a) at a fixed or determinable price on a fixed or determinable date, (b) at the option of the holder, or (c) upon the occurrence of an event not solely within the control of the issuer. As a result of the Put/Call Option feature, the Company has classified the non-controlling interest as redeemable and reported it within temporary equity on the Condensed Consolidated Balance Sheets, initially at its fair value as of the acquisition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redeemable non-controlling interest is adjusted each reporting period to reflect income (or loss) attributable to the redeemable non-controlling interest, as well as any applicable distributions. A measurement period adjustment, if necessary, is made to adjust the redeemable non-controlling interest to the higher of its redemption value (fair value) or carrying value as of each reporting date. These fair value adjustments are recognized through equity and are not reflected in the Company's Condensed Consolidated Statements of Income.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earnings per share calculations, the Company adjusts net income attributable to the Company for the measurement period adjustment to the extent the redemption value exceeds the fair value of the redeemable non-controlling interest on a cumulative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redeemable non-controlling interest is determined using the income approach (specifically, a discounted cash flow analysis). As of September 30, 2025, the fair value of the redeemable non-controlling interest has been adjusted to its estimated redemption value with a related adjustment to accumulated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Not Yet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December 2023, the FASB issued ASU 2023-09, Income Taxes (Topic 740): Improvements to Income Tax Disclosures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is currently evaluating the impact of this standard on our consolidated financial statements and related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Income Statement Disclosures. </w:t>
      </w:r>
      <w:r>
        <w:rPr>
          <w:rFonts w:ascii="Times New Roman;Times;serif" w:hAnsi="Times New Roman;Times;serif"/>
          <w:sz w:val="20"/>
        </w:rPr>
        <w:t>In November 2024, the FASB issued Accounting Standards Update (“ASU”) No. 2024-03, Income Statement—Reporting Comprehensive Income—Expense Disaggregation Disclosures (Subtopic 220-40) ("ASU 2024-03"). ASU 2024-03 will require companies to disaggregate, within the notes to the financial statements, certain expenses presented on the face of the financial statements to enhance transparency and help investors better understand an entity's performance. The amendment will specifically require that an entity disclose the amounts related to purchases of inventory, employee compensation, depreciation and intangible asset amortization.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The amendments in ASU 2024-03 are effective for fiscal years beginning after December 15, 2026, and interim periods within fiscal years beginning after December 15, 2027, with early adoption permitted. The Company is currently evaluating the impact of the adoption of ASU 2024-03 on the Company’s financial statement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Internal Use Software. </w:t>
      </w:r>
      <w:r>
        <w:rPr>
          <w:rFonts w:ascii="Times New Roman;Times;serif" w:hAnsi="Times New Roman;Times;serif"/>
          <w:sz w:val="20"/>
        </w:rPr>
        <w:t>In September 2025, the FASB issued ASU No. 2025-06, Intangibles - Goodwill and Other - Internal-Use Software (Subtopic 350-40): Targeted Improvements to the Accounting for Internal-Use Software ("ASU 2025-06"). ASU 2025-06 amends certain aspects of the accounting and disclosure of software costs. ASU 2025-06, which can be applied prospectively, retrospectively, or with a modified transition approach, is effective for annual reporting period beginning after December 15, 2027 and interim periods within those annual reporting periods. Early adoption is permitted. The Company is currently evaluating the impact that the adoption of this standard will have on its consolidated financial statements and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Adopted Accounting Pronouncements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Segment Reporting. </w:t>
      </w:r>
      <w:r>
        <w:rPr>
          <w:rFonts w:ascii="Times New Roman;Times;serif" w:hAnsi="Times New Roman;Times;serif"/>
          <w:sz w:val="20"/>
        </w:rPr>
        <w:t xml:space="preserve">In November 2023, the FASB issued ASU 2023-07, Segment Reporting (Topic 280): Improvements to Reportable Segment Disclosures (“ASU 2023-07”). ASU 2023-07 would enhance disclosures for significant segment expenses for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Topic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were effective for fiscal years beginning after December 15, 2023, and interim periods within fiscal years beginning after December 15, 2024. Early adoption was permitted. A public entity should apply the amendments in ASU 2023-07 retrospectively to all prior periods presented in the financial statements. The Company adopted this guidance in the fourth quarter of 2024. The requirements of this ASU are disclosure-related and did not have an impact on the Company’s consolidated financial statements and results of operations. See Note 23, Segments, for the updated segment disclosures.</w:t>
      </w:r>
    </w:p>
    <w:tbl>
      <w:tblPr>
        <w:tblW w:w="2372" w:type="dxa"/>
        <w:jc w:val="left"/>
        <w:tblInd w:w="0" w:type="dxa"/>
        <w:tblLayout w:type="fixed"/>
        <w:tblCellMar>
          <w:top w:w="0" w:type="dxa"/>
          <w:left w:w="0" w:type="dxa"/>
          <w:bottom w:w="0" w:type="dxa"/>
          <w:right w:w="0" w:type="dxa"/>
        </w:tblCellMar>
      </w:tblPr>
      <w:tblGrid>
        <w:gridCol w:w="271"/>
        <w:gridCol w:w="210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21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Combinations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Red Trail Energy Asset Purchase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10, 2024, Gevo and its subsidiaries entered into an Asset Purchase Agreement (the “Red Trail Purchase Agreement”) with Red Trail Energy to acquire substantially all of its assets and assume certain liabilities. The acquisition was completed on January 31, 2025 (the “Closing Date”). Gevo’s acquisition of Red Trail Energy was a strategic move aimed at accelerating its production of renewable fuels, particularly SAF, while also enabling additional co-located projects. This acquisition aligns with Gevo’s broader goal of reducing carbon emissions and promoting sustainability in the energy and transportation sectors. Furthermore, the acquisition grants access to critical CCS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transaction met the requirements to be considered a business combination under FASB ASC 805: Business Combinations (“ASC 805”). The assets and liabilities acquired from Red Trail Energy, affected for preliminary adjustments to reflect the fair market values assigned to assets purchased and liabilities assumed, and results of operations, are included in the Company’s consolidated financial statements from the Closing Date. The Company has allocated the purchase price to the tangible and identifiable intangible assets and liabilities assumed based on their estimated fair market values at the Closing Date as required under ASC 805.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Red Trail Purchase Agreement was accounted for using the acquisition method of accounting. The purchase price per the Red Trail Purchase Agreement was $210 million and was adjusted to $208.4 million at the Closing Date, based on minor adjustments to the purchase price and an estimated working capital adjustment (the “Purchase Price”). The Purchase Price was adjusted further based on the final net working capital amount of $1.9 million. The purchase price as of September 30, 2025 is $210.3 million. The Purchase Price was funded through a combination of $103.9 million in cash, of which $10.0 million was paid in escrow in 2024, $99.5 million senior secured term loan facility, net of discount and financing costs, and $5.0 million in the form of a redeemable non-controlling interest investment from OIC.</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incurred approximately $4.5 million of direct acquisition-related expenditures for the nine months ended September 30, 2025, which are recognized in General and administrative expense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735" w:name="Tc_FL05TKXA-U2VWCz16s0Fww_5_2"/>
      <w:bookmarkStart w:id="736" w:name="Tc_uUViZhTAP02Olj3LBOKuUA_5_0"/>
      <w:bookmarkStart w:id="737" w:name="Tc_zkuI3UtU3EClbOakUfv0oQ_4_2"/>
      <w:bookmarkStart w:id="738" w:name="Tc_spxK3HNBJUW_qbVf_9hNjQ_4_0"/>
      <w:bookmarkStart w:id="739" w:name="Tc_6tu5TqhLFU6XBXpSHgIPgw_3_5"/>
      <w:bookmarkStart w:id="740" w:name="Tc_GHXDG1wdwE6iBWK2g1QTqg_3_2"/>
      <w:bookmarkStart w:id="741" w:name="Tc_Z0OYqePcqEOcuFD-mLJlQA_2_5"/>
      <w:bookmarkStart w:id="742" w:name="Tc_LN4tISSWC0675scXeQd9cg_2_2"/>
      <w:bookmarkStart w:id="743" w:name="Tc_RxJXjjQ2-EOnLXsiD7KBPw_1_5"/>
      <w:bookmarkStart w:id="744" w:name="Tc_PP6EyNJF80mRP4CecsTgtw_1_2"/>
      <w:bookmarkStart w:id="745" w:name="_4aea3de5_cb89_4b6f_9ae1_e93462d9fed8"/>
      <w:bookmarkStart w:id="746" w:name="Tc_2IZM6wCYLEaYNrK3_F-nTw_23_2"/>
      <w:bookmarkStart w:id="747" w:name="Tc_vlMTS27kIUKSQ-XDPwQ1pA_23_0"/>
      <w:bookmarkStart w:id="748" w:name="Tc_7mrgAkQd_EyBVtM36-QkIA_22_0"/>
      <w:bookmarkStart w:id="749" w:name="Tc_SQOjM2eytEeu2DfV8eA6RQ_21_0"/>
      <w:bookmarkStart w:id="750" w:name="Tc_5lDV3GsBJUqi94rrT_CWww_20_0"/>
      <w:bookmarkStart w:id="751" w:name="Tc_wiEO4Dr7Jke-RlV9aYraBA_19_0"/>
      <w:bookmarkStart w:id="752" w:name="Tc_f46mCXfBG0GOxDT1Q8uWSQ_18_0"/>
      <w:bookmarkStart w:id="753" w:name="Tc_X7OyGcVjAUGpQVNbITtvrQ_17_0"/>
      <w:bookmarkStart w:id="754" w:name="Tc_F5Sr5bTqBUCeAo3z5AEDXA_16_0"/>
      <w:bookmarkStart w:id="755" w:name="Tc_LWClZTHjWEKrDlgY31Q9xg_15_0"/>
      <w:bookmarkStart w:id="756" w:name="Tc_vPZZzH5_CU2LyaPOTlFDLQ_14_0"/>
      <w:bookmarkStart w:id="757" w:name="Tc_i3IKfPa21EGMvfv_hswQvg_13_0"/>
      <w:bookmarkStart w:id="758" w:name="Tc_sJ8sVn4wPEibNfbR7QAkNw_12_0"/>
      <w:bookmarkStart w:id="759" w:name="Tc_4siWvSCX5EmbCqqpXKSkJA_11_0"/>
      <w:bookmarkStart w:id="760" w:name="Tc_WU_DQ5W8jUexQOnQtgwrcQ_10_0"/>
      <w:bookmarkStart w:id="761" w:name="Tc_srOn8B8rYU69aCfyGE6Teg_9_0"/>
      <w:bookmarkStart w:id="762" w:name="Tc_VyCqXrU2EEGZ8Yv69R0Hiw_8_0"/>
      <w:bookmarkStart w:id="763" w:name="Tc_gYZXa7JLOkmiJeLZoMQA5g_7_0"/>
      <w:bookmarkStart w:id="764" w:name="Tc_DMrOs01X6Uu4g5rRXI8lQw_6_0"/>
      <w:bookmarkStart w:id="765" w:name="Tc_H9LfsWW2SkayPJJqDAeHOw_5_2"/>
      <w:bookmarkStart w:id="766" w:name="Tc_Z63gpRMHYE69qzPKSr-40w_5_0"/>
      <w:bookmarkStart w:id="767" w:name="Tc_drf92AcyIkmUZZAH0yXUDw_4_0"/>
      <w:bookmarkStart w:id="768" w:name="Tc_uUgMPKGpA0-YUwbRyUZlmQ_3_2"/>
      <w:bookmarkStart w:id="769" w:name="Tc_F4M8d9pGtU2ifY_rs2VgZw_2_2"/>
      <w:bookmarkStart w:id="770" w:name="Tc_GWOQlWycMEuPAWdAzI0FyA_1_2"/>
      <w:bookmarkStart w:id="771" w:name="_1fd4a941_bd52_4d76_83bf_32230f775db3"/>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ascii="Times New Roman;Times;serif" w:hAnsi="Times New Roman;Times;serif"/>
          <w:sz w:val="20"/>
        </w:rPr>
        <w:t>The following table sets forth the fair values of the assets acquired and liabilities assumed in connection with the Red Trail Purchase Agreement (in thousands):</w:t>
      </w:r>
    </w:p>
    <w:tbl>
      <w:tblPr>
        <w:tblW w:w="5480" w:type="dxa"/>
        <w:jc w:val="left"/>
        <w:tblInd w:w="0" w:type="dxa"/>
        <w:tblLayout w:type="fixed"/>
        <w:tblCellMar>
          <w:top w:w="0" w:type="dxa"/>
          <w:left w:w="0" w:type="dxa"/>
          <w:bottom w:w="0" w:type="dxa"/>
          <w:right w:w="0" w:type="dxa"/>
        </w:tblCellMar>
      </w:tblPr>
      <w:tblGrid>
        <w:gridCol w:w="3721"/>
        <w:gridCol w:w="109"/>
        <w:gridCol w:w="317"/>
        <w:gridCol w:w="1333"/>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362835" cy="175260"/>
                      <wp:effectExtent l="0" t="0" r="0" b="0"/>
                      <wp:wrapNone/>
                      <wp:docPr id="84" name="Frame84"/>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1295" cy="175260"/>
                      <wp:effectExtent l="0" t="0" r="0" b="0"/>
                      <wp:wrapNone/>
                      <wp:docPr id="86" name="Frame86"/>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46455" cy="175260"/>
                      <wp:effectExtent l="0" t="0" r="0" b="0"/>
                      <wp:wrapNone/>
                      <wp:docPr id="87" name="Frame87"/>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 Trail</w: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Agreement</w:t>
            </w:r>
          </w:p>
        </w:tc>
      </w:tr>
      <w:tr>
        <w:trPr/>
        <w:tc>
          <w:tcPr>
            <w:tcW w:w="37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left"/>
              <w:rPr/>
            </w:pPr>
            <w:r>
              <w:rPr/>
              <w:t>​</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110,841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39,767</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 use assets (operating and finance)</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215,047</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left"/>
              <w:rPr/>
            </w:pPr>
            <w:r>
              <w:rPr/>
              <w:t>​</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(operating and finance)</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w:t>
            </w:r>
          </w:p>
        </w:tc>
        <w:tc>
          <w:tcPr>
            <w:tcW w:w="13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 (operating and finance)</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w:t>
            </w:r>
          </w:p>
        </w:tc>
        <w:tc>
          <w:tcPr>
            <w:tcW w:w="13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1"/>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4,723</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and liabilities assumed</w:t>
            </w:r>
          </w:p>
        </w:tc>
        <w:tc>
          <w:tcPr>
            <w:tcW w:w="109" w:type="dxa"/>
            <w:tcBorders/>
            <w:vAlign w:val="center"/>
          </w:tcPr>
          <w:p>
            <w:pPr>
              <w:pStyle w:val="TableContents"/>
              <w:bidi w:val="0"/>
              <w:spacing w:before="0" w:after="1"/>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3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210,324</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Fair Value of Net Assets Acquired and Intangibles</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The assets and liabilities were recorded at their respective fair values as of the Closing Date. The Company marked the inventory to fair value based on the market prices adjusted for various factors. The property, plant and equipment assets were valued using the cost and market approaches as of the acquisition date. The Company developed the fair value of the customer-related intangible assets using the multi-period excess earnings method. For all other major assets and liabilities acquired, the Company determined that book value approximated fair value. Goodwill represents the future economic benefits that the Company expects to achieve as a result of the acquisition of the human capital and assets acquired. The goodwill resulting from this acquisition is expected to be deductible for tax purposes. The fair value of net assets acquired, intangibles, and goodwill, were assigned to the Company’s GevoND segment.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intangible assets acquired in the Red Trail Purchase Agreement (in thousands):</w:t>
      </w:r>
    </w:p>
    <w:tbl>
      <w:tblPr>
        <w:tblW w:w="5095" w:type="dxa"/>
        <w:jc w:val="left"/>
        <w:tblInd w:w="0" w:type="dxa"/>
        <w:tblLayout w:type="fixed"/>
        <w:tblCellMar>
          <w:top w:w="0" w:type="dxa"/>
          <w:left w:w="0" w:type="dxa"/>
          <w:bottom w:w="0" w:type="dxa"/>
          <w:right w:w="0" w:type="dxa"/>
        </w:tblCellMar>
      </w:tblPr>
      <w:tblGrid>
        <w:gridCol w:w="2401"/>
        <w:gridCol w:w="109"/>
        <w:gridCol w:w="381"/>
        <w:gridCol w:w="1224"/>
        <w:gridCol w:w="109"/>
        <w:gridCol w:w="871"/>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524635" cy="175260"/>
                      <wp:effectExtent l="0" t="0" r="0" b="0"/>
                      <wp:wrapNone/>
                      <wp:docPr id="88" name="Frame88"/>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41935" cy="175260"/>
                      <wp:effectExtent l="0" t="0" r="0" b="0"/>
                      <wp:wrapNone/>
                      <wp:docPr id="90" name="Frame90"/>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77240" cy="175260"/>
                      <wp:effectExtent l="0" t="0" r="0" b="0"/>
                      <wp:wrapNone/>
                      <wp:docPr id="91" name="Frame91"/>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53085" cy="175260"/>
                      <wp:effectExtent l="0" t="0" r="0" b="0"/>
                      <wp:wrapNone/>
                      <wp:docPr id="93" name="Frame9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 Trail</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Agreement</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r>
      <w:tr>
        <w:trPr/>
        <w:tc>
          <w:tcPr>
            <w:tcW w:w="24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4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c>
          <w:tcPr>
            <w:tcW w:w="109"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4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1"/>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46,300</w:t>
            </w:r>
          </w:p>
        </w:tc>
        <w:tc>
          <w:tcPr>
            <w:tcW w:w="109"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Pro Forma Financial Information</w:t>
      </w:r>
    </w:p>
    <w:p>
      <w:pPr>
        <w:pStyle w:val="TextBody"/>
        <w:bidi w:val="0"/>
        <w:spacing w:before="240" w:after="0"/>
        <w:ind w:left="0" w:right="0" w:firstLine="360"/>
        <w:jc w:val="left"/>
        <w:rPr>
          <w:rFonts w:ascii="Times New Roman;Times;serif" w:hAnsi="Times New Roman;Times;serif"/>
          <w:sz w:val="20"/>
        </w:rPr>
      </w:pPr>
      <w:r>
        <w:rPr>
          <w:rFonts w:ascii="Times New Roman;Times;serif" w:hAnsi="Times New Roman;Times;serif"/>
          <w:sz w:val="20"/>
        </w:rPr>
        <w:t xml:space="preserve">The pro forma financial information (in thousands) presented in the following table was computed by combining the historical financial information of Gevo along with the effects from business combination accounting and the associated debt resulting from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772" w:name="Tc_k0MQJyUBtUarlptcqwcYGQ_4_0"/>
      <w:bookmarkStart w:id="773" w:name="Tc__XhwRSWV9UqPgowtD_yA-g_3_11"/>
      <w:bookmarkStart w:id="774" w:name="Tc_ZDG6nowhm0u8jOH_ZzfQoA_3_8"/>
      <w:bookmarkStart w:id="775" w:name="Tc_oQFZaaOHu067bbO75wkfRw_3_5"/>
      <w:bookmarkStart w:id="776" w:name="Tc_UcKcyOjWGUuU7Wa-pk9QbQ_3_2"/>
      <w:bookmarkStart w:id="777" w:name="Tc_f-KG8vxQPESkxlPxrnBU-g_3_0"/>
      <w:bookmarkStart w:id="778" w:name="Tc_-3D0bOfltEyBcNezaFmHPw_2_11"/>
      <w:bookmarkStart w:id="779" w:name="Tc_bR-93Y9sJkalHYwZwqtPdA_2_8"/>
      <w:bookmarkStart w:id="780" w:name="Tc_FY66xNjS_ESfhyysRQlOEw_2_5"/>
      <w:bookmarkStart w:id="781" w:name="Tc_OamDFi4T-ka56eVJZ4qbQg_2_2"/>
      <w:bookmarkStart w:id="782" w:name="Tc_2bpzth0MxUykTKeu3h1ZCA_1_8"/>
      <w:bookmarkStart w:id="783" w:name="Tc_1FB3e-s3f0ubuSiKNEN91w_1_2"/>
      <w:bookmarkEnd w:id="772"/>
      <w:bookmarkEnd w:id="773"/>
      <w:bookmarkEnd w:id="774"/>
      <w:bookmarkEnd w:id="775"/>
      <w:bookmarkEnd w:id="776"/>
      <w:bookmarkEnd w:id="777"/>
      <w:bookmarkEnd w:id="778"/>
      <w:bookmarkEnd w:id="779"/>
      <w:bookmarkEnd w:id="780"/>
      <w:bookmarkEnd w:id="781"/>
      <w:bookmarkEnd w:id="782"/>
      <w:bookmarkEnd w:id="783"/>
      <w:r>
        <w:rPr>
          <w:rFonts w:ascii="Times New Roman;Times;serif" w:hAnsi="Times New Roman;Times;serif"/>
          <w:sz w:val="20"/>
        </w:rPr>
        <w:t>acquisition as if the companies were combined on January 1, 2024. This information is presented for informational purposes only and is not necessarily indicative of the operating results that would have occurred if the acquisition had been consummated as of that date. This information should not be used as a predictive measure of our future financial position, results of operations, or liquidity.</w:t>
      </w:r>
    </w:p>
    <w:p>
      <w:pPr>
        <w:pStyle w:val="TextBody"/>
        <w:bidi w:val="0"/>
        <w:spacing w:before="0" w:after="0"/>
        <w:ind w:left="0" w:right="0" w:hanging="0"/>
        <w:jc w:val="left"/>
        <w:rPr/>
      </w:pPr>
      <w:r>
        <w:rPr/>
        <w:t>​</w:t>
      </w:r>
    </w:p>
    <w:tbl>
      <w:tblPr>
        <w:tblW w:w="8210" w:type="dxa"/>
        <w:jc w:val="left"/>
        <w:tblInd w:w="0" w:type="dxa"/>
        <w:tblLayout w:type="fixed"/>
        <w:tblCellMar>
          <w:top w:w="0" w:type="dxa"/>
          <w:left w:w="0" w:type="dxa"/>
          <w:bottom w:w="0" w:type="dxa"/>
          <w:right w:w="0" w:type="dxa"/>
        </w:tblCellMar>
      </w:tblPr>
      <w:tblGrid>
        <w:gridCol w:w="2146"/>
        <w:gridCol w:w="326"/>
        <w:gridCol w:w="257"/>
        <w:gridCol w:w="844"/>
        <w:gridCol w:w="398"/>
        <w:gridCol w:w="257"/>
        <w:gridCol w:w="972"/>
        <w:gridCol w:w="326"/>
        <w:gridCol w:w="261"/>
        <w:gridCol w:w="986"/>
        <w:gridCol w:w="135"/>
        <w:gridCol w:w="261"/>
        <w:gridCol w:w="104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62710" cy="175260"/>
                      <wp:effectExtent l="0" t="0" r="0" b="0"/>
                      <wp:wrapNone/>
                      <wp:docPr id="94" name="Frame94"/>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3195" cy="175260"/>
                      <wp:effectExtent l="0" t="0" r="0" b="0"/>
                      <wp:wrapNone/>
                      <wp:docPr id="96" name="Frame9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5940" cy="175260"/>
                      <wp:effectExtent l="0" t="0" r="0" b="0"/>
                      <wp:wrapNone/>
                      <wp:docPr id="97" name="Frame97"/>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52730" cy="175260"/>
                      <wp:effectExtent l="0" t="0" r="0" b="0"/>
                      <wp:wrapNone/>
                      <wp:docPr id="98" name="Frame9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3195" cy="175260"/>
                      <wp:effectExtent l="0" t="0" r="0" b="0"/>
                      <wp:wrapNone/>
                      <wp:docPr id="99" name="Frame9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17220" cy="175260"/>
                      <wp:effectExtent l="0" t="0" r="0" b="0"/>
                      <wp:wrapNone/>
                      <wp:docPr id="100" name="Frame100"/>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5735" cy="175260"/>
                      <wp:effectExtent l="0" t="0" r="0" b="0"/>
                      <wp:wrapNone/>
                      <wp:docPr id="102" name="Frame10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26110" cy="175260"/>
                      <wp:effectExtent l="0" t="0" r="0" b="0"/>
                      <wp:wrapNone/>
                      <wp:docPr id="103" name="Frame103"/>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5725" cy="175260"/>
                      <wp:effectExtent l="0" t="0" r="0" b="0"/>
                      <wp:wrapNone/>
                      <wp:docPr id="104" name="Frame104"/>
                      <a:graphic xmlns:a="http://schemas.openxmlformats.org/drawingml/2006/main">
                        <a:graphicData uri="http://schemas.microsoft.com/office/word/2010/wordprocessingShape">
                          <wps:wsp>
                            <wps:cNvSpPr txBox="1"/>
                            <wps:spPr>
                              <a:xfrm>
                                <a:off x="0" y="0"/>
                                <a:ext cx="85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5735" cy="175260"/>
                      <wp:effectExtent l="0" t="0" r="0" b="0"/>
                      <wp:wrapNone/>
                      <wp:docPr id="105" name="Frame105"/>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1035" cy="175260"/>
                      <wp:effectExtent l="0" t="0" r="0" b="0"/>
                      <wp:wrapNone/>
                      <wp:docPr id="106" name="Frame106"/>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center"/>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1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8" w:type="dxa"/>
            <w:tcBorders/>
            <w:vAlign w:val="center"/>
          </w:tcPr>
          <w:p>
            <w:pPr>
              <w:pStyle w:val="TableContents"/>
              <w:bidi w:val="0"/>
              <w:spacing w:before="0" w:after="1"/>
              <w:ind w:left="0" w:right="0" w:hanging="0"/>
              <w:jc w:val="center"/>
              <w:rPr/>
            </w:pPr>
            <w:r>
              <w:rPr/>
              <w:t>    </w:t>
            </w:r>
          </w:p>
        </w:tc>
        <w:tc>
          <w:tcPr>
            <w:tcW w:w="12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5" w:type="dxa"/>
            <w:tcBorders/>
            <w:vAlign w:val="center"/>
          </w:tcPr>
          <w:p>
            <w:pPr>
              <w:pStyle w:val="TableContents"/>
              <w:bidi w:val="0"/>
              <w:spacing w:before="0" w:after="1"/>
              <w:ind w:left="0" w:right="0" w:hanging="0"/>
              <w:jc w:val="center"/>
              <w:rPr/>
            </w:pPr>
            <w:r>
              <w:rPr/>
              <w:t>​</w:t>
            </w:r>
          </w:p>
        </w:tc>
        <w:tc>
          <w:tcPr>
            <w:tcW w:w="13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42,710</w:t>
            </w:r>
          </w:p>
        </w:tc>
        <w:tc>
          <w:tcPr>
            <w:tcW w:w="398"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39,759</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129,771</w:t>
            </w:r>
          </w:p>
        </w:tc>
        <w:tc>
          <w:tcPr>
            <w:tcW w:w="135"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117,622</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(7,577)</w:t>
            </w:r>
          </w:p>
        </w:tc>
        <w:tc>
          <w:tcPr>
            <w:tcW w:w="398"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9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(21,889)</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(25,422)</w:t>
            </w:r>
          </w:p>
        </w:tc>
        <w:tc>
          <w:tcPr>
            <w:tcW w:w="135"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10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(64,367)</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3257" w:type="dxa"/>
        <w:jc w:val="left"/>
        <w:tblInd w:w="0" w:type="dxa"/>
        <w:tblLayout w:type="fixed"/>
        <w:tblCellMar>
          <w:top w:w="0" w:type="dxa"/>
          <w:left w:w="0" w:type="dxa"/>
          <w:bottom w:w="0" w:type="dxa"/>
          <w:right w:w="0" w:type="dxa"/>
        </w:tblCellMar>
      </w:tblPr>
      <w:tblGrid>
        <w:gridCol w:w="271"/>
        <w:gridCol w:w="298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9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Tax Credit Recognition and Sales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U.S. federal government has introduced tax incentives to promote the production of low-carbon fuels and reduce GHG emissions, enhance energy security, and support the rural agricultural economy. Effective January 1, 2025, the Inflation Reduction Act of 2022 (IRA) replaces Section 6426 of the Internal Revenue Code with Section 45Z, providing a clean fuel production credit for the years 2025 through 2027. This was further updated and extended on July 4, 2025, under the OBBBA extending the credit through 2029. Producers of liquid transportation fuels, including SAF, are eligible to qualify for up to $1 per gallon, while producers of RNG could claim an amount exceeding $1 per gallon for significant CI reductions, with the credit amount indexed annually for inflation.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tax credits associated with the U.S. federal clean fuel production incentives under Section 45Z of the Internal Revenue Code in accordance with IAS 20 - Accounting for Government Grants and Disclosure of Government Assistance. In accordance with IAS 20, the tax incentive is recognized when it is probable that the Company will comply with the provisions of the incentive and that the incentive will be earned. These credits are recognized in “Intangible assets, net” on the Company’s Condensed Consolidated Balance Sheets and as a reduction to COGS in the Condensed Consolidated Statements of Operations, reflecting their role in offsetting the production costs of low-carbon fuels.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GevoND and RNG production facilities are eligible for these federal tax credits, which became probable of being earned during the nine months ended September 30, 2025. For the three and nine months ended September 30, 2025, the Company recognized $12.5 million and $34.0 million, respectively, of Section 45Z tax credits, which were recorded as a reduction to COGS and a nonmonetary asset recorded within intangible assets. The Company monetizes these tax credits through sale of such credits to third parties.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June 30, 2025, HoldCo entered into a Tax Credit Transfer Agreement (the “Transfer Agreement”) with a transferee bank, under which HoldCo agreed to supply Clean Fuel Production Credits to the bank from the production of ethanol between January 31, 2025, and December 31, 2025, from its GevoND operation. Under the Transfer Agreement, HoldCo expects to deliver $21.5 million worth of credits to the bank between June 30, 2025, and December 10, 2025, upon satisfaction of certain conditions precedent on each Transfer Date, as defined in the Transfer Agreement, with an initial $4.7 million worth of receivable at the time of execution of the Transfer Agreement, which were received on July 1, 2025. The bank was granted two additional rights: (i) a right of first offer for up to $20 million of additional credits for the 2025 production year, and (ii) a right of first refusal to purchase all 2026 credits at the same price and on substantially the same terms as those set forth in the Transfer Agreement. Under the agreement, if the Company fails to transfer at least 90% of the credits on any Transfer Date, the Company must pay an under-delivery fee to the bank calculated as $0.05 per PTC for the difference between 90% of the max credits and the actual number of tax credits transferred.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84" w:name="Tc_mkOfz8iu8UKPRbn5GmoGwg_9_11"/>
      <w:bookmarkStart w:id="785" w:name="Tc_hZUhmM1BbEmH_pLlMPyovQ_9_8"/>
      <w:bookmarkStart w:id="786" w:name="Tc_9JYRxyP7h0m_rIqtS91PBQ_9_5"/>
      <w:bookmarkStart w:id="787" w:name="Tc_AX2X2pwg0EyrNq-aCww4uQ_9_2"/>
      <w:bookmarkStart w:id="788" w:name="Tc_AXGCReDMRUK9h5WMJf8OTA_9_0"/>
      <w:bookmarkStart w:id="789" w:name="Tc_CxnQ4fJyOU2szqEwm5iCkA_8_0"/>
      <w:bookmarkStart w:id="790" w:name="Tc_28M4m5NYT0iDjVy--tTDdg_7_6"/>
      <w:bookmarkStart w:id="791" w:name="Tc_5zrpjXnANUWHJg1L_f_I1Q_7_3"/>
      <w:bookmarkStart w:id="792" w:name="Tc_5qnLnvEIIE24_c7vtRcXlA_7_0"/>
      <w:bookmarkStart w:id="793" w:name="Tc_2iYLd9TlZk-q8M9UArSs1w_6_0"/>
      <w:bookmarkStart w:id="794" w:name="Tc_TiQC9hoRJUe7D8jWJ54-8Q_5_0"/>
      <w:bookmarkStart w:id="795" w:name="Tc_2Vp0rqrOskSmjEIKY-86fw_4_12"/>
      <w:bookmarkStart w:id="796" w:name="Tc_raYZA1nqHUyi5lbL46EvxQ_4_6"/>
      <w:bookmarkStart w:id="797" w:name="Tc_rEQ8q41_J0qDzknYe4L_7Q_4_0"/>
      <w:bookmarkStart w:id="798" w:name="Tc_dQjw22p_rE6VtlR9I_bBxw_3_12"/>
      <w:bookmarkStart w:id="799" w:name="Tc_DgRagZnTrEOThQvRRX_I1g_3_11"/>
      <w:bookmarkStart w:id="800" w:name="Tc_-oLtpPQRVESMSj1osyYsZg_3_8"/>
      <w:bookmarkStart w:id="801" w:name="Tc_IHORBZxBckW88IasP1Th1A_3_6"/>
      <w:bookmarkStart w:id="802" w:name="Tc_uiYZ0KK2rEOrluFubCJByg_3_5"/>
      <w:bookmarkStart w:id="803" w:name="Tc_Kc7m5NNu7EeB55i_QCbcug_3_2"/>
      <w:bookmarkStart w:id="804" w:name="Tc_vLZi9-LjzkCkagP251Nksg_3_0"/>
      <w:bookmarkStart w:id="805" w:name="Tc_4tt4HaNgu06n729VY30_WQ_2_11"/>
      <w:bookmarkStart w:id="806" w:name="Tc_yOMvhmhhpEuZu_pohdor-w_2_8"/>
      <w:bookmarkStart w:id="807" w:name="Tc_YlI9YZzLrUitVziwaQAjeg_2_5"/>
      <w:bookmarkStart w:id="808" w:name="Tc_DBSkSCmpWUarg-TIN2bcMg_2_2"/>
      <w:bookmarkStart w:id="809" w:name="Tc_tyxNdQlKhE-QoiSnPhbBeQ_2_0"/>
      <w:bookmarkStart w:id="810" w:name="Tc_n6hBZhrrGk-VyShPA2oXKA_1_8"/>
      <w:bookmarkStart w:id="811" w:name="Tc_7dQcky6IckmaFm8QKERImQ_1_2"/>
      <w:bookmarkStart w:id="812" w:name="_14deeea8_748c_4709_bb39_2e84d7f8d00f"/>
      <w:bookmarkStart w:id="813" w:name="Tc_mkOfz8iu8UKPRbn5GmoGwg_9_11"/>
      <w:bookmarkStart w:id="814" w:name="Tc_hZUhmM1BbEmH_pLlMPyovQ_9_8"/>
      <w:bookmarkStart w:id="815" w:name="Tc_9JYRxyP7h0m_rIqtS91PBQ_9_5"/>
      <w:bookmarkStart w:id="816" w:name="Tc_AX2X2pwg0EyrNq-aCww4uQ_9_2"/>
      <w:bookmarkStart w:id="817" w:name="Tc_AXGCReDMRUK9h5WMJf8OTA_9_0"/>
      <w:bookmarkStart w:id="818" w:name="Tc_CxnQ4fJyOU2szqEwm5iCkA_8_0"/>
      <w:bookmarkStart w:id="819" w:name="Tc_28M4m5NYT0iDjVy--tTDdg_7_6"/>
      <w:bookmarkStart w:id="820" w:name="Tc_5zrpjXnANUWHJg1L_f_I1Q_7_3"/>
      <w:bookmarkStart w:id="821" w:name="Tc_5qnLnvEIIE24_c7vtRcXlA_7_0"/>
      <w:bookmarkStart w:id="822" w:name="Tc_2iYLd9TlZk-q8M9UArSs1w_6_0"/>
      <w:bookmarkStart w:id="823" w:name="Tc_TiQC9hoRJUe7D8jWJ54-8Q_5_0"/>
      <w:bookmarkStart w:id="824" w:name="Tc_2Vp0rqrOskSmjEIKY-86fw_4_12"/>
      <w:bookmarkStart w:id="825" w:name="Tc_raYZA1nqHUyi5lbL46EvxQ_4_6"/>
      <w:bookmarkStart w:id="826" w:name="Tc_rEQ8q41_J0qDzknYe4L_7Q_4_0"/>
      <w:bookmarkStart w:id="827" w:name="Tc_dQjw22p_rE6VtlR9I_bBxw_3_12"/>
      <w:bookmarkStart w:id="828" w:name="Tc_DgRagZnTrEOThQvRRX_I1g_3_11"/>
      <w:bookmarkStart w:id="829" w:name="Tc_-oLtpPQRVESMSj1osyYsZg_3_8"/>
      <w:bookmarkStart w:id="830" w:name="Tc_IHORBZxBckW88IasP1Th1A_3_6"/>
      <w:bookmarkStart w:id="831" w:name="Tc_uiYZ0KK2rEOrluFubCJByg_3_5"/>
      <w:bookmarkStart w:id="832" w:name="Tc_Kc7m5NNu7EeB55i_QCbcug_3_2"/>
      <w:bookmarkStart w:id="833" w:name="Tc_vLZi9-LjzkCkagP251Nksg_3_0"/>
      <w:bookmarkStart w:id="834" w:name="Tc_4tt4HaNgu06n729VY30_WQ_2_11"/>
      <w:bookmarkStart w:id="835" w:name="Tc_yOMvhmhhpEuZu_pohdor-w_2_8"/>
      <w:bookmarkStart w:id="836" w:name="Tc_YlI9YZzLrUitVziwaQAjeg_2_5"/>
      <w:bookmarkStart w:id="837" w:name="Tc_DBSkSCmpWUarg-TIN2bcMg_2_2"/>
      <w:bookmarkStart w:id="838" w:name="Tc_tyxNdQlKhE-QoiSnPhbBeQ_2_0"/>
      <w:bookmarkStart w:id="839" w:name="Tc_n6hBZhrrGk-VyShPA2oXKA_1_8"/>
      <w:bookmarkStart w:id="840" w:name="Tc_7dQcky6IckmaFm8QKERImQ_1_2"/>
      <w:bookmarkStart w:id="841" w:name="_14deeea8_748c_4709_bb39_2e84d7f8d00f"/>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tbl>
      <w:tblPr>
        <w:tblW w:w="5567" w:type="dxa"/>
        <w:jc w:val="left"/>
        <w:tblInd w:w="0" w:type="dxa"/>
        <w:tblLayout w:type="fixed"/>
        <w:tblCellMar>
          <w:top w:w="0" w:type="dxa"/>
          <w:left w:w="0" w:type="dxa"/>
          <w:bottom w:w="0" w:type="dxa"/>
          <w:right w:w="0" w:type="dxa"/>
        </w:tblCellMar>
      </w:tblPr>
      <w:tblGrid>
        <w:gridCol w:w="271"/>
        <w:gridCol w:w="5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5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w:t>
            </w:r>
          </w:p>
        </w:tc>
      </w:tr>
    </w:tbl>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Ethanol and Related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recognizes revenue from sales of ethanol and co-products at the point in time when the performance obligations in the Company's contracts with customers are met, which is when the customer obtains control of such products and typically occurs upon shipment (depending on the terms of the underlying contracts). Revenue is measured as the amount of consideration expected to be received in exchange for transferring goods or providing services. In some instances, the Company enters into contracts with customers that contain multiple performance obligations to deliver specified volumes of co-products over a contractual period of less than 12 months. In such instances, the Company allocates the transaction price to each performance obligation identified in the contract based on relative standalone selling prices and recognizes the related revenue when control of each individual product is transferred to the customer in satisfaction of the corresponding performance obligation.</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and Environmental Attribute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recognized revenue from the sale of RNG and related environmental attributes are produced at the NW Iowa RNG facility under long-term contracts with customers. Revenue is recognized at a point in time when the Company transfers the product to its customer. The customer obtains control of the product upon RNG delivery into the gas pipeline system, whereas the title and control for the environmental attributes are transferred to the customer subsequent to the issuance of such attributes by the relevant regulatory agency. The Company generally has multiple performance obligations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w:t>
      </w:r>
      <w:r>
        <w:rPr>
          <w:rFonts w:ascii="Times New Roman;Times;serif" w:hAnsi="Times New Roman;Times;serif"/>
          <w:sz w:val="20"/>
          <w:shd w:fill="FFFFFF" w:val="clear"/>
        </w:rPr>
        <w:t>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recorded limited revenues from </w:t>
      </w:r>
      <w:r>
        <w:rPr>
          <w:rFonts w:ascii="Times New Roman;Times;serif" w:hAnsi="Times New Roman;Times;serif"/>
          <w:sz w:val="20"/>
          <w:shd w:fill="FFFFFF" w:val="clear"/>
        </w:rPr>
        <w:t xml:space="preserve">the sale of isooctane and software services </w:t>
      </w:r>
      <w:r>
        <w:rPr>
          <w:rFonts w:ascii="Times New Roman;Times;serif" w:hAnsi="Times New Roman;Times;serif"/>
          <w:sz w:val="20"/>
        </w:rPr>
        <w:t xml:space="preserve">during the three and nine months ended September 30, 2025 and 2024. </w:t>
      </w:r>
      <w:r>
        <w:rPr>
          <w:rFonts w:ascii="Times New Roman;Times;serif" w:hAnsi="Times New Roman;Times;serif"/>
          <w:sz w:val="20"/>
          <w:shd w:fill="FFFFFF" w:val="clear"/>
        </w:rPr>
        <w:t>The isooctane was sold on a free-on-board shipping point basis (recognized at a point in time), were independent transactions, did not provide post-sale support or promises to deliver future goods, and were single performance obligations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displays the Company’s revenue by major source based on product type (in thousands):</w:t>
      </w:r>
    </w:p>
    <w:tbl>
      <w:tblPr>
        <w:tblW w:w="8924" w:type="dxa"/>
        <w:jc w:val="left"/>
        <w:tblInd w:w="0" w:type="dxa"/>
        <w:tblLayout w:type="fixed"/>
        <w:tblCellMar>
          <w:top w:w="0" w:type="dxa"/>
          <w:left w:w="0" w:type="dxa"/>
          <w:bottom w:w="0" w:type="dxa"/>
          <w:right w:w="0" w:type="dxa"/>
        </w:tblCellMar>
      </w:tblPr>
      <w:tblGrid>
        <w:gridCol w:w="3076"/>
        <w:gridCol w:w="326"/>
        <w:gridCol w:w="288"/>
        <w:gridCol w:w="925"/>
        <w:gridCol w:w="446"/>
        <w:gridCol w:w="288"/>
        <w:gridCol w:w="781"/>
        <w:gridCol w:w="109"/>
        <w:gridCol w:w="245"/>
        <w:gridCol w:w="908"/>
        <w:gridCol w:w="379"/>
        <w:gridCol w:w="245"/>
        <w:gridCol w:w="908"/>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953260" cy="175260"/>
                      <wp:effectExtent l="0" t="0" r="0" b="0"/>
                      <wp:wrapNone/>
                      <wp:docPr id="107" name="Frame10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82880" cy="175260"/>
                      <wp:effectExtent l="0" t="0" r="0" b="0"/>
                      <wp:wrapNone/>
                      <wp:docPr id="109" name="Frame10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87375" cy="175260"/>
                      <wp:effectExtent l="0" t="0" r="0" b="0"/>
                      <wp:wrapNone/>
                      <wp:docPr id="110" name="Frame110"/>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83210" cy="175260"/>
                      <wp:effectExtent l="0" t="0" r="0" b="0"/>
                      <wp:wrapNone/>
                      <wp:docPr id="111" name="Frame111"/>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82880" cy="175260"/>
                      <wp:effectExtent l="0" t="0" r="0" b="0"/>
                      <wp:wrapNone/>
                      <wp:docPr id="112" name="Frame112"/>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5575" cy="175260"/>
                      <wp:effectExtent l="0" t="0" r="0" b="0"/>
                      <wp:wrapNone/>
                      <wp:docPr id="115" name="Frame11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76580" cy="175260"/>
                      <wp:effectExtent l="0" t="0" r="0" b="0"/>
                      <wp:wrapNone/>
                      <wp:docPr id="116" name="Frame116"/>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0665" cy="175260"/>
                      <wp:effectExtent l="0" t="0" r="0" b="0"/>
                      <wp:wrapNone/>
                      <wp:docPr id="117" name="Frame117"/>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5575" cy="175260"/>
                      <wp:effectExtent l="0" t="0" r="0" b="0"/>
                      <wp:wrapNone/>
                      <wp:docPr id="118" name="Frame118"/>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6580" cy="175260"/>
                      <wp:effectExtent l="0" t="0" r="0" b="0"/>
                      <wp:wrapNone/>
                      <wp:docPr id="119" name="Frame119"/>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26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326" w:type="dxa"/>
            <w:tcBorders/>
            <w:vAlign w:val="center"/>
          </w:tcPr>
          <w:p>
            <w:pPr>
              <w:pStyle w:val="TableContents"/>
              <w:bidi w:val="0"/>
              <w:spacing w:before="0" w:after="1"/>
              <w:ind w:left="0" w:right="0" w:hanging="0"/>
              <w:jc w:val="center"/>
              <w:rPr/>
            </w:pPr>
            <w:r>
              <w:rPr/>
              <w:t>​</w:t>
            </w:r>
          </w:p>
        </w:tc>
        <w:tc>
          <w:tcPr>
            <w:tcW w:w="12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6" w:type="dxa"/>
            <w:tcBorders/>
            <w:vAlign w:val="center"/>
          </w:tcPr>
          <w:p>
            <w:pPr>
              <w:pStyle w:val="TableContents"/>
              <w:bidi w:val="0"/>
              <w:spacing w:before="0" w:after="1"/>
              <w:ind w:left="0" w:right="0" w:hanging="0"/>
              <w:jc w:val="center"/>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before="0" w:after="1"/>
              <w:ind w:left="0" w:right="0" w:hanging="0"/>
              <w:jc w:val="center"/>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30,284</w:t>
            </w:r>
          </w:p>
        </w:tc>
        <w:tc>
          <w:tcPr>
            <w:tcW w:w="4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76,037</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Ethanol related products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7,943</w:t>
            </w:r>
          </w:p>
        </w:tc>
        <w:tc>
          <w:tcPr>
            <w:tcW w:w="4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22,184</w:t>
            </w:r>
          </w:p>
        </w:tc>
        <w:tc>
          <w:tcPr>
            <w:tcW w:w="37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3,722</w:t>
            </w:r>
          </w:p>
        </w:tc>
        <w:tc>
          <w:tcPr>
            <w:tcW w:w="4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13,153</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9,733</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446"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37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and development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925" w:type="dxa"/>
            <w:tcBorders/>
            <w:shd w:fill="CCEEFF" w:val="clear"/>
            <w:vAlign w:val="center"/>
          </w:tcPr>
          <w:p>
            <w:pPr>
              <w:pStyle w:val="TableContents"/>
              <w:bidi w:val="0"/>
              <w:spacing w:before="0" w:after="1"/>
              <w:ind w:left="0" w:right="0" w:hanging="0"/>
              <w:jc w:val="right"/>
              <w:rPr/>
            </w:pPr>
            <w:r>
              <w:rPr/>
              <w:t>—</w:t>
            </w:r>
          </w:p>
        </w:tc>
        <w:tc>
          <w:tcPr>
            <w:tcW w:w="446"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w:t>
            </w:r>
          </w:p>
        </w:tc>
        <w:tc>
          <w:tcPr>
            <w:tcW w:w="446" w:type="dxa"/>
            <w:tcBorders/>
            <w:vAlign w:val="center"/>
          </w:tcPr>
          <w:p>
            <w:pPr>
              <w:pStyle w:val="TableContents"/>
              <w:bidi w:val="0"/>
              <w:spacing w:before="0" w:after="1"/>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2,693</w:t>
            </w:r>
          </w:p>
        </w:tc>
        <w:tc>
          <w:tcPr>
            <w:tcW w:w="379" w:type="dxa"/>
            <w:tcBorders/>
            <w:vAlign w:val="center"/>
          </w:tcPr>
          <w:p>
            <w:pPr>
              <w:pStyle w:val="TableContents"/>
              <w:bidi w:val="0"/>
              <w:spacing w:before="0" w:after="1"/>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42,710</w:t>
            </w:r>
          </w:p>
        </w:tc>
        <w:tc>
          <w:tcPr>
            <w:tcW w:w="446" w:type="dxa"/>
            <w:tcBorders/>
            <w:shd w:fill="CCEEFF" w:val="clear"/>
            <w:vAlign w:val="center"/>
          </w:tcPr>
          <w:p>
            <w:pPr>
              <w:pStyle w:val="TableContents"/>
              <w:bidi w:val="0"/>
              <w:spacing w:before="0" w:after="1"/>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115,232</w:t>
            </w:r>
          </w:p>
        </w:tc>
        <w:tc>
          <w:tcPr>
            <w:tcW w:w="379" w:type="dxa"/>
            <w:tcBorders/>
            <w:shd w:fill="CCEEFF" w:val="clear"/>
            <w:vAlign w:val="center"/>
          </w:tcPr>
          <w:p>
            <w:pPr>
              <w:pStyle w:val="TableContents"/>
              <w:bidi w:val="0"/>
              <w:spacing w:before="0" w:after="1"/>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11,215</w:t>
            </w:r>
          </w:p>
        </w:tc>
      </w:tr>
    </w:tbl>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 xml:space="preserve">Contract Assets, Current Liabilities, and Trade Receivables. </w:t>
      </w:r>
      <w:r>
        <w:rPr>
          <w:rFonts w:ascii="Times New Roman;Times;serif" w:hAnsi="Times New Roman;Times;serif"/>
          <w:sz w:val="20"/>
        </w:rPr>
        <w:t>During the three and nine months ended September 30, 2025 and 2024, there were no contract assets or liabilities as all customer amounts owed to the Company are unconditional and the Company does not receive payment in advance for its products. Accordingly, amounts owed by customers are included in “Trade accounts receivable, net” on the Company’s Condensed Consolidated Balance Sheets. In addition, due to the nature of the Company’s contracts, there are no costs incurred or to be paid in the future that qualify for asset recognition as a cost to fulfill or obtain a contract. No allowance for credit losses was recorded for each of the three and nine months ended September 30,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42" w:name="Tc_XIe1yIB8CkagL4wkZKPdiw_6_0"/>
      <w:bookmarkStart w:id="843" w:name="Tc_yGfTebnxjES7LOgLlWtm-w_5_0"/>
      <w:bookmarkStart w:id="844" w:name="Tc_bAWaw2P5Z0SYBQa8q0-_rw_4_12"/>
      <w:bookmarkStart w:id="845" w:name="Tc_EHV550Hhmk--547_QHG2DQ_4_6"/>
      <w:bookmarkStart w:id="846" w:name="Tc_R_HQvsEaHUm9dHQCNAHuwg_4_0"/>
      <w:bookmarkStart w:id="847" w:name="Tc_DU1Xg7774Eexsp090xJCZA_3_0"/>
      <w:bookmarkStart w:id="848" w:name="Tc_rSmAKO_7e0S8K92WKBE0Uw_2_11"/>
      <w:bookmarkStart w:id="849" w:name="Tc_PvY5uC6cfkmU5oGSH01DCg_2_8"/>
      <w:bookmarkStart w:id="850" w:name="Tc_Q6LhI8I5sU-Cf61tQfm2Tg_2_5"/>
      <w:bookmarkStart w:id="851" w:name="Tc_EjnN6h4iHkqPR4m7gS2m1g_2_2"/>
      <w:bookmarkStart w:id="852" w:name="Tc_bktf236inUGsU2h1S1SUpg_1_8"/>
      <w:bookmarkStart w:id="853" w:name="Tc_19yK_z0kc0uvqcbV_yiNLg_1_2"/>
      <w:bookmarkStart w:id="854" w:name="Tc_7JsV3n016keBTcK7ja-a3w_5_11"/>
      <w:bookmarkStart w:id="855" w:name="Tc__Pmi66d05Uuuvc3DDaq55w_5_8"/>
      <w:bookmarkStart w:id="856" w:name="Tc_hhG3-A-Y20yhFPv9t_wDLw_5_5"/>
      <w:bookmarkStart w:id="857" w:name="Tc_d-ucIkVta0ObR_BV8UoXVw_5_2"/>
      <w:bookmarkStart w:id="858" w:name="Tc_5zsXJUwHokiGFLcN2KRlQQ_5_0"/>
      <w:bookmarkStart w:id="859" w:name="Tc_v7M-w8qNWk2xzWzKuXei0A_4_0"/>
      <w:bookmarkStart w:id="860" w:name="Tc_DgxXj3r0H0qYKjCCvAnenQ_3_11"/>
      <w:bookmarkStart w:id="861" w:name="Tc_ywnS3G7z-ESFQaPP0JVqHA_3_8"/>
      <w:bookmarkStart w:id="862" w:name="Tc_64YDXjp8D0y_ZLTHMl7W7w_3_5"/>
      <w:bookmarkStart w:id="863" w:name="Tc_UrNzUMf2J0CSq7cYyRK37w_3_2"/>
      <w:bookmarkStart w:id="864" w:name="Tc_ippsjPR8tUCBLw292mRE_Q_3_0"/>
      <w:bookmarkStart w:id="865" w:name="Tc_n4NW6zyh1kCKc1jwRwjXWQ_2_11"/>
      <w:bookmarkStart w:id="866" w:name="Tc_TTpojHgxi06wDIpqnSkRyg_2_8"/>
      <w:bookmarkStart w:id="867" w:name="Tc_Gv4uAp0f-U-rWOcZss6vxA_2_5"/>
      <w:bookmarkStart w:id="868" w:name="Tc_GdzZtC1CSkyy5Bniv0Opmw_2_2"/>
      <w:bookmarkStart w:id="869" w:name="Tc_A2aDkZ4GlEmMPl5lhdLTBQ_1_8"/>
      <w:bookmarkStart w:id="870" w:name="Tc_PC1QfLJsb0iday7jUDF_Eg_1_2"/>
      <w:bookmarkStart w:id="871" w:name="_a9338548_b010_4c5c_ba08_4c4c7ea6eeed"/>
      <w:bookmarkStart w:id="872" w:name="_c4f05e0f_83ec_4a96_899e_51c525181789"/>
      <w:bookmarkStart w:id="873" w:name="Tc_XIe1yIB8CkagL4wkZKPdiw_6_0"/>
      <w:bookmarkStart w:id="874" w:name="Tc_yGfTebnxjES7LOgLlWtm-w_5_0"/>
      <w:bookmarkStart w:id="875" w:name="Tc_bAWaw2P5Z0SYBQa8q0-_rw_4_12"/>
      <w:bookmarkStart w:id="876" w:name="Tc_EHV550Hhmk--547_QHG2DQ_4_6"/>
      <w:bookmarkStart w:id="877" w:name="Tc_R_HQvsEaHUm9dHQCNAHuwg_4_0"/>
      <w:bookmarkStart w:id="878" w:name="Tc_DU1Xg7774Eexsp090xJCZA_3_0"/>
      <w:bookmarkStart w:id="879" w:name="Tc_rSmAKO_7e0S8K92WKBE0Uw_2_11"/>
      <w:bookmarkStart w:id="880" w:name="Tc_PvY5uC6cfkmU5oGSH01DCg_2_8"/>
      <w:bookmarkStart w:id="881" w:name="Tc_Q6LhI8I5sU-Cf61tQfm2Tg_2_5"/>
      <w:bookmarkStart w:id="882" w:name="Tc_EjnN6h4iHkqPR4m7gS2m1g_2_2"/>
      <w:bookmarkStart w:id="883" w:name="Tc_bktf236inUGsU2h1S1SUpg_1_8"/>
      <w:bookmarkStart w:id="884" w:name="Tc_19yK_z0kc0uvqcbV_yiNLg_1_2"/>
      <w:bookmarkStart w:id="885" w:name="Tc_7JsV3n016keBTcK7ja-a3w_5_11"/>
      <w:bookmarkStart w:id="886" w:name="Tc__Pmi66d05Uuuvc3DDaq55w_5_8"/>
      <w:bookmarkStart w:id="887" w:name="Tc_hhG3-A-Y20yhFPv9t_wDLw_5_5"/>
      <w:bookmarkStart w:id="888" w:name="Tc_d-ucIkVta0ObR_BV8UoXVw_5_2"/>
      <w:bookmarkStart w:id="889" w:name="Tc_5zsXJUwHokiGFLcN2KRlQQ_5_0"/>
      <w:bookmarkStart w:id="890" w:name="Tc_v7M-w8qNWk2xzWzKuXei0A_4_0"/>
      <w:bookmarkStart w:id="891" w:name="Tc_DgxXj3r0H0qYKjCCvAnenQ_3_11"/>
      <w:bookmarkStart w:id="892" w:name="Tc_ywnS3G7z-ESFQaPP0JVqHA_3_8"/>
      <w:bookmarkStart w:id="893" w:name="Tc_64YDXjp8D0y_ZLTHMl7W7w_3_5"/>
      <w:bookmarkStart w:id="894" w:name="Tc_UrNzUMf2J0CSq7cYyRK37w_3_2"/>
      <w:bookmarkStart w:id="895" w:name="Tc_ippsjPR8tUCBLw292mRE_Q_3_0"/>
      <w:bookmarkStart w:id="896" w:name="Tc_n4NW6zyh1kCKc1jwRwjXWQ_2_11"/>
      <w:bookmarkStart w:id="897" w:name="Tc_TTpojHgxi06wDIpqnSkRyg_2_8"/>
      <w:bookmarkStart w:id="898" w:name="Tc_Gv4uAp0f-U-rWOcZss6vxA_2_5"/>
      <w:bookmarkStart w:id="899" w:name="Tc_GdzZtC1CSkyy5Bniv0Opmw_2_2"/>
      <w:bookmarkStart w:id="900" w:name="Tc_A2aDkZ4GlEmMPl5lhdLTBQ_1_8"/>
      <w:bookmarkStart w:id="901" w:name="Tc_PC1QfLJsb0iday7jUDF_Eg_1_2"/>
      <w:bookmarkStart w:id="902" w:name="_a9338548_b010_4c5c_ba08_4c4c7ea6eeed"/>
      <w:bookmarkStart w:id="903" w:name="_c4f05e0f_83ec_4a96_899e_51c525181789"/>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tbl>
      <w:tblPr>
        <w:tblW w:w="2807" w:type="dxa"/>
        <w:jc w:val="left"/>
        <w:tblInd w:w="0" w:type="dxa"/>
        <w:tblLayout w:type="fixed"/>
        <w:tblCellMar>
          <w:top w:w="0" w:type="dxa"/>
          <w:left w:w="0" w:type="dxa"/>
          <w:bottom w:w="0" w:type="dxa"/>
          <w:right w:w="0" w:type="dxa"/>
        </w:tblCellMar>
      </w:tblPr>
      <w:tblGrid>
        <w:gridCol w:w="271"/>
        <w:gridCol w:w="253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5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Income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income (loss) per share is calculated by dividing income (loss) by the weighted average number of common shares outstanding for the respective periods. Diluted income (loss) per share is calculated using the diluted weighted average number of common shares outstanding, which includes the effect of potentially dilutive securities. These potentially dilutive securities for this calculation consist of unexercised warrants, stock options and unvested restricted stock awards, all of which are measured using the treasury stock method. Potentially dilutive securities are not considered to be dilutive in periods in which a net loss is reported. See Note 17, Stock-Based Compensation, for discussion of our stock options and restricted stock awards and Note 21, Stockholders’ Equity, for discussion of our 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income (loss) per share is calculated as follows (net income (loss) in thousands):</w:t>
      </w:r>
    </w:p>
    <w:tbl>
      <w:tblPr>
        <w:tblW w:w="10156" w:type="dxa"/>
        <w:jc w:val="left"/>
        <w:tblInd w:w="0" w:type="dxa"/>
        <w:tblLayout w:type="fixed"/>
        <w:tblCellMar>
          <w:top w:w="0" w:type="dxa"/>
          <w:left w:w="0" w:type="dxa"/>
          <w:bottom w:w="0" w:type="dxa"/>
          <w:right w:w="0" w:type="dxa"/>
        </w:tblCellMar>
      </w:tblPr>
      <w:tblGrid>
        <w:gridCol w:w="3616"/>
        <w:gridCol w:w="326"/>
        <w:gridCol w:w="211"/>
        <w:gridCol w:w="1141"/>
        <w:gridCol w:w="326"/>
        <w:gridCol w:w="211"/>
        <w:gridCol w:w="1141"/>
        <w:gridCol w:w="109"/>
        <w:gridCol w:w="211"/>
        <w:gridCol w:w="1141"/>
        <w:gridCol w:w="326"/>
        <w:gridCol w:w="211"/>
        <w:gridCol w:w="11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96160" cy="175260"/>
                      <wp:effectExtent l="0" t="0" r="0" b="0"/>
                      <wp:wrapNone/>
                      <wp:docPr id="120" name="Frame120"/>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24535" cy="175260"/>
                      <wp:effectExtent l="0" t="0" r="0" b="0"/>
                      <wp:wrapNone/>
                      <wp:docPr id="123" name="Frame1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24535" cy="175260"/>
                      <wp:effectExtent l="0" t="0" r="0" b="0"/>
                      <wp:wrapNone/>
                      <wp:docPr id="126" name="Frame1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24535" cy="175260"/>
                      <wp:effectExtent l="0" t="0" r="0" b="0"/>
                      <wp:wrapNone/>
                      <wp:docPr id="129" name="Frame12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53110" cy="175260"/>
                      <wp:effectExtent l="0" t="0" r="0" b="0"/>
                      <wp:wrapNone/>
                      <wp:docPr id="132" name="Frame13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6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232,684,017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239,445,900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233,338,776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239,767,047</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and nine months ended September 30, 2025 and 2024, potentially dilutive securities excluded from the calculation of diluted weighted average shares outstanding because they were anti-dilutive are as follows:</w:t>
      </w:r>
    </w:p>
    <w:p>
      <w:pPr>
        <w:pStyle w:val="TextBody"/>
        <w:bidi w:val="0"/>
        <w:spacing w:before="0" w:after="0"/>
        <w:ind w:left="0" w:right="0" w:hanging="0"/>
        <w:jc w:val="left"/>
        <w:rPr/>
      </w:pPr>
      <w:r>
        <w:rPr/>
        <w:t>​</w:t>
      </w:r>
    </w:p>
    <w:tbl>
      <w:tblPr>
        <w:tblW w:w="8608" w:type="dxa"/>
        <w:jc w:val="left"/>
        <w:tblInd w:w="0" w:type="dxa"/>
        <w:tblLayout w:type="fixed"/>
        <w:tblCellMar>
          <w:top w:w="0" w:type="dxa"/>
          <w:left w:w="0" w:type="dxa"/>
          <w:bottom w:w="0" w:type="dxa"/>
          <w:right w:w="0" w:type="dxa"/>
        </w:tblCellMar>
      </w:tblPr>
      <w:tblGrid>
        <w:gridCol w:w="2761"/>
        <w:gridCol w:w="326"/>
        <w:gridCol w:w="123"/>
        <w:gridCol w:w="1056"/>
        <w:gridCol w:w="370"/>
        <w:gridCol w:w="123"/>
        <w:gridCol w:w="1056"/>
        <w:gridCol w:w="109"/>
        <w:gridCol w:w="124"/>
        <w:gridCol w:w="1059"/>
        <w:gridCol w:w="370"/>
        <w:gridCol w:w="124"/>
        <w:gridCol w:w="1007"/>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53235" cy="175260"/>
                      <wp:effectExtent l="0" t="0" r="0" b="0"/>
                      <wp:wrapNone/>
                      <wp:docPr id="133" name="Frame13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8105" cy="175260"/>
                      <wp:effectExtent l="0" t="0" r="0" b="0"/>
                      <wp:wrapNone/>
                      <wp:docPr id="135" name="Frame135"/>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70560" cy="175260"/>
                      <wp:effectExtent l="0" t="0" r="0" b="0"/>
                      <wp:wrapNone/>
                      <wp:docPr id="136" name="Frame136"/>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34950" cy="175260"/>
                      <wp:effectExtent l="0" t="0" r="0" b="0"/>
                      <wp:wrapNone/>
                      <wp:docPr id="137" name="Frame13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8105" cy="175260"/>
                      <wp:effectExtent l="0" t="0" r="0" b="0"/>
                      <wp:wrapNone/>
                      <wp:docPr id="138" name="Frame138"/>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70560" cy="175260"/>
                      <wp:effectExtent l="0" t="0" r="0" b="0"/>
                      <wp:wrapNone/>
                      <wp:docPr id="139" name="Frame139"/>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8740" cy="175260"/>
                      <wp:effectExtent l="0" t="0" r="0" b="0"/>
                      <wp:wrapNone/>
                      <wp:docPr id="141" name="Frame14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72465" cy="175260"/>
                      <wp:effectExtent l="0" t="0" r="0" b="0"/>
                      <wp:wrapNone/>
                      <wp:docPr id="142" name="Frame142"/>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4950" cy="175260"/>
                      <wp:effectExtent l="0" t="0" r="0" b="0"/>
                      <wp:wrapNone/>
                      <wp:docPr id="143" name="Frame14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8740" cy="175260"/>
                      <wp:effectExtent l="0" t="0" r="0" b="0"/>
                      <wp:wrapNone/>
                      <wp:docPr id="144" name="Frame14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9445" cy="175260"/>
                      <wp:effectExtent l="0" t="0" r="0" b="0"/>
                      <wp:wrapNone/>
                      <wp:docPr id="145" name="Frame145"/>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0" w:type="dxa"/>
            <w:tcBorders/>
            <w:vAlign w:val="center"/>
          </w:tcPr>
          <w:p>
            <w:pPr>
              <w:pStyle w:val="TableContents"/>
              <w:bidi w:val="0"/>
              <w:spacing w:before="0" w:after="1"/>
              <w:ind w:left="0" w:right="0" w:hanging="0"/>
              <w:jc w:val="center"/>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0" w:type="dxa"/>
            <w:tcBorders/>
            <w:vAlign w:val="center"/>
          </w:tcPr>
          <w:p>
            <w:pPr>
              <w:pStyle w:val="TableContents"/>
              <w:bidi w:val="0"/>
              <w:spacing w:before="0" w:after="1"/>
              <w:ind w:left="0" w:right="0" w:hanging="0"/>
              <w:jc w:val="center"/>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23"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70" w:type="dxa"/>
            <w:tcBorders/>
            <w:shd w:fill="CCEEFF" w:val="clear"/>
            <w:vAlign w:val="center"/>
          </w:tcPr>
          <w:p>
            <w:pPr>
              <w:pStyle w:val="TableContents"/>
              <w:bidi w:val="0"/>
              <w:spacing w:before="0" w:after="1"/>
              <w:ind w:left="0" w:right="0" w:hanging="0"/>
              <w:jc w:val="left"/>
              <w:rPr/>
            </w:pPr>
            <w:r>
              <w:rPr/>
              <w:t>​</w:t>
            </w:r>
          </w:p>
        </w:tc>
        <w:tc>
          <w:tcPr>
            <w:tcW w:w="123"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19,051</w:t>
            </w:r>
          </w:p>
        </w:tc>
        <w:tc>
          <w:tcPr>
            <w:tcW w:w="109" w:type="dxa"/>
            <w:tcBorders/>
            <w:shd w:fill="CCEEFF" w:val="clear"/>
            <w:vAlign w:val="center"/>
          </w:tcPr>
          <w:p>
            <w:pPr>
              <w:pStyle w:val="TableContents"/>
              <w:bidi w:val="0"/>
              <w:spacing w:before="0" w:after="1"/>
              <w:ind w:left="0" w:right="0" w:hanging="0"/>
              <w:jc w:val="left"/>
              <w:rPr/>
            </w:pPr>
            <w:r>
              <w:rPr/>
              <w:t>​</w:t>
            </w:r>
          </w:p>
        </w:tc>
        <w:tc>
          <w:tcPr>
            <w:tcW w:w="124"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w:t>
            </w:r>
          </w:p>
        </w:tc>
        <w:tc>
          <w:tcPr>
            <w:tcW w:w="370" w:type="dxa"/>
            <w:tcBorders/>
            <w:shd w:fill="CCEEFF" w:val="clear"/>
            <w:vAlign w:val="center"/>
          </w:tcPr>
          <w:p>
            <w:pPr>
              <w:pStyle w:val="TableContents"/>
              <w:bidi w:val="0"/>
              <w:spacing w:before="0" w:after="1"/>
              <w:ind w:left="0" w:right="0" w:hanging="0"/>
              <w:jc w:val="left"/>
              <w:rPr/>
            </w:pPr>
            <w:r>
              <w:rPr/>
              <w:t>​</w:t>
            </w:r>
          </w:p>
        </w:tc>
        <w:tc>
          <w:tcPr>
            <w:tcW w:w="124"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18,866</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w:t>
            </w:r>
          </w:p>
        </w:tc>
        <w:tc>
          <w:tcPr>
            <w:tcW w:w="123"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2,351,974</w:t>
            </w:r>
          </w:p>
        </w:tc>
        <w:tc>
          <w:tcPr>
            <w:tcW w:w="370" w:type="dxa"/>
            <w:tcBorders/>
            <w:vAlign w:val="center"/>
          </w:tcPr>
          <w:p>
            <w:pPr>
              <w:pStyle w:val="TableContents"/>
              <w:bidi w:val="0"/>
              <w:spacing w:before="0" w:after="1"/>
              <w:ind w:left="0" w:right="0" w:hanging="0"/>
              <w:jc w:val="left"/>
              <w:rPr/>
            </w:pPr>
            <w:r>
              <w:rPr/>
              <w:t>​</w:t>
            </w:r>
          </w:p>
        </w:tc>
        <w:tc>
          <w:tcPr>
            <w:tcW w:w="123" w:type="dxa"/>
            <w:tcBorders/>
            <w:vAlign w:val="center"/>
          </w:tcPr>
          <w:p>
            <w:pPr>
              <w:pStyle w:val="TableContents"/>
              <w:bidi w:val="0"/>
              <w:spacing w:before="0" w:after="1"/>
              <w:ind w:left="0" w:right="0" w:hanging="0"/>
              <w:jc w:val="left"/>
              <w:rPr/>
            </w:pPr>
            <w:r>
              <w:rPr/>
              <w:t>​</w:t>
            </w:r>
          </w:p>
        </w:tc>
        <w:tc>
          <w:tcPr>
            <w:tcW w:w="10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24"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1,811,839</w:t>
            </w:r>
          </w:p>
        </w:tc>
        <w:tc>
          <w:tcPr>
            <w:tcW w:w="370" w:type="dxa"/>
            <w:tcBorders/>
            <w:vAlign w:val="center"/>
          </w:tcPr>
          <w:p>
            <w:pPr>
              <w:pStyle w:val="TableContents"/>
              <w:bidi w:val="0"/>
              <w:spacing w:before="0" w:after="1"/>
              <w:ind w:left="0" w:right="0" w:hanging="0"/>
              <w:jc w:val="left"/>
              <w:rPr/>
            </w:pPr>
            <w:r>
              <w:rPr/>
              <w:t>​</w:t>
            </w:r>
          </w:p>
        </w:tc>
        <w:tc>
          <w:tcPr>
            <w:tcW w:w="124"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righ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awards</w:t>
            </w:r>
          </w:p>
        </w:tc>
        <w:tc>
          <w:tcPr>
            <w:tcW w:w="326" w:type="dxa"/>
            <w:tcBorders/>
            <w:shd w:fill="CCEEFF" w:val="clear"/>
            <w:vAlign w:val="center"/>
          </w:tcPr>
          <w:p>
            <w:pPr>
              <w:pStyle w:val="TableContents"/>
              <w:bidi w:val="0"/>
              <w:spacing w:before="0" w:after="1"/>
              <w:ind w:left="0" w:right="0" w:hanging="0"/>
              <w:jc w:val="left"/>
              <w:rPr/>
            </w:pPr>
            <w:r>
              <w:rPr/>
              <w:t>​</w:t>
            </w:r>
          </w:p>
        </w:tc>
        <w:tc>
          <w:tcPr>
            <w:tcW w:w="1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3,512,407</w:t>
            </w:r>
          </w:p>
        </w:tc>
        <w:tc>
          <w:tcPr>
            <w:tcW w:w="370" w:type="dxa"/>
            <w:tcBorders/>
            <w:shd w:fill="CCEEFF" w:val="clear"/>
            <w:vAlign w:val="center"/>
          </w:tcPr>
          <w:p>
            <w:pPr>
              <w:pStyle w:val="TableContents"/>
              <w:bidi w:val="0"/>
              <w:spacing w:before="0" w:after="1"/>
              <w:ind w:left="0" w:right="0" w:hanging="0"/>
              <w:jc w:val="left"/>
              <w:rPr/>
            </w:pPr>
            <w:r>
              <w:rPr/>
              <w:t>​</w:t>
            </w:r>
          </w:p>
        </w:tc>
        <w:tc>
          <w:tcPr>
            <w:tcW w:w="1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1,453,578</w:t>
            </w:r>
          </w:p>
        </w:tc>
        <w:tc>
          <w:tcPr>
            <w:tcW w:w="109" w:type="dxa"/>
            <w:tcBorders/>
            <w:shd w:fill="CCEEFF" w:val="clear"/>
            <w:vAlign w:val="center"/>
          </w:tcPr>
          <w:p>
            <w:pPr>
              <w:pStyle w:val="TableContents"/>
              <w:bidi w:val="0"/>
              <w:spacing w:before="0" w:after="1"/>
              <w:ind w:left="0" w:right="0" w:hanging="0"/>
              <w:jc w:val="left"/>
              <w:rPr/>
            </w:pPr>
            <w:r>
              <w:rPr/>
              <w:t>​</w:t>
            </w:r>
          </w:p>
        </w:tc>
        <w:tc>
          <w:tcPr>
            <w:tcW w:w="1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3,905,494</w:t>
            </w:r>
          </w:p>
        </w:tc>
        <w:tc>
          <w:tcPr>
            <w:tcW w:w="370" w:type="dxa"/>
            <w:tcBorders/>
            <w:shd w:fill="CCEEFF" w:val="clear"/>
            <w:vAlign w:val="center"/>
          </w:tcPr>
          <w:p>
            <w:pPr>
              <w:pStyle w:val="TableContents"/>
              <w:bidi w:val="0"/>
              <w:spacing w:before="0" w:after="1"/>
              <w:ind w:left="0" w:right="0" w:hanging="0"/>
              <w:jc w:val="left"/>
              <w:rPr/>
            </w:pPr>
            <w:r>
              <w:rPr/>
              <w:t>​</w:t>
            </w:r>
          </w:p>
        </w:tc>
        <w:tc>
          <w:tcPr>
            <w:tcW w:w="1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614,699</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12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5,864,551</w:t>
            </w:r>
          </w:p>
        </w:tc>
        <w:tc>
          <w:tcPr>
            <w:tcW w:w="370" w:type="dxa"/>
            <w:tcBorders/>
            <w:vAlign w:val="center"/>
          </w:tcPr>
          <w:p>
            <w:pPr>
              <w:pStyle w:val="TableContents"/>
              <w:bidi w:val="0"/>
              <w:spacing w:before="0" w:after="1"/>
              <w:ind w:left="0" w:right="0" w:hanging="0"/>
              <w:jc w:val="left"/>
              <w:rPr/>
            </w:pPr>
            <w:r>
              <w:rPr/>
              <w:t>​</w:t>
            </w:r>
          </w:p>
        </w:tc>
        <w:tc>
          <w:tcPr>
            <w:tcW w:w="12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1,472,629</w:t>
            </w:r>
          </w:p>
        </w:tc>
        <w:tc>
          <w:tcPr>
            <w:tcW w:w="109" w:type="dxa"/>
            <w:tcBorders/>
            <w:vAlign w:val="center"/>
          </w:tcPr>
          <w:p>
            <w:pPr>
              <w:pStyle w:val="TableContents"/>
              <w:bidi w:val="0"/>
              <w:spacing w:before="0" w:after="1"/>
              <w:ind w:left="0" w:right="0" w:hanging="0"/>
              <w:jc w:val="left"/>
              <w:rPr/>
            </w:pPr>
            <w:r>
              <w:rPr/>
              <w:t>​</w:t>
            </w:r>
          </w:p>
        </w:tc>
        <w:tc>
          <w:tcPr>
            <w:tcW w:w="12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5,719,024</w:t>
            </w:r>
          </w:p>
        </w:tc>
        <w:tc>
          <w:tcPr>
            <w:tcW w:w="370" w:type="dxa"/>
            <w:tcBorders/>
            <w:vAlign w:val="center"/>
          </w:tcPr>
          <w:p>
            <w:pPr>
              <w:pStyle w:val="TableContents"/>
              <w:bidi w:val="0"/>
              <w:spacing w:before="0" w:after="1"/>
              <w:ind w:left="0" w:right="0" w:hanging="0"/>
              <w:jc w:val="left"/>
              <w:rPr/>
            </w:pPr>
            <w:r>
              <w:rPr/>
              <w:t>​</w:t>
            </w:r>
          </w:p>
        </w:tc>
        <w:tc>
          <w:tcPr>
            <w:tcW w:w="124"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633,565</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September 30, 2025, the Company has restricted cash balances of $35.8 million, of which $28.8 million is included in current assets and $7.0 million is included in non-current assets on the Condensed Consolidated Balance Sheet. The restricted cash consists of $31.2 million held as collateral for a letter of credit to provide financing support for the Company’s Remarketed Bonds, (“the Bond Letter of Credit”), which support the development and construction of NW Iowa RNG (see Note 16, Debt). The letter of credit has a fee of 0.75% annually and expires April 6, 2026, unless terminated earlier. As of September 30, 2025, no amounts have been drawn under the Bond Letter of Credit. In addition, related to the refinancing of $40.0 million of the Remarketed Bonds, in July 2025, the Company established a debt service reserve and an operating and maintenance reserve totaling $7.0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and nine months ended September 30, 2025 and 2024, the Company recorded interest income on the restricted cash balances of $0.3 million and $1.8 million and $0.9 million and $2.7 million, respectively. The interest income is included in “Other (expense) income, net” in the Condensed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904" w:name="Tc_yR1qklxd8keV1h8ZMg0ueg_8_5"/>
      <w:bookmarkStart w:id="905" w:name="Tc_XQ5v74L6i0-berzH2PmtBw_8_2"/>
      <w:bookmarkStart w:id="906" w:name="Tc_zbcIpi76Z0-2K01Xbe9TcA_8_0"/>
      <w:bookmarkStart w:id="907" w:name="Tc_HKaljUbmRU2UA0rBjHrS6g_7_0"/>
      <w:bookmarkStart w:id="908" w:name="Tc_riCPVesWyEuPSkA5ZtWgbQ_6_0"/>
      <w:bookmarkStart w:id="909" w:name="Tc_xJ-TagoL_0mlkWNCaNcwLQ_5_0"/>
      <w:bookmarkStart w:id="910" w:name="Tc_SQBK6O0ui0iLyaK8gHZkiQ_4_6"/>
      <w:bookmarkStart w:id="911" w:name="Tc_sFQoWsznAkCtQwHqiUZWnA_4_0"/>
      <w:bookmarkStart w:id="912" w:name="Tc_qYdq7lj3WEaXgeHNRhzYCA_3_5"/>
      <w:bookmarkStart w:id="913" w:name="Tc_ttV2xZ20c02Fphapqqnrlg_3_2"/>
      <w:bookmarkStart w:id="914" w:name="Tc_OSqQ4tz5XU6XmDX7aA5mIg_3_0"/>
      <w:bookmarkStart w:id="915" w:name="Tc_9fxWeq1v8kGjj7XObQtq-Q_2_5"/>
      <w:bookmarkStart w:id="916" w:name="Tc_uJLu9ZxQLEuhnklC21CnXQ_2_2"/>
      <w:bookmarkStart w:id="917" w:name="_6fb8556f_31c7_4c47_b4ca_86220d3ecdf7"/>
      <w:bookmarkStart w:id="918" w:name="Tc_yR1qklxd8keV1h8ZMg0ueg_8_5"/>
      <w:bookmarkStart w:id="919" w:name="Tc_XQ5v74L6i0-berzH2PmtBw_8_2"/>
      <w:bookmarkStart w:id="920" w:name="Tc_zbcIpi76Z0-2K01Xbe9TcA_8_0"/>
      <w:bookmarkStart w:id="921" w:name="Tc_HKaljUbmRU2UA0rBjHrS6g_7_0"/>
      <w:bookmarkStart w:id="922" w:name="Tc_riCPVesWyEuPSkA5ZtWgbQ_6_0"/>
      <w:bookmarkStart w:id="923" w:name="Tc_xJ-TagoL_0mlkWNCaNcwLQ_5_0"/>
      <w:bookmarkStart w:id="924" w:name="Tc_SQBK6O0ui0iLyaK8gHZkiQ_4_6"/>
      <w:bookmarkStart w:id="925" w:name="Tc_sFQoWsznAkCtQwHqiUZWnA_4_0"/>
      <w:bookmarkStart w:id="926" w:name="Tc_qYdq7lj3WEaXgeHNRhzYCA_3_5"/>
      <w:bookmarkStart w:id="927" w:name="Tc_ttV2xZ20c02Fphapqqnrlg_3_2"/>
      <w:bookmarkStart w:id="928" w:name="Tc_OSqQ4tz5XU6XmDX7aA5mIg_3_0"/>
      <w:bookmarkStart w:id="929" w:name="Tc_9fxWeq1v8kGjj7XObQtq-Q_2_5"/>
      <w:bookmarkStart w:id="930" w:name="Tc_uJLu9ZxQLEuhnklC21CnXQ_2_2"/>
      <w:bookmarkStart w:id="931" w:name="_6fb8556f_31c7_4c47_b4ca_86220d3ecdf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tbl>
      <w:tblPr>
        <w:tblW w:w="4097" w:type="dxa"/>
        <w:jc w:val="left"/>
        <w:tblInd w:w="0" w:type="dxa"/>
        <w:tblLayout w:type="fixed"/>
        <w:tblCellMar>
          <w:top w:w="0" w:type="dxa"/>
          <w:left w:w="0" w:type="dxa"/>
          <w:bottom w:w="0" w:type="dxa"/>
          <w:right w:w="0" w:type="dxa"/>
        </w:tblCellMar>
      </w:tblPr>
      <w:tblGrid>
        <w:gridCol w:w="271"/>
        <w:gridCol w:w="382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Expenses and Other Current Assets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tbl>
      <w:tblPr>
        <w:tblW w:w="7675" w:type="dxa"/>
        <w:jc w:val="left"/>
        <w:tblInd w:w="0" w:type="dxa"/>
        <w:tblLayout w:type="fixed"/>
        <w:tblCellMar>
          <w:top w:w="0" w:type="dxa"/>
          <w:left w:w="0" w:type="dxa"/>
          <w:bottom w:w="0" w:type="dxa"/>
          <w:right w:w="0" w:type="dxa"/>
        </w:tblCellMar>
      </w:tblPr>
      <w:tblGrid>
        <w:gridCol w:w="3931"/>
        <w:gridCol w:w="326"/>
        <w:gridCol w:w="417"/>
        <w:gridCol w:w="1129"/>
        <w:gridCol w:w="326"/>
        <w:gridCol w:w="367"/>
        <w:gridCol w:w="1179"/>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496185" cy="175260"/>
                      <wp:effectExtent l="0" t="0" r="0" b="0"/>
                      <wp:wrapNone/>
                      <wp:docPr id="146" name="Frame146"/>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4795" cy="175260"/>
                      <wp:effectExtent l="0" t="0" r="0" b="0"/>
                      <wp:wrapNone/>
                      <wp:docPr id="148" name="Frame14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16915" cy="175260"/>
                      <wp:effectExtent l="0" t="0" r="0" b="0"/>
                      <wp:wrapNone/>
                      <wp:docPr id="149" name="Frame149"/>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33045" cy="175260"/>
                      <wp:effectExtent l="0" t="0" r="0" b="0"/>
                      <wp:wrapNone/>
                      <wp:docPr id="151" name="Frame15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48665" cy="175260"/>
                      <wp:effectExtent l="0" t="0" r="0" b="0"/>
                      <wp:wrapNone/>
                      <wp:docPr id="152" name="Frame15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derivative contracts</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 </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 </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2,858</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4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5,920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52" w:type="dxa"/>
        <w:jc w:val="left"/>
        <w:tblInd w:w="0" w:type="dxa"/>
        <w:tblLayout w:type="fixed"/>
        <w:tblCellMar>
          <w:top w:w="0" w:type="dxa"/>
          <w:left w:w="0" w:type="dxa"/>
          <w:bottom w:w="0" w:type="dxa"/>
          <w:right w:w="0" w:type="dxa"/>
        </w:tblCellMar>
      </w:tblPr>
      <w:tblGrid>
        <w:gridCol w:w="271"/>
        <w:gridCol w:w="43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Right-of-Use Assets and Related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for the Company’s office and research facility in Englewood, Colorado, which expires in January 2029, and an operating lease for additional office space in Albuquerque, New Mexico, which expires in 2026. The Company’s office facility lease contains an option to extend the lease which is not included in the length of the term as management does not reasonably expect to exercise. The additional office space lease does not contain an option to extend.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four finance leases for land, one for a processing facility, and one for a piece of operating equipment. The land leases are for NW Iowa RNG. The Company leases land from dairy farmers on which it has built three anaerobic digesters, and a gas upgrade facility to condition raw biogas from cow manure provided by the farmers. These leases expire at various dates between 2031 and 2050</w:t>
      </w:r>
      <w:r>
        <w:rPr>
          <w:rFonts w:ascii="Times New Roman;Times;serif" w:hAnsi="Times New Roman;Times;serif"/>
          <w:i/>
          <w:sz w:val="20"/>
        </w:rPr>
        <w:t>.</w:t>
      </w:r>
      <w:r>
        <w:rPr>
          <w:rFonts w:ascii="Times New Roman;Times;serif" w:hAnsi="Times New Roman;Times;serif"/>
          <w:sz w:val="20"/>
        </w:rPr>
        <w:t xml:space="preserve"> The Company accounts for lease components separately from non-lease components for the Company’s dairy lease asset class. The total consideration in the lease agreement is allocated to the lease and non-lease components based on their relative standalone prices. These leases contain options to extend the leases, which management reasonably expects to exercise and are included in the length of the terms. The lease of operating equipment is used at GevoND and expires in 2029. The lease does not contain an option to extend, and contains a purchase option upon termination that the Company expects to exercise.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2024, the Company entered into an amendment that extended the term of an existing agreement to use a third-party processing facility beyond the previous 12-month term, which resulted in the agreement being recorded as a lease. The agreement for the leased facility expires in the second half of 2025, with no option to extend the lease term. Lease amortization for the third-party processing facility was recorded as a component of Project development costs on the Condensed Consolidated Statement of Operations prior to the signing of a customer offtake agreement in August 2024, and after which it is included as a component of work-in-progress inventory, to be expended as a component of Cost of production as sales are made in future periods.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Company’s acquisition of substantially all the assets and certain liabilities of Red Trail Energy, the Company assumed rail car lease agreements used to transport dried distillers grains, all of which are classified as operating leases. As these agreements did not specify an implicit interest rate, the Company utilized its estimated incremental borrowing rate to calculate the present value of future minimum lease payments in accordance with purchase accounting requirements as of the acquisition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32" w:name="Tc_qYU_dZ-OOEq8PUffKZhG5A_12_5"/>
      <w:bookmarkStart w:id="933" w:name="Tc_W1isM_5D40-x1VAAqQtimA_12_2"/>
      <w:bookmarkStart w:id="934" w:name="Tc_k-e3CpGB0EqquQd6XMkbxQ_12_0"/>
      <w:bookmarkStart w:id="935" w:name="Tc_oTKMGdBuL0WJxDdA3_l95Q_11_0"/>
      <w:bookmarkStart w:id="936" w:name="Tc_hgeq_FfDm0-7htkUv2az9A_10_0"/>
      <w:bookmarkStart w:id="937" w:name="Tc_MtpLWgI8M0SJc7ZPK1sLIw_9_0"/>
      <w:bookmarkStart w:id="938" w:name="Tc__CAxZTZmYEqX8aZjaxSajg_8_0"/>
      <w:bookmarkStart w:id="939" w:name="Tc_4lfOAYLal0SDduMnXR2vZQ_7_0"/>
      <w:bookmarkStart w:id="940" w:name="Tc_INr9PboWwkelenzdU09aMg_6_0"/>
      <w:bookmarkStart w:id="941" w:name="Tc_hL6OTfwmSkOKhbL3o5ltRA_5_0"/>
      <w:bookmarkStart w:id="942" w:name="Tc_l9L0RrQ0PEacQcT3D7Bjog_4_0"/>
      <w:bookmarkStart w:id="943" w:name="Tc_7_Wj9eAnRUyV36b-rVtidQ_3_0"/>
      <w:bookmarkStart w:id="944" w:name="Tc_kc6O5iyaIkCChEUDrKQZdw_2_5"/>
      <w:bookmarkStart w:id="945" w:name="Tc_B0e1z7i1SUarZz3NasTGUQ_2_2"/>
      <w:bookmarkStart w:id="946" w:name="Tc_dGFc3hYHt0ukUEc3BZZBFQ_2_0"/>
      <w:bookmarkStart w:id="947" w:name="Tc_3vKqmFfDVEOqMhbyFXXIBQ_1_5"/>
      <w:bookmarkStart w:id="948" w:name="Tc_J8OnDUySKUO3VVVr3NOkNw_1_2"/>
      <w:bookmarkStart w:id="949" w:name="Tc_uopyk-RJIkCS8qiWDT4pRQ_13_7"/>
      <w:bookmarkStart w:id="950" w:name="Tc_hpKnQNMx9E2AJSoYu5MpAw_13_4"/>
      <w:bookmarkStart w:id="951" w:name="Tc_vsO6dew9RU652h1NpDJMSQ_13_0"/>
      <w:bookmarkStart w:id="952" w:name="Tc_IyBhNZbZyUiMag6XdlsaVQ_12_7"/>
      <w:bookmarkStart w:id="953" w:name="Tc_IrMM0AgDqU2BCik404ANZg_12_4"/>
      <w:bookmarkStart w:id="954" w:name="Tc_o3x57qLa0U-ExaXiyZIy1w_12_0"/>
      <w:bookmarkStart w:id="955" w:name="Tc_rv6TCUXbF0SFfBvMgxxsOA_11_0"/>
      <w:bookmarkStart w:id="956" w:name="Tc_nekvi_QVp0yr5ps-LZH2WA_10_0"/>
      <w:bookmarkStart w:id="957" w:name="Tc_cMOtRB4vjUSBjqQBVUjKGQ_9_5"/>
      <w:bookmarkStart w:id="958" w:name="Tc_8jHLoOsnVE--Mnwg705msg_9_3"/>
      <w:bookmarkStart w:id="959" w:name="Tc_-_akBgfI9UmnxG_8kiymAQ_9_2"/>
      <w:bookmarkStart w:id="960" w:name="Tc_FF1iMZJKhEu8nKcEWPHThA_9_0"/>
      <w:bookmarkStart w:id="961" w:name="Tc_-Kz_IlE9_ku2ph3jIv03cw_8_5"/>
      <w:bookmarkStart w:id="962" w:name="Tc_He6TDv__tEG0J57nSGTBLg_8_2"/>
      <w:bookmarkStart w:id="963" w:name="Tc_n_jPWQh8h0eJySiYGGvuFA_8_0"/>
      <w:bookmarkStart w:id="964" w:name="Tc_IyBDuIQeL06Z_FwH1CtoXQ_7_5"/>
      <w:bookmarkStart w:id="965" w:name="Tc_aSDXki7ex0OUMtWouyVzQw_7_2"/>
      <w:bookmarkStart w:id="966" w:name="Tc_YIri46ayPEGWoG23RjFtdQ_7_0"/>
      <w:bookmarkStart w:id="967" w:name="Tc_oKdn43dEN0apC4d65g9ycA_6_5"/>
      <w:bookmarkStart w:id="968" w:name="Tc_Y4CeR4TAJUupl7q-38B-rQ_6_2"/>
      <w:bookmarkStart w:id="969" w:name="Tc_GOEFQ7hsaUmVLrfCI3f6QA_6_0"/>
      <w:bookmarkStart w:id="970" w:name="Tc_hWqbayR2NkWPzvaq3SmcxA_5_5"/>
      <w:bookmarkStart w:id="971" w:name="Tc_2kgl4bMaZE-eYM521CT1og_5_2"/>
      <w:bookmarkStart w:id="972" w:name="Tc_BwjUv-zrbEiG4uW4r3WubQ_5_0"/>
      <w:bookmarkStart w:id="973" w:name="Tc_hd_8Y3FbXUW3MtB56R2fKA_4_0"/>
      <w:bookmarkStart w:id="974" w:name="Tc_FK2TphJLT0qexXiRJbDs_A_3_0"/>
      <w:bookmarkStart w:id="975" w:name="Tc_DPLiWARUA0aE_LovkdErxw_2_5"/>
      <w:bookmarkStart w:id="976" w:name="Tc_0VIXDnKQX0ucnX4Zgk3-6Q_2_2"/>
      <w:bookmarkStart w:id="977" w:name="Tc_UiVNlXJd_0q1akorWdLL-g_1_2"/>
      <w:bookmarkStart w:id="978" w:name="_fafa6307_760a_4868_a239_e430cb9c5c58"/>
      <w:bookmarkStart w:id="979" w:name="Tc_oPCxc1SrUE-zRlbk6qpMnA_7_5"/>
      <w:bookmarkStart w:id="980" w:name="Tc_qG9KhshykECDCOo5plR2kA_7_2"/>
      <w:bookmarkStart w:id="981" w:name="Tc_7HWtnhSzMkWvnYic7F2SJw_7_0"/>
      <w:bookmarkStart w:id="982" w:name="Tc_79Gik0j0j0-eQWJncG8Tjw_6_0"/>
      <w:bookmarkStart w:id="983" w:name="Tc_OO3Aj3-WvUeKfrLgJVWKuA_5_0"/>
      <w:bookmarkStart w:id="984" w:name="Tc_BV-5noFTcUipWTsFHPDSYg_4_0"/>
      <w:bookmarkStart w:id="985" w:name="Tc_NNzk5HXOUUyZimj6sj-5Gw_3_5"/>
      <w:bookmarkStart w:id="986" w:name="Tc_vbMIEyceU0OF4nl4qv7lEg_3_2"/>
      <w:bookmarkStart w:id="987" w:name="Tc_6MBDvhLoM0i8Ei0lXT-ZuQ_3_0"/>
      <w:bookmarkStart w:id="988" w:name="Tc_YMYbJbjDnUuY9BeFyoJoAg_2_5"/>
      <w:bookmarkStart w:id="989" w:name="Tc_0VsWa_MCEk-vH2fkBWdfDA_2_2"/>
      <w:bookmarkStart w:id="990" w:name="Tc_zPDLIgouL0qg9N3hgciH-w_1_2"/>
      <w:bookmarkStart w:id="991" w:name="_b9751d0d_3bb8_4873_abc4_dc23b335bd2f"/>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sz w:val="20"/>
        </w:rPr>
        <w:t>The following tables present the (i) costs by lease category, (ii) other quantitative information, and (iii) future minimum payments under non-cancelable financing and operating leases as they relate to the Company’s leases (in thousands, except for weighted averages):</w:t>
      </w:r>
    </w:p>
    <w:tbl>
      <w:tblPr>
        <w:tblW w:w="5413" w:type="dxa"/>
        <w:jc w:val="left"/>
        <w:tblInd w:w="0" w:type="dxa"/>
        <w:tblLayout w:type="fixed"/>
        <w:tblCellMar>
          <w:top w:w="0" w:type="dxa"/>
          <w:left w:w="0" w:type="dxa"/>
          <w:bottom w:w="0" w:type="dxa"/>
          <w:right w:w="0" w:type="dxa"/>
        </w:tblCellMar>
      </w:tblPr>
      <w:tblGrid>
        <w:gridCol w:w="2476"/>
        <w:gridCol w:w="109"/>
        <w:gridCol w:w="294"/>
        <w:gridCol w:w="797"/>
        <w:gridCol w:w="455"/>
        <w:gridCol w:w="294"/>
        <w:gridCol w:w="797"/>
        <w:gridCol w:w="19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72260" cy="175260"/>
                      <wp:effectExtent l="0" t="0" r="0" b="0"/>
                      <wp:wrapNone/>
                      <wp:docPr id="153" name="Frame153"/>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6690" cy="175260"/>
                      <wp:effectExtent l="0" t="0" r="0" b="0"/>
                      <wp:wrapNone/>
                      <wp:docPr id="155" name="Frame15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06095" cy="175260"/>
                      <wp:effectExtent l="0" t="0" r="0" b="0"/>
                      <wp:wrapNone/>
                      <wp:docPr id="156" name="Frame15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88925" cy="175260"/>
                      <wp:effectExtent l="0" t="0" r="0" b="0"/>
                      <wp:wrapNone/>
                      <wp:docPr id="157" name="Frame15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86690" cy="175260"/>
                      <wp:effectExtent l="0" t="0" r="0" b="0"/>
                      <wp:wrapNone/>
                      <wp:docPr id="158" name="Frame15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06095" cy="175260"/>
                      <wp:effectExtent l="0" t="0" r="0" b="0"/>
                      <wp:wrapNone/>
                      <wp:docPr id="159" name="Frame159"/>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21285" cy="175260"/>
                      <wp:effectExtent l="0" t="0" r="0" b="0"/>
                      <wp:wrapNone/>
                      <wp:docPr id="160" name="Frame16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191" w:type="dxa"/>
            <w:tcBorders/>
            <w:vAlign w:val="center"/>
          </w:tcPr>
          <w:p>
            <w:pPr>
              <w:pStyle w:val="TableContents"/>
              <w:bidi w:val="0"/>
              <w:spacing w:before="0" w:after="1"/>
              <w:ind w:left="0" w:right="0" w:hanging="0"/>
              <w:jc w:val="center"/>
              <w:rPr/>
            </w:pPr>
            <w:r>
              <w:rPr/>
              <w:t> </w:t>
            </w:r>
          </w:p>
        </w:tc>
      </w:tr>
      <w:tr>
        <w:trPr/>
        <w:tc>
          <w:tcPr>
            <w:tcW w:w="24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5" w:type="dxa"/>
            <w:tcBorders/>
            <w:vAlign w:val="center"/>
          </w:tcPr>
          <w:p>
            <w:pPr>
              <w:pStyle w:val="TableContents"/>
              <w:bidi w:val="0"/>
              <w:spacing w:before="0" w:after="1"/>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1"/>
              <w:ind w:left="0" w:right="0" w:hanging="0"/>
              <w:jc w:val="center"/>
              <w:rPr/>
            </w:pPr>
            <w:r>
              <w:rPr/>
              <w:t> </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455"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expense:</w:t>
            </w:r>
          </w:p>
        </w:tc>
        <w:tc>
          <w:tcPr>
            <w:tcW w:w="109"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294"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leased assets</w:t>
            </w:r>
          </w:p>
        </w:tc>
        <w:tc>
          <w:tcPr>
            <w:tcW w:w="109"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455"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4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455"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191" w:type="dxa"/>
            <w:tcBorders/>
            <w:vAlign w:val="center"/>
          </w:tcPr>
          <w:p>
            <w:pPr>
              <w:pStyle w:val="TableContents"/>
              <w:bidi w:val="0"/>
              <w:spacing w:before="0" w:after="1"/>
              <w:ind w:left="0" w:right="0" w:hanging="0"/>
              <w:jc w:val="left"/>
              <w:rPr/>
            </w:pPr>
            <w:r>
              <w:rPr/>
              <w:t>​</w:t>
            </w:r>
          </w:p>
        </w:tc>
      </w:tr>
      <w:tr>
        <w:trPr/>
        <w:tc>
          <w:tcPr>
            <w:tcW w:w="24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1,654</w:t>
            </w:r>
          </w:p>
        </w:tc>
        <w:tc>
          <w:tcPr>
            <w:tcW w:w="455"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left"/>
        <w:rPr/>
      </w:pPr>
      <w:r>
        <w:rPr/>
        <w:t>​</w:t>
      </w:r>
    </w:p>
    <w:tbl>
      <w:tblPr>
        <w:tblW w:w="9402" w:type="dxa"/>
        <w:jc w:val="left"/>
        <w:tblInd w:w="0" w:type="dxa"/>
        <w:tblLayout w:type="fixed"/>
        <w:tblCellMar>
          <w:top w:w="0" w:type="dxa"/>
          <w:left w:w="0" w:type="dxa"/>
          <w:bottom w:w="0" w:type="dxa"/>
          <w:right w:w="0" w:type="dxa"/>
        </w:tblCellMar>
      </w:tblPr>
      <w:tblGrid>
        <w:gridCol w:w="6121"/>
        <w:gridCol w:w="326"/>
        <w:gridCol w:w="289"/>
        <w:gridCol w:w="783"/>
        <w:gridCol w:w="495"/>
        <w:gridCol w:w="289"/>
        <w:gridCol w:w="783"/>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886835" cy="175260"/>
                      <wp:effectExtent l="0" t="0" r="0" b="0"/>
                      <wp:wrapNone/>
                      <wp:docPr id="161" name="Frame161"/>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3515" cy="175260"/>
                      <wp:effectExtent l="0" t="0" r="0" b="0"/>
                      <wp:wrapNone/>
                      <wp:docPr id="163" name="Frame16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7205" cy="175260"/>
                      <wp:effectExtent l="0" t="0" r="0" b="0"/>
                      <wp:wrapNone/>
                      <wp:docPr id="164" name="Frame16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14325" cy="175260"/>
                      <wp:effectExtent l="0" t="0" r="0" b="0"/>
                      <wp:wrapNone/>
                      <wp:docPr id="165" name="Frame165"/>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83515" cy="175260"/>
                      <wp:effectExtent l="0" t="0" r="0" b="0"/>
                      <wp:wrapNone/>
                      <wp:docPr id="166" name="Frame16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97205" cy="175260"/>
                      <wp:effectExtent l="0" t="0" r="0" b="0"/>
                      <wp:wrapNone/>
                      <wp:docPr id="167" name="Frame16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0660" cy="175260"/>
                      <wp:effectExtent l="0" t="0" r="0" b="0"/>
                      <wp:wrapNone/>
                      <wp:docPr id="168" name="Frame1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5" w:type="dxa"/>
            <w:tcBorders/>
            <w:vAlign w:val="center"/>
          </w:tcPr>
          <w:p>
            <w:pPr>
              <w:pStyle w:val="TableContents"/>
              <w:bidi w:val="0"/>
              <w:spacing w:before="0" w:after="1"/>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left"/>
              <w:rPr/>
            </w:pPr>
            <w:r>
              <w:rPr/>
              <w:t> </w:t>
            </w:r>
          </w:p>
        </w:tc>
        <w:tc>
          <w:tcPr>
            <w:tcW w:w="289"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  </w:t>
            </w:r>
          </w:p>
        </w:tc>
        <w:tc>
          <w:tcPr>
            <w:tcW w:w="495" w:type="dxa"/>
            <w:tcBorders/>
            <w:shd w:fill="CCEEFF" w:val="clear"/>
            <w:vAlign w:val="center"/>
          </w:tcPr>
          <w:p>
            <w:pPr>
              <w:pStyle w:val="TableContents"/>
              <w:bidi w:val="0"/>
              <w:spacing w:before="0" w:after="1"/>
              <w:ind w:left="0" w:right="0" w:hanging="0"/>
              <w:jc w:val="left"/>
              <w:rPr/>
            </w:pPr>
            <w:r>
              <w:rPr/>
              <w:t> </w:t>
            </w:r>
          </w:p>
        </w:tc>
        <w:tc>
          <w:tcPr>
            <w:tcW w:w="289"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vAlign w:val="center"/>
          </w:tcPr>
          <w:p>
            <w:pPr>
              <w:pStyle w:val="TableContents"/>
              <w:bidi w:val="0"/>
              <w:spacing w:before="0" w:after="1"/>
              <w:ind w:left="0" w:right="0" w:hanging="0"/>
              <w:jc w:val="left"/>
              <w:rPr/>
            </w:pPr>
            <w:r>
              <w:rPr/>
              <w:t> </w:t>
            </w:r>
          </w:p>
        </w:tc>
        <w:tc>
          <w:tcPr>
            <w:tcW w:w="289"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495" w:type="dxa"/>
            <w:tcBorders/>
            <w:vAlign w:val="center"/>
          </w:tcPr>
          <w:p>
            <w:pPr>
              <w:pStyle w:val="TableContents"/>
              <w:bidi w:val="0"/>
              <w:spacing w:before="0" w:after="1"/>
              <w:ind w:left="0" w:right="0" w:hanging="0"/>
              <w:jc w:val="left"/>
              <w:rPr/>
            </w:pPr>
            <w:r>
              <w:rPr/>
              <w:t> </w:t>
            </w:r>
          </w:p>
        </w:tc>
        <w:tc>
          <w:tcPr>
            <w:tcW w:w="289"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c>
          <w:tcPr>
            <w:tcW w:w="495"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495"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495"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finance lease liabilities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495"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495"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leases (months)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495"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495"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4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9"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276"/>
        <w:gridCol w:w="326"/>
        <w:gridCol w:w="367"/>
        <w:gridCol w:w="998"/>
        <w:gridCol w:w="326"/>
        <w:gridCol w:w="314"/>
        <w:gridCol w:w="9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715260" cy="175260"/>
                      <wp:effectExtent l="0" t="0" r="0" b="0"/>
                      <wp:wrapNone/>
                      <wp:docPr id="169" name="Frame16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33045" cy="175260"/>
                      <wp:effectExtent l="0" t="0" r="0" b="0"/>
                      <wp:wrapNone/>
                      <wp:docPr id="171" name="Frame17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33730" cy="175260"/>
                      <wp:effectExtent l="0" t="0" r="0" b="0"/>
                      <wp:wrapNone/>
                      <wp:docPr id="172" name="Frame172"/>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9390" cy="175260"/>
                      <wp:effectExtent l="0" t="0" r="0" b="0"/>
                      <wp:wrapNone/>
                      <wp:docPr id="174" name="Frame17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81660" cy="175260"/>
                      <wp:effectExtent l="0" t="0" r="0" b="0"/>
                      <wp:wrapNone/>
                      <wp:docPr id="175" name="Frame17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992" w:name="Tc_Lef4nz4pG0qMcXyTW_ZmEg_9_5"/>
      <w:bookmarkStart w:id="993" w:name="Tc_0cw7GrtDcky7meTO1TmWvA_9_2"/>
      <w:bookmarkStart w:id="994" w:name="Tc_fbVouSMRfECgp7AzRWdZVw_9_0"/>
      <w:bookmarkStart w:id="995" w:name="Tc_54ElKtbh7U-eNIYC7qNmXw_8_0"/>
      <w:bookmarkStart w:id="996" w:name="Tc_b-v_TB6k3EW3yeAdNQmm0g_7_0"/>
      <w:bookmarkStart w:id="997" w:name="Tc_sB_4mE0b-U6ZSTRoDES6RA_6_0"/>
      <w:bookmarkStart w:id="998" w:name="Tc_qYaHSvy5nUWi1bgcfMl96A_5_0"/>
      <w:bookmarkStart w:id="999" w:name="Tc_1o8h6v_IREq31XxEnqkSCQ_4_0"/>
      <w:bookmarkStart w:id="1000" w:name="Tc_IZJ6gLD870mUU6YYZRsGhg_3_0"/>
      <w:bookmarkStart w:id="1001" w:name="Tc_UQ0eafPgLk-tgJeREhs_vQ_2_5"/>
      <w:bookmarkStart w:id="1002" w:name="Tc_fHkZgR1BIUatMqqw3BCaig_2_2"/>
      <w:bookmarkStart w:id="1003" w:name="Tc_noIdPekYn0yQQhTjs0RUXQ_2_0"/>
      <w:bookmarkStart w:id="1004" w:name="Tc_rtwqPnczUUysAEnpXghu-Q_1_5"/>
      <w:bookmarkStart w:id="1005" w:name="Tc_DEtuffJaVkSdrtygAoFt9A_1_2"/>
      <w:bookmarkStart w:id="1006" w:name="Tc_Lef4nz4pG0qMcXyTW_ZmEg_9_5"/>
      <w:bookmarkStart w:id="1007" w:name="Tc_0cw7GrtDcky7meTO1TmWvA_9_2"/>
      <w:bookmarkStart w:id="1008" w:name="Tc_fbVouSMRfECgp7AzRWdZVw_9_0"/>
      <w:bookmarkStart w:id="1009" w:name="Tc_54ElKtbh7U-eNIYC7qNmXw_8_0"/>
      <w:bookmarkStart w:id="1010" w:name="Tc_b-v_TB6k3EW3yeAdNQmm0g_7_0"/>
      <w:bookmarkStart w:id="1011" w:name="Tc_sB_4mE0b-U6ZSTRoDES6RA_6_0"/>
      <w:bookmarkStart w:id="1012" w:name="Tc_qYaHSvy5nUWi1bgcfMl96A_5_0"/>
      <w:bookmarkStart w:id="1013" w:name="Tc_1o8h6v_IREq31XxEnqkSCQ_4_0"/>
      <w:bookmarkStart w:id="1014" w:name="Tc_IZJ6gLD870mUU6YYZRsGhg_3_0"/>
      <w:bookmarkStart w:id="1015" w:name="Tc_UQ0eafPgLk-tgJeREhs_vQ_2_5"/>
      <w:bookmarkStart w:id="1016" w:name="Tc_fHkZgR1BIUatMqqw3BCaig_2_2"/>
      <w:bookmarkStart w:id="1017" w:name="Tc_noIdPekYn0yQQhTjs0RUXQ_2_0"/>
      <w:bookmarkStart w:id="1018" w:name="Tc_rtwqPnczUUysAEnpXghu-Q_1_5"/>
      <w:bookmarkStart w:id="1019" w:name="Tc_DEtuffJaVkSdrtygAoFt9A_1_2"/>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Inventory is valued at the lower of cost or net realizable value. The following table sets forth the components of the Company’s inventory balances (in thousands) as of:</w:t>
      </w:r>
    </w:p>
    <w:p>
      <w:pPr>
        <w:pStyle w:val="TextBody"/>
        <w:bidi w:val="0"/>
        <w:spacing w:before="0" w:after="0"/>
        <w:ind w:left="0" w:right="0" w:hanging="0"/>
        <w:jc w:val="left"/>
        <w:rPr/>
      </w:pPr>
      <w:r>
        <w:rPr/>
        <w:t>​</w:t>
      </w:r>
    </w:p>
    <w:tbl>
      <w:tblPr>
        <w:tblW w:w="5710" w:type="dxa"/>
        <w:jc w:val="left"/>
        <w:tblInd w:w="0" w:type="dxa"/>
        <w:tblLayout w:type="fixed"/>
        <w:tblCellMar>
          <w:top w:w="0" w:type="dxa"/>
          <w:left w:w="0" w:type="dxa"/>
          <w:bottom w:w="0" w:type="dxa"/>
          <w:right w:w="0" w:type="dxa"/>
        </w:tblCellMar>
      </w:tblPr>
      <w:tblGrid>
        <w:gridCol w:w="2146"/>
        <w:gridCol w:w="146"/>
        <w:gridCol w:w="367"/>
        <w:gridCol w:w="1179"/>
        <w:gridCol w:w="326"/>
        <w:gridCol w:w="367"/>
        <w:gridCol w:w="1179"/>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62710" cy="175260"/>
                      <wp:effectExtent l="0" t="0" r="0" b="0"/>
                      <wp:wrapNone/>
                      <wp:docPr id="176" name="Frame17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2710" cy="175260"/>
                      <wp:effectExtent l="0" t="0" r="0" b="0"/>
                      <wp:wrapNone/>
                      <wp:docPr id="177" name="Frame1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33045" cy="175260"/>
                      <wp:effectExtent l="0" t="0" r="0" b="0"/>
                      <wp:wrapNone/>
                      <wp:docPr id="178" name="Frame17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48665" cy="175260"/>
                      <wp:effectExtent l="0" t="0" r="0" b="0"/>
                      <wp:wrapNone/>
                      <wp:docPr id="179" name="Frame17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3045" cy="175260"/>
                      <wp:effectExtent l="0" t="0" r="0" b="0"/>
                      <wp:wrapNone/>
                      <wp:docPr id="181" name="Frame18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48665" cy="175260"/>
                      <wp:effectExtent l="0" t="0" r="0" b="0"/>
                      <wp:wrapNone/>
                      <wp:docPr id="182" name="Frame18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46" w:type="dxa"/>
            <w:tcBorders/>
            <w:shd w:fill="CCEEFF" w:val="clear"/>
            <w:vAlign w:val="center"/>
          </w:tcPr>
          <w:p>
            <w:pPr>
              <w:pStyle w:val="TableContents"/>
              <w:bidi w:val="0"/>
              <w:spacing w:before="0" w:after="1"/>
              <w:ind w:left="0" w:right="0" w:hanging="0"/>
              <w:jc w:val="left"/>
              <w:rPr/>
            </w:pPr>
            <w:r>
              <w:rPr/>
              <w:t> </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7,358</w:t>
            </w:r>
          </w:p>
        </w:tc>
        <w:tc>
          <w:tcPr>
            <w:tcW w:w="326" w:type="dxa"/>
            <w:tcBorders/>
            <w:shd w:fill="CCEEFF" w:val="clear"/>
            <w:vAlign w:val="center"/>
          </w:tcPr>
          <w:p>
            <w:pPr>
              <w:pStyle w:val="TableContents"/>
              <w:bidi w:val="0"/>
              <w:spacing w:before="0" w:after="1"/>
              <w:ind w:left="0" w:right="0" w:hanging="0"/>
              <w:jc w:val="left"/>
              <w:rPr/>
            </w:pPr>
            <w:r>
              <w:rPr/>
              <w:t> </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1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pPr>
            <w:r>
              <w:rPr/>
              <w:t>​</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14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4,361</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2,146</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Biofuels</w:t>
            </w:r>
          </w:p>
        </w:tc>
        <w:tc>
          <w:tcPr>
            <w:tcW w:w="14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5,219</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14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14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21,911</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4,502</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entered into forward corn purchase contracts under which it is required to take delivery at the contract price. At the time the contracts were created, the price of the contract approximated market price. Subsequent changes in market conditions could cause the contract prices to become higher or lower than market prices. As of September 30, 2025, the average price of corn purchased under certain fixed price contracts, that had not yet been delivered, was higher than the approximated market price. Given the uncertainty of future ethanol prices, future losses on the outstanding purchase commitments could be recorded in future periods.</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bookmarkStart w:id="1020" w:name="Tc_EGqrOcV0-Uav561R_9XkqQ_4_14"/>
      <w:bookmarkStart w:id="1021" w:name="Tc_oJDfpe-XjEWOPp4ykVz8Zw_4_13"/>
      <w:bookmarkStart w:id="1022" w:name="Tc_QG5fvZmbJ0eMCu2j6i7gHA_4_10"/>
      <w:bookmarkStart w:id="1023" w:name="Tc_1m2kpGvjdUyq4c5n8vtu_Q_4_8"/>
      <w:bookmarkStart w:id="1024" w:name="Tc_tqMRpB85-0-R9iDU9BGBLw_4_7"/>
      <w:bookmarkStart w:id="1025" w:name="Tc_n-Bp2WWrUU6kTCODJZc7kA_4_4"/>
      <w:bookmarkStart w:id="1026" w:name="Tc_8J4S4nTVKEyILCGXyVLWQg_4_0"/>
      <w:bookmarkStart w:id="1027" w:name="Tc_SODlTle8ZUuF0t5t1eLHJw_3_14"/>
      <w:bookmarkStart w:id="1028" w:name="Tc_Iz-xJo1sqkmPBSxmf_s_ng_3_13"/>
      <w:bookmarkStart w:id="1029" w:name="Tc_wryLZ5O-oEyFADQWFN1wzQ_3_10"/>
      <w:bookmarkStart w:id="1030" w:name="Tc_IpZMJc0qRky2EObxr7kQFQ_3_8"/>
      <w:bookmarkStart w:id="1031" w:name="Tc_dlQbbnTpO0azkizUiFe3xg_3_7"/>
      <w:bookmarkStart w:id="1032" w:name="Tc_pZGXFlufkUSxr7ed1nzvtw_3_4"/>
      <w:bookmarkStart w:id="1033" w:name="Tc_AdztlmlEOk2y1vqaCsB-OA_3_0"/>
      <w:bookmarkStart w:id="1034" w:name="Tc_XuZoprQpmk66DIRPcC3uqg_2_13"/>
      <w:bookmarkStart w:id="1035" w:name="Tc_oaQPEfBv9EuVb6cRwgNNWQ_2_10"/>
      <w:bookmarkStart w:id="1036" w:name="Tc_HFyXkHFLWUWGyAjmYcvCYg_2_7"/>
      <w:bookmarkStart w:id="1037" w:name="Tc_czifbTUakkqa0Gn8rW8vJQ_2_4"/>
      <w:bookmarkStart w:id="1038" w:name="Tc_p8yKVUPD60KJ3n8w-1P6jQ_2_2"/>
      <w:bookmarkStart w:id="1039" w:name="Tc_Kp-UbpNgT0KDxGviFktA0A_2_0"/>
      <w:bookmarkStart w:id="1040" w:name="Tc_HG9DZ6l3hEOAx756RUppyA_1_10"/>
      <w:bookmarkStart w:id="1041" w:name="Tc_z_I_06sslUy0944K5FA7VQ_1_4"/>
      <w:bookmarkStart w:id="1042" w:name="_4490a124_0259_46da_a2d8_fc449a3aa487"/>
      <w:bookmarkStart w:id="1043" w:name="Tc_nuGZZAPcpkeeTFB4VPRQIw_4_7"/>
      <w:bookmarkStart w:id="1044" w:name="Tc_2xnuGsBeAk-6ydSl5gGnIg_4_0"/>
      <w:bookmarkStart w:id="1045" w:name="Tc_niuOzSE2s0umonzIxbV6IQ_3_7"/>
      <w:bookmarkStart w:id="1046" w:name="Tc_62FJCMfF30aCDfDSRkhFWw_3_5"/>
      <w:bookmarkStart w:id="1047" w:name="Tc_76s3Om-ld02X5V4BjMjPvA_3_0"/>
      <w:bookmarkStart w:id="1048" w:name="Tc_FLWNuH1XGEaQofO6gKLBzg_2_7"/>
      <w:bookmarkStart w:id="1049" w:name="Tc_NmEfh2q4M0i07LM4DM0cow_2_4"/>
      <w:bookmarkStart w:id="1050" w:name="Tc_7ENLx90K5UmaqgHGMCIn7w_2_2"/>
      <w:bookmarkStart w:id="1051" w:name="Tc__nPntmdxJ0GAq0FGRm3WsA_2_0"/>
      <w:bookmarkStart w:id="1052" w:name="Tc_w49VoYBK7kuLn1d9Fiujug_1_2"/>
      <w:bookmarkStart w:id="1053" w:name="_2a6c9bb2_2dec_4f6e_96a1_40df638e14a7"/>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r>
        <w:rPr/>
        <w:t>​</w:t>
      </w:r>
    </w:p>
    <w:tbl>
      <w:tblPr>
        <w:tblW w:w="3332" w:type="dxa"/>
        <w:jc w:val="left"/>
        <w:tblInd w:w="0" w:type="dxa"/>
        <w:tblLayout w:type="fixed"/>
        <w:tblCellMar>
          <w:top w:w="0" w:type="dxa"/>
          <w:left w:w="0" w:type="dxa"/>
          <w:bottom w:w="0" w:type="dxa"/>
          <w:right w:w="0" w:type="dxa"/>
        </w:tblCellMar>
      </w:tblPr>
      <w:tblGrid>
        <w:gridCol w:w="376"/>
        <w:gridCol w:w="295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9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uses corn commodity-based derivative financial instruments to manage the exposure to price risk related to corn purchases. The Company does not apply hedge accounting. Accordingly, these derivative contracts are recorded on the Company’s balance sheet at fair value and changes in fair value are recognized in Cost of production on the Condensed Consolidated Statements of Operations. Changes in fair value are recognized as non-cash adjustments on the Condensed Consolidated Statement of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details regarding the Company's derivative financial instruments as recorded in Prepaid expenses and other current assets on the Condensed Consolidated Balance Sheets (in thousands):</w:t>
      </w:r>
    </w:p>
    <w:tbl>
      <w:tblPr>
        <w:tblW w:w="6065" w:type="dxa"/>
        <w:jc w:val="left"/>
        <w:tblInd w:w="0" w:type="dxa"/>
        <w:tblLayout w:type="fixed"/>
        <w:tblCellMar>
          <w:top w:w="0" w:type="dxa"/>
          <w:left w:w="0" w:type="dxa"/>
          <w:bottom w:w="0" w:type="dxa"/>
          <w:right w:w="0" w:type="dxa"/>
        </w:tblCellMar>
      </w:tblPr>
      <w:tblGrid>
        <w:gridCol w:w="1366"/>
        <w:gridCol w:w="326"/>
        <w:gridCol w:w="1156"/>
        <w:gridCol w:w="146"/>
        <w:gridCol w:w="944"/>
        <w:gridCol w:w="871"/>
        <w:gridCol w:w="326"/>
        <w:gridCol w:w="310"/>
        <w:gridCol w:w="620"/>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67410" cy="175260"/>
                      <wp:effectExtent l="0" t="0" r="0" b="0"/>
                      <wp:wrapNone/>
                      <wp:docPr id="183" name="Frame183"/>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34060" cy="175260"/>
                      <wp:effectExtent l="0" t="0" r="0" b="0"/>
                      <wp:wrapNone/>
                      <wp:docPr id="185" name="Frame18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2710" cy="175260"/>
                      <wp:effectExtent l="0" t="0" r="0" b="0"/>
                      <wp:wrapNone/>
                      <wp:docPr id="186" name="Frame1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99440" cy="175260"/>
                      <wp:effectExtent l="0" t="0" r="0" b="0"/>
                      <wp:wrapNone/>
                      <wp:docPr id="187" name="Frame187"/>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53085" cy="175260"/>
                      <wp:effectExtent l="0" t="0" r="0" b="0"/>
                      <wp:wrapNone/>
                      <wp:docPr id="188" name="Frame18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96850" cy="175260"/>
                      <wp:effectExtent l="0" t="0" r="0" b="0"/>
                      <wp:wrapNone/>
                      <wp:docPr id="190" name="Frame19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393700" cy="175260"/>
                      <wp:effectExtent l="0" t="0" r="0" b="0"/>
                      <wp:wrapNone/>
                      <wp:docPr id="191" name="Frame191"/>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373"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326"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Contracts</w:t>
            </w:r>
          </w:p>
        </w:tc>
        <w:tc>
          <w:tcPr>
            <w:tcW w:w="146" w:type="dxa"/>
            <w:tcBorders/>
            <w:vAlign w:val="center"/>
          </w:tcPr>
          <w:p>
            <w:pPr>
              <w:pStyle w:val="TableContents"/>
              <w:bidi w:val="0"/>
              <w:spacing w:before="0" w:after="1"/>
              <w:ind w:left="0" w:right="0" w:hanging="0"/>
              <w:jc w:val="center"/>
              <w:rPr/>
            </w:pPr>
            <w:r>
              <w:rPr/>
              <w:t>​</w:t>
            </w:r>
          </w:p>
        </w:tc>
        <w:tc>
          <w:tcPr>
            <w:tcW w:w="18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Notional Amount (Qty)</w:t>
            </w:r>
          </w:p>
        </w:tc>
        <w:tc>
          <w:tcPr>
            <w:tcW w:w="326" w:type="dxa"/>
            <w:tcBorders/>
            <w:vAlign w:val="center"/>
          </w:tcPr>
          <w:p>
            <w:pPr>
              <w:pStyle w:val="TableContents"/>
              <w:bidi w:val="0"/>
              <w:spacing w:before="0" w:after="1"/>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Corn futures</w:t>
            </w:r>
          </w:p>
        </w:tc>
        <w:tc>
          <w:tcPr>
            <w:tcW w:w="326"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146" w:type="dxa"/>
            <w:tcBorders/>
            <w:shd w:fill="CCEEFF" w:val="clear"/>
            <w:vAlign w:val="center"/>
          </w:tcPr>
          <w:p>
            <w:pPr>
              <w:pStyle w:val="TableContents"/>
              <w:bidi w:val="0"/>
              <w:spacing w:before="0" w:after="1"/>
              <w:ind w:left="0" w:right="0" w:hanging="0"/>
              <w:jc w:val="left"/>
              <w:rPr/>
            </w:pPr>
            <w:r>
              <w:rPr/>
              <w:t> </w:t>
            </w:r>
          </w:p>
        </w:tc>
        <w:tc>
          <w:tcPr>
            <w:tcW w:w="9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940,000</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bushels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1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fair value</w:t>
            </w:r>
          </w:p>
        </w:tc>
        <w:tc>
          <w:tcPr>
            <w:tcW w:w="32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944" w:type="dxa"/>
            <w:tcBorders/>
            <w:vAlign w:val="center"/>
          </w:tcPr>
          <w:p>
            <w:pPr>
              <w:pStyle w:val="TableContents"/>
              <w:bidi w:val="0"/>
              <w:spacing w:before="0" w:after="1"/>
              <w:ind w:left="0" w:right="0" w:hanging="0"/>
              <w:jc w:val="right"/>
              <w:rPr/>
            </w:pPr>
            <w:r>
              <w:rPr/>
              <w:t>  </w:t>
            </w:r>
          </w:p>
        </w:tc>
        <w:tc>
          <w:tcPr>
            <w:tcW w:w="87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gain (loss) recognized in income (in thousands):</w:t>
      </w:r>
    </w:p>
    <w:tbl>
      <w:tblPr>
        <w:tblW w:w="10205" w:type="dxa"/>
        <w:jc w:val="left"/>
        <w:tblInd w:w="0" w:type="dxa"/>
        <w:tblLayout w:type="fixed"/>
        <w:tblCellMar>
          <w:top w:w="0" w:type="dxa"/>
          <w:left w:w="0" w:type="dxa"/>
          <w:bottom w:w="0" w:type="dxa"/>
          <w:right w:w="0" w:type="dxa"/>
        </w:tblCellMar>
      </w:tblPr>
      <w:tblGrid>
        <w:gridCol w:w="2306"/>
        <w:gridCol w:w="326"/>
        <w:gridCol w:w="2848"/>
        <w:gridCol w:w="109"/>
        <w:gridCol w:w="308"/>
        <w:gridCol w:w="614"/>
        <w:gridCol w:w="475"/>
        <w:gridCol w:w="308"/>
        <w:gridCol w:w="505"/>
        <w:gridCol w:w="109"/>
        <w:gridCol w:w="273"/>
        <w:gridCol w:w="740"/>
        <w:gridCol w:w="422"/>
        <w:gridCol w:w="273"/>
        <w:gridCol w:w="589"/>
      </w:tblGrid>
      <w:tr>
        <w:trPr/>
        <w:tc>
          <w:tcPr>
            <w:tcW w:w="2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64310" cy="175260"/>
                      <wp:effectExtent l="0" t="0" r="0" b="0"/>
                      <wp:wrapNone/>
                      <wp:docPr id="192" name="Frame192"/>
                      <a:graphic xmlns:a="http://schemas.openxmlformats.org/drawingml/2006/main">
                        <a:graphicData uri="http://schemas.microsoft.com/office/word/2010/wordprocessingShape">
                          <wps:wsp>
                            <wps:cNvSpPr txBox="1"/>
                            <wps:spPr>
                              <a:xfrm>
                                <a:off x="0" y="0"/>
                                <a:ext cx="146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08480" cy="175260"/>
                      <wp:effectExtent l="0" t="0" r="0" b="0"/>
                      <wp:wrapNone/>
                      <wp:docPr id="194" name="Frame194"/>
                      <a:graphic xmlns:a="http://schemas.openxmlformats.org/drawingml/2006/main">
                        <a:graphicData uri="http://schemas.microsoft.com/office/word/2010/wordprocessingShape">
                          <wps:wsp>
                            <wps:cNvSpPr txBox="1"/>
                            <wps:spPr>
                              <a:xfrm>
                                <a:off x="0" y="0"/>
                                <a:ext cx="1808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95580" cy="175260"/>
                      <wp:effectExtent l="0" t="0" r="0" b="0"/>
                      <wp:wrapNone/>
                      <wp:docPr id="196" name="Frame196"/>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389890" cy="175260"/>
                      <wp:effectExtent l="0" t="0" r="0" b="0"/>
                      <wp:wrapNone/>
                      <wp:docPr id="197" name="Frame197"/>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01625" cy="175260"/>
                      <wp:effectExtent l="0" t="0" r="0" b="0"/>
                      <wp:wrapNone/>
                      <wp:docPr id="198" name="Frame198"/>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5580" cy="175260"/>
                      <wp:effectExtent l="0" t="0" r="0" b="0"/>
                      <wp:wrapNone/>
                      <wp:docPr id="199" name="Frame199"/>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20675" cy="175260"/>
                      <wp:effectExtent l="0" t="0" r="0" b="0"/>
                      <wp:wrapNone/>
                      <wp:docPr id="200" name="Frame200"/>
                      <a:graphic xmlns:a="http://schemas.openxmlformats.org/drawingml/2006/main">
                        <a:graphicData uri="http://schemas.microsoft.com/office/word/2010/wordprocessingShape">
                          <wps:wsp>
                            <wps:cNvSpPr txBox="1"/>
                            <wps:spPr>
                              <a:xfrm>
                                <a:off x="0" y="0"/>
                                <a:ext cx="320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3355" cy="175260"/>
                      <wp:effectExtent l="0" t="0" r="0" b="0"/>
                      <wp:wrapNone/>
                      <wp:docPr id="202" name="Frame20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69900" cy="175260"/>
                      <wp:effectExtent l="0" t="0" r="0" b="0"/>
                      <wp:wrapNone/>
                      <wp:docPr id="203" name="Frame203"/>
                      <a:graphic xmlns:a="http://schemas.openxmlformats.org/drawingml/2006/main">
                        <a:graphicData uri="http://schemas.microsoft.com/office/word/2010/wordprocessingShape">
                          <wps:wsp>
                            <wps:cNvSpPr txBox="1"/>
                            <wps:spPr>
                              <a:xfrm>
                                <a:off x="0" y="0"/>
                                <a:ext cx="469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67970" cy="175260"/>
                      <wp:effectExtent l="0" t="0" r="0" b="0"/>
                      <wp:wrapNone/>
                      <wp:docPr id="204" name="Frame20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73355" cy="175260"/>
                      <wp:effectExtent l="0" t="0" r="0" b="0"/>
                      <wp:wrapNone/>
                      <wp:docPr id="205" name="Frame20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74015" cy="175260"/>
                      <wp:effectExtent l="0" t="0" r="0" b="0"/>
                      <wp:wrapNone/>
                      <wp:docPr id="206" name="Frame206"/>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center"/>
              <w:rPr/>
            </w:pPr>
            <w:r>
              <w:rPr/>
              <w:t>​</w:t>
            </w:r>
          </w:p>
        </w:tc>
        <w:tc>
          <w:tcPr>
            <w:tcW w:w="229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 of Operations Income/(Expense)</w:t>
            </w:r>
          </w:p>
        </w:tc>
        <w:tc>
          <w:tcPr>
            <w:tcW w:w="326" w:type="dxa"/>
            <w:tcBorders/>
            <w:vAlign w:val="center"/>
          </w:tcPr>
          <w:p>
            <w:pPr>
              <w:pStyle w:val="TableContents"/>
              <w:bidi w:val="0"/>
              <w:spacing w:before="0" w:after="0"/>
              <w:ind w:left="0" w:right="0" w:hanging="0"/>
              <w:jc w:val="center"/>
              <w:rPr/>
            </w:pPr>
            <w:r>
              <w:rPr/>
              <w:t>​</w:t>
            </w:r>
          </w:p>
        </w:tc>
        <w:tc>
          <w:tcPr>
            <w:tcW w:w="28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 in fair value recognized in income</w:t>
            </w:r>
          </w:p>
        </w:tc>
        <w:tc>
          <w:tcPr>
            <w:tcW w:w="109" w:type="dxa"/>
            <w:tcBorders/>
            <w:vAlign w:val="center"/>
          </w:tcPr>
          <w:p>
            <w:pPr>
              <w:pStyle w:val="TableContents"/>
              <w:bidi w:val="0"/>
              <w:spacing w:before="0" w:after="0"/>
              <w:ind w:left="0" w:right="0" w:hanging="0"/>
              <w:jc w:val="center"/>
              <w:rPr/>
            </w:pPr>
            <w:r>
              <w:rPr/>
              <w:t>​</w:t>
            </w:r>
          </w:p>
        </w:tc>
        <w:tc>
          <w:tcPr>
            <w:tcW w:w="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5" w:type="dxa"/>
            <w:tcBorders/>
            <w:vAlign w:val="center"/>
          </w:tcPr>
          <w:p>
            <w:pPr>
              <w:pStyle w:val="TableContents"/>
              <w:bidi w:val="0"/>
              <w:spacing w:before="0" w:after="0"/>
              <w:ind w:left="0" w:right="0" w:hanging="0"/>
              <w:jc w:val="center"/>
              <w:rPr/>
            </w:pPr>
            <w:r>
              <w:rPr/>
              <w:t>    </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2" w:type="dxa"/>
            <w:tcBorders/>
            <w:vAlign w:val="center"/>
          </w:tcPr>
          <w:p>
            <w:pPr>
              <w:pStyle w:val="TableContents"/>
              <w:bidi w:val="0"/>
              <w:spacing w:before="0" w:after="0"/>
              <w:ind w:left="0" w:right="0" w:hanging="0"/>
              <w:jc w:val="center"/>
              <w:rPr/>
            </w:pPr>
            <w:r>
              <w:rPr/>
              <w:t>    </w:t>
            </w:r>
          </w:p>
        </w:tc>
        <w:tc>
          <w:tcPr>
            <w:tcW w:w="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derivative instruments</w:t>
            </w:r>
          </w:p>
        </w:tc>
        <w:tc>
          <w:tcPr>
            <w:tcW w:w="326" w:type="dxa"/>
            <w:tcBorders/>
            <w:shd w:fill="CCEEFF" w:val="clear"/>
            <w:vAlign w:val="center"/>
          </w:tcPr>
          <w:p>
            <w:pPr>
              <w:pStyle w:val="TableContents"/>
              <w:bidi w:val="0"/>
              <w:spacing w:before="0" w:after="0"/>
              <w:ind w:left="0" w:right="0" w:hanging="0"/>
              <w:jc w:val="left"/>
              <w:rPr/>
            </w:pPr>
            <w:r>
              <w:rPr/>
              <w:t> </w:t>
            </w:r>
          </w:p>
        </w:tc>
        <w:tc>
          <w:tcPr>
            <w:tcW w:w="284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production</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475"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5,602</w:t>
            </w:r>
          </w:p>
        </w:tc>
        <w:tc>
          <w:tcPr>
            <w:tcW w:w="422"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fair value</w:t>
            </w:r>
          </w:p>
        </w:tc>
        <w:tc>
          <w:tcPr>
            <w:tcW w:w="326" w:type="dxa"/>
            <w:tcBorders/>
            <w:vAlign w:val="center"/>
          </w:tcPr>
          <w:p>
            <w:pPr>
              <w:pStyle w:val="TableContents"/>
              <w:bidi w:val="0"/>
              <w:spacing w:before="0" w:after="0"/>
              <w:ind w:left="0" w:right="0" w:hanging="0"/>
              <w:jc w:val="left"/>
              <w:rPr/>
            </w:pPr>
            <w:r>
              <w:rPr/>
              <w:t>​</w:t>
            </w:r>
          </w:p>
        </w:tc>
        <w:tc>
          <w:tcPr>
            <w:tcW w:w="28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475"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5,602</w:t>
            </w:r>
          </w:p>
        </w:tc>
        <w:tc>
          <w:tcPr>
            <w:tcW w:w="422"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054" w:name="Tc_qlSOCAdOa0iBD8c6GN0oLg_11_5"/>
      <w:bookmarkStart w:id="1055" w:name="Tc_XWE2A3wWSUWtsu5D1gsm5g_11_2"/>
      <w:bookmarkStart w:id="1056" w:name="Tc_KT7LbKT7qk2L1MxTwr7WiA_11_0"/>
      <w:bookmarkStart w:id="1057" w:name="Tc_o_kQPhyVvUGMQ0IA32fYjw_10_0"/>
      <w:bookmarkStart w:id="1058" w:name="Tc_THNQnfEftE6eS89xt2mQLQ_9_0"/>
      <w:bookmarkStart w:id="1059" w:name="Tc_bE_uiRuIpEebHgKiZytzGg_8_0"/>
      <w:bookmarkStart w:id="1060" w:name="Tc_k2W0Va5wfESh_TwzyfwxFg_7_0"/>
      <w:bookmarkStart w:id="1061" w:name="Tc_c8GzEMqmCkuZerLSLkobDA_6_0"/>
      <w:bookmarkStart w:id="1062" w:name="Tc_DE80C4CoyUKdyPpx8DwSrw_5_0"/>
      <w:bookmarkStart w:id="1063" w:name="Tc_rCcmDWy1TEihgLBvMj0vdg_4_0"/>
      <w:bookmarkStart w:id="1064" w:name="Tc_CZ6BGtE2Gkijgc9uLEIqJQ_3_5"/>
      <w:bookmarkStart w:id="1065" w:name="Tc_v3v9jnS360K4lCl6OoKEog_3_2"/>
      <w:bookmarkStart w:id="1066" w:name="Tc_4l-epcU3UkekKGGoCV5o0w_3_0"/>
      <w:bookmarkStart w:id="1067" w:name="Tc_PV_BNzb2_kGGaTe60fcgKg_2_5"/>
      <w:bookmarkStart w:id="1068" w:name="Tc_TCKt52Txkk6fpGikKbkaiQ_2_2"/>
      <w:bookmarkStart w:id="1069" w:name="_8d027fb1_4af5_4450_881a_1a445b8776bb"/>
      <w:bookmarkStart w:id="1070" w:name="Tc_qlSOCAdOa0iBD8c6GN0oLg_11_5"/>
      <w:bookmarkStart w:id="1071" w:name="Tc_XWE2A3wWSUWtsu5D1gsm5g_11_2"/>
      <w:bookmarkStart w:id="1072" w:name="Tc_KT7LbKT7qk2L1MxTwr7WiA_11_0"/>
      <w:bookmarkStart w:id="1073" w:name="Tc_o_kQPhyVvUGMQ0IA32fYjw_10_0"/>
      <w:bookmarkStart w:id="1074" w:name="Tc_THNQnfEftE6eS89xt2mQLQ_9_0"/>
      <w:bookmarkStart w:id="1075" w:name="Tc_bE_uiRuIpEebHgKiZytzGg_8_0"/>
      <w:bookmarkStart w:id="1076" w:name="Tc_k2W0Va5wfESh_TwzyfwxFg_7_0"/>
      <w:bookmarkStart w:id="1077" w:name="Tc_c8GzEMqmCkuZerLSLkobDA_6_0"/>
      <w:bookmarkStart w:id="1078" w:name="Tc_DE80C4CoyUKdyPpx8DwSrw_5_0"/>
      <w:bookmarkStart w:id="1079" w:name="Tc_rCcmDWy1TEihgLBvMj0vdg_4_0"/>
      <w:bookmarkStart w:id="1080" w:name="Tc_CZ6BGtE2Gkijgc9uLEIqJQ_3_5"/>
      <w:bookmarkStart w:id="1081" w:name="Tc_v3v9jnS360K4lCl6OoKEog_3_2"/>
      <w:bookmarkStart w:id="1082" w:name="Tc_4l-epcU3UkekKGGoCV5o0w_3_0"/>
      <w:bookmarkStart w:id="1083" w:name="Tc_PV_BNzb2_kGGaTe60fcgKg_2_5"/>
      <w:bookmarkStart w:id="1084" w:name="Tc_TCKt52Txkk6fpGikKbkaiQ_2_2"/>
      <w:bookmarkStart w:id="1085" w:name="_8d027fb1_4af5_4450_881a_1a445b8776bb"/>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tbl>
      <w:tblPr>
        <w:tblW w:w="3167" w:type="dxa"/>
        <w:jc w:val="left"/>
        <w:tblInd w:w="0" w:type="dxa"/>
        <w:tblLayout w:type="fixed"/>
        <w:tblCellMar>
          <w:top w:w="0" w:type="dxa"/>
          <w:left w:w="0" w:type="dxa"/>
          <w:bottom w:w="0" w:type="dxa"/>
          <w:right w:w="0" w:type="dxa"/>
        </w:tblCellMar>
      </w:tblPr>
      <w:tblGrid>
        <w:gridCol w:w="376"/>
        <w:gridCol w:w="279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tbl>
      <w:tblPr>
        <w:tblW w:w="7855" w:type="dxa"/>
        <w:jc w:val="left"/>
        <w:tblInd w:w="0" w:type="dxa"/>
        <w:tblLayout w:type="fixed"/>
        <w:tblCellMar>
          <w:top w:w="0" w:type="dxa"/>
          <w:left w:w="0" w:type="dxa"/>
          <w:bottom w:w="0" w:type="dxa"/>
          <w:right w:w="0" w:type="dxa"/>
        </w:tblCellMar>
      </w:tblPr>
      <w:tblGrid>
        <w:gridCol w:w="4111"/>
        <w:gridCol w:w="326"/>
        <w:gridCol w:w="310"/>
        <w:gridCol w:w="1236"/>
        <w:gridCol w:w="326"/>
        <w:gridCol w:w="297"/>
        <w:gridCol w:w="1249"/>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610485" cy="175260"/>
                      <wp:effectExtent l="0" t="0" r="0" b="0"/>
                      <wp:wrapNone/>
                      <wp:docPr id="207" name="Frame207"/>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96850" cy="175260"/>
                      <wp:effectExtent l="0" t="0" r="0" b="0"/>
                      <wp:wrapNone/>
                      <wp:docPr id="209" name="Frame20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84860" cy="175260"/>
                      <wp:effectExtent l="0" t="0" r="0" b="0"/>
                      <wp:wrapNone/>
                      <wp:docPr id="210" name="Frame210"/>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88595" cy="175260"/>
                      <wp:effectExtent l="0" t="0" r="0" b="0"/>
                      <wp:wrapNone/>
                      <wp:docPr id="212" name="Frame21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93115" cy="175260"/>
                      <wp:effectExtent l="0" t="0" r="0" b="0"/>
                      <wp:wrapNone/>
                      <wp:docPr id="213" name="Frame21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12,417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106,371</w:t>
            </w:r>
          </w:p>
        </w:tc>
        <w:tc>
          <w:tcPr>
            <w:tcW w:w="326" w:type="dxa"/>
            <w:tcBorders/>
            <w:vAlign w:val="center"/>
          </w:tcPr>
          <w:p>
            <w:pPr>
              <w:pStyle w:val="TableContents"/>
              <w:bidi w:val="0"/>
              <w:spacing w:before="0" w:after="1"/>
              <w:ind w:left="0" w:right="0" w:hanging="0"/>
              <w:jc w:val="righ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74,255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150,595</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79,637</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c>
          <w:tcPr>
            <w:tcW w:w="326" w:type="dxa"/>
            <w:tcBorders/>
            <w:vAlign w:val="center"/>
          </w:tcPr>
          <w:p>
            <w:pPr>
              <w:pStyle w:val="TableContents"/>
              <w:bidi w:val="0"/>
              <w:spacing w:before="0" w:after="1"/>
              <w:ind w:left="0" w:right="0" w:hanging="0"/>
              <w:jc w:val="righ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7,723</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175,153</w:t>
            </w:r>
          </w:p>
        </w:tc>
        <w:tc>
          <w:tcPr>
            <w:tcW w:w="326" w:type="dxa"/>
            <w:tcBorders/>
            <w:vAlign w:val="center"/>
          </w:tcPr>
          <w:p>
            <w:pPr>
              <w:pStyle w:val="TableContents"/>
              <w:bidi w:val="0"/>
              <w:spacing w:before="0" w:after="1"/>
              <w:ind w:left="0" w:right="0" w:hanging="0"/>
              <w:jc w:val="righ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154,272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455,216</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322,954</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(111,877)</w:t>
            </w:r>
          </w:p>
        </w:tc>
        <w:tc>
          <w:tcPr>
            <w:tcW w:w="326" w:type="dxa"/>
            <w:tcBorders/>
            <w:vAlign w:val="center"/>
          </w:tcPr>
          <w:p>
            <w:pPr>
              <w:pStyle w:val="TableContents"/>
              <w:bidi w:val="0"/>
              <w:spacing w:before="0" w:after="1"/>
              <w:ind w:left="0" w:right="0" w:hanging="0"/>
              <w:jc w:val="righ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(101,312)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343,339</w:t>
            </w:r>
          </w:p>
        </w:tc>
        <w:tc>
          <w:tcPr>
            <w:tcW w:w="326" w:type="dxa"/>
            <w:tcBorders/>
            <w:shd w:fill="CCEEFF" w:val="clear"/>
            <w:vAlign w:val="center"/>
          </w:tcPr>
          <w:p>
            <w:pPr>
              <w:pStyle w:val="TableContents"/>
              <w:bidi w:val="0"/>
              <w:spacing w:before="0" w:after="1"/>
              <w:ind w:left="0" w:right="0" w:hanging="0"/>
              <w:jc w:val="righ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221,642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September 30, 2025 and 2024, the Company recorded depreciation expense of $4.0 million and $3.1 million, respectively. Depreciation expense recorded into inventory during the three months ended September 30, 2025 and 2024 was $1.5 million and $1.2 million, respectively. During the three months ended September 30, 2025 and 2024, $1.5 million and $0.6 million, respectively was recorded to depreciation expense due to sales of inventory. During the nine months ended September 30, 2025 and 2024, the Company recorded depreciation expense of $10.4 million and $11.0 million, respectively. Depreciation expense recorded into inventory during the nine months ended September 30, 2025 and 2024 was $4.3 million and $3.7 million, respectively. During the nine months ended September 30, 2025 and 2024 $4.5 million and $3.2 million, respectively was recorded to depreciation expense due to sales of inventory. The Company’s Construction in progress primarily relates to our Alcohol-to-Jet projects, in particular engineering work, design work and modularization.</w:t>
      </w:r>
    </w:p>
    <w:tbl>
      <w:tblPr>
        <w:tblW w:w="3137" w:type="dxa"/>
        <w:jc w:val="left"/>
        <w:tblInd w:w="0" w:type="dxa"/>
        <w:tblLayout w:type="fixed"/>
        <w:tblCellMar>
          <w:top w:w="0" w:type="dxa"/>
          <w:left w:w="0" w:type="dxa"/>
          <w:bottom w:w="0" w:type="dxa"/>
          <w:right w:w="0" w:type="dxa"/>
        </w:tblCellMar>
      </w:tblPr>
      <w:tblGrid>
        <w:gridCol w:w="376"/>
        <w:gridCol w:w="276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27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 and Goodwill</w:t>
            </w:r>
          </w:p>
        </w:tc>
      </w:tr>
    </w:tbl>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Intangible Assets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nine months ended September 30, 2025, the Company recognized $34.0 million in Clean Fuel Production Tax Credits as intangible assets, related to the production and sale of low-carbon transportation fuels and SAF under Section 45Z of the Internal Revenue Code. See Note 3 – Tax Credit Recognition and Sales. Other identifiable intangible assets consist of acquired patents, which management evaluates to determine whether they (i) support current products, (ii) support planned research and development, or (iii) prevent others from competing with Gevo’s products, and identifiable intangible assets. During the nine months ended September 30, 2025, Gevo recognized approximately $46.3 million in customer-related intangible assets as part of the acquisition of substantially all the assets and certain liabilities of Red Trail Energy (see Note 2, Business Combinations, for additional information). These assets represent long-term customer relationships and commercial agreements that are expected to generate sustained revenue over time. They are being amortized over their estimated useful life of 4 years, based on the projected economic benefits derived from the underlying contracts and partnerships.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086" w:name="Tc_WEUv257OXkulBOox_SODWQ_9_17"/>
      <w:bookmarkStart w:id="1087" w:name="Tc_MUd5Yc_BZUChwMikAs9cnA_9_14"/>
      <w:bookmarkStart w:id="1088" w:name="Tc_42lYYxW6BE-wmwu6FlRZyg_9_11"/>
      <w:bookmarkStart w:id="1089" w:name="Tc_LMq0p_yjvUKN1hQHE1czVw_9_8"/>
      <w:bookmarkStart w:id="1090" w:name="Tc_ytR5GZsUQ02xbbpv-PuzzA_9_5"/>
      <w:bookmarkStart w:id="1091" w:name="Tc_Nb96MhxExUGIuXweVQW7lw_9_2"/>
      <w:bookmarkStart w:id="1092" w:name="Tc_uqIol478-02XRgy5AipPyw_9_0"/>
      <w:bookmarkStart w:id="1093" w:name="Tc_XT3j_JdPukm2m2PEdIpZLQ_8_15"/>
      <w:bookmarkStart w:id="1094" w:name="Tc_n06afXr-K0STknKzCya_XA_8_9"/>
      <w:bookmarkStart w:id="1095" w:name="Tc_O-c4QWdw4EKuxD1XonEHZA_8_3"/>
      <w:bookmarkStart w:id="1096" w:name="Tc_LBL1d-SEWkepb0WGw6JP1g_8_0"/>
      <w:bookmarkStart w:id="1097" w:name="Tc_ag1qFv8rmUyaylicj4HmZQ_7_15"/>
      <w:bookmarkStart w:id="1098" w:name="Tc_zQ8-2IzfuUafjOcHWno49Q_7_0"/>
      <w:bookmarkStart w:id="1099" w:name="Tc_j0mojF9iXkasUsDoEHeYUg_6_0"/>
      <w:bookmarkStart w:id="1100" w:name="Tc_n9wHIN3y8ES4nymCVwKe1w_5_0"/>
      <w:bookmarkStart w:id="1101" w:name="Tc_vG_r6vS5kUSWTGVcopBRYw_4_0"/>
      <w:bookmarkStart w:id="1102" w:name="Tc_7sOTBsWYHkGphZMdzlddEA_3_17"/>
      <w:bookmarkStart w:id="1103" w:name="Tc_g4wfpJit70GS0KTvAzpNxQ_3_14"/>
      <w:bookmarkStart w:id="1104" w:name="Tc_RejCcaHwSUOPBgXHJuiXxA_3_11"/>
      <w:bookmarkStart w:id="1105" w:name="Tc_wWtCwAhJOkCQ_xZihpbS7A_3_8"/>
      <w:bookmarkStart w:id="1106" w:name="Tc_mnBze7uJX0affLp9vxqr6w_3_5"/>
      <w:bookmarkStart w:id="1107" w:name="Tc_dtTajISONkCgVkC3EXHZSQ_3_2"/>
      <w:bookmarkStart w:id="1108" w:name="Tc_E54LbSM-PkCzEYGdBoL81A_3_0"/>
      <w:bookmarkStart w:id="1109" w:name="Tc_xDP-vjc90EWp7nDibfdU3A_2_17"/>
      <w:bookmarkStart w:id="1110" w:name="Tc_nmguYhAEjUiYv4p5MvMYMw_2_14"/>
      <w:bookmarkStart w:id="1111" w:name="Tc_stH0R7OLvUeu1cYwnfo0yw_2_11"/>
      <w:bookmarkStart w:id="1112" w:name="Tc_splzB04KpkOvH6X5CJoDQg_2_8"/>
      <w:bookmarkStart w:id="1113" w:name="Tc_1RpDWz7gZ0uj3izox8GQQQ_2_5"/>
      <w:bookmarkStart w:id="1114" w:name="Tc_ENWYnt29JU6NVLElvag7gA_2_2"/>
      <w:bookmarkStart w:id="1115" w:name="Tc_uVAn75zQbUej6o6SITlCWw_1_11"/>
      <w:bookmarkStart w:id="1116" w:name="Tc_M5jkN5oRTkqZcd6iNKFbfw_1_8"/>
      <w:bookmarkStart w:id="1117" w:name="_a9d8aa79_3bf3_4ebf_9e9b_b2c60457a516"/>
      <w:bookmarkStart w:id="1118" w:name="Tc_gcM458bP2UWL9GuTvgoijQ_10_8"/>
      <w:bookmarkStart w:id="1119" w:name="Tc_D-nBv9cAFEyIFBBSAfFv8w_10_5"/>
      <w:bookmarkStart w:id="1120" w:name="Tc_Ud7fGjLCD0KgUzsSEIUk_g_10_2"/>
      <w:bookmarkStart w:id="1121" w:name="Tc_mmAKNLyrKkeRE2qwTNJraw_10_0"/>
      <w:bookmarkStart w:id="1122" w:name="Tc__ePmv5DdaUC6dEKHfvsTPA_9_0"/>
      <w:bookmarkStart w:id="1123" w:name="Tc_isqi32LzOEGf8tQbnv74oQ_8_0"/>
      <w:bookmarkStart w:id="1124" w:name="Tc_GuxQSNanfkGQaQwGZV-DfA_7_0"/>
      <w:bookmarkStart w:id="1125" w:name="Tc_VOBYsWtd-0uzXuvl7bg0_A_6_0"/>
      <w:bookmarkStart w:id="1126" w:name="Tc_q3jhFGPXCUKMClIPkFbrCA_5_8"/>
      <w:bookmarkStart w:id="1127" w:name="Tc_v6jqcB2x70OHNwCHrpPlNw_5_5"/>
      <w:bookmarkStart w:id="1128" w:name="Tc_nAGk8SDm8E6u42LElWBnRw_5_2"/>
      <w:bookmarkStart w:id="1129" w:name="Tc_J3795Y61nEO1CYKxAIXzXA_5_0"/>
      <w:bookmarkStart w:id="1130" w:name="Tc_a16l7iWyykKA2IGXQ_Xxqg_4_11"/>
      <w:bookmarkStart w:id="1131" w:name="Tc_Duc6IhiIAUyJkV0xKFPuxQ_4_8"/>
      <w:bookmarkStart w:id="1132" w:name="Tc_gGiNvyxlckSQXH8X7wxj3w_4_5"/>
      <w:bookmarkStart w:id="1133" w:name="Tc_Jr4Kk7zvREiwm2cm8-lwHg_4_2"/>
      <w:bookmarkStart w:id="1134" w:name="Tc_sZlwwTaq10C-v8E3Car1jA_3_11"/>
      <w:bookmarkStart w:id="1135" w:name="Tc_TNQwOUHNkkOLjbB5lLb2DQ_3_8"/>
      <w:bookmarkStart w:id="1136" w:name="Tc_Moy5uZ0QJ0e5lRWLBMKbww_3_5"/>
      <w:bookmarkStart w:id="1137" w:name="Tc_T-x2TuoO0USpK_N_gyazeQ_3_2"/>
      <w:bookmarkStart w:id="1138" w:name="Tc_h82wOgH9HUiF_9XZj4TWzA_2_11"/>
      <w:bookmarkStart w:id="1139" w:name="Tc_VWKsampdVUSG35kAdy1SkA_2_8"/>
      <w:bookmarkStart w:id="1140" w:name="Tc_O55EHaMk2EuIXpEKmK-45g_1_2"/>
      <w:bookmarkStart w:id="1141" w:name="Tc_mS3wXIx35UeeeDnAZtvIiA_6_11"/>
      <w:bookmarkStart w:id="1142" w:name="Tc_enUDn-EtlkujsE-d1S3AyQ_6_8"/>
      <w:bookmarkStart w:id="1143" w:name="Tc_odSS3DXgvE-dKiQfoMkGAw_6_6"/>
      <w:bookmarkStart w:id="1144" w:name="Tc_Ia0P-euu_EyWUidnEvG1lA_6_5"/>
      <w:bookmarkStart w:id="1145" w:name="Tc_sKH20ubZU0ePJmVqEreB-A_6_2"/>
      <w:bookmarkStart w:id="1146" w:name="Tc_tTnEMIk_oU2oxsiRdS4a2A_6_0"/>
      <w:bookmarkStart w:id="1147" w:name="Tc_HTUGo76Xz0emREd0U2vjbw_5_11"/>
      <w:bookmarkStart w:id="1148" w:name="Tc_37G-7KZz7kilE1y2GdhP1w_5_6"/>
      <w:bookmarkStart w:id="1149" w:name="Tc_Yjj2uR9TcUqIUai5LzO1lg_5_0"/>
      <w:bookmarkStart w:id="1150" w:name="Tc_qfrg6yGBgkS4YgcSrpizWw_4_11"/>
      <w:bookmarkStart w:id="1151" w:name="Tc_piPlJdUMYEiYjZks6NS9_Q_4_8"/>
      <w:bookmarkStart w:id="1152" w:name="Tc_dlIG4LFx3UWTJUjdS6EsnA_4_5"/>
      <w:bookmarkStart w:id="1153" w:name="Tc_8e2d3ITnTUKEXzteN1_RaQ_4_2"/>
      <w:bookmarkStart w:id="1154" w:name="Tc_7WI10Bxekk-Ir8hlgyYKuw_3_11"/>
      <w:bookmarkStart w:id="1155" w:name="Tc_O8pWFC6OnUelE_v8Ac-zrg_3_8"/>
      <w:bookmarkStart w:id="1156" w:name="Tc_RMN8JsQuV0e_L8o6yN4wYA_3_5"/>
      <w:bookmarkStart w:id="1157" w:name="Tc_6_8DJJb1oEm8edgIcwSyUw_3_2"/>
      <w:bookmarkStart w:id="1158" w:name="Tc_OzOTNdoJKk2vZN696D_PJQ_2_11"/>
      <w:bookmarkStart w:id="1159" w:name="Tc_6v-1A4dn-0aGaaTlp_Qq_w_2_8"/>
      <w:bookmarkStart w:id="1160" w:name="Tc_Cpsc47eQbkyr5jMmI_Xbeg_1_2"/>
      <w:bookmarkStart w:id="1161" w:name="Tc_l0WG9V1XpkOt6y9tA_X-HA_10_8"/>
      <w:bookmarkStart w:id="1162" w:name="Tc_-MTHPZ20GEqOtnZ2JjoLFw_10_5"/>
      <w:bookmarkStart w:id="1163" w:name="Tc_2OK0QXholEmEAIm0loJQzA_10_2"/>
      <w:bookmarkStart w:id="1164" w:name="Tc_XSoTri37JEizv3pHJrR3tg_10_0"/>
      <w:bookmarkStart w:id="1165" w:name="Tc_kxPp-JALxkW0pKDQPpsClQ_9_0"/>
      <w:bookmarkStart w:id="1166" w:name="Tc_H5dD8P4kiUeBx6-gcLpEOw_8_0"/>
      <w:bookmarkStart w:id="1167" w:name="Tc_JVQ6GSo_ikOYSobtsq6-4Q_7_0"/>
      <w:bookmarkStart w:id="1168" w:name="Tc_sUXXLEiAikWFJZGIwMsqyA_6_0"/>
      <w:bookmarkStart w:id="1169" w:name="Tc_CJZNkpYMCUmcT0VdZEkGSA_5_8"/>
      <w:bookmarkStart w:id="1170" w:name="Tc_zKpwIJNmGkW2pFkJXngTdw_5_5"/>
      <w:bookmarkStart w:id="1171" w:name="Tc_T3D2atLUVkyk6uEbRiL5Cg_5_2"/>
      <w:bookmarkStart w:id="1172" w:name="Tc_8O2xEx2PBE6nZmkEjLuswg_5_0"/>
      <w:bookmarkStart w:id="1173" w:name="Tc_8ooMRznst02HcDh1B-RCvg_4_11"/>
      <w:bookmarkStart w:id="1174" w:name="Tc_xDfOghcPJEyHbugttrlviA_4_8"/>
      <w:bookmarkStart w:id="1175" w:name="Tc_k07j_cS_r0Oip6TYahWqFg_4_5"/>
      <w:bookmarkStart w:id="1176" w:name="Tc_cixVPl5Bx0iYYrh_aXxUFg_4_2"/>
      <w:bookmarkStart w:id="1177" w:name="Tc_DOBFLm6hfku-lWlm7nvMhQ_3_11"/>
      <w:bookmarkStart w:id="1178" w:name="Tc_w7KLSGdcjUatu_TeO5Zc9Q_3_8"/>
      <w:bookmarkStart w:id="1179" w:name="Tc_TkvkDfJ3XEKzsV7ssyuCCg_3_5"/>
      <w:bookmarkStart w:id="1180" w:name="Tc_g8_bpTLCbEyg1wZHhy0V4A_3_2"/>
      <w:bookmarkStart w:id="1181" w:name="Tc_PI99Zhqr5kyj45bCKFsfQA_2_11"/>
      <w:bookmarkStart w:id="1182" w:name="Tc_n49O2Ftz6EWjg2sEFhVpkw_2_8"/>
      <w:bookmarkStart w:id="1183" w:name="Tc_DMHWUJKpAUqsIq6o3SrIDw_1_2"/>
      <w:bookmarkStart w:id="1184" w:name="_8ba42d3a_a4f0_412a_99e4_062be4b50962"/>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r>
        <w:rPr>
          <w:rFonts w:ascii="Times New Roman;Times;serif" w:hAnsi="Times New Roman;Times;serif"/>
          <w:sz w:val="20"/>
        </w:rPr>
        <w:t>The following tables set forth the Company’s intangible assets by classification (in thousands) as of:</w:t>
      </w:r>
    </w:p>
    <w:tbl>
      <w:tblPr>
        <w:tblW w:w="9063" w:type="dxa"/>
        <w:jc w:val="left"/>
        <w:tblInd w:w="0" w:type="dxa"/>
        <w:tblLayout w:type="fixed"/>
        <w:tblCellMar>
          <w:top w:w="0" w:type="dxa"/>
          <w:left w:w="0" w:type="dxa"/>
          <w:bottom w:w="0" w:type="dxa"/>
          <w:right w:w="0" w:type="dxa"/>
        </w:tblCellMar>
      </w:tblPr>
      <w:tblGrid>
        <w:gridCol w:w="2911"/>
        <w:gridCol w:w="326"/>
        <w:gridCol w:w="296"/>
        <w:gridCol w:w="949"/>
        <w:gridCol w:w="326"/>
        <w:gridCol w:w="240"/>
        <w:gridCol w:w="841"/>
        <w:gridCol w:w="326"/>
        <w:gridCol w:w="221"/>
        <w:gridCol w:w="710"/>
        <w:gridCol w:w="326"/>
        <w:gridCol w:w="15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48485" cy="175260"/>
                      <wp:effectExtent l="0" t="0" r="0" b="0"/>
                      <wp:wrapNone/>
                      <wp:docPr id="214" name="Frame214"/>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87960" cy="175260"/>
                      <wp:effectExtent l="0" t="0" r="0" b="0"/>
                      <wp:wrapNone/>
                      <wp:docPr id="216" name="Frame21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02615" cy="175260"/>
                      <wp:effectExtent l="0" t="0" r="0" b="0"/>
                      <wp:wrapNone/>
                      <wp:docPr id="217" name="Frame217"/>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52400" cy="175260"/>
                      <wp:effectExtent l="0" t="0" r="0" b="0"/>
                      <wp:wrapNone/>
                      <wp:docPr id="219" name="Frame21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34035" cy="175260"/>
                      <wp:effectExtent l="0" t="0" r="0" b="0"/>
                      <wp:wrapNone/>
                      <wp:docPr id="220" name="Frame2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0335" cy="175260"/>
                      <wp:effectExtent l="0" t="0" r="0" b="0"/>
                      <wp:wrapNone/>
                      <wp:docPr id="222" name="Frame22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50850" cy="175260"/>
                      <wp:effectExtent l="0" t="0" r="0" b="0"/>
                      <wp:wrapNone/>
                      <wp:docPr id="223" name="Frame223"/>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010285" cy="175260"/>
                      <wp:effectExtent l="0" t="0" r="0" b="0"/>
                      <wp:wrapNone/>
                      <wp:docPr id="225" name="Frame225"/>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40"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(2,639)</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1,941</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(2,361)</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47,800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(7,818)</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39,982</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58,680</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(13,127)</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45,553</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8118" w:type="dxa"/>
        <w:jc w:val="left"/>
        <w:tblInd w:w="0" w:type="dxa"/>
        <w:tblLayout w:type="fixed"/>
        <w:tblCellMar>
          <w:top w:w="0" w:type="dxa"/>
          <w:left w:w="0" w:type="dxa"/>
          <w:bottom w:w="0" w:type="dxa"/>
          <w:right w:w="0" w:type="dxa"/>
        </w:tblCellMar>
      </w:tblPr>
      <w:tblGrid>
        <w:gridCol w:w="1966"/>
        <w:gridCol w:w="326"/>
        <w:gridCol w:w="296"/>
        <w:gridCol w:w="949"/>
        <w:gridCol w:w="326"/>
        <w:gridCol w:w="409"/>
        <w:gridCol w:w="672"/>
        <w:gridCol w:w="326"/>
        <w:gridCol w:w="221"/>
        <w:gridCol w:w="710"/>
        <w:gridCol w:w="326"/>
        <w:gridCol w:w="159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248410" cy="175260"/>
                      <wp:effectExtent l="0" t="0" r="0" b="0"/>
                      <wp:wrapNone/>
                      <wp:docPr id="226" name="Frame226"/>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87960" cy="175260"/>
                      <wp:effectExtent l="0" t="0" r="0" b="0"/>
                      <wp:wrapNone/>
                      <wp:docPr id="228" name="Frame228"/>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02615" cy="175260"/>
                      <wp:effectExtent l="0" t="0" r="0" b="0"/>
                      <wp:wrapNone/>
                      <wp:docPr id="229" name="Frame229"/>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59715" cy="175260"/>
                      <wp:effectExtent l="0" t="0" r="0" b="0"/>
                      <wp:wrapNone/>
                      <wp:docPr id="231" name="Frame23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6720" cy="175260"/>
                      <wp:effectExtent l="0" t="0" r="0" b="0"/>
                      <wp:wrapNone/>
                      <wp:docPr id="232" name="Frame232"/>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40335" cy="175260"/>
                      <wp:effectExtent l="0" t="0" r="0" b="0"/>
                      <wp:wrapNone/>
                      <wp:docPr id="234" name="Frame23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50850" cy="175260"/>
                      <wp:effectExtent l="0" t="0" r="0" b="0"/>
                      <wp:wrapNone/>
                      <wp:docPr id="235" name="Frame23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10285" cy="175260"/>
                      <wp:effectExtent l="0" t="0" r="0" b="0"/>
                      <wp:wrapNone/>
                      <wp:docPr id="237" name="Frame237"/>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409" w:type="dxa"/>
            <w:tcBorders/>
            <w:vAlign w:val="center"/>
          </w:tcPr>
          <w:p>
            <w:pPr>
              <w:pStyle w:val="TableContents"/>
              <w:bidi w:val="0"/>
              <w:spacing w:before="0" w:after="1"/>
              <w:ind w:left="0" w:right="0" w:hanging="0"/>
              <w:jc w:val="center"/>
              <w:rPr/>
            </w:pPr>
            <w:r>
              <w:rPr/>
              <w:t>​</w:t>
            </w:r>
          </w:p>
        </w:tc>
        <w:tc>
          <w:tcPr>
            <w:tcW w:w="6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34,006</w:t>
            </w:r>
          </w:p>
        </w:tc>
        <w:tc>
          <w:tcPr>
            <w:tcW w:w="326" w:type="dxa"/>
            <w:tcBorders/>
            <w:shd w:fill="CCEEFF" w:val="clear"/>
            <w:vAlign w:val="center"/>
          </w:tcPr>
          <w:p>
            <w:pPr>
              <w:pStyle w:val="TableContents"/>
              <w:bidi w:val="0"/>
              <w:spacing w:before="0" w:after="1"/>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34,006</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34,006</w:t>
            </w:r>
          </w:p>
        </w:tc>
        <w:tc>
          <w:tcPr>
            <w:tcW w:w="326" w:type="dxa"/>
            <w:tcBorders/>
            <w:vAlign w:val="center"/>
          </w:tcPr>
          <w:p>
            <w:pPr>
              <w:pStyle w:val="TableContents"/>
              <w:bidi w:val="0"/>
              <w:spacing w:before="0" w:after="1"/>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34,006</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9063" w:type="dxa"/>
        <w:jc w:val="left"/>
        <w:tblInd w:w="0" w:type="dxa"/>
        <w:tblLayout w:type="fixed"/>
        <w:tblCellMar>
          <w:top w:w="0" w:type="dxa"/>
          <w:left w:w="0" w:type="dxa"/>
          <w:bottom w:w="0" w:type="dxa"/>
          <w:right w:w="0" w:type="dxa"/>
        </w:tblCellMar>
      </w:tblPr>
      <w:tblGrid>
        <w:gridCol w:w="2911"/>
        <w:gridCol w:w="326"/>
        <w:gridCol w:w="296"/>
        <w:gridCol w:w="949"/>
        <w:gridCol w:w="326"/>
        <w:gridCol w:w="270"/>
        <w:gridCol w:w="811"/>
        <w:gridCol w:w="326"/>
        <w:gridCol w:w="251"/>
        <w:gridCol w:w="680"/>
        <w:gridCol w:w="326"/>
        <w:gridCol w:w="159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48485" cy="175260"/>
                      <wp:effectExtent l="0" t="0" r="0" b="0"/>
                      <wp:wrapNone/>
                      <wp:docPr id="238" name="Frame238"/>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7960" cy="175260"/>
                      <wp:effectExtent l="0" t="0" r="0" b="0"/>
                      <wp:wrapNone/>
                      <wp:docPr id="240" name="Frame24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02615" cy="175260"/>
                      <wp:effectExtent l="0" t="0" r="0" b="0"/>
                      <wp:wrapNone/>
                      <wp:docPr id="241" name="Frame241"/>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71450" cy="175260"/>
                      <wp:effectExtent l="0" t="0" r="0" b="0"/>
                      <wp:wrapNone/>
                      <wp:docPr id="243" name="Frame24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14985" cy="175260"/>
                      <wp:effectExtent l="0" t="0" r="0" b="0"/>
                      <wp:wrapNone/>
                      <wp:docPr id="244" name="Frame24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59385" cy="175260"/>
                      <wp:effectExtent l="0" t="0" r="0" b="0"/>
                      <wp:wrapNone/>
                      <wp:docPr id="246" name="Frame24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31800" cy="175260"/>
                      <wp:effectExtent l="0" t="0" r="0" b="0"/>
                      <wp:wrapNone/>
                      <wp:docPr id="247" name="Frame24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010285" cy="175260"/>
                      <wp:effectExtent l="0" t="0" r="0" b="0"/>
                      <wp:wrapNone/>
                      <wp:docPr id="249" name="Frame249"/>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96" w:type="dxa"/>
            <w:tcBorders/>
            <w:vAlign w:val="center"/>
          </w:tcPr>
          <w:p>
            <w:pPr>
              <w:pStyle w:val="TableContents"/>
              <w:bidi w:val="0"/>
              <w:spacing w:before="0" w:after="1"/>
              <w:ind w:left="0" w:right="0" w:hanging="0"/>
              <w:jc w:val="center"/>
              <w:rPr/>
            </w:pPr>
            <w:r>
              <w:rPr/>
              <w:t>​</w:t>
            </w:r>
          </w:p>
        </w:tc>
        <w:tc>
          <w:tcPr>
            <w:tcW w:w="9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2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2,377</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c>
          <w:tcPr>
            <w:tcW w:w="326"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Customer-related intangible assets</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1,469</w:t>
            </w:r>
          </w:p>
        </w:tc>
        <w:tc>
          <w:tcPr>
            <w:tcW w:w="326"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2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with finite lives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(4,251)</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8,129</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amortization expense of $3.3 million and $0.3 million for the three months ended September 30, 2025 and 2024, respectively. The Company recorded amortization expense of $8.9 million and $0.9 million for the nine months ended September 30, 2025 and 2024,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estimated amortization of identifiable intangible assets with finite lives as of September 30, 2025 (in thousands):</w:t>
      </w:r>
    </w:p>
    <w:tbl>
      <w:tblPr>
        <w:tblW w:w="9465" w:type="dxa"/>
        <w:jc w:val="left"/>
        <w:tblInd w:w="0" w:type="dxa"/>
        <w:tblLayout w:type="fixed"/>
        <w:tblCellMar>
          <w:top w:w="0" w:type="dxa"/>
          <w:left w:w="0" w:type="dxa"/>
          <w:bottom w:w="0" w:type="dxa"/>
          <w:right w:w="0" w:type="dxa"/>
        </w:tblCellMar>
      </w:tblPr>
      <w:tblGrid>
        <w:gridCol w:w="1951"/>
        <w:gridCol w:w="326"/>
        <w:gridCol w:w="211"/>
        <w:gridCol w:w="571"/>
        <w:gridCol w:w="326"/>
        <w:gridCol w:w="343"/>
        <w:gridCol w:w="932"/>
        <w:gridCol w:w="109"/>
        <w:gridCol w:w="254"/>
        <w:gridCol w:w="692"/>
        <w:gridCol w:w="109"/>
        <w:gridCol w:w="339"/>
        <w:gridCol w:w="1087"/>
        <w:gridCol w:w="109"/>
        <w:gridCol w:w="381"/>
        <w:gridCol w:w="624"/>
        <w:gridCol w:w="109"/>
        <w:gridCol w:w="211"/>
        <w:gridCol w:w="78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38885" cy="175260"/>
                      <wp:effectExtent l="0" t="0" r="0" b="0"/>
                      <wp:wrapNone/>
                      <wp:docPr id="250" name="Frame250"/>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53" name="Frame25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7805" cy="175260"/>
                      <wp:effectExtent l="0" t="0" r="0" b="0"/>
                      <wp:wrapNone/>
                      <wp:docPr id="255" name="Frame255"/>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91820" cy="175260"/>
                      <wp:effectExtent l="0" t="0" r="0" b="0"/>
                      <wp:wrapNone/>
                      <wp:docPr id="256" name="Frame25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1290" cy="175260"/>
                      <wp:effectExtent l="0" t="0" r="0" b="0"/>
                      <wp:wrapNone/>
                      <wp:docPr id="258" name="Frame25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39420" cy="175260"/>
                      <wp:effectExtent l="0" t="0" r="0" b="0"/>
                      <wp:wrapNone/>
                      <wp:docPr id="259" name="Frame259"/>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5265" cy="175260"/>
                      <wp:effectExtent l="0" t="0" r="0" b="0"/>
                      <wp:wrapNone/>
                      <wp:docPr id="261" name="Frame26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0245" cy="175260"/>
                      <wp:effectExtent l="0" t="0" r="0" b="0"/>
                      <wp:wrapNone/>
                      <wp:docPr id="262" name="Frame262"/>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41935" cy="175260"/>
                      <wp:effectExtent l="0" t="0" r="0" b="0"/>
                      <wp:wrapNone/>
                      <wp:docPr id="264" name="Frame264"/>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96240" cy="175260"/>
                      <wp:effectExtent l="0" t="0" r="0" b="0"/>
                      <wp:wrapNone/>
                      <wp:docPr id="265" name="Frame265"/>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95935" cy="175260"/>
                      <wp:effectExtent l="0" t="0" r="0" b="0"/>
                      <wp:wrapNone/>
                      <wp:docPr id="268" name="Frame2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w:t>
            </w:r>
          </w:p>
        </w:tc>
        <w:tc>
          <w:tcPr>
            <w:tcW w:w="9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Developed </w:t>
            </w:r>
          </w:p>
        </w:tc>
        <w:tc>
          <w:tcPr>
            <w:tcW w:w="109" w:type="dxa"/>
            <w:tcBorders/>
            <w:vAlign w:val="center"/>
          </w:tcPr>
          <w:p>
            <w:pPr>
              <w:pStyle w:val="TableContents"/>
              <w:bidi w:val="0"/>
              <w:spacing w:before="0" w:after="1"/>
              <w:ind w:left="0" w:right="0" w:hanging="0"/>
              <w:jc w:val="left"/>
              <w:rPr/>
            </w:pPr>
            <w:r>
              <w:rPr/>
              <w:t>​</w:t>
            </w:r>
          </w:p>
        </w:tc>
        <w:tc>
          <w:tcPr>
            <w:tcW w:w="14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Customer-Related</w:t>
            </w:r>
          </w:p>
        </w:tc>
        <w:tc>
          <w:tcPr>
            <w:tcW w:w="10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19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 Assets</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 Assets</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 Name</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3,280</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13,122</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w:t>
            </w:r>
          </w:p>
        </w:tc>
        <w:tc>
          <w:tcPr>
            <w:tcW w:w="6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109"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11,669</w:t>
            </w:r>
          </w:p>
        </w:tc>
        <w:tc>
          <w:tcPr>
            <w:tcW w:w="109" w:type="dxa"/>
            <w:tcBorders/>
            <w:vAlign w:val="center"/>
          </w:tcPr>
          <w:p>
            <w:pPr>
              <w:pStyle w:val="TableContents"/>
              <w:bidi w:val="0"/>
              <w:spacing w:before="0" w:after="1"/>
              <w:ind w:left="0" w:right="0" w:hanging="0"/>
              <w:jc w:val="left"/>
              <w:rPr/>
            </w:pPr>
            <w:r>
              <w:rPr/>
              <w:t>​</w:t>
            </w:r>
          </w:p>
        </w:tc>
        <w:tc>
          <w:tcPr>
            <w:tcW w:w="381"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13,114</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6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shd w:fill="CCEEFF" w:val="clear"/>
            <w:vAlign w:val="center"/>
          </w:tcPr>
          <w:p>
            <w:pPr>
              <w:pStyle w:val="TableContents"/>
              <w:bidi w:val="0"/>
              <w:spacing w:before="0" w:after="1"/>
              <w:ind w:left="0" w:right="0" w:hanging="0"/>
              <w:jc w:val="left"/>
              <w:rPr/>
            </w:pPr>
            <w:r>
              <w:rPr/>
              <w:t>​</w:t>
            </w:r>
          </w:p>
        </w:tc>
        <w:tc>
          <w:tcPr>
            <w:tcW w:w="62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1,866</w:t>
            </w:r>
          </w:p>
        </w:tc>
      </w:tr>
      <w:tr>
        <w:trPr/>
        <w:tc>
          <w:tcPr>
            <w:tcW w:w="1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vAlign w:val="center"/>
          </w:tcPr>
          <w:p>
            <w:pPr>
              <w:pStyle w:val="TableContents"/>
              <w:bidi w:val="0"/>
              <w:spacing w:before="0" w:after="1"/>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1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1,941</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2,539</w:t>
            </w:r>
          </w:p>
        </w:tc>
        <w:tc>
          <w:tcPr>
            <w:tcW w:w="109"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109" w:type="dxa"/>
            <w:tcBorders/>
            <w:shd w:fill="CCEEFF" w:val="clear"/>
            <w:vAlign w:val="center"/>
          </w:tcPr>
          <w:p>
            <w:pPr>
              <w:pStyle w:val="TableContents"/>
              <w:bidi w:val="0"/>
              <w:spacing w:before="0" w:after="1"/>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39,982</w:t>
            </w:r>
          </w:p>
        </w:tc>
        <w:tc>
          <w:tcPr>
            <w:tcW w:w="109" w:type="dxa"/>
            <w:tcBorders/>
            <w:shd w:fill="CCEEFF" w:val="clear"/>
            <w:vAlign w:val="center"/>
          </w:tcPr>
          <w:p>
            <w:pPr>
              <w:pStyle w:val="TableContents"/>
              <w:bidi w:val="0"/>
              <w:spacing w:before="0" w:after="1"/>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45,553</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shd w:fill="FFFFFF" w:val="clear"/>
        </w:rPr>
      </w:pPr>
      <w:bookmarkStart w:id="1185" w:name="Tc_pj60L5JxI06qG9k_C1Hjsg_5_5"/>
      <w:bookmarkStart w:id="1186" w:name="Tc_62BFC2eH3kyXFnoB3GMK6g_5_2"/>
      <w:bookmarkStart w:id="1187" w:name="Tc_l4H6s7VgpE6SHSIlF-VS0A_5_0"/>
      <w:bookmarkStart w:id="1188" w:name="Tc_hKAYPiVnd0CWEuR33iQhxA_4_0"/>
      <w:bookmarkStart w:id="1189" w:name="Tc_GHtPEBaTJ0S2oMCSZbb5Ow_3_0"/>
      <w:bookmarkStart w:id="1190" w:name="Tc_drx2IkZRMkW4fdv_T27w1g_2_6"/>
      <w:bookmarkStart w:id="1191" w:name="Tc_RWrCZFUW10m9Q_Nr1wj6Aw_2_5"/>
      <w:bookmarkStart w:id="1192" w:name="Tc_atPnXbQ8u0aOZB7w6CheCA_2_2"/>
      <w:bookmarkStart w:id="1193" w:name="Tc_d0tMGoJ3akyd_WkhRoNlHg_2_0"/>
      <w:bookmarkStart w:id="1194" w:name="Tc_kU5u7OxYNUSkC_RZxEMsRw_1_5"/>
      <w:bookmarkStart w:id="1195" w:name="Tc_u6EYJaWhgU6aB2eMjAhrHQ_1_2"/>
      <w:bookmarkStart w:id="1196" w:name="_eabe2ebd_f459_4410_aea8_db636b8fc988"/>
      <w:bookmarkEnd w:id="1185"/>
      <w:bookmarkEnd w:id="1186"/>
      <w:bookmarkEnd w:id="1187"/>
      <w:bookmarkEnd w:id="1188"/>
      <w:bookmarkEnd w:id="1189"/>
      <w:bookmarkEnd w:id="1190"/>
      <w:bookmarkEnd w:id="1191"/>
      <w:bookmarkEnd w:id="1192"/>
      <w:bookmarkEnd w:id="1193"/>
      <w:bookmarkEnd w:id="1194"/>
      <w:bookmarkEnd w:id="1195"/>
      <w:bookmarkEnd w:id="1196"/>
      <w:r>
        <w:rPr>
          <w:rFonts w:ascii="Times New Roman;Times;serif" w:hAnsi="Times New Roman;Times;serif"/>
          <w:sz w:val="20"/>
          <w:shd w:fill="FFFFFF" w:val="clear"/>
        </w:rPr>
        <w:t>Goodwill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goodwill increased by $39.8 million, primarily as a result of the acquisition of substantially all the assets and certain liabilities of Red Trail Energy. The increase reflects the difference between the fair value of the net assets purchased from Red Trail Energy, including intangible assets, and the purchase price, with the excess recorded as goodwill. The goodwill recognized in this acquisition is primarily attributable to expected synergies from integrating operations, as well as other factors that are not individually identifiable or separately recognized.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changes in the carrying amount of goodwill (in thousands) as of:</w:t>
      </w:r>
    </w:p>
    <w:tbl>
      <w:tblPr>
        <w:tblW w:w="7068" w:type="dxa"/>
        <w:jc w:val="left"/>
        <w:tblInd w:w="0" w:type="dxa"/>
        <w:tblLayout w:type="fixed"/>
        <w:tblCellMar>
          <w:top w:w="0" w:type="dxa"/>
          <w:left w:w="0" w:type="dxa"/>
          <w:bottom w:w="0" w:type="dxa"/>
          <w:right w:w="0" w:type="dxa"/>
        </w:tblCellMar>
      </w:tblPr>
      <w:tblGrid>
        <w:gridCol w:w="3541"/>
        <w:gridCol w:w="109"/>
        <w:gridCol w:w="367"/>
        <w:gridCol w:w="1179"/>
        <w:gridCol w:w="326"/>
        <w:gridCol w:w="367"/>
        <w:gridCol w:w="1179"/>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248535" cy="175260"/>
                      <wp:effectExtent l="0" t="0" r="0" b="0"/>
                      <wp:wrapNone/>
                      <wp:docPr id="269" name="Frame26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33045" cy="175260"/>
                      <wp:effectExtent l="0" t="0" r="0" b="0"/>
                      <wp:wrapNone/>
                      <wp:docPr id="271" name="Frame27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48665" cy="175260"/>
                      <wp:effectExtent l="0" t="0" r="0" b="0"/>
                      <wp:wrapNone/>
                      <wp:docPr id="272" name="Frame272"/>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33045" cy="175260"/>
                      <wp:effectExtent l="0" t="0" r="0" b="0"/>
                      <wp:wrapNone/>
                      <wp:docPr id="274" name="Frame27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748665" cy="175260"/>
                      <wp:effectExtent l="0" t="0" r="0" b="0"/>
                      <wp:wrapNone/>
                      <wp:docPr id="275" name="Frame275"/>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109"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37,815</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acquisition balance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end of period</w:t>
            </w:r>
          </w:p>
        </w:tc>
        <w:tc>
          <w:tcPr>
            <w:tcW w:w="109"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3,740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Normal"/>
        <w:bidi w:val="0"/>
        <w:spacing w:before="0" w:after="0"/>
        <w:jc w:val="left"/>
        <w:rPr>
          <w:sz w:val="4"/>
          <w:szCs w:val="4"/>
        </w:rPr>
      </w:pPr>
      <w:r>
        <w:rPr>
          <w:sz w:val="4"/>
          <w:szCs w:val="4"/>
        </w:rPr>
      </w:r>
      <w:bookmarkStart w:id="1197" w:name="Tc_R3jZJONmI0ahpIxLt6vGUg_8_5"/>
      <w:bookmarkStart w:id="1198" w:name="Tc_e-ffY3n1ok-FlLiWZ8b5pQ_8_2"/>
      <w:bookmarkStart w:id="1199" w:name="Tc_KfuHPZXDr0KeFLPj1wHIrQ_8_0"/>
      <w:bookmarkStart w:id="1200" w:name="Tc_J6zeB6Y1Vkuou0MJel-vhg_7_0"/>
      <w:bookmarkStart w:id="1201" w:name="Tc_eaEhttLt50i6uMWl-zvYJw_6_3"/>
      <w:bookmarkStart w:id="1202" w:name="Tc_ubiSXJJzYE6wVVqoIXMvZQ_6_0"/>
      <w:bookmarkStart w:id="1203" w:name="Tc_h71WzoT-pESIlv1XoGpNVw_5_0"/>
      <w:bookmarkStart w:id="1204" w:name="Tc_JGNvVJCD_0WvgjY96MX_uA_4_0"/>
      <w:bookmarkStart w:id="1205" w:name="Tc_xmOFTMn7JE6vqhhjxmQ1jw_3_0"/>
      <w:bookmarkStart w:id="1206" w:name="Tc_i5PTTYR-hUuce_Na1GWfgQ_2_5"/>
      <w:bookmarkStart w:id="1207" w:name="Tc_rUF5SgS_ZEuj_IFZaNIIIQ_2_2"/>
      <w:bookmarkStart w:id="1208" w:name="Tc_8jyGxrLLp0C_BlT0AK15dg_2_0"/>
      <w:bookmarkStart w:id="1209" w:name="Tc_Oq4yz-vc8EaadFqj1RyDlw_1_5"/>
      <w:bookmarkStart w:id="1210" w:name="Tc_VrJE1sJxYUWksgTUlVKBXA_1_2"/>
      <w:bookmarkStart w:id="1211" w:name="_217a9570_6961_4f22_b850_b47faa4c5d19"/>
      <w:bookmarkStart w:id="1212" w:name="Tc_R3jZJONmI0ahpIxLt6vGUg_8_5"/>
      <w:bookmarkStart w:id="1213" w:name="Tc_e-ffY3n1ok-FlLiWZ8b5pQ_8_2"/>
      <w:bookmarkStart w:id="1214" w:name="Tc_KfuHPZXDr0KeFLPj1wHIrQ_8_0"/>
      <w:bookmarkStart w:id="1215" w:name="Tc_J6zeB6Y1Vkuou0MJel-vhg_7_0"/>
      <w:bookmarkStart w:id="1216" w:name="Tc_eaEhttLt50i6uMWl-zvYJw_6_3"/>
      <w:bookmarkStart w:id="1217" w:name="Tc_ubiSXJJzYE6wVVqoIXMvZQ_6_0"/>
      <w:bookmarkStart w:id="1218" w:name="Tc_h71WzoT-pESIlv1XoGpNVw_5_0"/>
      <w:bookmarkStart w:id="1219" w:name="Tc_JGNvVJCD_0WvgjY96MX_uA_4_0"/>
      <w:bookmarkStart w:id="1220" w:name="Tc_xmOFTMn7JE6vqhhjxmQ1jw_3_0"/>
      <w:bookmarkStart w:id="1221" w:name="Tc_i5PTTYR-hUuce_Na1GWfgQ_2_5"/>
      <w:bookmarkStart w:id="1222" w:name="Tc_rUF5SgS_ZEuj_IFZaNIIIQ_2_2"/>
      <w:bookmarkStart w:id="1223" w:name="Tc_8jyGxrLLp0C_BlT0AK15dg_2_0"/>
      <w:bookmarkStart w:id="1224" w:name="Tc_Oq4yz-vc8EaadFqj1RyDlw_1_5"/>
      <w:bookmarkStart w:id="1225" w:name="Tc_VrJE1sJxYUWksgTUlVKBXA_1_2"/>
      <w:bookmarkStart w:id="1226" w:name="_217a9570_6961_4f22_b850_b47faa4c5d19"/>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Deposits and Other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tbl>
      <w:tblPr>
        <w:tblW w:w="6340" w:type="dxa"/>
        <w:jc w:val="left"/>
        <w:tblInd w:w="0" w:type="dxa"/>
        <w:tblLayout w:type="fixed"/>
        <w:tblCellMar>
          <w:top w:w="0" w:type="dxa"/>
          <w:left w:w="0" w:type="dxa"/>
          <w:bottom w:w="0" w:type="dxa"/>
          <w:right w:w="0" w:type="dxa"/>
        </w:tblCellMar>
      </w:tblPr>
      <w:tblGrid>
        <w:gridCol w:w="2596"/>
        <w:gridCol w:w="326"/>
        <w:gridCol w:w="367"/>
        <w:gridCol w:w="1179"/>
        <w:gridCol w:w="326"/>
        <w:gridCol w:w="328"/>
        <w:gridCol w:w="121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48460" cy="175260"/>
                      <wp:effectExtent l="0" t="0" r="0" b="0"/>
                      <wp:wrapNone/>
                      <wp:docPr id="276" name="Frame27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33045" cy="175260"/>
                      <wp:effectExtent l="0" t="0" r="0" b="0"/>
                      <wp:wrapNone/>
                      <wp:docPr id="278" name="Frame27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748665" cy="175260"/>
                      <wp:effectExtent l="0" t="0" r="0" b="0"/>
                      <wp:wrapNone/>
                      <wp:docPr id="279" name="Frame27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8280" cy="175260"/>
                      <wp:effectExtent l="0" t="0" r="0" b="0"/>
                      <wp:wrapNone/>
                      <wp:docPr id="281" name="Frame28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73430" cy="175260"/>
                      <wp:effectExtent l="0" t="0" r="0" b="0"/>
                      <wp:wrapNone/>
                      <wp:docPr id="282" name="Frame28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2,636</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 </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 </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55,065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47,737</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Earnest money deposit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net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12,280</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72,002</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75,623</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3.6%</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or an increase to the carrying value.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future obligations to Rock County Wind Fuel, LLC (“RCWF”), a Zero6 subsidiary. See Note 19,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to design and construct the power generation, transmission and distribution facilities that will serve ATJ-60, $5.5</w:t>
            </w:r>
            <w:r>
              <w:rPr>
                <w:caps w:val="false"/>
                <w:smallCaps w:val="false"/>
              </w:rPr>
              <w:t xml:space="preserve"> </w:t>
            </w:r>
            <w:r>
              <w:rPr>
                <w:rFonts w:ascii="Times New Roman;Times;serif" w:hAnsi="Times New Roman;Times;serif"/>
                <w:b w:val="false"/>
                <w:i w:val="false"/>
                <w:caps w:val="false"/>
                <w:smallCaps w:val="false"/>
                <w:sz w:val="20"/>
              </w:rPr>
              <w:t>million of which will be either reimbursed or used as an investment into the wind generation facility and the remaining $49.6</w:t>
            </w:r>
            <w:r>
              <w:rPr>
                <w:caps w:val="false"/>
                <w:smallCaps w:val="false"/>
              </w:rPr>
              <w:t xml:space="preserve"> </w:t>
            </w:r>
            <w:r>
              <w:rPr>
                <w:rFonts w:ascii="Times New Roman;Times;serif" w:hAnsi="Times New Roman;Times;serif"/>
                <w:b w:val="false"/>
                <w:i w:val="false"/>
                <w:caps w:val="false"/>
                <w:smallCaps w:val="false"/>
                <w:sz w:val="20"/>
              </w:rPr>
              <w:t>million is expected to be fully reimbursed upon completion of the project. Gevo has contractual priority liens against the equipment and constructed facilities under the contracts.</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Earnest money deposited in connection with the Red Trail Energy Purchase Agreement. See Note 2, Business Combinations, for additional information.</w:t>
            </w:r>
          </w:p>
        </w:tc>
      </w:tr>
    </w:tbl>
    <w:tbl>
      <w:tblPr>
        <w:tblW w:w="4517" w:type="dxa"/>
        <w:jc w:val="left"/>
        <w:tblInd w:w="0" w:type="dxa"/>
        <w:tblLayout w:type="fixed"/>
        <w:tblCellMar>
          <w:top w:w="0" w:type="dxa"/>
          <w:left w:w="0" w:type="dxa"/>
          <w:bottom w:w="0" w:type="dxa"/>
          <w:right w:w="0" w:type="dxa"/>
        </w:tblCellMar>
      </w:tblPr>
      <w:tblGrid>
        <w:gridCol w:w="346"/>
        <w:gridCol w:w="41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related to the feedstock agreements.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227" w:name="Tc_tnu48EZ-1UChqtdX7zaD1A_6_5"/>
      <w:bookmarkStart w:id="1228" w:name="Tc_WxD61gw8OEOGn7rTwRNs8w_6_2"/>
      <w:bookmarkStart w:id="1229" w:name="Tc_bKOrnRQDmECLpOv9gwhdXQ_6_0"/>
      <w:bookmarkStart w:id="1230" w:name="Tc_mqFvntgqZUy1CGAje8IIiw_5_0"/>
      <w:bookmarkStart w:id="1231" w:name="Tc_GjxoD1mKZkaMNINvqdamyA_4_0"/>
      <w:bookmarkStart w:id="1232" w:name="Tc_1eNiVVs_ykWraQSUYrMOPA_3_0"/>
      <w:bookmarkStart w:id="1233" w:name="Tc_vjDbCV1u00ulD9JoG6rRCg_2_5"/>
      <w:bookmarkStart w:id="1234" w:name="Tc_ovZHzg7fQEOyrcpJIU7Vqg_2_2"/>
      <w:bookmarkStart w:id="1235" w:name="Tc_9IuYw5Fi8U2qmcAR4Un7ag_2_0"/>
      <w:bookmarkStart w:id="1236" w:name="Tc_umH940QgVEqTF-i8GUvqqg_1_5"/>
      <w:bookmarkStart w:id="1237" w:name="Tc_s63D8ovYlUavmIxbXGMFjA_1_2"/>
      <w:bookmarkStart w:id="1238" w:name="_e47aa786_3f8e_4bbf_85a7_01a6b4c392a5"/>
      <w:bookmarkStart w:id="1239" w:name="Tc_tnu48EZ-1UChqtdX7zaD1A_6_5"/>
      <w:bookmarkStart w:id="1240" w:name="Tc_WxD61gw8OEOGn7rTwRNs8w_6_2"/>
      <w:bookmarkStart w:id="1241" w:name="Tc_bKOrnRQDmECLpOv9gwhdXQ_6_0"/>
      <w:bookmarkStart w:id="1242" w:name="Tc_mqFvntgqZUy1CGAje8IIiw_5_0"/>
      <w:bookmarkStart w:id="1243" w:name="Tc_GjxoD1mKZkaMNINvqdamyA_4_0"/>
      <w:bookmarkStart w:id="1244" w:name="Tc_1eNiVVs_ykWraQSUYrMOPA_3_0"/>
      <w:bookmarkStart w:id="1245" w:name="Tc_vjDbCV1u00ulD9JoG6rRCg_2_5"/>
      <w:bookmarkStart w:id="1246" w:name="Tc_ovZHzg7fQEOyrcpJIU7Vqg_2_2"/>
      <w:bookmarkStart w:id="1247" w:name="Tc_9IuYw5Fi8U2qmcAR4Un7ag_2_0"/>
      <w:bookmarkStart w:id="1248" w:name="Tc_umH940QgVEqTF-i8GUvqqg_1_5"/>
      <w:bookmarkStart w:id="1249" w:name="Tc_s63D8ovYlUavmIxbXGMFjA_1_2"/>
      <w:bookmarkStart w:id="1250" w:name="_e47aa786_3f8e_4bbf_85a7_01a6b4c392a5"/>
      <w:bookmarkEnd w:id="1239"/>
      <w:bookmarkEnd w:id="1240"/>
      <w:bookmarkEnd w:id="1241"/>
      <w:bookmarkEnd w:id="1242"/>
      <w:bookmarkEnd w:id="1243"/>
      <w:bookmarkEnd w:id="1244"/>
      <w:bookmarkEnd w:id="1245"/>
      <w:bookmarkEnd w:id="1246"/>
      <w:bookmarkEnd w:id="1247"/>
      <w:bookmarkEnd w:id="1248"/>
      <w:bookmarkEnd w:id="1249"/>
      <w:bookmarkEnd w:id="1250"/>
    </w:p>
    <w:tbl>
      <w:tblPr>
        <w:tblW w:w="4052" w:type="dxa"/>
        <w:jc w:val="left"/>
        <w:tblInd w:w="0" w:type="dxa"/>
        <w:tblLayout w:type="fixed"/>
        <w:tblCellMar>
          <w:top w:w="0" w:type="dxa"/>
          <w:left w:w="0" w:type="dxa"/>
          <w:bottom w:w="0" w:type="dxa"/>
          <w:right w:w="0" w:type="dxa"/>
        </w:tblCellMar>
      </w:tblPr>
      <w:tblGrid>
        <w:gridCol w:w="376"/>
        <w:gridCol w:w="36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36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Payable and Accrued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thousands) as of:</w:t>
      </w:r>
    </w:p>
    <w:tbl>
      <w:tblPr>
        <w:tblW w:w="7600" w:type="dxa"/>
        <w:jc w:val="left"/>
        <w:tblInd w:w="0" w:type="dxa"/>
        <w:tblLayout w:type="fixed"/>
        <w:tblCellMar>
          <w:top w:w="0" w:type="dxa"/>
          <w:left w:w="0" w:type="dxa"/>
          <w:bottom w:w="0" w:type="dxa"/>
          <w:right w:w="0" w:type="dxa"/>
        </w:tblCellMar>
      </w:tblPr>
      <w:tblGrid>
        <w:gridCol w:w="3856"/>
        <w:gridCol w:w="326"/>
        <w:gridCol w:w="367"/>
        <w:gridCol w:w="1179"/>
        <w:gridCol w:w="326"/>
        <w:gridCol w:w="328"/>
        <w:gridCol w:w="1218"/>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448560" cy="175260"/>
                      <wp:effectExtent l="0" t="0" r="0" b="0"/>
                      <wp:wrapNone/>
                      <wp:docPr id="283" name="Frame283"/>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33045" cy="175260"/>
                      <wp:effectExtent l="0" t="0" r="0" b="0"/>
                      <wp:wrapNone/>
                      <wp:docPr id="285" name="Frame28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48665" cy="175260"/>
                      <wp:effectExtent l="0" t="0" r="0" b="0"/>
                      <wp:wrapNone/>
                      <wp:docPr id="286" name="Frame286"/>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8280" cy="175260"/>
                      <wp:effectExtent l="0" t="0" r="0" b="0"/>
                      <wp:wrapNone/>
                      <wp:docPr id="288" name="Frame28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773430" cy="175260"/>
                      <wp:effectExtent l="0" t="0" r="0" b="0"/>
                      <wp:wrapNone/>
                      <wp:docPr id="289" name="Frame289"/>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 </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26,135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9,528</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8,999</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40,048</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22,006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bookmarkStart w:id="1251" w:name="Tc_FdBR7snigUiglyqrtV78wg_6_2"/>
      <w:bookmarkStart w:id="1252" w:name="Tc_ZPcGeo6r5k60QT9gdmrDFQ_6_0"/>
      <w:bookmarkStart w:id="1253" w:name="Tc_E5-IbXtaN0-TbVyTM-QWjQ_5_0"/>
      <w:bookmarkStart w:id="1254" w:name="Tc_LOevq2ybjECfCol2PjlEnQ_4_0"/>
      <w:bookmarkStart w:id="1255" w:name="Tc_e8MzgzpB9Uydj6uoeQYuNQ_3_0"/>
      <w:bookmarkStart w:id="1256" w:name="Tc_ojENnNnk-EamylzOLEHn5g_2_3"/>
      <w:bookmarkStart w:id="1257" w:name="Tc_MbD6MmZRSEaLxjApq_RJ4w_2_2"/>
      <w:bookmarkStart w:id="1258" w:name="Tc_Y-WHEqx89U-l_Jeqf0w0gw_2_0"/>
      <w:bookmarkStart w:id="1259" w:name="Tc_do7IlK4ICUi5aQtETPJ4RA_1_2"/>
      <w:bookmarkStart w:id="1260" w:name="_6bea270a_3345_43c5_83b7_5febaffcae38"/>
      <w:bookmarkEnd w:id="1251"/>
      <w:bookmarkEnd w:id="1252"/>
      <w:bookmarkEnd w:id="1253"/>
      <w:bookmarkEnd w:id="1254"/>
      <w:bookmarkEnd w:id="1255"/>
      <w:bookmarkEnd w:id="1256"/>
      <w:bookmarkEnd w:id="1257"/>
      <w:bookmarkEnd w:id="1258"/>
      <w:bookmarkEnd w:id="1259"/>
      <w:bookmarkEnd w:id="1260"/>
      <w:r>
        <w:rPr/>
        <w:t>​</w:t>
      </w:r>
    </w:p>
    <w:tbl>
      <w:tblPr>
        <w:tblW w:w="2912" w:type="dxa"/>
        <w:jc w:val="left"/>
        <w:tblInd w:w="0" w:type="dxa"/>
        <w:tblLayout w:type="fixed"/>
        <w:tblCellMar>
          <w:top w:w="0" w:type="dxa"/>
          <w:left w:w="0" w:type="dxa"/>
          <w:bottom w:w="0" w:type="dxa"/>
          <w:right w:w="0" w:type="dxa"/>
        </w:tblCellMar>
      </w:tblPr>
      <w:tblGrid>
        <w:gridCol w:w="376"/>
        <w:gridCol w:w="25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5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Asset Retirement Obligation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the Company recognized a liability for the estimated costs associated with the retirement of certain assets that are subject to legal or contractual obligations. These assets primarily relate to the decommissioning of RNG production facilities and associated infrastructure at our RNG plant. Additionally, the Company recognized an ARO related to the closure plan for our Class VI injection and monitoring wells at the GevoND operation.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estimates the fair value of the ARO based on current regulatory requirements and historical cost data, considering appropriate inflation and discount rates for the estimated timeline of asset removal. The fair value of the estimated ARO is recorded as a long-term liability, with a corresponding increase in the carrying amount of the related asset.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Company’s asset retirement obligation (in thousands) as of:</w:t>
      </w:r>
    </w:p>
    <w:tbl>
      <w:tblPr>
        <w:tblW w:w="5736" w:type="dxa"/>
        <w:jc w:val="left"/>
        <w:tblInd w:w="0" w:type="dxa"/>
        <w:tblLayout w:type="fixed"/>
        <w:tblCellMar>
          <w:top w:w="0" w:type="dxa"/>
          <w:left w:w="0" w:type="dxa"/>
          <w:bottom w:w="0" w:type="dxa"/>
          <w:right w:w="0" w:type="dxa"/>
        </w:tblCellMar>
      </w:tblPr>
      <w:tblGrid>
        <w:gridCol w:w="4036"/>
        <w:gridCol w:w="109"/>
        <w:gridCol w:w="378"/>
        <w:gridCol w:w="121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562860" cy="175260"/>
                      <wp:effectExtent l="0" t="0" r="0" b="0"/>
                      <wp:wrapNone/>
                      <wp:docPr id="290" name="Frame29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40030" cy="175260"/>
                      <wp:effectExtent l="0" t="0" r="0" b="0"/>
                      <wp:wrapNone/>
                      <wp:docPr id="292" name="Frame292"/>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70255" cy="175260"/>
                      <wp:effectExtent l="0" t="0" r="0" b="0"/>
                      <wp:wrapNone/>
                      <wp:docPr id="293" name="Frame293"/>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assumed upon acquisition</w:t>
            </w:r>
          </w:p>
        </w:tc>
        <w:tc>
          <w:tcPr>
            <w:tcW w:w="109"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incurred</w:t>
            </w:r>
          </w:p>
        </w:tc>
        <w:tc>
          <w:tcPr>
            <w:tcW w:w="109"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expense</w:t>
            </w:r>
          </w:p>
        </w:tc>
        <w:tc>
          <w:tcPr>
            <w:tcW w:w="109" w:type="dxa"/>
            <w:tcBorders/>
            <w:vAlign w:val="center"/>
          </w:tcPr>
          <w:p>
            <w:pPr>
              <w:pStyle w:val="TableContents"/>
              <w:bidi w:val="0"/>
              <w:spacing w:before="0" w:after="1"/>
              <w:ind w:left="0" w:right="0" w:hanging="0"/>
              <w:jc w:val="left"/>
              <w:rPr/>
            </w:pPr>
            <w:r>
              <w:rPr/>
              <w:t>​</w:t>
            </w:r>
          </w:p>
        </w:tc>
        <w:tc>
          <w:tcPr>
            <w:tcW w:w="37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 retirement obligation,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3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2,213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changes in the assumptions used to calculate the fair value of the asset retirement obligation are recorded as an offset to the related asset. Surety bonds have been established to cover the cost of a portion of the facility closure plan.</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had a maturity date of January 1, 2042. The bonds bore interest at 1.5% per annum during the Initial Term Rate Period (as defined in the Indenture), payable semi-annually on January 1 and July 1 of each year. The effective interest rate was 1.1%. The 2021 Bonds were supported by the $71.2 million Bond Letter of Credit; see Note 6, Restricted Cash. The Trustee could draw sufficient amounts on the Bond Letter of Credit to pay the principal and interest until the first mandatory tender date of April 1, 2024. The 2021 Bonds were callable and re-marketable on or after October 1, 2022.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As of the Conversion Date (defined below) all premiums and debt issuance costs were fully amortized.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2024 Bond Remarketing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April 1, 2024 (together with the original Indenture the “First Supplemental Indenture,”) between the Issuer and the Trustee. The original bond financing agreement was amended by a First Supplemental Bond Financing Agreement dated April 1, 2024 (together with the original bond financing Agreement, the “First Supplemental Bond Financing Agreement”) between the Issuer and the Company. The Remarketed Bonds were accounted for as a debt extinguishment, with no gain or loss recognized from extinguishment.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Remarketed Bonds retained the same $68.2 million principal amount and maturity date of January 1, 2042. The Remarketed Bonds now bear interest of 3.875% per annum during the Initial Term Rate Period (as defined in the Indenture), payable semi-annually with a first mandatory tender date of April 1, 2026. The effective interest rate is 1.2%. The Company incurred $1.7 million of debt issuance costs associated with the remarketing. On July 10, 2025, $40.0 million of the Remarketed Bonds were refinanced. The current portion of the Remarketed Bonds of $28.2 million is included in current liabilities on the Condensed Consolidated Balance as of September 30, 2025. As of September 30, 2025, debt issuance costs net of amortization for the Remarketed Bonds was $0.2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were supported by a $69.6 million New Bond Letter of Credit; see Note 6, Restricted Cash, issued to the incumbent Trustee that can draw sufficient amounts on the New Bond Letter of Credit to pay the principal and interest, in case of default, until the first mandatory tender date of April 1, 2026. The current portion of the New Bond Letter of Credit of $28.2 million is included in Restricted Cash in current assets on the Condensed Consolidated Balance sheet as of September 30, 2025. As of September 30, 2025, no amounts have been drawn under the New Bond Letter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2025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July 10, 2025, Barclays Capital Inc. purchased $40.0 million of the Remarketed Bonds (the “2025 Bonds” or “Series 2025A Bonds”) on a non-recourse basis. This partial refinancing enabled Gevo to release $40.8 million of restricted cash, including interest of $0.8 million, which was securing the letter of credit and returned approximately $30.4 million of cash to Gevo after paying debt issuance costs of $3.4 million and funding the Debt Service Reserve Fund of $4.0 million and the Operating and Maintenance Reserve Fund of $3.0 million associated with the 2025 Bonds. The total amount of the funds is included in noncurrent restricted cash on the Condensed Consolidated Balance Sheet at September 30, 2025. The reserve funds were paid to UMB Bank, the trustee of the bonds. The Debt Service Reserve Fund serves as security for the payment of principal and interest on the bonds. The Operating and Maintenance Reserve Fund also serves as security for the maintenance and operating expenses of the RNG project.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2025 Bonds are in the form of two separate term bonds. Term Bond 1 has a principal amount of $13.8 million, bears interest at 8.125% per annum, and requires semi-annual principal and interest payments beginning January 1, 2026 through July 1, 2030. Term Bond 2, in the principal amount $26.2 million, bears interest at 8.5%, and requires semi-annual principal and interest payments beginning January 1, 2031 through July 1, 2036. The unamortized debt issuance costs related to the 2025 Bonds as of September 30, 2025 was $3.7 million. The refinancing of the Remarketed Bonds was accounted for as a partial extinguishment of debt. The Company recorded a loss on extinguishment of debt in the amount of $0.4 million related to the refinanced portion of unamortized debt issuance costs on the Remarketed Bonds. The loss is included in other income (expense) on the Condensed Consolidated Statement of Operations. The indenture to the 2025 Bonds contains covenants requiring the maintenance of corporate existence, compliance with laws and prohibits any pledge, liens or encumbrances of the pledged assets. The Company was in compliance with all covenants of the 2025 Bonds as of September 30, 2025.</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Credit Agreement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January 31, 2025, the Company, through its subsidiaries Net-Zero North HoldCo, LLC, Richardton-CCS, Net-Zero-Richardton, and other affiliates (the “Borrower”), entered into a Credit Agreement (the “Agreement”) with OIC Investment Agent, LLC as the administrative agent and collateral agent for the secured parties (“Lenders”), in connection with the Red Trail Energy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acquisition transaction. The Agreement provides for a $105 million senior secured term loan (the “Term Loan”) that was funded on the Closing Date with a maturity of January 31, 2030. The proceeds of the Term Loan were used to partially fund the transaction and the payment of fees under the Agreement. The Agreement also provides for additional uncommitted term loans in an aggregate amount to be mutually agreed upon by the Borrower, the Guarantors and the Lenders for use for certain future growth opportunities after the Closing Date. Interest on the Term Loan will accrue at a rate of (i) 10.00% per annum if the net leverage ratio as of the last day of the quarter for the measurement period (the “Measurement Period”) consisting of the prior four consecutive fiscal quarters of the Borrower (“Leverage Ratio”) is less than 1.5x, (ii) 10.75% per annum if the Leverage Ratio is equal to or greater than 1.5x, but less than 3.0x, and (iii) 11.50% per annum if the Leverage Ratio is equal to or greater than 3.0x and shall initially be set at 11.50% per annum until the next quarterly adjustment date. The Leverage Ratio is defined as the ratio of the combined indebtedness of the Borrower and the Guarantors (other than any indebtedness pursuant to any permitted working capital facility) less any cash equivalent investments in any collateral accounts to the consolidated EBITDA of the Borrower and Guarantors for the relevant Measurement Period. Interest will be due and payable in cash at the end of each quarter.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connection with the Term Loan, and subject to the other terms under the Agreement, Lenders made an equity investment in HoldCo equal to $5 million on the Closing Date. The organizational documents of HoldCo also provide Lenders with the right to appoint two non-voting observers to the board of managers of HoldCo.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Term Loan is secured by a first-lien security interest subject only to reasonable and customary permitted liens and encumbrances, in all the Borrower’s and each Guarantor’s tangible and intangible assets, properties controlled by Borrower and Guarantors, and contracts, including deposit accounts and collateral assignment of material contracts and certain real estate assets to be determined, and includes a pledge of all equity interests in the Borrower and its subsidiaries. The Agreement also contains customary affirmative and negative covenants, events of default, mandatory prepayments (including an excess cash flow sweep), conditions precedent, representations, and warranties.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2020, the Company entered into loan agreements with Live Oak Banking Company, pursuant to which the Company obtained loans from the Small Business Administration’s Paycheck Protection Program (“SBA PPP”) totaling $1.0 million (the “SBA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2021, the balance of $0.6 million of loans and accrued interest obtained through the SBA PPP were forgiven. The remaining SBA Loan totals $0.2 million, bears interest at 1.0% per annum and matures in April 2025. Monthly payments of $8,230, including interest, began on June 5, 2021, and were fully paid off in April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261" w:name="Tc_vwuqNnclt0KI30-FQRtYCA_8_2"/>
      <w:bookmarkStart w:id="1262" w:name="Tc_Qn04vNsL9EyXRYMkFfHoGA_8_0"/>
      <w:bookmarkStart w:id="1263" w:name="Tc__0GaN0IThU2fOtm5W7ecrA_7_0"/>
      <w:bookmarkStart w:id="1264" w:name="Tc_Cn2VtMB5_EighzexlJWs4Q_6_0"/>
      <w:bookmarkStart w:id="1265" w:name="Tc_RUiwkLm-BUWC1lgJ3XiIUA_5_0"/>
      <w:bookmarkStart w:id="1266" w:name="Tc_Hv1wPFUuB0iXQwtgdw7DGg_4_0"/>
      <w:bookmarkStart w:id="1267" w:name="Tc_QQxrP2gdIkKAlvQs2kWzNQ_3_0"/>
      <w:bookmarkStart w:id="1268" w:name="Tc_1gb3Ud2Vfk-hxBGGLFlLxw_2_3"/>
      <w:bookmarkStart w:id="1269" w:name="Tc_zN0jB23EqEGENQyL28iGMg_2_2"/>
      <w:bookmarkStart w:id="1270" w:name="Tc_mwScF1JPSEOJmvAJSSqlCw_2_0"/>
      <w:bookmarkStart w:id="1271" w:name="Tc_S6ERMDVGDUSqmZoxf0heBg_1_2"/>
      <w:bookmarkStart w:id="1272" w:name="Tc_fpW4YFViyU6L3J9vAbjdIg_1_0"/>
      <w:bookmarkStart w:id="1273" w:name="_564897e9_b547_43c8_8642_b94699b0d0d1"/>
      <w:bookmarkStart w:id="1274" w:name="Tc_-5DfZp9UYkyT-WEt_IuCIQ_12_9"/>
      <w:bookmarkStart w:id="1275" w:name="Tc_AgE7eGvqlkO4GGHl7PNmsQ_12_6"/>
      <w:bookmarkStart w:id="1276" w:name="Tc_8RkP2jOEik2f5HqJnbXTtg_12_0"/>
      <w:bookmarkStart w:id="1277" w:name="Tc_DtVCJnUCMkeRSUviAskWVA_11_0"/>
      <w:bookmarkStart w:id="1278" w:name="Tc_P4djG61xjEyEEUi27URNrg_10_9"/>
      <w:bookmarkStart w:id="1279" w:name="Tc_T9jk7DEm7UGGOw3iO_231A_10_6"/>
      <w:bookmarkStart w:id="1280" w:name="Tc_gYXbagQDnUWah-if-dC_Bw_10_0"/>
      <w:bookmarkStart w:id="1281" w:name="Tc_IaVmWFlpuE-c0Uxuz6QWuA_9_0"/>
      <w:bookmarkStart w:id="1282" w:name="Tc_wk16DCzkkkWkQkrcP1TvkQ_8_0"/>
      <w:bookmarkStart w:id="1283" w:name="Tc_NTFlY5337EiNygji46qxAg_7_7"/>
      <w:bookmarkStart w:id="1284" w:name="Tc_xkgjCXH7FEGMTCEv_E2k-g_7_4"/>
      <w:bookmarkStart w:id="1285" w:name="Tc_J7vfEfGGwkm7veFzIZJo2w_7_0"/>
      <w:bookmarkStart w:id="1286" w:name="Tc_01O0bYkEKkSrXe31SgZpOQ_6_10"/>
      <w:bookmarkStart w:id="1287" w:name="Tc_EzyACeAkZEGP3ReMwx_ffA_6_4"/>
      <w:bookmarkStart w:id="1288" w:name="Tc_GOOnCA55dUSWSPUqa5VrmQ_6_0"/>
      <w:bookmarkStart w:id="1289" w:name="Tc_OiuEuueChkC0jXdS5GJfgQ_5_10"/>
      <w:bookmarkStart w:id="1290" w:name="Tc_S7CqozqjJ02y4CxOV3yv2A_5_4"/>
      <w:bookmarkStart w:id="1291" w:name="Tc_ftEEAwUEPku0XUxKiOCMZQ_5_0"/>
      <w:bookmarkStart w:id="1292" w:name="Tc_ZGIUzKmpfkawCU_BVF5b_w_4_4"/>
      <w:bookmarkStart w:id="1293" w:name="Tc_42W-_Xsg6EySzEvmU2cDaw_4_0"/>
      <w:bookmarkStart w:id="1294" w:name="Tc_8JKH655vFkSsTMUoBCcA0Q_3_10"/>
      <w:bookmarkStart w:id="1295" w:name="Tc_6i6LdmRroUqC2jHJRyz4-g_3_9"/>
      <w:bookmarkStart w:id="1296" w:name="Tc_vpprHgSmeUiiaUfXbCjtQQ_3_6"/>
      <w:bookmarkStart w:id="1297" w:name="Tc_RcbDlqPoSU-g2eq4WhSIgQ_3_4"/>
      <w:bookmarkStart w:id="1298" w:name="Tc_AhJzkNKzL0qP4EOfkyUI_g_3_0"/>
      <w:bookmarkStart w:id="1299" w:name="Tc_iM48-J0ryUW0arMCHoqOzQ_2_9"/>
      <w:bookmarkStart w:id="1300" w:name="Tc_-rhLN5fvukKmAWIl7D7tzA_2_6"/>
      <w:bookmarkStart w:id="1301" w:name="Tc_wdk69pO3BU69SAqxhvdKEA_2_4"/>
      <w:bookmarkStart w:id="1302" w:name="Tc_5PMA2XAVkUqBLqr2-fOn4A_2_2"/>
      <w:bookmarkStart w:id="1303" w:name="_91deaaf2_7188_45d5_af8e_f08703d61fab"/>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Times New Roman;Times;serif" w:hAnsi="Times New Roman;Times;serif"/>
          <w:sz w:val="20"/>
        </w:rPr>
        <w:t>The summary of the Company’s long-term debt is as follows (in thousands) as of:</w:t>
      </w:r>
    </w:p>
    <w:p>
      <w:pPr>
        <w:pStyle w:val="TextBody"/>
        <w:bidi w:val="0"/>
        <w:spacing w:before="0" w:after="0"/>
        <w:ind w:left="0" w:right="0" w:hanging="0"/>
        <w:jc w:val="left"/>
        <w:rPr/>
      </w:pPr>
      <w:r>
        <w:rPr/>
        <w:t>​</w:t>
      </w:r>
    </w:p>
    <w:tbl>
      <w:tblPr>
        <w:tblW w:w="8959" w:type="dxa"/>
        <w:jc w:val="left"/>
        <w:tblInd w:w="0" w:type="dxa"/>
        <w:tblLayout w:type="fixed"/>
        <w:tblCellMar>
          <w:top w:w="0" w:type="dxa"/>
          <w:left w:w="0" w:type="dxa"/>
          <w:bottom w:w="0" w:type="dxa"/>
          <w:right w:w="0" w:type="dxa"/>
        </w:tblCellMar>
      </w:tblPr>
      <w:tblGrid>
        <w:gridCol w:w="2311"/>
        <w:gridCol w:w="326"/>
        <w:gridCol w:w="1051"/>
        <w:gridCol w:w="326"/>
        <w:gridCol w:w="1201"/>
        <w:gridCol w:w="326"/>
        <w:gridCol w:w="328"/>
        <w:gridCol w:w="1218"/>
        <w:gridCol w:w="326"/>
        <w:gridCol w:w="328"/>
        <w:gridCol w:w="1218"/>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67485" cy="175260"/>
                      <wp:effectExtent l="0" t="0" r="0" b="0"/>
                      <wp:wrapNone/>
                      <wp:docPr id="294" name="Frame29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67385" cy="175260"/>
                      <wp:effectExtent l="0" t="0" r="0" b="0"/>
                      <wp:wrapNone/>
                      <wp:docPr id="296" name="Frame2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762635" cy="175260"/>
                      <wp:effectExtent l="0" t="0" r="0" b="0"/>
                      <wp:wrapNone/>
                      <wp:docPr id="298" name="Frame29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8280" cy="175260"/>
                      <wp:effectExtent l="0" t="0" r="0" b="0"/>
                      <wp:wrapNone/>
                      <wp:docPr id="300" name="Frame30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73430" cy="175260"/>
                      <wp:effectExtent l="0" t="0" r="0" b="0"/>
                      <wp:wrapNone/>
                      <wp:docPr id="301" name="Frame301"/>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8280" cy="175260"/>
                      <wp:effectExtent l="0" t="0" r="0" b="0"/>
                      <wp:wrapNone/>
                      <wp:docPr id="303" name="Frame30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73430" cy="175260"/>
                      <wp:effectExtent l="0" t="0" r="0" b="0"/>
                      <wp:wrapNone/>
                      <wp:docPr id="304" name="Frame304"/>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0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left"/>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326" w:type="dxa"/>
            <w:tcBorders/>
            <w:vAlign w:val="center"/>
          </w:tcPr>
          <w:p>
            <w:pPr>
              <w:pStyle w:val="TableContents"/>
              <w:bidi w:val="0"/>
              <w:spacing w:before="0" w:after="1"/>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2030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2026</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Term Bond 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2030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Term Bond 2</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2036</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26,165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173,155</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68,176</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(8,684)</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 net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164,471</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67,130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(30,281)</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debt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134,190</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67,109</w:t>
            </w:r>
          </w:p>
        </w:tc>
      </w:tr>
    </w:tbl>
    <w:p>
      <w:pPr>
        <w:pStyle w:val="TextBody"/>
        <w:bidi w:val="0"/>
        <w:spacing w:before="0" w:after="0"/>
        <w:ind w:left="0" w:right="0" w:hanging="0"/>
        <w:jc w:val="left"/>
        <w:rPr/>
      </w:pPr>
      <w:r>
        <w:rPr/>
        <w:t>​</w:t>
      </w:r>
    </w:p>
    <w:p>
      <w:pPr>
        <w:pStyle w:val="TextBody"/>
        <w:bidi w:val="0"/>
        <w:spacing w:before="240" w:after="240"/>
        <w:ind w:left="720" w:right="0" w:hanging="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tbl>
      <w:tblPr>
        <w:tblW w:w="3539" w:type="dxa"/>
        <w:jc w:val="left"/>
        <w:tblInd w:w="0" w:type="dxa"/>
        <w:tblLayout w:type="fixed"/>
        <w:tblCellMar>
          <w:top w:w="0" w:type="dxa"/>
          <w:left w:w="0" w:type="dxa"/>
          <w:bottom w:w="0" w:type="dxa"/>
          <w:right w:w="0" w:type="dxa"/>
        </w:tblCellMar>
      </w:tblPr>
      <w:tblGrid>
        <w:gridCol w:w="2116"/>
        <w:gridCol w:w="326"/>
        <w:gridCol w:w="211"/>
        <w:gridCol w:w="8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43660" cy="175260"/>
                      <wp:effectExtent l="0" t="0" r="0" b="0"/>
                      <wp:wrapNone/>
                      <wp:docPr id="305" name="Frame305"/>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62610" cy="175260"/>
                      <wp:effectExtent l="0" t="0" r="0" b="0"/>
                      <wp:wrapNone/>
                      <wp:docPr id="308" name="Frame3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 (remaining)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30,455</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2,760</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2,990</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134,400</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173,155</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2010 Plan provides for the grant of non-qualified stock options, incentive stock options, stock appreciation rights, restricted stock awards, restricted stock units and other equity awards to employees and directors of the Company. In May 2025, upon approval of stockholders at the 2025 Annual Meeting of Stockholders, the 2010 Plan was amended and restated to (1) increase the number of shares of common stock reserved for issuance under the 2010 Plan </w:t>
      </w:r>
      <w:r>
        <w:rPr>
          <w:rFonts w:ascii="Times New Roman" w:hAnsi="Times New Roman"/>
          <w:sz w:val="20"/>
        </w:rPr>
        <w:t>by 15,000,000</w:t>
      </w:r>
      <w:r>
        <w:rPr>
          <w:rFonts w:ascii="Times New Roman;Times;serif" w:hAnsi="Times New Roman;Times;serif"/>
          <w:sz w:val="20"/>
        </w:rPr>
        <w:t xml:space="preserve"> </w:t>
      </w:r>
      <w:r>
        <w:rPr>
          <w:rFonts w:ascii="Times New Roman" w:hAnsi="Times New Roman"/>
          <w:sz w:val="20"/>
        </w:rPr>
        <w:t>shares (providing for a total of 52,984,207</w:t>
      </w:r>
      <w:r>
        <w:rPr>
          <w:rFonts w:ascii="Times New Roman;Times;serif" w:hAnsi="Times New Roman;Times;serif"/>
          <w:sz w:val="20"/>
        </w:rPr>
        <w:t xml:space="preserve"> shares under the 2010 Plan), </w:t>
      </w:r>
      <w:r>
        <w:rPr>
          <w:rFonts w:ascii="Times New Roman" w:hAnsi="Times New Roman"/>
          <w:sz w:val="20"/>
        </w:rPr>
        <w:t>and (2) extend the term of the 2010 Plan to May 21, 2035.</w:t>
      </w:r>
      <w:r>
        <w:rPr>
          <w:rFonts w:ascii="Times New Roman;Times;serif" w:hAnsi="Times New Roman;Times;serif"/>
          <w:sz w:val="20"/>
        </w:rPr>
        <w:t xml:space="preserve"> At September 30, 2025, 9,221,847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04" w:name="Tc_d-sZzFFZp0GNcqDzxUwbRA_12_13"/>
      <w:bookmarkStart w:id="1305" w:name="Tc_qi0Pj4RHekm90HRYamOArQ_12_10"/>
      <w:bookmarkStart w:id="1306" w:name="Tc_iUVAHW714kGKMyiv8r-Rvg_12_4"/>
      <w:bookmarkStart w:id="1307" w:name="Tc_SVuwlAd85EOBcbOkAen95A_12_0"/>
      <w:bookmarkStart w:id="1308" w:name="Tc_aih3PXoA10OXE7RfzHULsg_11_13"/>
      <w:bookmarkStart w:id="1309" w:name="Tc_95jJH6unikCO52-2dWEE5A_11_10"/>
      <w:bookmarkStart w:id="1310" w:name="Tc_0rLheMnsr06BDG53_9augQ_11_4"/>
      <w:bookmarkStart w:id="1311" w:name="Tc_Kjjv7LEmeUCddDJmiJ0KQg_11_0"/>
      <w:bookmarkStart w:id="1312" w:name="Tc_4dIO5fjkikmJLMs_0FVPVg_10_0"/>
      <w:bookmarkStart w:id="1313" w:name="Tc_vbLbBXuCZk2UJgqncbQb5A_9_0"/>
      <w:bookmarkStart w:id="1314" w:name="Tc_StC6SpXXnEuyxyDA-HTkdQ_8_0"/>
      <w:bookmarkStart w:id="1315" w:name="Tc_ciI8H0fjEE6yqsFjEaavoA_7_13"/>
      <w:bookmarkStart w:id="1316" w:name="Tc_Jaa5v_pN5EGKtHaFr6CXRw_7_10"/>
      <w:bookmarkStart w:id="1317" w:name="Tc_0VnE9xey1UiN6n-iOO4Mug_7_4"/>
      <w:bookmarkStart w:id="1318" w:name="Tc_aAv0z1fe00OXKgdyqJnsIg_7_0"/>
      <w:bookmarkStart w:id="1319" w:name="Tc_NwGrMRO9uE6Z_Ws4-4H_zg_6_13"/>
      <w:bookmarkStart w:id="1320" w:name="Tc_Kg8VRNdsGUKbe05HPNlmoQ_6_10"/>
      <w:bookmarkStart w:id="1321" w:name="Tc_Cps0nmWJ6EC-Y4vpuDza0w_6_7"/>
      <w:bookmarkStart w:id="1322" w:name="Tc_JpVXmssv5k-WM9uvhxU0zQ_6_4"/>
      <w:bookmarkStart w:id="1323" w:name="Tc_w6YliUsI1U6kdM9n8cSP9Q_6_2"/>
      <w:bookmarkStart w:id="1324" w:name="Tc_WG_wg99N9UG7heZ3NodOrA_5_13"/>
      <w:bookmarkStart w:id="1325" w:name="Tc_nFTWFprAaUO2tCzTXCIUHg_5_10"/>
      <w:bookmarkStart w:id="1326" w:name="Tc_tKplDAG87kyFSBSGpyxvlA_5_7"/>
      <w:bookmarkStart w:id="1327" w:name="Tc_lbRNCT4vbkS2NJ-zEX7R1w_5_4"/>
      <w:bookmarkStart w:id="1328" w:name="Tc_9QW8BifttE2v1I2zMkPwqA_5_2"/>
      <w:bookmarkStart w:id="1329" w:name="Tc_rMxfKW55NkaJM112nvuPJg_4_13"/>
      <w:bookmarkStart w:id="1330" w:name="Tc_MK8uYkeSYEK_uXLD3sZKBA_4_10"/>
      <w:bookmarkStart w:id="1331" w:name="Tc_eAu81PS6fEW-9zc68m6YVw_4_7"/>
      <w:bookmarkStart w:id="1332" w:name="Tc_eRn_sGaw7UeRfD69kX1RPw_4_4"/>
      <w:bookmarkStart w:id="1333" w:name="Tc_WE9pD-ZyZkib7bt0z88kbA_3_10"/>
      <w:bookmarkStart w:id="1334" w:name="Tc_mo-dWk5UyUyVpE6QLT8ygg_3_7"/>
      <w:bookmarkStart w:id="1335" w:name="Tc_n8jnBd8WFUW4A0lLhTz4PA_3_4"/>
      <w:bookmarkStart w:id="1336" w:name="Tc_EQirgyasy06zlLOQX-NgnA_2_7"/>
      <w:bookmarkStart w:id="1337" w:name="Tc_uQVMK4O5c0WvXxiW7BkJYA_1_7"/>
      <w:bookmarkStart w:id="1338" w:name="_a3373411_05b3_44ff_84af_5f6de767f8bf"/>
      <w:bookmarkStart w:id="1339" w:name="Tc_KRMuDQaL6UWvB4Yckk20Xg_6_11"/>
      <w:bookmarkStart w:id="1340" w:name="Tc_9eW7Xlr-sUOT26tND959_g_6_8"/>
      <w:bookmarkStart w:id="1341" w:name="Tc_bju8jKaLF0GmxLa35iTDhQ_6_5"/>
      <w:bookmarkStart w:id="1342" w:name="Tc_2jciOPXHJE6uAxVKPBBZJw_6_2"/>
      <w:bookmarkStart w:id="1343" w:name="Tc_qARcxu7z0kSzFBS-4XjcWA_6_0"/>
      <w:bookmarkStart w:id="1344" w:name="Tc_bX47ysAiA0ayTyQsTNGY9g_5_0"/>
      <w:bookmarkStart w:id="1345" w:name="Tc_P2Pnxin7kEa5mcHX1WPl1Q_4_0"/>
      <w:bookmarkStart w:id="1346" w:name="Tc_rYQE9ZEx-EWjD_4clRZfyg_3_11"/>
      <w:bookmarkStart w:id="1347" w:name="Tc_KJzVHLMDy0OLMk-ndWevpw_3_8"/>
      <w:bookmarkStart w:id="1348" w:name="Tc_t2PiNu2p3EmQ0qBecDW1dg_3_5"/>
      <w:bookmarkStart w:id="1349" w:name="Tc_QZrURh-XZkOuSgA4DDyQWQ_3_2"/>
      <w:bookmarkStart w:id="1350" w:name="Tc_ZcHVtDfpFkajbn5oEBA2iw_3_0"/>
      <w:bookmarkStart w:id="1351" w:name="Tc_c0N0l2S71Eem3wotyhK4qg_2_11"/>
      <w:bookmarkStart w:id="1352" w:name="Tc_sVERCL1bQU64xLoLcB4vbw_2_8"/>
      <w:bookmarkStart w:id="1353" w:name="Tc_s4-cppJ55k6-V9yWwBslyQ_2_5"/>
      <w:bookmarkStart w:id="1354" w:name="Tc_CmQwxMUQ_UajhJMcsAxjHQ_2_2"/>
      <w:bookmarkStart w:id="1355" w:name="Tc_AK_LTUTwzEe3oN3AzPmBAA_1_8"/>
      <w:bookmarkStart w:id="1356" w:name="Tc_0Q8VIGJ-s0CC63-nV9YAnw_1_2"/>
      <w:bookmarkStart w:id="1357" w:name="_24de8d6f_7275_432e_836d_4f69b09015db"/>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sz w:val="20"/>
        </w:rPr>
        <w:t>The following table sets forth the Company’s equity classified stock-based compensation expense for the periods indicated (in thousands):</w:t>
      </w:r>
    </w:p>
    <w:tbl>
      <w:tblPr>
        <w:tblW w:w="8592" w:type="dxa"/>
        <w:jc w:val="left"/>
        <w:tblInd w:w="0" w:type="dxa"/>
        <w:tblLayout w:type="fixed"/>
        <w:tblCellMar>
          <w:top w:w="0" w:type="dxa"/>
          <w:left w:w="0" w:type="dxa"/>
          <w:bottom w:w="0" w:type="dxa"/>
          <w:right w:w="0" w:type="dxa"/>
        </w:tblCellMar>
      </w:tblPr>
      <w:tblGrid>
        <w:gridCol w:w="2746"/>
        <w:gridCol w:w="326"/>
        <w:gridCol w:w="304"/>
        <w:gridCol w:w="825"/>
        <w:gridCol w:w="471"/>
        <w:gridCol w:w="304"/>
        <w:gridCol w:w="825"/>
        <w:gridCol w:w="109"/>
        <w:gridCol w:w="269"/>
        <w:gridCol w:w="730"/>
        <w:gridCol w:w="416"/>
        <w:gridCol w:w="269"/>
        <w:gridCol w:w="998"/>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43710" cy="175260"/>
                      <wp:effectExtent l="0" t="0" r="0" b="0"/>
                      <wp:wrapNone/>
                      <wp:docPr id="309" name="Frame309"/>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93040" cy="175260"/>
                      <wp:effectExtent l="0" t="0" r="0" b="0"/>
                      <wp:wrapNone/>
                      <wp:docPr id="311" name="Frame31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23875" cy="175260"/>
                      <wp:effectExtent l="0" t="0" r="0" b="0"/>
                      <wp:wrapNone/>
                      <wp:docPr id="312" name="Frame31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99085" cy="175260"/>
                      <wp:effectExtent l="0" t="0" r="0" b="0"/>
                      <wp:wrapNone/>
                      <wp:docPr id="313" name="Frame313"/>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93040" cy="175260"/>
                      <wp:effectExtent l="0" t="0" r="0" b="0"/>
                      <wp:wrapNone/>
                      <wp:docPr id="314" name="Frame31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23875" cy="175260"/>
                      <wp:effectExtent l="0" t="0" r="0" b="0"/>
                      <wp:wrapNone/>
                      <wp:docPr id="315" name="Frame315"/>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70815" cy="175260"/>
                      <wp:effectExtent l="0" t="0" r="0" b="0"/>
                      <wp:wrapNone/>
                      <wp:docPr id="317" name="Frame317"/>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63550" cy="175260"/>
                      <wp:effectExtent l="0" t="0" r="0" b="0"/>
                      <wp:wrapNone/>
                      <wp:docPr id="318" name="Frame318"/>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64160" cy="175260"/>
                      <wp:effectExtent l="0" t="0" r="0" b="0"/>
                      <wp:wrapNone/>
                      <wp:docPr id="319" name="Frame319"/>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70815" cy="175260"/>
                      <wp:effectExtent l="0" t="0" r="0" b="0"/>
                      <wp:wrapNone/>
                      <wp:docPr id="320" name="Frame320"/>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33730" cy="175260"/>
                      <wp:effectExtent l="0" t="0" r="0" b="0"/>
                      <wp:wrapNone/>
                      <wp:docPr id="321" name="Frame321"/>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center"/>
              <w:rPr/>
            </w:pPr>
            <w:r>
              <w:rPr/>
              <w:t>​</w:t>
            </w:r>
          </w:p>
        </w:tc>
        <w:tc>
          <w:tcPr>
            <w:tcW w:w="26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7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1" w:type="dxa"/>
            <w:tcBorders/>
            <w:vAlign w:val="center"/>
          </w:tcPr>
          <w:p>
            <w:pPr>
              <w:pStyle w:val="TableContents"/>
              <w:bidi w:val="0"/>
              <w:spacing w:before="0" w:after="1"/>
              <w:ind w:left="0" w:right="0" w:hanging="0"/>
              <w:jc w:val="center"/>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6" w:type="dxa"/>
            <w:tcBorders/>
            <w:vAlign w:val="center"/>
          </w:tcPr>
          <w:p>
            <w:pPr>
              <w:pStyle w:val="TableContents"/>
              <w:bidi w:val="0"/>
              <w:spacing w:before="0" w:after="1"/>
              <w:ind w:left="0" w:right="0" w:hanging="0"/>
              <w:jc w:val="center"/>
              <w:rPr/>
            </w:pPr>
            <w:r>
              <w:rPr/>
              <w:t>    </w:t>
            </w:r>
          </w:p>
        </w:tc>
        <w:tc>
          <w:tcPr>
            <w:tcW w:w="12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41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1,937</w:t>
            </w:r>
          </w:p>
        </w:tc>
        <w:tc>
          <w:tcPr>
            <w:tcW w:w="471"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 </w:t>
            </w:r>
          </w:p>
        </w:tc>
        <w:tc>
          <w:tcPr>
            <w:tcW w:w="8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w:t>
            </w:r>
          </w:p>
        </w:tc>
        <w:tc>
          <w:tcPr>
            <w:tcW w:w="109"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5,332</w:t>
            </w:r>
          </w:p>
        </w:tc>
        <w:tc>
          <w:tcPr>
            <w:tcW w:w="41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9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10,772</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109"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w:t>
            </w:r>
          </w:p>
        </w:tc>
        <w:tc>
          <w:tcPr>
            <w:tcW w:w="41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2,362</w:t>
            </w:r>
          </w:p>
        </w:tc>
        <w:tc>
          <w:tcPr>
            <w:tcW w:w="471"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3,786</w:t>
            </w:r>
          </w:p>
        </w:tc>
        <w:tc>
          <w:tcPr>
            <w:tcW w:w="109"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6,504</w:t>
            </w:r>
          </w:p>
        </w:tc>
        <w:tc>
          <w:tcPr>
            <w:tcW w:w="416"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12,485</w:t>
            </w:r>
          </w:p>
        </w:tc>
      </w:tr>
    </w:tbl>
    <w:p>
      <w:pPr>
        <w:pStyle w:val="TextBody"/>
        <w:bidi w:val="0"/>
        <w:spacing w:before="0" w:after="240"/>
        <w:ind w:left="0" w:right="0" w:firstLine="36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nine months ended September 30, 2025,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61"/>
        <w:gridCol w:w="326"/>
        <w:gridCol w:w="1036"/>
        <w:gridCol w:w="326"/>
        <w:gridCol w:w="259"/>
        <w:gridCol w:w="574"/>
        <w:gridCol w:w="326"/>
        <w:gridCol w:w="284"/>
        <w:gridCol w:w="707"/>
        <w:gridCol w:w="326"/>
        <w:gridCol w:w="299"/>
        <w:gridCol w:w="662"/>
        <w:gridCol w:w="326"/>
        <w:gridCol w:w="211"/>
        <w:gridCol w:w="782"/>
      </w:tblGrid>
      <w:tr>
        <w:trPr/>
        <w:tc>
          <w:tcPr>
            <w:tcW w:w="3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388235" cy="175260"/>
                      <wp:effectExtent l="0" t="0" r="0" b="0"/>
                      <wp:wrapNone/>
                      <wp:docPr id="322" name="Frame322"/>
                      <a:graphic xmlns:a="http://schemas.openxmlformats.org/drawingml/2006/main">
                        <a:graphicData uri="http://schemas.microsoft.com/office/word/2010/wordprocessingShape">
                          <wps:wsp>
                            <wps:cNvSpPr txBox="1"/>
                            <wps:spPr>
                              <a:xfrm>
                                <a:off x="0" y="0"/>
                                <a:ext cx="2388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57860" cy="175260"/>
                      <wp:effectExtent l="0" t="0" r="0" b="0"/>
                      <wp:wrapNone/>
                      <wp:docPr id="324" name="Frame3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64465" cy="175260"/>
                      <wp:effectExtent l="0" t="0" r="0" b="0"/>
                      <wp:wrapNone/>
                      <wp:docPr id="326" name="Frame32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64490" cy="175260"/>
                      <wp:effectExtent l="0" t="0" r="0" b="0"/>
                      <wp:wrapNone/>
                      <wp:docPr id="327" name="Frame327"/>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80340" cy="175260"/>
                      <wp:effectExtent l="0" t="0" r="0" b="0"/>
                      <wp:wrapNone/>
                      <wp:docPr id="329" name="Frame32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48945" cy="175260"/>
                      <wp:effectExtent l="0" t="0" r="0" b="0"/>
                      <wp:wrapNone/>
                      <wp:docPr id="330" name="Frame330"/>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9865" cy="175260"/>
                      <wp:effectExtent l="0" t="0" r="0" b="0"/>
                      <wp:wrapNone/>
                      <wp:docPr id="332" name="Frame33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0370" cy="175260"/>
                      <wp:effectExtent l="0" t="0" r="0" b="0"/>
                      <wp:wrapNone/>
                      <wp:docPr id="333" name="Frame333"/>
                      <a:graphic xmlns:a="http://schemas.openxmlformats.org/drawingml/2006/main">
                        <a:graphicData uri="http://schemas.microsoft.com/office/word/2010/wordprocessingShape">
                          <wps:wsp>
                            <wps:cNvSpPr txBox="1"/>
                            <wps:spPr>
                              <a:xfrm>
                                <a:off x="0" y="0"/>
                                <a:ext cx="420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96570" cy="175260"/>
                      <wp:effectExtent l="0" t="0" r="0" b="0"/>
                      <wp:wrapNone/>
                      <wp:docPr id="336" name="Frame336"/>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3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3"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2" w:type="dxa"/>
            <w:tcBorders/>
            <w:vAlign w:val="center"/>
          </w:tcPr>
          <w:p>
            <w:pPr>
              <w:pStyle w:val="TableContents"/>
              <w:bidi w:val="0"/>
              <w:spacing w:before="0" w:after="1"/>
              <w:ind w:left="0" w:right="0" w:hanging="0"/>
              <w:jc w:val="center"/>
              <w:rPr/>
            </w:pPr>
            <w:r>
              <w:rPr/>
              <w:t>​</w:t>
            </w:r>
          </w:p>
        </w:tc>
      </w:tr>
      <w:tr>
        <w:trPr/>
        <w:tc>
          <w:tcPr>
            <w:tcW w:w="3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1"/>
              <w:ind w:left="0" w:right="0" w:hanging="0"/>
              <w:jc w:val="center"/>
              <w:rPr/>
            </w:pPr>
            <w:r>
              <w:rPr/>
              <w:t>​</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c>
          <w:tcPr>
            <w:tcW w:w="326" w:type="dxa"/>
            <w:tcBorders/>
            <w:vAlign w:val="center"/>
          </w:tcPr>
          <w:p>
            <w:pPr>
              <w:pStyle w:val="TableContents"/>
              <w:bidi w:val="0"/>
              <w:spacing w:before="0" w:after="1"/>
              <w:ind w:left="0" w:right="0" w:hanging="0"/>
              <w:jc w:val="center"/>
              <w:rPr/>
            </w:pPr>
            <w:r>
              <w:rPr/>
              <w:t>​</w:t>
            </w:r>
          </w:p>
        </w:tc>
        <w:tc>
          <w:tcPr>
            <w:tcW w:w="99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7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33"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center"/>
              <w:rPr/>
            </w:pPr>
            <w:r>
              <w:rPr/>
              <w:t>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14,103,458</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8,874</w:t>
            </w:r>
          </w:p>
        </w:tc>
      </w:tr>
      <w:tr>
        <w:trPr/>
        <w:tc>
          <w:tcPr>
            <w:tcW w:w="3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6,893,724</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r>
      <w:tr>
        <w:trPr/>
        <w:tc>
          <w:tcPr>
            <w:tcW w:w="3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(537,281)</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66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pPr>
            <w:r>
              <w:rPr/>
              <w:t>​</w:t>
            </w:r>
          </w:p>
        </w:tc>
      </w:tr>
      <w:tr>
        <w:trPr/>
        <w:tc>
          <w:tcPr>
            <w:tcW w:w="3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(533,535)</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0.85</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w:t>
            </w:r>
          </w:p>
        </w:tc>
      </w:tr>
      <w:tr>
        <w:trPr/>
        <w:tc>
          <w:tcPr>
            <w:tcW w:w="3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19,926,366</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13,349</w:t>
            </w:r>
          </w:p>
        </w:tc>
      </w:tr>
      <w:tr>
        <w:trPr/>
        <w:tc>
          <w:tcPr>
            <w:tcW w:w="3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September 30, 2025</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19,926,366</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13,349</w:t>
            </w:r>
          </w:p>
        </w:tc>
      </w:tr>
    </w:tbl>
    <w:tbl>
      <w:tblPr>
        <w:tblW w:w="8057" w:type="dxa"/>
        <w:jc w:val="left"/>
        <w:tblInd w:w="0" w:type="dxa"/>
        <w:tblLayout w:type="fixed"/>
        <w:tblCellMar>
          <w:top w:w="0" w:type="dxa"/>
          <w:left w:w="0" w:type="dxa"/>
          <w:bottom w:w="0" w:type="dxa"/>
          <w:right w:w="0" w:type="dxa"/>
        </w:tblCellMar>
      </w:tblPr>
      <w:tblGrid>
        <w:gridCol w:w="346"/>
        <w:gridCol w:w="77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1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ranges from $0.67</w:t>
            </w:r>
            <w:r>
              <w:rPr>
                <w:caps w:val="false"/>
                <w:smallCaps w:val="false"/>
              </w:rPr>
              <w:t xml:space="preserve"> </w:t>
            </w:r>
            <w:r>
              <w:rPr>
                <w:rFonts w:ascii="Times New Roman;Times;serif" w:hAnsi="Times New Roman;Times;serif"/>
                <w:b w:val="false"/>
                <w:i w:val="false"/>
                <w:caps w:val="false"/>
                <w:smallCaps w:val="false"/>
                <w:sz w:val="20"/>
              </w:rPr>
              <w:t>to $20.00</w:t>
            </w:r>
            <w:r>
              <w:rPr>
                <w:caps w:val="false"/>
                <w:smallCaps w:val="false"/>
              </w:rPr>
              <w:t xml:space="preserve"> </w:t>
            </w:r>
            <w:r>
              <w:rPr>
                <w:rFonts w:ascii="Times New Roman;Times;serif" w:hAnsi="Times New Roman;Times;serif"/>
                <w:b w:val="false"/>
                <w:i w:val="false"/>
                <w:caps w:val="false"/>
                <w:smallCaps w:val="false"/>
                <w:sz w:val="20"/>
              </w:rPr>
              <w:t>as of September 30, 2025</w:t>
            </w:r>
            <w:r>
              <w:rPr>
                <w:rFonts w:ascii="Times New Roman;Times;serif" w:hAnsi="Times New Roman;Times;serif"/>
                <w:b w:val="false"/>
                <w:i/>
                <w:sz w:val="20"/>
              </w:rPr>
              <w:t xml:space="preserve">.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9.1 million stock options were exercisable. As of September 30, 2025</w:t>
      </w:r>
      <w:r>
        <w:rPr>
          <w:rFonts w:ascii="Times New Roman;Times;serif" w:hAnsi="Times New Roman;Times;serif"/>
          <w:i/>
          <w:sz w:val="20"/>
        </w:rPr>
        <w:t xml:space="preserve">, </w:t>
      </w:r>
      <w:r>
        <w:rPr>
          <w:rFonts w:ascii="Times New Roman;Times;serif" w:hAnsi="Times New Roman;Times;serif"/>
          <w:sz w:val="20"/>
        </w:rPr>
        <w:t>the total unrecognized compensation expense relating to stock options was $8.6 million, which is expected to be expensed over the remaining weighted-average recognition period of approximately 1.5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xml:space="preserve">.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58" w:name="Tc_shwVCIE-g0mz7e2GZPZfcw_9_4"/>
      <w:bookmarkStart w:id="1359" w:name="Tc_7x4nAFBlD0OpyihqDazIQw_9_0"/>
      <w:bookmarkStart w:id="1360" w:name="Tc_FBIw38T1V0y-UT2rMArdNA_8_4"/>
      <w:bookmarkStart w:id="1361" w:name="Tc_o6UNUFx-Y0yYf6pR0pUeQg_8_0"/>
      <w:bookmarkStart w:id="1362" w:name="Tc_kWwX7RtnMka0biMXN-Jf4A_7_4"/>
      <w:bookmarkStart w:id="1363" w:name="Tc_8ZGAPImzaEKrvjayeSI_PA_7_0"/>
      <w:bookmarkStart w:id="1364" w:name="Tc_oCSrC2lSAkK_n_AD5KuyWg_6_4"/>
      <w:bookmarkStart w:id="1365" w:name="Tc_klDOoXA0m0WzfkUwfZWb7w_6_0"/>
      <w:bookmarkStart w:id="1366" w:name="Tc_dyRMNiRghEOmeGtLNjV_7w_5_4"/>
      <w:bookmarkStart w:id="1367" w:name="Tc_B71DSge5jEKQkXprrNoUBQ_5_0"/>
      <w:bookmarkStart w:id="1368" w:name="Tc_QykmU0td0020N4IdGAKCBQ_4_4"/>
      <w:bookmarkStart w:id="1369" w:name="Tc_YDEYgaFy-Uq8bmTzSNarVw_4_2"/>
      <w:bookmarkStart w:id="1370" w:name="Tc_SONgPePIpEmK6cmkd2MG_g_3_4"/>
      <w:bookmarkStart w:id="1371" w:name="Tc_91w-BN-KMUKrSKgwFYSh2Q_3_2"/>
      <w:bookmarkStart w:id="1372" w:name="Tc_QOdVOmyfhEG9UEanu2qU9g_2_4"/>
      <w:bookmarkStart w:id="1373" w:name="Tc_p2W8Nr4imkiV-5zBdksIeQ_1_4"/>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r>
        <w:rPr>
          <w:rFonts w:ascii="Times New Roman;Times;serif" w:hAnsi="Times New Roman;Times;serif"/>
          <w:sz w:val="20"/>
        </w:rPr>
        <w:t>Non-vested restricted stock awards and the changes during the nine months ended September 30, 2025, were as follows:</w:t>
      </w:r>
    </w:p>
    <w:p>
      <w:pPr>
        <w:pStyle w:val="TextBody"/>
        <w:bidi w:val="0"/>
        <w:spacing w:before="0" w:after="0"/>
        <w:ind w:left="0" w:right="0" w:hanging="0"/>
        <w:jc w:val="left"/>
        <w:rPr/>
      </w:pPr>
      <w:r>
        <w:rPr/>
        <w:t>​</w:t>
      </w:r>
    </w:p>
    <w:tbl>
      <w:tblPr>
        <w:tblW w:w="5650" w:type="dxa"/>
        <w:jc w:val="left"/>
        <w:tblInd w:w="0" w:type="dxa"/>
        <w:tblLayout w:type="fixed"/>
        <w:tblCellMar>
          <w:top w:w="0" w:type="dxa"/>
          <w:left w:w="0" w:type="dxa"/>
          <w:bottom w:w="0" w:type="dxa"/>
          <w:right w:w="0" w:type="dxa"/>
        </w:tblCellMar>
      </w:tblPr>
      <w:tblGrid>
        <w:gridCol w:w="2941"/>
        <w:gridCol w:w="326"/>
        <w:gridCol w:w="1051"/>
        <w:gridCol w:w="326"/>
        <w:gridCol w:w="270"/>
        <w:gridCol w:w="73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867535" cy="175260"/>
                      <wp:effectExtent l="0" t="0" r="0" b="0"/>
                      <wp:wrapNone/>
                      <wp:docPr id="337" name="Frame33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67385" cy="175260"/>
                      <wp:effectExtent l="0" t="0" r="0" b="0"/>
                      <wp:wrapNone/>
                      <wp:docPr id="339" name="Frame33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1450" cy="175260"/>
                      <wp:effectExtent l="0" t="0" r="0" b="0"/>
                      <wp:wrapNone/>
                      <wp:docPr id="341" name="Frame34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67360" cy="175260"/>
                      <wp:effectExtent l="0" t="0" r="0" b="0"/>
                      <wp:wrapNone/>
                      <wp:docPr id="342" name="Frame3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7,588,144</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2,360,659</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(3,131,285)</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(373,501)</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6,444,017</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the total unrecognized compensation expense, net of actual forfeitures and expirations, relating to restricted stock awards was $5.5 million, which is expected to be recognized over the remaining weighted-average period of approximately 1.4 years.</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our deferred tax assets as they relate to income taxes. Our effective tax rate from continuing operations was 0% for each of the three and nine months ended September 30, 2025 and 2024. The rate differs from the U.S. Federal statutory tax rate of 21% due to a full valuation allowance. On July 4, 2025, OBBBA was signed into law, which may be subject to further clarification and the issuance of interpretive guidance. OBBBA did not have a material impact to the effective tax rate for the three months ended September 30, 2025 and we do not expect OBBBA to have a material impact on our effective tax rate for the current fiscal year</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Company concluded that certain losses on litigation were probable and estimable; as a result, the Company recorded $0.9 million accrual for use tax contingencies, included in Accounts payable and accrued liabilities on the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September 30, 2025</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374" w:name="Tc_AfrW-pVhjUS5a9nCBABfrQ_9_20"/>
      <w:bookmarkStart w:id="1375" w:name="Tc_VFyPxvj0R0GaEBSsrF_Xmg_9_17"/>
      <w:bookmarkStart w:id="1376" w:name="Tc_c0Zl2i2vsE-bffwOHwqNwg_9_14"/>
      <w:bookmarkStart w:id="1377" w:name="Tc_2UaKP1RugEihHnu5N3vWPQ_9_11"/>
      <w:bookmarkStart w:id="1378" w:name="Tc_iMKOvTz0l0GzX331ypKjMA_9_8"/>
      <w:bookmarkStart w:id="1379" w:name="Tc_95U8fRfGV06j6ELQUjKqZQ_9_5"/>
      <w:bookmarkStart w:id="1380" w:name="Tc_o70CWDCPEk6VoVlt0yupaA_9_2"/>
      <w:bookmarkStart w:id="1381" w:name="Tc_IbuDDOz1Wki71nd-wbWoDg_9_0"/>
      <w:bookmarkStart w:id="1382" w:name="Tc_uMuQV-wODkeXJuxDweJBTw_8_18"/>
      <w:bookmarkStart w:id="1383" w:name="Tc_kufeClFZt0e2xX3cubginw_8_15"/>
      <w:bookmarkStart w:id="1384" w:name="Tc_phV4ZhRYvUqmKIoMhnf3cQ_8_12"/>
      <w:bookmarkStart w:id="1385" w:name="Tc_MK40tR-bq0GWcdr2Q1IRIw_8_9"/>
      <w:bookmarkStart w:id="1386" w:name="Tc_vc6t4vQF90GNWdOguPl2eg_8_6"/>
      <w:bookmarkStart w:id="1387" w:name="Tc_qzllrjIfeUOYFxFzK4pP9w_8_0"/>
      <w:bookmarkStart w:id="1388" w:name="Tc_4As3ZbZg-kGzjEFKYrgp1A_7_18"/>
      <w:bookmarkStart w:id="1389" w:name="Tc_Q1D1-HNCX0OA6I1-KgWh0g_7_0"/>
      <w:bookmarkStart w:id="1390" w:name="Tc_s98K3DAEH0O5mNwp7hUFQw_6_0"/>
      <w:bookmarkStart w:id="1391" w:name="Tc_IQdRwAGptUarWs_gE2kFMg_5_18"/>
      <w:bookmarkStart w:id="1392" w:name="Tc_IrQGF6UnBkmeFeWm_43KYQ_5_15"/>
      <w:bookmarkStart w:id="1393" w:name="Tc_UGtWdrC6FE66jcOE8avmIA_5_12"/>
      <w:bookmarkStart w:id="1394" w:name="Tc_5RczL99-LUesekdKjuON7w_5_9"/>
      <w:bookmarkStart w:id="1395" w:name="Tc_hhtPkEXLhk6I6pE6cHkE9g_5_6"/>
      <w:bookmarkStart w:id="1396" w:name="Tc_Z3CLvnpFhEyQFEzA1KCzCw_5_0"/>
      <w:bookmarkStart w:id="1397" w:name="Tc_Ln4v-48ui0OP1w2GFHRQJA_4_18"/>
      <w:bookmarkStart w:id="1398" w:name="Tc_8aruovRsjEa2iH9-FAIg1A_4_15"/>
      <w:bookmarkStart w:id="1399" w:name="Tc_rNYVsSE6v0K2VGKPfB3hww_4_12"/>
      <w:bookmarkStart w:id="1400" w:name="Tc_0ub7dcXvBU-S5Oq39YWRXA_4_3"/>
      <w:bookmarkStart w:id="1401" w:name="Tc_PYWUs5lEAUyBMViRmTIVcQ_4_0"/>
      <w:bookmarkStart w:id="1402" w:name="Tc_H-T0Ke6wLE6_j9mVNee8eA_3_20"/>
      <w:bookmarkStart w:id="1403" w:name="Tc_bbA-rHcMCEmL-XAfdoIe2w_3_17"/>
      <w:bookmarkStart w:id="1404" w:name="Tc_5hqU9_Tx6EeTN3ki_HUPJw_3_14"/>
      <w:bookmarkStart w:id="1405" w:name="Tc_x1vL79NG30-jPhKseuYW6g_3_11"/>
      <w:bookmarkStart w:id="1406" w:name="Tc_hQdWn82MHUK9mRRgFTNN9w_3_8"/>
      <w:bookmarkStart w:id="1407" w:name="Tc_TYwOnaP-aUW7KNUpDXfDvg_3_5"/>
      <w:bookmarkStart w:id="1408" w:name="Tc_zcSmKyoud0q7FG83gPxk_w_3_2"/>
      <w:bookmarkStart w:id="1409" w:name="Tc_ZopPYCQ7Okel--2oaxPKGQ_3_0"/>
      <w:bookmarkStart w:id="1410" w:name="Tc_tuf6gytrvkeIWoIqczYbcw_2_20"/>
      <w:bookmarkStart w:id="1411" w:name="Tc_0OGYi4y51kSstPhbp5cmrA_2_17"/>
      <w:bookmarkStart w:id="1412" w:name="Tc_vgSNB-VeFUOM5qhjA5jgNw_2_14"/>
      <w:bookmarkStart w:id="1413" w:name="Tc_KzZCRL3ulE-ta5WllyYL8g_2_11"/>
      <w:bookmarkStart w:id="1414" w:name="Tc_kpx-TgVCCkmtn3sf8tcJ8w_2_8"/>
      <w:bookmarkStart w:id="1415" w:name="Tc__esdaDCxpUe6QupN5m7h2A_2_5"/>
      <w:bookmarkStart w:id="1416" w:name="Tc_8BOk47zlEUa6xa7tSsZUGg_2_2"/>
      <w:bookmarkStart w:id="1417" w:name="Tc_71lM4tKBeEGzy3G-dgLQ5g_1_17"/>
      <w:bookmarkStart w:id="1418" w:name="_96d4c6dd_6bd9_4c29_a011_dd7a95d48a26"/>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the anaerobic digesters at the NW Iowa RNG </w:t>
      </w:r>
      <w:r>
        <w:rPr>
          <w:rFonts w:ascii="Times New Roman;Times;serif" w:hAnsi="Times New Roman;Times;serif"/>
          <w:color w:val="212529"/>
          <w:sz w:val="20"/>
          <w:shd w:fill="FFFFFF" w:val="clear"/>
        </w:rPr>
        <w:t>business</w:t>
      </w:r>
      <w:r>
        <w:rPr>
          <w:rFonts w:ascii="Times New Roman;Times;serif" w:hAnsi="Times New Roman;Times;serif"/>
          <w:sz w:val="20"/>
        </w:rPr>
        <w: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Firm Purchase Commitments for Corn. </w:t>
      </w:r>
      <w:r>
        <w:rPr>
          <w:rFonts w:ascii="Times New Roman;Times;serif" w:hAnsi="Times New Roman;Times;serif"/>
          <w:sz w:val="20"/>
        </w:rPr>
        <w:t>To ensure an adequate supply of corn to operate the GevoND plant, the Company enters into contracts to purchase corn from local farmers and elevators. As of September 30, 2025, the Company had various fixed price contracts for the purchase of approximately 3.2 million bushels of corn. Using the stated contract price for the fixed price contracts, the Company had commitments of approximately $13.8 million related to the 3.2 million bushels under contract.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commitments as of September 30, 2025, and thereafter are shown below (in thousands):</w:t>
      </w:r>
    </w:p>
    <w:tbl>
      <w:tblPr>
        <w:tblW w:w="10205" w:type="dxa"/>
        <w:jc w:val="left"/>
        <w:tblInd w:w="0" w:type="dxa"/>
        <w:tblLayout w:type="fixed"/>
        <w:tblCellMar>
          <w:top w:w="0" w:type="dxa"/>
          <w:left w:w="0" w:type="dxa"/>
          <w:bottom w:w="0" w:type="dxa"/>
          <w:right w:w="0" w:type="dxa"/>
        </w:tblCellMar>
      </w:tblPr>
      <w:tblGrid>
        <w:gridCol w:w="2029"/>
        <w:gridCol w:w="326"/>
        <w:gridCol w:w="211"/>
        <w:gridCol w:w="676"/>
        <w:gridCol w:w="326"/>
        <w:gridCol w:w="211"/>
        <w:gridCol w:w="571"/>
        <w:gridCol w:w="326"/>
        <w:gridCol w:w="211"/>
        <w:gridCol w:w="571"/>
        <w:gridCol w:w="326"/>
        <w:gridCol w:w="211"/>
        <w:gridCol w:w="571"/>
        <w:gridCol w:w="326"/>
        <w:gridCol w:w="211"/>
        <w:gridCol w:w="571"/>
        <w:gridCol w:w="326"/>
        <w:gridCol w:w="211"/>
        <w:gridCol w:w="676"/>
        <w:gridCol w:w="326"/>
        <w:gridCol w:w="211"/>
        <w:gridCol w:w="781"/>
      </w:tblGrid>
      <w:tr>
        <w:trPr/>
        <w:tc>
          <w:tcPr>
            <w:tcW w:w="2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288415" cy="175260"/>
                      <wp:effectExtent l="0" t="0" r="0" b="0"/>
                      <wp:wrapNone/>
                      <wp:docPr id="343" name="Frame343"/>
                      <a:graphic xmlns:a="http://schemas.openxmlformats.org/drawingml/2006/main">
                        <a:graphicData uri="http://schemas.microsoft.com/office/word/2010/wordprocessingShape">
                          <wps:wsp>
                            <wps:cNvSpPr txBox="1"/>
                            <wps:spPr>
                              <a:xfrm>
                                <a:off x="0" y="0"/>
                                <a:ext cx="1288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29260" cy="175260"/>
                      <wp:effectExtent l="0" t="0" r="0" b="0"/>
                      <wp:wrapNone/>
                      <wp:docPr id="346" name="Frame3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33985" cy="175260"/>
                      <wp:effectExtent l="0" t="0" r="0" b="0"/>
                      <wp:wrapNone/>
                      <wp:docPr id="348"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62585" cy="175260"/>
                      <wp:effectExtent l="0" t="0" r="0" b="0"/>
                      <wp:wrapNone/>
                      <wp:docPr id="349" name="Frame3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62585" cy="175260"/>
                      <wp:effectExtent l="0" t="0" r="0" b="0"/>
                      <wp:wrapNone/>
                      <wp:docPr id="352" name="Frame3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62585" cy="175260"/>
                      <wp:effectExtent l="0" t="0" r="0" b="0"/>
                      <wp:wrapNone/>
                      <wp:docPr id="355" name="Frame3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2585" cy="175260"/>
                      <wp:effectExtent l="0" t="0" r="0" b="0"/>
                      <wp:wrapNone/>
                      <wp:docPr id="358" name="Frame3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29260" cy="175260"/>
                      <wp:effectExtent l="0" t="0" r="0" b="0"/>
                      <wp:wrapNone/>
                      <wp:docPr id="361" name="Frame3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95935" cy="175260"/>
                      <wp:effectExtent l="0" t="0" r="0" b="0"/>
                      <wp:wrapNone/>
                      <wp:docPr id="364" name="Frame3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0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38,177</w:t>
            </w:r>
          </w:p>
        </w:tc>
      </w:tr>
      <w:tr>
        <w:trPr/>
        <w:tc>
          <w:tcPr>
            <w:tcW w:w="20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East River commitment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Firm purchase commitments for corn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13,790</w:t>
            </w:r>
          </w:p>
        </w:tc>
      </w:tr>
      <w:tr>
        <w:trPr/>
        <w:tc>
          <w:tcPr>
            <w:tcW w:w="20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Water purchases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w:t>
            </w:r>
          </w:p>
        </w:tc>
      </w:tr>
      <w:tr>
        <w:trPr/>
        <w:tc>
          <w:tcPr>
            <w:tcW w:w="20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Electricity above use (est.)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20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63,304</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376"/>
        <w:gridCol w:w="23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419" w:name="Tc_tg54Zg5RT0CeuRX1ip5hDA_5_2"/>
      <w:bookmarkStart w:id="1420" w:name="Tc_2edg4D0Gv0uMqg-X-Ubxgw_5_0"/>
      <w:bookmarkStart w:id="1421" w:name="Tc_V7I8yNOgPU-QFr4lX0CVaQ_4_5"/>
      <w:bookmarkStart w:id="1422" w:name="Tc_P1v5WaIgt02x2o47ZAY9WA_4_2"/>
      <w:bookmarkStart w:id="1423" w:name="Tc__ztrkE-tlkKXzxbMXhryfw_4_0"/>
      <w:bookmarkStart w:id="1424" w:name="Tc_AJMC6TPILUyKaeY9k2P0vA_3_5"/>
      <w:bookmarkStart w:id="1425" w:name="Tc_W0jtYRnrVk2-ViZTeJlXZA_3_2"/>
      <w:bookmarkStart w:id="1426" w:name="Tc_9yXFAWIULk-VKi5DelPfcw_3_0"/>
      <w:bookmarkStart w:id="1427" w:name="Tc_1a5ssOIwxkGM_BXh28KOaQ_2_5"/>
      <w:bookmarkStart w:id="1428" w:name="Tc_6xphPbkFskarPQ2Tj5r-mg_2_2"/>
      <w:bookmarkStart w:id="1429" w:name="Tc_PRtPrgYrlkyhZkfiOOT8Vg_1_5"/>
      <w:bookmarkStart w:id="1430" w:name="Tc_XBNimzRfnEWGrZKFHGmX0Q_1_2"/>
      <w:bookmarkStart w:id="1431" w:name="_18d12e03_a13d_409e_8729_688794843e88"/>
      <w:bookmarkStart w:id="1432" w:name="_775d7b11_0e2d_4f53_8bb2_293329ad70dc_3"/>
      <w:bookmarkStart w:id="1433" w:name="_775d7b11_0e2d_4f53_8bb2_293329ad70dc_2"/>
      <w:bookmarkStart w:id="1434" w:name="_775d7b11_0e2d_4f53_8bb2_293329ad70dc"/>
      <w:bookmarkStart w:id="1435" w:name="_b7f9548f_3fdd_4498_ad82_622947735407_3"/>
      <w:bookmarkStart w:id="1436" w:name="_b7f9548f_3fdd_4498_ad82_622947735407_2"/>
      <w:bookmarkStart w:id="1437" w:name="_b7f9548f_3fdd_4498_ad82_622947735407"/>
      <w:bookmarkStart w:id="1438" w:name="_9ece3f79_e49f_49ff_9c27_d1a940af827b_3"/>
      <w:bookmarkStart w:id="1439" w:name="_9ece3f79_e49f_49ff_9c27_d1a940af827b_2"/>
      <w:bookmarkStart w:id="1440" w:name="_9ece3f79_e49f_49ff_9c27_d1a940af827b"/>
      <w:bookmarkStart w:id="1441" w:name="_87ca7004_82c6_41ad_a28f_9c6acf90143c_3"/>
      <w:bookmarkStart w:id="1442" w:name="_87ca7004_82c6_41ad_a28f_9c6acf90143c_2"/>
      <w:bookmarkStart w:id="1443" w:name="_87ca7004_82c6_41ad_a28f_9c6acf90143c"/>
      <w:bookmarkStart w:id="1444" w:name="_aad1b77c_c53b_4b28_877f_bb8f744c5462_3"/>
      <w:bookmarkStart w:id="1445" w:name="_aad1b77c_c53b_4b28_877f_bb8f744c5462_2"/>
      <w:bookmarkStart w:id="1446" w:name="_aad1b77c_c53b_4b28_877f_bb8f744c5462"/>
      <w:bookmarkStart w:id="1447" w:name="Tc_-cp4b_qOrkis2qMdu-Y9Eg_9_11"/>
      <w:bookmarkStart w:id="1448" w:name="Tc_8smiCB9ZyUOSvkujJQbesw_9_8"/>
      <w:bookmarkStart w:id="1449" w:name="Tc_BrtMeAY0sESaG_h0FalgaA_9_5"/>
      <w:bookmarkStart w:id="1450" w:name="Tc_pwQZgFTNiE-8fBNYEtKODg_9_2"/>
      <w:bookmarkStart w:id="1451" w:name="Tc_1-SoDgsyP0aHVtkn0MlzEQ_9_0"/>
      <w:bookmarkStart w:id="1452" w:name="Tc_putbQiBddEO9fj9jUP7bVA_8_11"/>
      <w:bookmarkStart w:id="1453" w:name="Tc_gHwCYBZeGkeg5UFyl1kSeQ_8_8"/>
      <w:bookmarkStart w:id="1454" w:name="Tc_i9FeWSFwhE6k42t82uOBsA_8_5"/>
      <w:bookmarkStart w:id="1455" w:name="Tc_a4A8CJ5-ZEu6kuNEyOlytg_8_2"/>
      <w:bookmarkStart w:id="1456" w:name="Tc_GBCceq9wG0S3VLMj3Nalfw_7_11"/>
      <w:bookmarkStart w:id="1457" w:name="Tc_tNLJSYL-YUWo0qRpC6PL0g_7_8"/>
      <w:bookmarkStart w:id="1458" w:name="Tc_1R6jKIHqokKov0obE3GFzw_7_5"/>
      <w:bookmarkStart w:id="1459" w:name="Tc_2zS4IDOdiE-7lBwZlylfkg_7_2"/>
      <w:bookmarkStart w:id="1460" w:name="Tc_Co4hdKRfrkqWEajGvU7Slg_6_11"/>
      <w:bookmarkStart w:id="1461" w:name="Tc_jz7odtBMyk2UgN6gM0nQpg_6_8"/>
      <w:bookmarkStart w:id="1462" w:name="Tc_AxzhTCptVkmjuV_BC116pQ_6_5"/>
      <w:bookmarkStart w:id="1463" w:name="Tc_K6neF1DLGkmiYAb6fiOpdQ_6_2"/>
      <w:bookmarkStart w:id="1464" w:name="Tc_diokga0_yky3aLFNNUelsQ_5_11"/>
      <w:bookmarkStart w:id="1465" w:name="Tc_uqi5iOtQPUi6e1lknOb97g_5_8"/>
      <w:bookmarkStart w:id="1466" w:name="Tc_MSHEtzg6pkCJxNvUi07gdg_5_5"/>
      <w:bookmarkStart w:id="1467" w:name="Tc_-5SnJ-ew60-eMFEs2Ys-Dg_4_8"/>
      <w:bookmarkStart w:id="1468" w:name="Tc_atUdeh2DAUqvlriu4-Jsrg_4_5"/>
      <w:bookmarkStart w:id="1469" w:name="Tc_rCzY7sZEOkWQHooxY5BDLQ_3_5"/>
      <w:bookmarkStart w:id="1470" w:name="Tc_ZBZkNimYWkefXxfUOGU8RA_2_5"/>
      <w:bookmarkStart w:id="1471" w:name="Tc_cMuvjnHRqEOkPqIUgFBnQQ_1_5"/>
      <w:bookmarkStart w:id="1472" w:name="_0942fd3f_65f1_41f3_87fd_942b70188cd2"/>
      <w:bookmarkStart w:id="1473" w:name="Tc_Kpq3UENOqECo_H9ULb20cA_11_11"/>
      <w:bookmarkStart w:id="1474" w:name="Tc_DcTqsREbfUiwnaFCzid8Vg_11_8"/>
      <w:bookmarkStart w:id="1475" w:name="Tc_O1m7YlT2YUKGwxhACcofXw_11_5"/>
      <w:bookmarkStart w:id="1476" w:name="Tc_9kTtc14vkU2fFLFN-0-g_g_11_2"/>
      <w:bookmarkStart w:id="1477" w:name="Tc_gFRmGwZxVUSZEbee63n8Tw_11_0"/>
      <w:bookmarkStart w:id="1478" w:name="Tc_t6YbrypqlE2e-dcfGuViZw_10_6"/>
      <w:bookmarkStart w:id="1479" w:name="Tc_7rDD0zK7sECDskcXWryZ7g_10_0"/>
      <w:bookmarkStart w:id="1480" w:name="Tc_Q-oYCedNIEeADzILO4IIXQ_9_11"/>
      <w:bookmarkStart w:id="1481" w:name="Tc_c9OqdWsZukukmizZo1lC0A_9_8"/>
      <w:bookmarkStart w:id="1482" w:name="Tc_ON72ejRTGUauvCrpmkekLw_9_5"/>
      <w:bookmarkStart w:id="1483" w:name="Tc_yttwrHPqkEO_0CTlCdyNHg_9_2"/>
      <w:bookmarkStart w:id="1484" w:name="Tc_uEdl2mgsYkifb_Tq2Gkf-w_9_0"/>
      <w:bookmarkStart w:id="1485" w:name="Tc_odC_rDkU5US_zO7qtglUNg_8_11"/>
      <w:bookmarkStart w:id="1486" w:name="Tc_0IiHdSuohEGWbnrNZ8kLFg_8_8"/>
      <w:bookmarkStart w:id="1487" w:name="Tc_gm7sSI__lkCR3aB9tbdimA_8_5"/>
      <w:bookmarkStart w:id="1488" w:name="Tc_QhAezxcs2UOSECFQ8RmGQw_8_2"/>
      <w:bookmarkStart w:id="1489" w:name="Tc_rdv4fCyNT0mIND5lPeMwrQ_7_11"/>
      <w:bookmarkStart w:id="1490" w:name="Tc_q77pgSQGjkqRWojGhbeulg_7_8"/>
      <w:bookmarkStart w:id="1491" w:name="Tc_S7KHWwhx0Eic_NpiPOUVVg_7_5"/>
      <w:bookmarkStart w:id="1492" w:name="Tc_5sbLyaJtWUaShTDIvqzuuQ_7_2"/>
      <w:bookmarkStart w:id="1493" w:name="Tc_BZZk1egZXkea0eBu9YxYoA_6_11"/>
      <w:bookmarkStart w:id="1494" w:name="Tc_n8w3XVQznkOBgjkDlbWYRw_6_8"/>
      <w:bookmarkStart w:id="1495" w:name="Tc_4MiprlNCG0m08E01Uo-23Q_6_5"/>
      <w:bookmarkStart w:id="1496" w:name="Tc_Gf5YaU6HFkuXMu_MrLNHIQ_6_2"/>
      <w:bookmarkStart w:id="1497" w:name="Tc_ji3-83waoUe1wCQ9rkktsg_5_11"/>
      <w:bookmarkStart w:id="1498" w:name="Tc_4a_9fWyFSk25CEo67WKAUA_5_8"/>
      <w:bookmarkStart w:id="1499" w:name="Tc_lngbsaa8ZE-XvuNpCTWj2w_5_5"/>
      <w:bookmarkStart w:id="1500" w:name="Tc_YDWe13vXPUGaAmvLDwGF1g_4_8"/>
      <w:bookmarkStart w:id="1501" w:name="Tc_5h5tlHdmrEKKSZ_kOx5B1Q_4_5"/>
      <w:bookmarkStart w:id="1502" w:name="Tc_dPPNoOzdEk2jI4qm1tc_3g_3_5"/>
      <w:bookmarkStart w:id="1503" w:name="Tc_0DP_lsQFykSTJtbiJyCR9A_2_5"/>
      <w:bookmarkStart w:id="1504" w:name="Tc_bBoCVUwkgkGDDJS6ALkGlg_1_5"/>
      <w:bookmarkStart w:id="1505" w:name="_8fb06f93_c7e9_4d55_8ac9_2801ab4926d7"/>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r>
        <w:rPr>
          <w:rFonts w:ascii="Times New Roman;Times;serif" w:hAnsi="Times New Roman;Times;serif"/>
          <w:sz w:val="20"/>
        </w:rPr>
        <w:t>The carrying value and fair value, by fair value hierarchy, of the Company’s financial instruments at September 30, 2025, and December 31, 2024 are as follows (in thousands):</w:t>
      </w:r>
    </w:p>
    <w:tbl>
      <w:tblPr>
        <w:tblW w:w="9043" w:type="dxa"/>
        <w:jc w:val="left"/>
        <w:tblInd w:w="0" w:type="dxa"/>
        <w:tblLayout w:type="fixed"/>
        <w:tblCellMar>
          <w:top w:w="0" w:type="dxa"/>
          <w:left w:w="0" w:type="dxa"/>
          <w:bottom w:w="0" w:type="dxa"/>
          <w:right w:w="0" w:type="dxa"/>
        </w:tblCellMar>
      </w:tblPr>
      <w:tblGrid>
        <w:gridCol w:w="3076"/>
        <w:gridCol w:w="326"/>
        <w:gridCol w:w="281"/>
        <w:gridCol w:w="904"/>
        <w:gridCol w:w="326"/>
        <w:gridCol w:w="282"/>
        <w:gridCol w:w="904"/>
        <w:gridCol w:w="436"/>
        <w:gridCol w:w="352"/>
        <w:gridCol w:w="579"/>
        <w:gridCol w:w="436"/>
        <w:gridCol w:w="361"/>
        <w:gridCol w:w="780"/>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953260" cy="175260"/>
                      <wp:effectExtent l="0" t="0" r="0" b="0"/>
                      <wp:wrapNone/>
                      <wp:docPr id="365" name="Frame365"/>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8435" cy="175260"/>
                      <wp:effectExtent l="0" t="0" r="0" b="0"/>
                      <wp:wrapNone/>
                      <wp:docPr id="367" name="Frame36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74040" cy="175260"/>
                      <wp:effectExtent l="0" t="0" r="0" b="0"/>
                      <wp:wrapNone/>
                      <wp:docPr id="368" name="Frame36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9070" cy="175260"/>
                      <wp:effectExtent l="0" t="0" r="0" b="0"/>
                      <wp:wrapNone/>
                      <wp:docPr id="370" name="Frame37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74040" cy="175260"/>
                      <wp:effectExtent l="0" t="0" r="0" b="0"/>
                      <wp:wrapNone/>
                      <wp:docPr id="371" name="Frame371"/>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6860" cy="175260"/>
                      <wp:effectExtent l="0" t="0" r="0" b="0"/>
                      <wp:wrapNone/>
                      <wp:docPr id="372" name="Frame372"/>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23520" cy="175260"/>
                      <wp:effectExtent l="0" t="0" r="0" b="0"/>
                      <wp:wrapNone/>
                      <wp:docPr id="373" name="Frame37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367665" cy="175260"/>
                      <wp:effectExtent l="0" t="0" r="0" b="0"/>
                      <wp:wrapNone/>
                      <wp:docPr id="374" name="Frame374"/>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76860" cy="175260"/>
                      <wp:effectExtent l="0" t="0" r="0" b="0"/>
                      <wp:wrapNone/>
                      <wp:docPr id="375" name="Frame37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29235" cy="175260"/>
                      <wp:effectExtent l="0" t="0" r="0" b="0"/>
                      <wp:wrapNone/>
                      <wp:docPr id="376" name="Frame3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95300" cy="175260"/>
                      <wp:effectExtent l="0" t="0" r="0" b="0"/>
                      <wp:wrapNone/>
                      <wp:docPr id="377" name="Frame377"/>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13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September 30, 2025</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3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3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43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3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3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center"/>
              <w:rPr/>
            </w:pPr>
            <w:r>
              <w:rPr/>
              <w: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3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3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3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3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3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3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3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3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22,695</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22,695</w:t>
            </w:r>
          </w:p>
        </w:tc>
        <w:tc>
          <w:tcPr>
            <w:tcW w:w="43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Commodities derivative instruments</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36"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22,710</w:t>
            </w:r>
          </w:p>
        </w:tc>
        <w:tc>
          <w:tcPr>
            <w:tcW w:w="326"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22,695</w:t>
            </w:r>
          </w:p>
        </w:tc>
        <w:tc>
          <w:tcPr>
            <w:tcW w:w="436"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43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left"/>
        <w:rPr/>
      </w:pPr>
      <w:r>
        <w:rPr/>
        <w:t>​</w:t>
      </w:r>
    </w:p>
    <w:tbl>
      <w:tblPr>
        <w:tblW w:w="8432" w:type="dxa"/>
        <w:jc w:val="left"/>
        <w:tblInd w:w="0" w:type="dxa"/>
        <w:tblLayout w:type="fixed"/>
        <w:tblCellMar>
          <w:top w:w="0" w:type="dxa"/>
          <w:left w:w="0" w:type="dxa"/>
          <w:bottom w:w="0" w:type="dxa"/>
          <w:right w:w="0" w:type="dxa"/>
        </w:tblCellMar>
      </w:tblPr>
      <w:tblGrid>
        <w:gridCol w:w="2476"/>
        <w:gridCol w:w="326"/>
        <w:gridCol w:w="241"/>
        <w:gridCol w:w="899"/>
        <w:gridCol w:w="326"/>
        <w:gridCol w:w="268"/>
        <w:gridCol w:w="994"/>
        <w:gridCol w:w="415"/>
        <w:gridCol w:w="352"/>
        <w:gridCol w:w="579"/>
        <w:gridCol w:w="415"/>
        <w:gridCol w:w="360"/>
        <w:gridCol w:w="781"/>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72260" cy="175260"/>
                      <wp:effectExtent l="0" t="0" r="0" b="0"/>
                      <wp:wrapNone/>
                      <wp:docPr id="378" name="Frame378"/>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53035" cy="175260"/>
                      <wp:effectExtent l="0" t="0" r="0" b="0"/>
                      <wp:wrapNone/>
                      <wp:docPr id="380" name="Frame38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70865" cy="175260"/>
                      <wp:effectExtent l="0" t="0" r="0" b="0"/>
                      <wp:wrapNone/>
                      <wp:docPr id="381" name="Frame38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70180" cy="175260"/>
                      <wp:effectExtent l="0" t="0" r="0" b="0"/>
                      <wp:wrapNone/>
                      <wp:docPr id="383" name="Frame38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31190" cy="175260"/>
                      <wp:effectExtent l="0" t="0" r="0" b="0"/>
                      <wp:wrapNone/>
                      <wp:docPr id="384" name="Frame384"/>
                      <a:graphic xmlns:a="http://schemas.openxmlformats.org/drawingml/2006/main">
                        <a:graphicData uri="http://schemas.microsoft.com/office/word/2010/wordprocessingShape">
                          <wps:wsp>
                            <wps:cNvSpPr txBox="1"/>
                            <wps:spPr>
                              <a:xfrm>
                                <a:off x="0" y="0"/>
                                <a:ext cx="631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63525" cy="175260"/>
                      <wp:effectExtent l="0" t="0" r="0" b="0"/>
                      <wp:wrapNone/>
                      <wp:docPr id="385" name="Frame385"/>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23520" cy="175260"/>
                      <wp:effectExtent l="0" t="0" r="0" b="0"/>
                      <wp:wrapNone/>
                      <wp:docPr id="386" name="Frame38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67665" cy="175260"/>
                      <wp:effectExtent l="0" t="0" r="0" b="0"/>
                      <wp:wrapNone/>
                      <wp:docPr id="387" name="Frame38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63525" cy="175260"/>
                      <wp:effectExtent l="0" t="0" r="0" b="0"/>
                      <wp:wrapNone/>
                      <wp:docPr id="388" name="Frame388"/>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28600" cy="175260"/>
                      <wp:effectExtent l="0" t="0" r="0" b="0"/>
                      <wp:wrapNone/>
                      <wp:docPr id="389" name="Frame38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95935" cy="175260"/>
                      <wp:effectExtent l="0" t="0" r="0" b="0"/>
                      <wp:wrapNone/>
                      <wp:docPr id="390" name="Frame3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6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2024</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5"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5"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5" w:type="dxa"/>
            <w:tcBorders/>
            <w:vAlign w:val="center"/>
          </w:tcPr>
          <w:p>
            <w:pPr>
              <w:pStyle w:val="TableContents"/>
              <w:bidi w:val="0"/>
              <w:spacing w:before="0" w:after="1"/>
              <w:ind w:left="0" w:right="0" w:hanging="0"/>
              <w:jc w:val="center"/>
              <w:rPr/>
            </w:pPr>
            <w:r>
              <w:rPr/>
              <w:t>​</w:t>
            </w:r>
          </w:p>
        </w:tc>
        <w:tc>
          <w:tcPr>
            <w:tcW w:w="360"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5"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5"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5"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5"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189,389</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189,389</w:t>
            </w:r>
          </w:p>
        </w:tc>
        <w:tc>
          <w:tcPr>
            <w:tcW w:w="415"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5" w:type="dxa"/>
            <w:tcBorders/>
            <w:shd w:fill="CCEEFF" w:val="clear"/>
            <w:vAlign w:val="center"/>
          </w:tcPr>
          <w:p>
            <w:pPr>
              <w:pStyle w:val="TableContents"/>
              <w:bidi w:val="0"/>
              <w:spacing w:before="0" w:after="1"/>
              <w:ind w:left="0" w:right="0" w:hanging="0"/>
              <w:jc w:val="left"/>
              <w:rPr/>
            </w:pPr>
            <w:r>
              <w:rPr/>
              <w:t>​</w:t>
            </w:r>
          </w:p>
        </w:tc>
        <w:tc>
          <w:tcPr>
            <w:tcW w:w="3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$22.7</w:t>
            </w:r>
            <w:r>
              <w:rPr>
                <w:caps w:val="false"/>
                <w:smallCaps w:val="false"/>
              </w:rPr>
              <w:t> </w:t>
            </w:r>
            <w:r>
              <w:rPr>
                <w:rFonts w:ascii="Times New Roman;Times;serif" w:hAnsi="Times New Roman;Times;serif"/>
                <w:b w:val="false"/>
                <w:i w:val="false"/>
                <w:caps w:val="false"/>
                <w:smallCaps w:val="false"/>
                <w:sz w:val="20"/>
              </w:rPr>
              <w:t>million and $186.7</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September 30, 2025 and December 31, 2024,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between December 31, 2024, and September 30, 2025.</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Remarketed Bonds is estimated using the Black-Derman-Toy interest rate lattice framework. The effective maturity of the Remarketed Bonds was assumed to be April 1, 2026 (two years from issuance) with repayment of 100% of principal on that date. The impact of the Company’s optional redemption feature, effective November 1, 2024, is appropriately captured by the Black-Derman-Toy interest rate lattice.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Term Loan and Series 2025A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Term Loan entered into on January 31, 2025, and the fair value of the Series 2025A Bonds entered into on July 10, 2025, are estimated to be equal to their carrying amount as of September 30, 2025, due to the short duration for which the loan and the bonds were outstanding during the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carrying values and estimated fair values of the Term Loan, the Remarketed Bonds and the Series 2025A Bonds as of September 30, 2025, are summarized as follows (in thousands): </w:t>
      </w:r>
    </w:p>
    <w:tbl>
      <w:tblPr>
        <w:tblW w:w="4467" w:type="dxa"/>
        <w:jc w:val="left"/>
        <w:tblInd w:w="0" w:type="dxa"/>
        <w:tblLayout w:type="fixed"/>
        <w:tblCellMar>
          <w:top w:w="0" w:type="dxa"/>
          <w:left w:w="0" w:type="dxa"/>
          <w:bottom w:w="0" w:type="dxa"/>
          <w:right w:w="0" w:type="dxa"/>
        </w:tblCellMar>
      </w:tblPr>
      <w:tblGrid>
        <w:gridCol w:w="1771"/>
        <w:gridCol w:w="326"/>
        <w:gridCol w:w="226"/>
        <w:gridCol w:w="781"/>
        <w:gridCol w:w="326"/>
        <w:gridCol w:w="211"/>
        <w:gridCol w:w="82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124585" cy="175260"/>
                      <wp:effectExtent l="0" t="0" r="0" b="0"/>
                      <wp:wrapNone/>
                      <wp:docPr id="391" name="Frame39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43510" cy="175260"/>
                      <wp:effectExtent l="0" t="0" r="0" b="0"/>
                      <wp:wrapNone/>
                      <wp:docPr id="393" name="Frame3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5935" cy="175260"/>
                      <wp:effectExtent l="0" t="0" r="0" b="0"/>
                      <wp:wrapNone/>
                      <wp:docPr id="394" name="Frame3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24510" cy="175260"/>
                      <wp:effectExtent l="0" t="0" r="0" b="0"/>
                      <wp:wrapNone/>
                      <wp:docPr id="397" name="Frame39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105,000</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Remarketed Bonds</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28,123</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2025A Bonds</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40,000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shd w:fill="FFFFFF" w:val="clear"/>
        </w:rPr>
      </w:pPr>
      <w:bookmarkStart w:id="1506" w:name="Tc_an6Nfmeh9EKfG9WePS4_rQ_6_2"/>
      <w:bookmarkStart w:id="1507" w:name="Tc_xVSSUfgfNkW7iL-QfO8v6g_6_0"/>
      <w:bookmarkStart w:id="1508" w:name="Tc_xO-z2Tila06bh54912uYxA_5_0"/>
      <w:bookmarkStart w:id="1509" w:name="Tc_Nb0PgfmGzUS4zFhF-P033Q_4_0"/>
      <w:bookmarkStart w:id="1510" w:name="Tc_gqPBeiXuJkGyGwYa6GZKzw_3_2"/>
      <w:bookmarkStart w:id="1511" w:name="Tc_EMEMurs7cUWgwsr8jNzk0g_3_0"/>
      <w:bookmarkStart w:id="1512" w:name="Tc_dhdjWxq7RkymHTVEKzHZOg_2_2"/>
      <w:bookmarkStart w:id="1513" w:name="Tc_nTmpJ0_t6UCRsDozX0Vkmg_1_2"/>
      <w:bookmarkEnd w:id="1506"/>
      <w:bookmarkEnd w:id="1507"/>
      <w:bookmarkEnd w:id="1508"/>
      <w:bookmarkEnd w:id="1509"/>
      <w:bookmarkEnd w:id="1510"/>
      <w:bookmarkEnd w:id="1511"/>
      <w:bookmarkEnd w:id="1512"/>
      <w:bookmarkEnd w:id="1513"/>
      <w:r>
        <w:rPr>
          <w:rFonts w:ascii="Times New Roman;Times;serif" w:hAnsi="Times New Roman;Times;serif"/>
          <w:sz w:val="20"/>
          <w:shd w:fill="FFFFFF" w:val="clear"/>
        </w:rPr>
        <w:t>Redeemable non-controlling interest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reflects the changes in the fair value of the redeemable non-controlling interest as of September 30, 2025:</w:t>
      </w:r>
    </w:p>
    <w:p>
      <w:pPr>
        <w:pStyle w:val="TextBody"/>
        <w:bidi w:val="0"/>
        <w:spacing w:before="0" w:after="0"/>
        <w:ind w:left="0" w:right="0" w:hanging="0"/>
        <w:jc w:val="left"/>
        <w:rPr/>
      </w:pPr>
      <w:r>
        <w:rPr/>
        <w:t>​</w:t>
      </w:r>
    </w:p>
    <w:tbl>
      <w:tblPr>
        <w:tblW w:w="7797" w:type="dxa"/>
        <w:jc w:val="left"/>
        <w:tblInd w:w="0" w:type="dxa"/>
        <w:tblLayout w:type="fixed"/>
        <w:tblCellMar>
          <w:top w:w="0" w:type="dxa"/>
          <w:left w:w="0" w:type="dxa"/>
          <w:bottom w:w="0" w:type="dxa"/>
          <w:right w:w="0" w:type="dxa"/>
        </w:tblCellMar>
      </w:tblPr>
      <w:tblGrid>
        <w:gridCol w:w="5881"/>
        <w:gridCol w:w="326"/>
        <w:gridCol w:w="376"/>
        <w:gridCol w:w="1214"/>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734435" cy="175260"/>
                      <wp:effectExtent l="0" t="0" r="0" b="0"/>
                      <wp:wrapNone/>
                      <wp:docPr id="398" name="Frame398"/>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38760" cy="175260"/>
                      <wp:effectExtent l="0" t="0" r="0" b="0"/>
                      <wp:wrapNone/>
                      <wp:docPr id="400" name="Frame400"/>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770890" cy="175260"/>
                      <wp:effectExtent l="0" t="0" r="0" b="0"/>
                      <wp:wrapNone/>
                      <wp:docPr id="401" name="Frame401"/>
                      <a:graphic xmlns:a="http://schemas.openxmlformats.org/drawingml/2006/main">
                        <a:graphicData uri="http://schemas.microsoft.com/office/word/2010/wordprocessingShape">
                          <wps:wsp>
                            <wps:cNvSpPr txBox="1"/>
                            <wps:spPr>
                              <a:xfrm>
                                <a:off x="0" y="0"/>
                                <a:ext cx="770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 Non-</w: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 Interest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Contributions from non-controlling member made on January 31, 2025</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member</w:t>
            </w:r>
          </w:p>
        </w:tc>
        <w:tc>
          <w:tcPr>
            <w:tcW w:w="32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left"/>
              <w:rPr/>
            </w:pPr>
            <w:r>
              <w:rPr/>
              <w:t>​</w:t>
            </w:r>
          </w:p>
        </w:tc>
        <w:tc>
          <w:tcPr>
            <w:tcW w:w="12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 as of September 30, 2025</w:t>
            </w:r>
          </w:p>
        </w:tc>
        <w:tc>
          <w:tcPr>
            <w:tcW w:w="326" w:type="dxa"/>
            <w:tcBorders/>
            <w:vAlign w:val="center"/>
          </w:tcPr>
          <w:p>
            <w:pPr>
              <w:pStyle w:val="TableContents"/>
              <w:bidi w:val="0"/>
              <w:spacing w:before="0" w:after="1"/>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5,956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21.</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At-the-Market Offering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2024 the Company filed a registration statement on Form S-3, which included </w:t>
      </w:r>
      <w:r>
        <w:rPr>
          <w:rFonts w:ascii="Times New Roman;Times;serif" w:hAnsi="Times New Roman;Times;serif"/>
          <w:spacing w:val="4"/>
          <w:sz w:val="20"/>
        </w:rPr>
        <w:t>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Company of up to a maximum aggregate offering price of $500.0 million of common stock that may be issued and sold under an at-the-market-offering agreement</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September 30, 2025, the Company has remaining capacity to issue up to $500.0 million of common stock under the at-the-market offering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shares of common stock under the stock repurchase program during the three and nine months ended September 30, 2025. The Company repurchased 1.1 million and 7.2 million shares of common stock for $0.6 million and $4.7 million under the stock repurchase program during the three and nine months ended September 30, 2024, respectively. Shares were repurchased at market value, and were retired immediately upon repurchase. As of September 30, 2025, approximately $20.3 million remained available under the stock repurchase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September 30, 2025, none of the Series 2022-A Warrants had been exercised.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14" w:name="Tc_w4LeK0moWUeeR0obHIUmUA_9_0"/>
      <w:bookmarkStart w:id="1515" w:name="Tc_fqCsi529akqOmB32WKXOvQ_8_6"/>
      <w:bookmarkStart w:id="1516" w:name="Tc_r9Rf3PL7sEGt7leSj8LXjw_8_4"/>
      <w:bookmarkStart w:id="1517" w:name="Tc_6p7k1cw5ikWcCT2LftfX8A_8_2"/>
      <w:bookmarkStart w:id="1518" w:name="Tc_e9qJWxyxgk6AH01G87Ghhg_8_0"/>
      <w:bookmarkStart w:id="1519" w:name="Tc__6EEJzlgDEKaU6vV-fs9TA_7_13"/>
      <w:bookmarkStart w:id="1520" w:name="Tc_3psD73KYKUOwtm0LMWYBxg_7_11"/>
      <w:bookmarkStart w:id="1521" w:name="Tc_EYI4zRFw3k-WyM__5ziLNw_7_9"/>
      <w:bookmarkStart w:id="1522" w:name="Tc_cIzD70u_VEaXYYPSOGQSLw_7_6"/>
      <w:bookmarkStart w:id="1523" w:name="Tc_6Pxo8Ze_bESWHPdZzw0FnA_7_4"/>
      <w:bookmarkStart w:id="1524" w:name="Tc_fxx-Hj3ge06FpECl_gtofQ_7_2"/>
      <w:bookmarkStart w:id="1525" w:name="Tc_HKhWP5nrp0-8kwecKRe-xA_6_13"/>
      <w:bookmarkStart w:id="1526" w:name="Tc_IvUKw8sql0-pTW8jNOfmpw_6_11"/>
      <w:bookmarkStart w:id="1527" w:name="Tc_H_WA8rgvf0ehxnqDC8mlUQ_6_9"/>
      <w:bookmarkStart w:id="1528" w:name="Tc_1bKVgpLrHESNGgIvvB0Fmg_6_7"/>
      <w:bookmarkStart w:id="1529" w:name="Tc_cyg0qYG3t0mjUu5IEGZLRA_6_4"/>
      <w:bookmarkStart w:id="1530" w:name="Tc_-bROzA8BQ06F7WXlrv-0fQ_6_2"/>
      <w:bookmarkStart w:id="1531" w:name="Tc_vCmRUXKw9UGQ3Ygj8kIdoQ_5_13"/>
      <w:bookmarkStart w:id="1532" w:name="Tc_Cexji1BYyU6TKRZxeMWEJA_5_11"/>
      <w:bookmarkStart w:id="1533" w:name="Tc_V81iBKM5i0S9N7nDK8QkqA_5_9"/>
      <w:bookmarkStart w:id="1534" w:name="Tc_p2eS9xIO4U2grGA0gLSeIA_5_6"/>
      <w:bookmarkStart w:id="1535" w:name="Tc_ZxxV0IhnE0GA7b5p7W5JYw_4_13"/>
      <w:bookmarkStart w:id="1536" w:name="Tc_vF2K1K860U65uKbUdTdJqQ_4_11"/>
      <w:bookmarkStart w:id="1537" w:name="Tc_mNu67iDYLUG1oaWWN59odQ_4_9"/>
      <w:bookmarkStart w:id="1538" w:name="Tc_7gJ_uZfcIkOAPEjNhEtXVA_4_6"/>
      <w:bookmarkStart w:id="1539" w:name="Tc_OmwyBCpuQUea0AJwmWlMeA_3_13"/>
      <w:bookmarkStart w:id="1540" w:name="Tc_Wka5_gJCBkGmqC3GYgbePQ_3_11"/>
      <w:bookmarkStart w:id="1541" w:name="Tc_Ucs7pujPMUKryZXbQZYeDg_3_9"/>
      <w:bookmarkStart w:id="1542" w:name="Tc_3abfnnt6YEyPol2v09aSPg_2_13"/>
      <w:bookmarkStart w:id="1543" w:name="Tc_Rk4fxAeMik66mYigavqR-g_2_11"/>
      <w:bookmarkStart w:id="1544" w:name="Tc_w7kV-24q5EGPvS8UBoCPhA_1_13"/>
      <w:bookmarkStart w:id="1545" w:name="Tc_T19gn8Z8TUG8KVrOdLDDxQ_1_11"/>
      <w:bookmarkStart w:id="1546" w:name="_2da9ffc9_f35f_4995_901f_744913f0ec8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r>
        <w:rPr>
          <w:rFonts w:ascii="Times New Roman;Times;serif" w:hAnsi="Times New Roman;Times;serif"/>
          <w:sz w:val="20"/>
        </w:rPr>
        <w:t xml:space="preserve">In addition to the Series 2022-A Warrants, the Company had warrants that were issued in conjunction with a registered direct offering in August 2020 (the “Series 2020-A Warrants”). The remaining 4,133 unexercised Series 2020-A Warrants expired on July 6,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Series 2022-A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do not provide any guarantee of value or return.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information regarding unexercised warrants outstanding as of September 30,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0"/>
        <w:gridCol w:w="326"/>
        <w:gridCol w:w="808"/>
        <w:gridCol w:w="326"/>
        <w:gridCol w:w="886"/>
        <w:gridCol w:w="326"/>
        <w:gridCol w:w="211"/>
        <w:gridCol w:w="1157"/>
        <w:gridCol w:w="326"/>
        <w:gridCol w:w="1036"/>
        <w:gridCol w:w="326"/>
        <w:gridCol w:w="1157"/>
        <w:gridCol w:w="326"/>
        <w:gridCol w:w="1204"/>
      </w:tblGrid>
      <w:tr>
        <w:trPr/>
        <w:tc>
          <w:tcPr>
            <w:tcW w:w="1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136650" cy="175260"/>
                      <wp:effectExtent l="0" t="0" r="0" b="0"/>
                      <wp:wrapNone/>
                      <wp:docPr id="402" name="Frame402"/>
                      <a:graphic xmlns:a="http://schemas.openxmlformats.org/drawingml/2006/main">
                        <a:graphicData uri="http://schemas.microsoft.com/office/word/2010/wordprocessingShape">
                          <wps:wsp>
                            <wps:cNvSpPr txBox="1"/>
                            <wps:spPr>
                              <a:xfrm>
                                <a:off x="0" y="0"/>
                                <a:ext cx="1136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513080" cy="175260"/>
                      <wp:effectExtent l="0" t="0" r="0" b="0"/>
                      <wp:wrapNone/>
                      <wp:docPr id="404" name="Frame40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562610" cy="175260"/>
                      <wp:effectExtent l="0" t="0" r="0" b="0"/>
                      <wp:wrapNone/>
                      <wp:docPr id="406" name="Frame40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734695" cy="175260"/>
                      <wp:effectExtent l="0" t="0" r="0" b="0"/>
                      <wp:wrapNone/>
                      <wp:docPr id="409" name="Frame409"/>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57860" cy="175260"/>
                      <wp:effectExtent l="0" t="0" r="0" b="0"/>
                      <wp:wrapNone/>
                      <wp:docPr id="411" name="Frame4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734695" cy="175260"/>
                      <wp:effectExtent l="0" t="0" r="0" b="0"/>
                      <wp:wrapNone/>
                      <wp:docPr id="413" name="Frame413"/>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764540" cy="175260"/>
                      <wp:effectExtent l="0" t="0" r="0" b="0"/>
                      <wp:wrapNone/>
                      <wp:docPr id="415" name="Frame415"/>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2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center"/>
              <w:rPr/>
            </w:pPr>
            <w:r>
              <w:rPr/>
              <w:t> </w:t>
            </w:r>
          </w:p>
        </w:tc>
        <w:tc>
          <w:tcPr>
            <w:tcW w:w="12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 </w:t>
            </w:r>
          </w:p>
        </w:tc>
        <w:tc>
          <w:tcPr>
            <w:tcW w:w="12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3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26" w:type="dxa"/>
            <w:tcBorders/>
            <w:vAlign w:val="center"/>
          </w:tcPr>
          <w:p>
            <w:pPr>
              <w:pStyle w:val="TableContents"/>
              <w:bidi w:val="0"/>
              <w:spacing w:before="0" w:after="1"/>
              <w:ind w:left="0" w:right="0" w:hanging="0"/>
              <w:jc w:val="center"/>
              <w:rPr/>
            </w:pPr>
            <w:r>
              <w:rPr/>
              <w:t> </w:t>
            </w:r>
          </w:p>
        </w:tc>
        <w:tc>
          <w:tcPr>
            <w:tcW w:w="12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 </w:t>
            </w:r>
          </w:p>
        </w:tc>
        <w:tc>
          <w:tcPr>
            <w:tcW w:w="12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 </w:t>
            </w:r>
          </w:p>
        </w:tc>
        <w:tc>
          <w:tcPr>
            <w:tcW w:w="11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20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79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3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1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9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0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shd w:fill="CCEEFF" w:val="clear"/>
            <w:vAlign w:val="center"/>
          </w:tcPr>
          <w:p>
            <w:pPr>
              <w:pStyle w:val="TableContents"/>
              <w:bidi w:val="0"/>
              <w:spacing w:before="0" w:after="1"/>
              <w:ind w:left="0" w:right="0" w:hanging="0"/>
              <w:jc w:val="left"/>
              <w:rPr/>
            </w:pPr>
            <w:r>
              <w:rPr/>
              <w:t> </w:t>
            </w:r>
          </w:p>
        </w:tc>
        <w:tc>
          <w:tcPr>
            <w:tcW w:w="11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2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17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2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vAlign w:val="center"/>
          </w:tcPr>
          <w:p>
            <w:pPr>
              <w:pStyle w:val="TableContents"/>
              <w:bidi w:val="0"/>
              <w:spacing w:before="0" w:after="1"/>
              <w:ind w:left="0" w:right="0" w:hanging="0"/>
              <w:jc w:val="left"/>
              <w:rPr/>
            </w:pPr>
            <w:r>
              <w:rPr/>
              <w:t> </w:t>
            </w:r>
          </w:p>
        </w:tc>
        <w:tc>
          <w:tcPr>
            <w:tcW w:w="115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2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33,333,336</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and 2024 no warrants were exercised.</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22.</w:t>
            </w:r>
          </w:p>
        </w:tc>
        <w:tc>
          <w:tcPr>
            <w:tcW w:w="22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Variable Interest Entities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various special purpose entities (“SPEs”) to facilitate the development and construction of facilities designed to provide carbon neutral power for the Company’s operations. These SPEs are structured as a limited liability companies.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Zero6 Energy Development, Inc. (“ZEDI”), a national clean energy expert that provides expertise in capital management, development, engineering, and asset management, to develop and construct renewable power generation facilities through project entities: Kingsbury County Wind Fuel, LLC (“KCWF”) and Dakota Renewable Hydrogen, LLC (“DRH” and together with KCWF, the “Project LLCs” and each, individually, a Project LLC”), respectively. In December 2023 the agreements with ZEDI related to the two Project LLCs were amended to remove certain kickout rights that previously existed.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supply renewable energy for the Company’s future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their on-going collateral requirements without additional financial support from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gain or loss recognized as a result of the deconsolidation of the Project LLCs. We have recognized $55.1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23.</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assesses the segments’ performance by using income (loss) from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CODM uses operating results for each segment predominantly in the annual budget and forecasting process. The CODM considers budget-to-actual variances on a quarterly basis when making decisions about the allocation of operating and capital resources of each segment. As such, management has determined that the Company has organized its operations and activities in the manner in which information is utilized by the CODM and has determined that it has four operating and reportable segments: (i) Gevo segment; (ii) GevoFuels segment; (iii) GevoRNG segment; and (iv) GevoND segment. All segments follow the same basis of accounting policies as described in Note 2, Summary of Significant Accounting Policies, of Part II, Item 8 in our 2024 Annual Report.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of Verity platforms.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GevoFuels segment</w:t>
      </w:r>
      <w:r>
        <w:rPr>
          <w:rFonts w:ascii="Times New Roman;Times;serif" w:hAnsi="Times New Roman;Times;serif"/>
          <w:sz w:val="20"/>
        </w:rPr>
        <w:t>. GevoFuels is a cornerstone of the Company’s operations, committed to driving low-cost, sustainable, and American-made energy solutions. Our focus is on advancing practical, low-carbon energy alternatives that promote energy independence and strengthen the economy. This segment is dedicated to the development, construction, and operation of Alcohol-to-Jet projects that are not only good for the environment but also cost-effective for businesses and consumers. Our flagship projects represent groundbreaking greenfield initiatives focused on producing sustainable aviation fuel (“SAF”) in the United States.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GevoRNG segment</w:t>
      </w:r>
      <w:r>
        <w:rPr>
          <w:rFonts w:ascii="Times New Roman;Times;serif" w:hAnsi="Times New Roman;Times;serif"/>
          <w:sz w:val="20"/>
        </w:rPr>
        <w:t>. The Renewable Natural Gas segment includes GevoRNG which is an innovative project that leverages anaerobic digestion technology to capture and convert methane emissions into renewable natural gas. This project plays a significant role in addressing both the environmental impact of methane emissions and the growing demand for cleaner energy alternatives. RNG is chemically identical to conventional natural gas, but it is produced from organic waste rather than fossil fuels, making it a sustainable and carbon-neutral energy source. By converting methane emissions into RNG, GevoRNG helps mitigate the environmental impact of livestock farming, specifically reducing the GHGs that contribute to climate change.</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i/>
          <w:sz w:val="20"/>
        </w:rPr>
        <w:t>GevoND segment.</w:t>
      </w:r>
      <w:r>
        <w:rPr>
          <w:rFonts w:ascii="Times New Roman;Times;serif" w:hAnsi="Times New Roman;Times;serif"/>
          <w:sz w:val="20"/>
        </w:rPr>
        <w:t xml:space="preserve"> The GevoND segment includes advanced CCS technologies and low-carbon ethanol assets at a newly acquired facility in North Dakota, enhancing our portfolio of integrated, cost-effective carbon abatement solutions. The principal products manufactured by our ethanol plant include ethanol and distillers grains. At capacity, GevoND facility is capable of processing approximately 67 million gallons of low-carbon ethanol annually, including 2 million gallons of corn fiber ethanol with an ultra-low carbon intensity. Additionally, the facility produces more than 230,000 tons of low-carbon animal feed and vegetable oil, contributing to sustainable agriculture and food systems. The site has an operating, fully permitted Class VI CCS well, which captures and sequesters approximately 160,000 tons of biogenic carbon dioxide annually. This capability is a key component of our strategy to drive meaningful carbon abatement at scale, with the potential to sequester multiple times that amount in total carbon emissions, directly supporting Gevo’s vision of decarbonizing the energy, transportation, and agriculture sectors. </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547" w:name="Tc_SoTnkNdrZE645i1My8cJ3A_16_0"/>
      <w:bookmarkStart w:id="1548" w:name="Tc_v3xagJey0kmQqmOZSVxJuw_15_9"/>
      <w:bookmarkStart w:id="1549" w:name="Tc_unUwohS_OUCeJJh6kc0R-g_15_6"/>
      <w:bookmarkStart w:id="1550" w:name="Tc_lsLBdIFDrU2o3aU6V3bNEA_15_0"/>
      <w:bookmarkStart w:id="1551" w:name="Tc_3Al3lBpkU0-NWsvnnkd7zA_14_0"/>
      <w:bookmarkStart w:id="1552" w:name="Tc_tqoksZ43ikysYkJEypiTCw_12_0"/>
      <w:bookmarkStart w:id="1553" w:name="Tc_zzZrL05EOkC6MSQq9oHcDw_11_9"/>
      <w:bookmarkStart w:id="1554" w:name="Tc_3Xdn5FTDYEasFjTD3248sg_11_6"/>
      <w:bookmarkStart w:id="1555" w:name="Tc_so1XZYd6YkCSAobjRFrxJQ_11_0"/>
      <w:bookmarkStart w:id="1556" w:name="Tc_a4BJSdqhuEmkEDyamLwLng_10_6"/>
      <w:bookmarkStart w:id="1557" w:name="Tc_fZr1yzaJUUaSCnVq-UJTtw_10_0"/>
      <w:bookmarkStart w:id="1558" w:name="Tc_rirryVG5ikCUWwNvAjo4wg_9_0"/>
      <w:bookmarkStart w:id="1559" w:name="Tc_gUqsbNsbYE21zuxKSdihjA_8_6"/>
      <w:bookmarkStart w:id="1560" w:name="Tc_M6GdHXFX-ESxAcsz0dqAVg_8_0"/>
      <w:bookmarkStart w:id="1561" w:name="Tc_jzjIrWpNKk-QNsNXK6IVjg_7_9"/>
      <w:bookmarkStart w:id="1562" w:name="Tc_Gem9lpM-l0eHc2LgLt5EGQ_7_0"/>
      <w:bookmarkStart w:id="1563" w:name="Tc_kHunojdLq0ShGDAHAvMSkA_6_12"/>
      <w:bookmarkStart w:id="1564" w:name="Tc_cqs3Bsxzc0qoThvhsVKo6A_6_9"/>
      <w:bookmarkStart w:id="1565" w:name="Tc_L3iBw-cZ3USt9Kwche4XMg_6_6"/>
      <w:bookmarkStart w:id="1566" w:name="Tc_O2I7JLSU7UOGPEWlK_2xIg_6_0"/>
      <w:bookmarkStart w:id="1567" w:name="Tc_d1w1dtigGEa_1iR7BTGO9g_5_6"/>
      <w:bookmarkStart w:id="1568" w:name="Tc_2sSICbMT-kKnsiz4JsZ_Yw_5_0"/>
      <w:bookmarkStart w:id="1569" w:name="Tc_SVGEPCXnGkeiqxZKBBHN_w_4_0"/>
      <w:bookmarkStart w:id="1570" w:name="Tc_j_oDDQ7-FkO-iXYwlokPOw_3_14"/>
      <w:bookmarkStart w:id="1571" w:name="Tc_i-K8g5wHvUu6A71_oHLYsA_3_11"/>
      <w:bookmarkStart w:id="1572" w:name="Tc_JNT_4n1rNUGa_tXvxgDHWQ_3_8"/>
      <w:bookmarkStart w:id="1573" w:name="Tc_lr-0QljYIk2br1YCxa8A5A_3_6"/>
      <w:bookmarkStart w:id="1574" w:name="Tc_KOmrMEtymE-b-fwJF1q5wA_3_5"/>
      <w:bookmarkStart w:id="1575" w:name="Tc_QvtB1Fl4Vku3zi6J0g_16Q_3_2"/>
      <w:bookmarkStart w:id="1576" w:name="Tc_uG3yYS8jXEG1979CcBbSRw_3_0"/>
      <w:bookmarkStart w:id="1577" w:name="Tc_9_b1jFarNEWqtda-dWdKgg_2_14"/>
      <w:bookmarkStart w:id="1578" w:name="Tc_WF3-QxAzqEeNSH2qe2-5Eg_2_11"/>
      <w:bookmarkStart w:id="1579" w:name="Tc_5pf6BUIxoUC36u-tPn9OHQ_2_8"/>
      <w:bookmarkStart w:id="1580" w:name="Tc_ygUhL9APS06gPPQAMzch2w_2_5"/>
      <w:bookmarkStart w:id="1581" w:name="Tc_AJBWQDqFVkeioZppjGYYhA_2_2"/>
      <w:bookmarkStart w:id="1582" w:name="Tc_1yPRzv1OT0y-3ne3ex-bvw_2_0"/>
      <w:bookmarkStart w:id="1583" w:name="Tc_Hltg0MdJW0C3gOclUGCJQA_1_2"/>
      <w:bookmarkStart w:id="1584" w:name="_626faf9d_1be8_42c4_b1d2_91b98b42090c"/>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r>
        <w:rPr>
          <w:rFonts w:ascii="Times New Roman;Times;serif" w:hAnsi="Times New Roman;Times;serif"/>
          <w:sz w:val="20"/>
        </w:rPr>
        <w:t>The "Other Expenses" in the segment table include the following components: cost of production, general and administrative expenses, acquisition-related costs, facility idling costs, and other expenses.</w:t>
      </w:r>
    </w:p>
    <w:p>
      <w:pPr>
        <w:pStyle w:val="TextBody"/>
        <w:bidi w:val="0"/>
        <w:spacing w:before="0" w:after="0"/>
        <w:ind w:left="0" w:right="0" w:hanging="0"/>
        <w:jc w:val="left"/>
        <w:rPr/>
      </w:pPr>
      <w:r>
        <w:rPr/>
        <w:t>​</w:t>
      </w:r>
    </w:p>
    <w:tbl>
      <w:tblPr>
        <w:tblW w:w="9451" w:type="dxa"/>
        <w:jc w:val="left"/>
        <w:tblInd w:w="0" w:type="dxa"/>
        <w:tblLayout w:type="fixed"/>
        <w:tblCellMar>
          <w:top w:w="0" w:type="dxa"/>
          <w:left w:w="0" w:type="dxa"/>
          <w:bottom w:w="0" w:type="dxa"/>
          <w:right w:w="0" w:type="dxa"/>
        </w:tblCellMar>
      </w:tblPr>
      <w:tblGrid>
        <w:gridCol w:w="3916"/>
        <w:gridCol w:w="109"/>
        <w:gridCol w:w="211"/>
        <w:gridCol w:w="796"/>
        <w:gridCol w:w="109"/>
        <w:gridCol w:w="211"/>
        <w:gridCol w:w="781"/>
        <w:gridCol w:w="109"/>
        <w:gridCol w:w="211"/>
        <w:gridCol w:w="691"/>
        <w:gridCol w:w="109"/>
        <w:gridCol w:w="211"/>
        <w:gridCol w:w="781"/>
        <w:gridCol w:w="109"/>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486660" cy="175260"/>
                      <wp:effectExtent l="0" t="0" r="0" b="0"/>
                      <wp:wrapNone/>
                      <wp:docPr id="416" name="Frame416"/>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33985" cy="175260"/>
                      <wp:effectExtent l="0" t="0" r="0" b="0"/>
                      <wp:wrapNone/>
                      <wp:docPr id="418" name="Frame4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505460" cy="175260"/>
                      <wp:effectExtent l="0" t="0" r="0" b="0"/>
                      <wp:wrapNone/>
                      <wp:docPr id="419" name="Frame4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95935" cy="175260"/>
                      <wp:effectExtent l="0" t="0" r="0" b="0"/>
                      <wp:wrapNone/>
                      <wp:docPr id="422" name="Frame4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33985" cy="175260"/>
                      <wp:effectExtent l="0" t="0" r="0" b="0"/>
                      <wp:wrapNone/>
                      <wp:docPr id="424" name="Frame4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38785" cy="175260"/>
                      <wp:effectExtent l="0" t="0" r="0" b="0"/>
                      <wp:wrapNone/>
                      <wp:docPr id="425" name="Frame4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95935" cy="175260"/>
                      <wp:effectExtent l="0" t="0" r="0" b="0"/>
                      <wp:wrapNone/>
                      <wp:docPr id="428" name="Frame4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29" name="Frame4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62610" cy="175260"/>
                      <wp:effectExtent l="0" t="0" r="0" b="0"/>
                      <wp:wrapNone/>
                      <wp:docPr id="431" name="Frame43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42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(7,577)</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as of September 30,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September 30, 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111,241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87,768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685,207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bookmarkStart w:id="1585" w:name="Tc_j9ABOb7q702zKKoK6N-42g_16_0"/>
      <w:bookmarkStart w:id="1586" w:name="Tc_X4c7ywBepEWLwTshHEqKog_15_9"/>
      <w:bookmarkStart w:id="1587" w:name="Tc_XFg_T61OMEykZbGUSjfOxA_15_6"/>
      <w:bookmarkStart w:id="1588" w:name="Tc_ZPDH9CmWS0S8CmOZWgtHTg_15_0"/>
      <w:bookmarkStart w:id="1589" w:name="Tc_FrX-Spk-SUaQpW2cN964Xw_14_0"/>
      <w:bookmarkStart w:id="1590" w:name="Tc_FUmC-N0J3Ea-IM39cUSnjg_12_0"/>
      <w:bookmarkStart w:id="1591" w:name="Tc_M49goh-450uVaCztsqQfiQ_11_9"/>
      <w:bookmarkStart w:id="1592" w:name="Tc_fWaxpkL5X0CMYeLrwzHJug_11_6"/>
      <w:bookmarkStart w:id="1593" w:name="Tc_vMZ64dlSeEiru3nOZHo53w_11_0"/>
      <w:bookmarkStart w:id="1594" w:name="Tc_3SH5tlKBgkuQukqeTVauSA_10_6"/>
      <w:bookmarkStart w:id="1595" w:name="Tc_ZyUVID4uQEuXcSqqR3b-ZQ_10_0"/>
      <w:bookmarkStart w:id="1596" w:name="Tc_7CEPThv1zkCOjm92-Zi-jQ_9_0"/>
      <w:bookmarkStart w:id="1597" w:name="Tc_omHwsE_OU0CTdcDmbNSICw_8_6"/>
      <w:bookmarkStart w:id="1598" w:name="Tc_pCQZgWyKtE-f7FTeo9DzeA_8_0"/>
      <w:bookmarkStart w:id="1599" w:name="Tc_yCROwfbq-UiN6PiB8KZ3rA_7_9"/>
      <w:bookmarkStart w:id="1600" w:name="Tc_zL73oqR-AEi8lAEGjeKGdQ_7_0"/>
      <w:bookmarkStart w:id="1601" w:name="Tc_UFhCEyyMPkqXKJPme6adQg_6_12"/>
      <w:bookmarkStart w:id="1602" w:name="Tc__-XXkSNQvkGQi7rhTSwkdA_6_9"/>
      <w:bookmarkStart w:id="1603" w:name="Tc_Rdha6FWB0EC6qkv_9aV7cA_6_6"/>
      <w:bookmarkStart w:id="1604" w:name="Tc_cOmKtjvjDE-udJwbn8Bj9g_6_0"/>
      <w:bookmarkStart w:id="1605" w:name="Tc_F5RIVqPsZEWqReivUQ9FpQ_5_6"/>
      <w:bookmarkStart w:id="1606" w:name="Tc_lktHNC6E9UKzBCv7SGIi3Q_5_0"/>
      <w:bookmarkStart w:id="1607" w:name="Tc_oKqJOy9ldEO5X9WNmY3MdA_4_0"/>
      <w:bookmarkStart w:id="1608" w:name="Tc_KfD39JrjC0ayf9-0674uAQ_3_14"/>
      <w:bookmarkStart w:id="1609" w:name="Tc_TQ-__8oSgk6_uUmc_Ow-uA_3_11"/>
      <w:bookmarkStart w:id="1610" w:name="Tc_n_yEvJOQjkOPUuXCennndQ_3_8"/>
      <w:bookmarkStart w:id="1611" w:name="Tc_1RUYcB3Ulke1q3HZDr8K7A_3_6"/>
      <w:bookmarkStart w:id="1612" w:name="Tc_HMFYIcEadkGNNVefqQCJ6g_3_5"/>
      <w:bookmarkStart w:id="1613" w:name="Tc_kg-SemRmyEOh24EaUrVFzQ_3_2"/>
      <w:bookmarkStart w:id="1614" w:name="Tc_6MNtN7z54UClqkm-j3M58w_3_0"/>
      <w:bookmarkStart w:id="1615" w:name="Tc_SjivgxZv-ECJ_Un395BjsQ_2_14"/>
      <w:bookmarkStart w:id="1616" w:name="Tc_0QCQ8XnoEEWZNasZmZcUtg_2_11"/>
      <w:bookmarkStart w:id="1617" w:name="Tc_qBG9c9xT40GzvcxyeFPFXQ_2_8"/>
      <w:bookmarkStart w:id="1618" w:name="Tc_3oICLkGzPkiZwQ3jug8pmg_2_5"/>
      <w:bookmarkStart w:id="1619" w:name="Tc_AIKwuIC_uk-IdbLaizz7hw_2_2"/>
      <w:bookmarkStart w:id="1620" w:name="Tc_0Df-5dcsXk-J1cwMAsR_og_1_2"/>
      <w:bookmarkStart w:id="1621" w:name="_ed8356f9_1533_4c6b_9f92_c1ef6599ea20"/>
      <w:bookmarkStart w:id="1622" w:name="Tc_lLQU6NfAXk67WhCKYwwYYw_16_0"/>
      <w:bookmarkStart w:id="1623" w:name="Tc_BLQCwHjigkaDJe4WrOQnFg_15_9"/>
      <w:bookmarkStart w:id="1624" w:name="Tc__KGojHmenEKnRb7RX_YBow_15_6"/>
      <w:bookmarkStart w:id="1625" w:name="Tc_OYUfv9xu5kaiBILTlHWwag_15_0"/>
      <w:bookmarkStart w:id="1626" w:name="Tc_rLHoO_8CaUmG8VJWLe7Ing_14_0"/>
      <w:bookmarkStart w:id="1627" w:name="Tc_v_tMkDdVek6Xiq4NssFPlA_12_0"/>
      <w:bookmarkStart w:id="1628" w:name="Tc_DMCVRODeRky7RJQIXkiTyg_11_9"/>
      <w:bookmarkStart w:id="1629" w:name="Tc_cUZOVKrTHk6gNqkPRYR0Yg_11_6"/>
      <w:bookmarkStart w:id="1630" w:name="Tc_VTmlFmWIXk2jTTeTjWtY2g_11_0"/>
      <w:bookmarkStart w:id="1631" w:name="Tc_jK_yw8XcI02AkGyDfWE3rA_10_6"/>
      <w:bookmarkStart w:id="1632" w:name="Tc_GDxh6fMP0k6JSdUHMVPVvQ_10_0"/>
      <w:bookmarkStart w:id="1633" w:name="Tc_9fFuaVK2tk-7ZSVZCi9I6g_9_0"/>
      <w:bookmarkStart w:id="1634" w:name="Tc_0Pa7xpOLeEy-IBbKYjqIXg_8_6"/>
      <w:bookmarkStart w:id="1635" w:name="Tc_gYBJndp2OEWbl7BPbo_Z2A_8_0"/>
      <w:bookmarkStart w:id="1636" w:name="Tc_oP_LzEMmbEaA0gdJCefGzg_7_9"/>
      <w:bookmarkStart w:id="1637" w:name="Tc_kPaGYBCT90SfJ7qUskbISA_7_0"/>
      <w:bookmarkStart w:id="1638" w:name="Tc_XkKNKwXbCE2qe_TXvX-yCA_6_9"/>
      <w:bookmarkStart w:id="1639" w:name="Tc_OF5fYJn4UEi9JK2dGBIi_w_6_6"/>
      <w:bookmarkStart w:id="1640" w:name="Tc__zv47Ds7ckeGCjCqRLZmNg_6_0"/>
      <w:bookmarkStart w:id="1641" w:name="Tc_WXJW2ElIOUucQBQsUmPw0g_5_6"/>
      <w:bookmarkStart w:id="1642" w:name="Tc_OUkdfXqQK0-lMOGFU2Tmww_5_0"/>
      <w:bookmarkStart w:id="1643" w:name="Tc_UJ2jJ1Trp0mH77xRmpPg1g_4_0"/>
      <w:bookmarkStart w:id="1644" w:name="Tc_c2yk2rQOd0ypOYJNcG9qJg_3_11"/>
      <w:bookmarkStart w:id="1645" w:name="Tc_xDnkek2AR0uBd8tPnJfaQA_3_8"/>
      <w:bookmarkStart w:id="1646" w:name="Tc_yUP8VqlBwUGvyscfEi3Iuw_3_6"/>
      <w:bookmarkStart w:id="1647" w:name="Tc_lunv_XDg_k-4DtdANBAoBQ_3_5"/>
      <w:bookmarkStart w:id="1648" w:name="Tc_crc2XyKZNkSLpgp8_Vw-uQ_3_2"/>
      <w:bookmarkStart w:id="1649" w:name="Tc_HKX8rLh22UWjV0iUvQCeoA_3_0"/>
      <w:bookmarkStart w:id="1650" w:name="Tc_gRrkkWBY3UypoYK3rMaFDQ_2_11"/>
      <w:bookmarkStart w:id="1651" w:name="Tc_Da7tLvUcPUKXroamOqSwzg_2_8"/>
      <w:bookmarkStart w:id="1652" w:name="Tc_roU420koR0yh9tRsMH-eWg_2_5"/>
      <w:bookmarkStart w:id="1653" w:name="Tc_StmOZ5Q8FU-USxLkajqBaQ_2_2"/>
      <w:bookmarkStart w:id="1654" w:name="Tc_lsgyWUHjZ0-0sRFUJboeag_1_2"/>
      <w:bookmarkStart w:id="1655" w:name="_3125c270_fdb2_4ac2_a6ae_12e80a262b3d"/>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r>
        <w:rPr/>
        <w:t>​</w:t>
      </w:r>
    </w:p>
    <w:tbl>
      <w:tblPr>
        <w:tblW w:w="9218" w:type="dxa"/>
        <w:jc w:val="left"/>
        <w:tblInd w:w="0" w:type="dxa"/>
        <w:tblLayout w:type="fixed"/>
        <w:tblCellMar>
          <w:top w:w="0" w:type="dxa"/>
          <w:left w:w="0" w:type="dxa"/>
          <w:bottom w:w="0" w:type="dxa"/>
          <w:right w:w="0" w:type="dxa"/>
        </w:tblCellMar>
      </w:tblPr>
      <w:tblGrid>
        <w:gridCol w:w="3916"/>
        <w:gridCol w:w="326"/>
        <w:gridCol w:w="211"/>
        <w:gridCol w:w="796"/>
        <w:gridCol w:w="326"/>
        <w:gridCol w:w="211"/>
        <w:gridCol w:w="781"/>
        <w:gridCol w:w="326"/>
        <w:gridCol w:w="211"/>
        <w:gridCol w:w="691"/>
        <w:gridCol w:w="326"/>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486660" cy="175260"/>
                      <wp:effectExtent l="0" t="0" r="0" b="0"/>
                      <wp:wrapNone/>
                      <wp:docPr id="432" name="Frame432"/>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05460" cy="175260"/>
                      <wp:effectExtent l="0" t="0" r="0" b="0"/>
                      <wp:wrapNone/>
                      <wp:docPr id="435" name="Frame4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38785" cy="175260"/>
                      <wp:effectExtent l="0" t="0" r="0" b="0"/>
                      <wp:wrapNone/>
                      <wp:docPr id="441" name="Frame4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62610" cy="175260"/>
                      <wp:effectExtent l="0" t="0" r="0" b="0"/>
                      <wp:wrapNone/>
                      <wp:docPr id="444" name="Frame44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97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14,773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3,817</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9,751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December 31, 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297,979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583,941</w:t>
            </w:r>
          </w:p>
        </w:tc>
      </w:tr>
    </w:tbl>
    <w:p>
      <w:pPr>
        <w:pStyle w:val="TextBody"/>
        <w:bidi w:val="0"/>
        <w:spacing w:before="0" w:after="240"/>
        <w:ind w:left="0" w:right="0" w:hanging="0"/>
        <w:jc w:val="left"/>
        <w:rPr/>
      </w:pPr>
      <w:r>
        <w:rPr/>
        <w:t>​</w:t>
      </w:r>
    </w:p>
    <w:tbl>
      <w:tblPr>
        <w:tblW w:w="9451" w:type="dxa"/>
        <w:jc w:val="left"/>
        <w:tblInd w:w="0" w:type="dxa"/>
        <w:tblLayout w:type="fixed"/>
        <w:tblCellMar>
          <w:top w:w="0" w:type="dxa"/>
          <w:left w:w="0" w:type="dxa"/>
          <w:bottom w:w="0" w:type="dxa"/>
          <w:right w:w="0" w:type="dxa"/>
        </w:tblCellMar>
      </w:tblPr>
      <w:tblGrid>
        <w:gridCol w:w="3916"/>
        <w:gridCol w:w="109"/>
        <w:gridCol w:w="211"/>
        <w:gridCol w:w="796"/>
        <w:gridCol w:w="109"/>
        <w:gridCol w:w="211"/>
        <w:gridCol w:w="781"/>
        <w:gridCol w:w="109"/>
        <w:gridCol w:w="211"/>
        <w:gridCol w:w="691"/>
        <w:gridCol w:w="109"/>
        <w:gridCol w:w="211"/>
        <w:gridCol w:w="781"/>
        <w:gridCol w:w="109"/>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486660" cy="175260"/>
                      <wp:effectExtent l="0" t="0" r="0" b="0"/>
                      <wp:wrapNone/>
                      <wp:docPr id="445" name="Frame445"/>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215" cy="175260"/>
                      <wp:effectExtent l="0" t="0" r="0" b="0"/>
                      <wp:wrapNone/>
                      <wp:docPr id="446" name="Frame4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505460" cy="175260"/>
                      <wp:effectExtent l="0" t="0" r="0" b="0"/>
                      <wp:wrapNone/>
                      <wp:docPr id="448" name="Frame44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9215" cy="175260"/>
                      <wp:effectExtent l="0" t="0" r="0" b="0"/>
                      <wp:wrapNone/>
                      <wp:docPr id="449" name="Frame4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95935" cy="175260"/>
                      <wp:effectExtent l="0" t="0" r="0" b="0"/>
                      <wp:wrapNone/>
                      <wp:docPr id="451" name="Frame4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9215" cy="175260"/>
                      <wp:effectExtent l="0" t="0" r="0" b="0"/>
                      <wp:wrapNone/>
                      <wp:docPr id="452" name="Frame4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38785" cy="175260"/>
                      <wp:effectExtent l="0" t="0" r="0" b="0"/>
                      <wp:wrapNone/>
                      <wp:docPr id="454" name="Frame4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9215" cy="175260"/>
                      <wp:effectExtent l="0" t="0" r="0" b="0"/>
                      <wp:wrapNone/>
                      <wp:docPr id="455" name="Frame4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95935" cy="175260"/>
                      <wp:effectExtent l="0" t="0" r="0" b="0"/>
                      <wp:wrapNone/>
                      <wp:docPr id="457" name="Frame4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9215" cy="175260"/>
                      <wp:effectExtent l="0" t="0" r="0" b="0"/>
                      <wp:wrapNone/>
                      <wp:docPr id="458" name="Frame4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562610" cy="175260"/>
                      <wp:effectExtent l="0" t="0" r="0" b="0"/>
                      <wp:wrapNone/>
                      <wp:docPr id="460" name="Frame4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542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3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GevoND</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98,221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115,232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100,705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(49,297)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(12,846)</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(26,621)</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as of September 30,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September 30, 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111,241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228,610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87,768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685,207</w:t>
            </w:r>
          </w:p>
        </w:tc>
      </w:tr>
    </w:tbl>
    <w:p>
      <w:pPr>
        <w:pStyle w:val="TextBody"/>
        <w:bidi w:val="0"/>
        <w:spacing w:before="0" w:after="24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56" w:name="Tc_g4zTPTAQiUS0_HcfeqQwkw_16_0"/>
      <w:bookmarkStart w:id="1657" w:name="Tc_-zq23S2wBU-NS03p2IpGow_15_9"/>
      <w:bookmarkStart w:id="1658" w:name="Tc_kRLexyXexE2HZrkyXMiH5w_15_6"/>
      <w:bookmarkStart w:id="1659" w:name="Tc_LPjk5zUvOEqt7X7yT52lBw_15_0"/>
      <w:bookmarkStart w:id="1660" w:name="Tc_DMInbTeEK0-cS3ysYqHlDQ_14_0"/>
      <w:bookmarkStart w:id="1661" w:name="Tc_OQvbOo84u0irkBtE8cTNuQ_12_0"/>
      <w:bookmarkStart w:id="1662" w:name="Tc_-8qvAbhR00iz6Zkg46-FvQ_11_9"/>
      <w:bookmarkStart w:id="1663" w:name="Tc_yyNm8KypXUW288Wg58daSw_11_6"/>
      <w:bookmarkStart w:id="1664" w:name="Tc_oa1BdLb-SEqcZyOtgAciQA_11_0"/>
      <w:bookmarkStart w:id="1665" w:name="Tc_eaMMx9TdXUOUvzMvz8wU6g_10_6"/>
      <w:bookmarkStart w:id="1666" w:name="Tc_b1qm697gi0eXwWi2IxpIog_10_0"/>
      <w:bookmarkStart w:id="1667" w:name="Tc_Csfv-F6tV0uaq4Q8u7vFGQ_9_0"/>
      <w:bookmarkStart w:id="1668" w:name="Tc_kr-D6RV1kku6hEZg5LI1NA_8_6"/>
      <w:bookmarkStart w:id="1669" w:name="Tc_N8k9sjd4mE-bXsJ-rcojxg_8_0"/>
      <w:bookmarkStart w:id="1670" w:name="Tc_9f_K6OdjO0aoThoTWzvd8A_7_9"/>
      <w:bookmarkStart w:id="1671" w:name="Tc_C6WzyszxmEiWlZaAjhpsAA_7_0"/>
      <w:bookmarkStart w:id="1672" w:name="Tc_cJYkYjGvkkC_ZP3YBL0KbA_6_9"/>
      <w:bookmarkStart w:id="1673" w:name="Tc_wa0uFPUIxUKXCofJruirhg_6_6"/>
      <w:bookmarkStart w:id="1674" w:name="Tc_QrhDdYbbVEq58QJkkSFf1w_6_0"/>
      <w:bookmarkStart w:id="1675" w:name="Tc_IaItXHnNpUGcVKpoztrV0w_5_6"/>
      <w:bookmarkStart w:id="1676" w:name="Tc_r9d2sg7gaUW4vMt2_Eh0cw_5_0"/>
      <w:bookmarkStart w:id="1677" w:name="Tc_BYMS0tfJWU2gbuZXs28y_A_4_0"/>
      <w:bookmarkStart w:id="1678" w:name="Tc_R-tGm0ADwkCs82a2frNpOg_3_11"/>
      <w:bookmarkStart w:id="1679" w:name="Tc_C_09YzD8J0-0DA4t21R4Nw_3_8"/>
      <w:bookmarkStart w:id="1680" w:name="Tc_BC26Y0lk00CU01_sS7drTQ_3_6"/>
      <w:bookmarkStart w:id="1681" w:name="Tc_pYm3BsIl5E6f6y-ICfFEng_3_5"/>
      <w:bookmarkStart w:id="1682" w:name="Tc_NjCuA41JykOxq9WvxYb74g_3_2"/>
      <w:bookmarkStart w:id="1683" w:name="Tc_BJC1BDkeD0iYV5tS57km_Q_3_0"/>
      <w:bookmarkStart w:id="1684" w:name="Tc_5pxCpc0-kECALwOMGZjKjg_2_11"/>
      <w:bookmarkStart w:id="1685" w:name="Tc_oK7ebQrXu0yTRhuiZbkkpQ_2_8"/>
      <w:bookmarkStart w:id="1686" w:name="Tc_CDp3OxpFwEm1qJAQOIfHEw_2_5"/>
      <w:bookmarkStart w:id="1687" w:name="Tc_3tHqn-WfN0uI6tLezeaCMg_2_2"/>
      <w:bookmarkStart w:id="1688" w:name="Tc_w80Gpnj5WEWtQVe0v37PvA_1_2"/>
      <w:bookmarkStart w:id="1689" w:name="_bfa8eaaa_4d99_4268_ae7a_1d0e46d2bc1b"/>
      <w:bookmarkStart w:id="1690" w:name="Tc_g4zTPTAQiUS0_HcfeqQwkw_16_0"/>
      <w:bookmarkStart w:id="1691" w:name="Tc_-zq23S2wBU-NS03p2IpGow_15_9"/>
      <w:bookmarkStart w:id="1692" w:name="Tc_kRLexyXexE2HZrkyXMiH5w_15_6"/>
      <w:bookmarkStart w:id="1693" w:name="Tc_LPjk5zUvOEqt7X7yT52lBw_15_0"/>
      <w:bookmarkStart w:id="1694" w:name="Tc_DMInbTeEK0-cS3ysYqHlDQ_14_0"/>
      <w:bookmarkStart w:id="1695" w:name="Tc_OQvbOo84u0irkBtE8cTNuQ_12_0"/>
      <w:bookmarkStart w:id="1696" w:name="Tc_-8qvAbhR00iz6Zkg46-FvQ_11_9"/>
      <w:bookmarkStart w:id="1697" w:name="Tc_yyNm8KypXUW288Wg58daSw_11_6"/>
      <w:bookmarkStart w:id="1698" w:name="Tc_oa1BdLb-SEqcZyOtgAciQA_11_0"/>
      <w:bookmarkStart w:id="1699" w:name="Tc_eaMMx9TdXUOUvzMvz8wU6g_10_6"/>
      <w:bookmarkStart w:id="1700" w:name="Tc_b1qm697gi0eXwWi2IxpIog_10_0"/>
      <w:bookmarkStart w:id="1701" w:name="Tc_Csfv-F6tV0uaq4Q8u7vFGQ_9_0"/>
      <w:bookmarkStart w:id="1702" w:name="Tc_kr-D6RV1kku6hEZg5LI1NA_8_6"/>
      <w:bookmarkStart w:id="1703" w:name="Tc_N8k9sjd4mE-bXsJ-rcojxg_8_0"/>
      <w:bookmarkStart w:id="1704" w:name="Tc_9f_K6OdjO0aoThoTWzvd8A_7_9"/>
      <w:bookmarkStart w:id="1705" w:name="Tc_C6WzyszxmEiWlZaAjhpsAA_7_0"/>
      <w:bookmarkStart w:id="1706" w:name="Tc_cJYkYjGvkkC_ZP3YBL0KbA_6_9"/>
      <w:bookmarkStart w:id="1707" w:name="Tc_wa0uFPUIxUKXCofJruirhg_6_6"/>
      <w:bookmarkStart w:id="1708" w:name="Tc_QrhDdYbbVEq58QJkkSFf1w_6_0"/>
      <w:bookmarkStart w:id="1709" w:name="Tc_IaItXHnNpUGcVKpoztrV0w_5_6"/>
      <w:bookmarkStart w:id="1710" w:name="Tc_r9d2sg7gaUW4vMt2_Eh0cw_5_0"/>
      <w:bookmarkStart w:id="1711" w:name="Tc_BYMS0tfJWU2gbuZXs28y_A_4_0"/>
      <w:bookmarkStart w:id="1712" w:name="Tc_R-tGm0ADwkCs82a2frNpOg_3_11"/>
      <w:bookmarkStart w:id="1713" w:name="Tc_C_09YzD8J0-0DA4t21R4Nw_3_8"/>
      <w:bookmarkStart w:id="1714" w:name="Tc_BC26Y0lk00CU01_sS7drTQ_3_6"/>
      <w:bookmarkStart w:id="1715" w:name="Tc_pYm3BsIl5E6f6y-ICfFEng_3_5"/>
      <w:bookmarkStart w:id="1716" w:name="Tc_NjCuA41JykOxq9WvxYb74g_3_2"/>
      <w:bookmarkStart w:id="1717" w:name="Tc_BJC1BDkeD0iYV5tS57km_Q_3_0"/>
      <w:bookmarkStart w:id="1718" w:name="Tc_5pxCpc0-kECALwOMGZjKjg_2_11"/>
      <w:bookmarkStart w:id="1719" w:name="Tc_oK7ebQrXu0yTRhuiZbkkpQ_2_8"/>
      <w:bookmarkStart w:id="1720" w:name="Tc_CDp3OxpFwEm1qJAQOIfHEw_2_5"/>
      <w:bookmarkStart w:id="1721" w:name="Tc_3tHqn-WfN0uI6tLezeaCMg_2_2"/>
      <w:bookmarkStart w:id="1722" w:name="Tc_w80Gpnj5WEWtQVe0v37PvA_1_2"/>
      <w:bookmarkStart w:id="1723" w:name="_bfa8eaaa_4d99_4268_ae7a_1d0e46d2bc1b"/>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p>
    <w:tbl>
      <w:tblPr>
        <w:tblW w:w="9218" w:type="dxa"/>
        <w:jc w:val="left"/>
        <w:tblInd w:w="0" w:type="dxa"/>
        <w:tblLayout w:type="fixed"/>
        <w:tblCellMar>
          <w:top w:w="0" w:type="dxa"/>
          <w:left w:w="0" w:type="dxa"/>
          <w:bottom w:w="0" w:type="dxa"/>
          <w:right w:w="0" w:type="dxa"/>
        </w:tblCellMar>
      </w:tblPr>
      <w:tblGrid>
        <w:gridCol w:w="3916"/>
        <w:gridCol w:w="326"/>
        <w:gridCol w:w="211"/>
        <w:gridCol w:w="796"/>
        <w:gridCol w:w="326"/>
        <w:gridCol w:w="211"/>
        <w:gridCol w:w="781"/>
        <w:gridCol w:w="326"/>
        <w:gridCol w:w="211"/>
        <w:gridCol w:w="691"/>
        <w:gridCol w:w="326"/>
        <w:gridCol w:w="211"/>
        <w:gridCol w:w="88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486660" cy="175260"/>
                      <wp:effectExtent l="0" t="0" r="0" b="0"/>
                      <wp:wrapNone/>
                      <wp:docPr id="461" name="Frame46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05460" cy="175260"/>
                      <wp:effectExtent l="0" t="0" r="0" b="0"/>
                      <wp:wrapNone/>
                      <wp:docPr id="464" name="Frame4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95935" cy="175260"/>
                      <wp:effectExtent l="0" t="0" r="0" b="0"/>
                      <wp:wrapNone/>
                      <wp:docPr id="467" name="Frame4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38785" cy="175260"/>
                      <wp:effectExtent l="0" t="0" r="0" b="0"/>
                      <wp:wrapNone/>
                      <wp:docPr id="470" name="Frame4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1"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72" name="Frame4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62610" cy="175260"/>
                      <wp:effectExtent l="0" t="0" r="0" b="0"/>
                      <wp:wrapNone/>
                      <wp:docPr id="473" name="Frame47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97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GevoFuels</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GevoRNG</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and other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46,221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(71,178)</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12,504</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(49,765)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r>
      <w:tr>
        <w:trPr/>
        <w:tc>
          <w:tcPr>
            <w:tcW w:w="3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36,459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as of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as of December 31, 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297,979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208,309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583,941</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24. 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November 5, 2025, the Company announced that it had contracted for the sale of the remaining 2025 from its Gevo North Dakota facility for a total of $30.0 million worth of credits to Stifel Financial Corp and Capital Community Bank.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November 4, 2025, the Company completed the previously announced sale of Agri to A.E.. The sale includes Agri’s 18- million gallon per year ethanol production facility and a portion of the adjacent land in Luverne, Minnesota. The sales price is comprised of $2.0 million in cash and a $5.0 million note receivable. The sale of the plant is expected to save approximately $2.0 million per year in idle facility costs. The Company has retained ownership of the majority of the isobutanol production assets onsite and approximately 30 acres of land adjacent to the ethanol facility.</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724" w:name="Item2ManagementsDiscussionandAnalysisofF"/>
      <w:bookmarkStart w:id="1725" w:name="_f64a5421_82d4_4a78_94b9_426089afa9c2"/>
      <w:bookmarkEnd w:id="1724"/>
      <w:bookmarkEnd w:id="1725"/>
      <w:r>
        <w:rPr>
          <w:rFonts w:ascii="Times New Roman;Times;serif" w:hAnsi="Times New Roman;Times;serif"/>
          <w:b/>
          <w:sz w:val="20"/>
        </w:rPr>
        <w:t>Item 2. Management’s Discussion and Analysis of Financial Condition and Results of Operations.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21-E of the Securities Exchange Act of 1934, as amended (the “Exchange Act”). When used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revenues, results of operation and liquidity, our expectations regarding the financing, development, and construction of our projects, and the associated costs, our ability to produce our products, our expectations regarding the demand for our products and our ability to meet such demand, our ability to meet production, financial and operational guidance, our strategy to pursue low-carbon or “net zero” carbon renewable fuels, our ability to replace our fossil-based energy sources with renewable energy sources at our Alcohol-to-Jet Projects and elsewhere, our expectations regarding jet fuel consumption, our expectations regarding the location, start-up date and production results for our Alcohol-to-Jet (“ATJ”) Projects, our expectations regarding the anticipated benefits of our acquisition of the majority of the assets of Red Trail Energy, LLC (“Red Trail Energy”) and the impact thereof on our financial results and operations, our expectations regarding the benefits of ETO (as defined below) technology, our expectations regarding our ability to produce and the anticipated benefits of renewable liquid hydrocarbons, our expectations regarding our ability to produce and resell protein and other products for use in the food chain, our ability and plans to construct greenfield commercial hydrocarbon facilities to produce synthetic aviation fuel (“SAF”) and other products, our ability to raise additional funds to finance our business and the sources of those funds, our ability to successfully operate our renewable natural gas (“RNG”) facilities in Iowa and our expectations regarding levels of RNG production,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and revenue to be generated from the sale of carbon credits, our expectations regarding reimbursement of costs incurred under the USDA Grant (defined below), the expected cost-competitiveness and relative performance attributes of our products, our strategy to pursue alcohol-to-jet development and production, additional competition, the expected sale of Agri-Energy, LLC and the timing thereof, and changes in economic conditions. Important factors could cause actual results to differ materially from those indicated or implied by forward-looking statements such as those contained in documents we have filed with the United States (“U.S.”) Securities and Exchange Commission (the “SEC”), including this Report in Item 2. “Management’s Discussion and Analysis of Financial Condition and Results of Operations,” our Annual Report on Form 10-K for the year ended December 31, 2024 (our “2024 Annual Report”), including Item 1A. “Risk Factors” of our 2024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“Company” refer to Gevo, Inc. and its wholly owned, direct and indirect subsidiaries.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condensed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2024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 growth-oriented company that focuses on hard to decarbonize market sectors such as jet fuel, certain specialty fuels, on-road fuels, chemicals and materials, and certain products for the food chain such as protein and feeds made as co-products from our processes. Each of the market areas that Gevo focuses on has the common need for carbon-based products and is not conducive to full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electrification or hydrogen. We produce and sell competitively priced, renewable, drop-in products for these sectors, and generate carbon abatement value through our plant design and business systems. Carbon abatement value can be valorized via Renewable Identification Numbers (“RINs”), state credits, tax credits available under the Inflation Reduction Act (“IRA”) and One Big Beautiful Bill Act (“OBBBA”), Canada’s Clean Fuel Regulations (“CFR”) and the value of Scope 3 greenhouse gas (“GHG”) emissions for end customers. Gevo is primarily a project development, investment, and technology company, which also holds certain operating assets with the intent of generating cash flow.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primary market focus, given the large demand and growing customer interest, is carbon abated hydrocarbon fuels, including jet fuel. We believe that jet fuel produced from an ATJ process is the most economically viable approach to meet growing jet fuel demand and to generate value from carbon abatement. We also have commercial opportunities for other renewable hydrocarbon products, such as RNG; hydrocarbons for gasoline and racing fuel blendstocks and diesel fuel; ingredients for the chemical industry, such as ethylene and butenes for plastics and materials; and other chemicals. With our facility in North Dakota (“GevoND”), which specializes in the production of ethanol and feed co-products from corn and sequestering carbon through its carbon capture and sequestration asset, we have expanded our capabilities in the biofuels and carbon marketing sector. GevoND complements our renewable fuels strategy and enhances our ability to provide sustainable fuel alternatives and carbon sequestration, supporting our broader goal of diversifying valuable product streams.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the United States, we believe that the most practical economical feedstock to make jet fuel and other hydrocarbons are plant sugars from non-food corn. During processing, the corn kernels’ sugars (carbohydrates) are converted into ethanol, and the resulting protein and oil fractions are captured and marketed as valuable co-products. The ethanol can then be converted into jet fuel through a series of catalytic chemical process steps. For its initial series of ATJ plants, Gevo uses commercially proven process steps, and optimizes them into an overall design that creates high selectivity of products, and minimizes energy use in the integrated plant. The jet fuel and diesel products are drop-in fuels that meet standard specifications. In addition to meeting standard fuels specifications, production of the fuels also create the attributes of carbon removal and carbon abatement. In other words, it is possible through Gevo process designs, carbon sequestration, and energy sourcing to produce jet fuel that can achieve a zero or even negative footprint across the whole life cycle. Market demand for jet fuel continues to increase, and the Company’s technologies are designed to produce economical, sustainable fuel that may help address this demand. In addition, global interest in carbon abatement and removal is growing, and the Company’s processes are designed to enable participation in this evolving market.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use the Argonne National Laboratory’s Greenhouse gases, Regulated Emissions, and Energy use in Transportation model (the “GREET Model”) to measure, predict and verify GHG emissions across the life cycle of our products. Gevo expects that by using sustainably grown feedstock (e.g., low till, no-till cultivation, ethanol and other alcohols) and renewable and substantially decarbonized energy sources, drop-in hydrocarbon fuels can be produced that have a reduced or eliminated full life cycle footprint measured from the capture of renewable carbon through the burning of the fuel. This is because such feedstocks come from crops, which take carbon dioxide out of the atmosphere and convert it into biomass through photosynthesis. This yields vital amino acid nutrients, or protein, that humans and animals can consume, as well as vegetable oil and carbohydrates, or sugar. The plant sugar may be fermented with microorganisms to produce a clean alcohol suitable for on-road fuels, or for further industrial scale chemical processing into hydrocarbons. Given the overabundance of plant-derived sugar, the growing unmet demand for drop-in, renewable hydrocarbons such as jet fuel, and the availability of demonstrated industrial-scale technologies that can convert plant sugars to alcohols and then to hydrocarbons, we view our projects as first movers in an attractive, scalable new industry connecting this overabundance of plant sugar to unmet demand for products such as low-carbon ethanol, nutrients and jet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 has put together the business system for producing and marketing jet fuel via the ATJ platform with the intent of offering this system to other producers of jet fuel.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ATJ platform includes:</w:t>
      </w:r>
    </w:p>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engineering design of modular alcohol-to-jet process and associated outside battery limits processes</w:t>
            </w:r>
          </w:p>
        </w:tc>
      </w:tr>
    </w:tbl>
    <w:tbl>
      <w:tblPr>
        <w:tblW w:w="2931" w:type="dxa"/>
        <w:jc w:val="left"/>
        <w:tblInd w:w="0" w:type="dxa"/>
        <w:tblLayout w:type="fixed"/>
        <w:tblCellMar>
          <w:top w:w="28" w:type="dxa"/>
          <w:left w:w="28" w:type="dxa"/>
          <w:bottom w:w="28" w:type="dxa"/>
          <w:right w:w="28" w:type="dxa"/>
        </w:tblCellMar>
      </w:tblPr>
      <w:tblGrid>
        <w:gridCol w:w="124"/>
        <w:gridCol w:w="256"/>
        <w:gridCol w:w="2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Modular alcohol-to-jet plants</w:t>
            </w:r>
          </w:p>
        </w:tc>
      </w:tr>
    </w:tbl>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of products including SAF and carbon credits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intensity tracking through the supply chain</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Carbon intensity ‘engineering’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Feedstock sourcing including identification of preferred feedstocks to serve the SAF market and tracking of those feedstocks through the supply chain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Decarbonized process energy selection and sourcing</w:t>
            </w:r>
          </w:p>
        </w:tc>
      </w:tr>
    </w:tbl>
    <w:p>
      <w:pPr>
        <w:pStyle w:val="TextBody"/>
        <w:bidi w:val="0"/>
        <w:spacing w:lineRule="auto" w:line="328"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 has an intellectual property portfolio consisting of hundreds of patents, many of which center around our ATJ platform, as well as proprietary know-how. In addition, we have partnered with other leading global technology companies to develop this system focused on two standard sizes, 30 and 60 million gallons per year (“MMGPY”) of SAF, referred to as ATJ-30 and ATJ-60, respectively. It is our intent to deploy ATJ-30 at our GevoND site. ATJ-30 would upgrade the low-carbon ethanol already produced onsite to SAF.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GevoND.</w:t>
      </w:r>
      <w:r>
        <w:rPr>
          <w:rFonts w:ascii="Times New Roman;Times;serif" w:hAnsi="Times New Roman;Times;serif"/>
          <w:sz w:val="20"/>
        </w:rPr>
        <w:t xml:space="preserve"> Gevo through certain of its subsidiaries, acquired substantially all of the assets and assumed certain liabilities of Red Trail Energy on January 31, 2025, for a purchase price of $210 million, subject to customary adjustments, including a working capital adjustment. The transaction was funded through a combination of Gevo cash, and a $105 million senior secured term loan facility. Simultaneous with the closing of the transaction, Orion Infrastructure Capital (“OIC”), a U.S.-based private investment firm made a $5 million investment in the form of a redeemable non-controlling interest (“NCI”) in GevoND. This NCI is subject to a Put/Call option feature, which grants Gevo the right to call (purchase) the units held by OIC, and OIC the right to put (sell) the units to Gevo under certain conditions. These options are exercisable for a period of three years following the repayment of all outstanding debt under the credit agreement with OIC. As a result of the redeemable nature of this non-controlling interest, it has been classified as temporary equity on the Company’s Condensed Consolidated Balance Sheets.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acquired assets include an ethanol production plant, a carbon capture and storage well, and leases which give us rights to use additional pore space for carbon capture. The operational personnel of Red Trail Energy joined Gevo upon the closing of the acquisition. The acquired ethanol production facility converts corn into ethanol and distillers grains, a high-protein animal feed containing essential amino acid nutrients, and corn oil. The included carbon capture and sequestration (“CCS”) assets support Gevo’s broader carbon abatement goals, particularly in relation to its Renewable Jet Fuel Platform. We believe the acquisition strengthens Gevo’s growth trajectory by adding ethanol production, distillers grains, corn oil, and carbon dioxide removal (“CDR”) credit sales to our revenue stream, while also enhancing our capabilities in CCS and supporting our broader strategic efforts in SAF production which use low-carbon alcohol as a feedstock.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begun sales of the resultant carbon tax credits from our CCS asset in North Dakota. In June 2025, we executed an agreement to sell tax credits to generate cash flow for our North Dakota operation.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ATJ-30</w:t>
      </w:r>
      <w:r>
        <w:rPr>
          <w:rFonts w:ascii="Times New Roman;Times;serif" w:hAnsi="Times New Roman;Times;serif"/>
          <w:sz w:val="20"/>
        </w:rPr>
        <w:t>. We have duplicated and modified the ATJ-60 design into an ATJ-30 design which we expect will be deployed for our GevoND site, which would upgrade the low-carbon ethanol already produced onsite to jet fuel. We expect to continue engineering and development through 2025 and into 2026 before completing the front-end engineering design (“FEED”) phase of the project. At the end of FEED, we expect to have a capital estimate and schedule for the project. Because we began with the designs and know-how from the ATJ-60 project, we are able to shorten the time and costs to complete the development phase of the project. An ATJ-30 plant located at and integrated to our existing ethanol plant and carbon sequestration is our current primary focus for jet fuel commercialization.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ATJ-60.</w:t>
      </w:r>
      <w:r>
        <w:rPr>
          <w:rFonts w:ascii="Times New Roman;Times;serif" w:hAnsi="Times New Roman;Times;serif"/>
          <w:sz w:val="20"/>
        </w:rPr>
        <w:t xml:space="preserve"> ATJ-60 is designed to produce approximately 65 MMGPY of total hydrocarbon volumes, including 60 MMGPY of SAF. The liquid hydrocarbons, when burned, are expected to have a “net zero” GHG footprint. Along with the hydrocarbons, ATJ-60 is expected to produce approximately 1.3 billion pounds per year of high-value protein products for use in the food chain and approximately 30 million pounds per year of corn oil</w:t>
      </w:r>
      <w:r>
        <w:rPr>
          <w:rFonts w:ascii="Times New Roman;Times;serif" w:hAnsi="Times New Roman;Times;serif"/>
          <w:sz w:val="20"/>
          <w:shd w:fill="FFFFFF" w:val="clear"/>
        </w:rPr>
        <w:t>.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 In connection with the planned construction of Gevo’s ATJ-60 SAF facility, Gevo commissioned an analysis by Charles River Associates, which estimated that the facility will contribute approximately $116 million annually to the local economy, generating 100 direct jobs at the plant and creating an additional 736 local jobs. Furthermore, the analysis estimated that (i) the construction phase of the ATJ-60 facility is projected to provide a temporary $184 million economic boost and support 1,266 jobs; and (ii) the facility is expected to generate $1.82 per gallon of SAF produced in local economic value and contribute an estimated $23 million annually in federal tax revenue. However, given the uncertainty associated with the Summit Carbon Solutions pipeline for carbon sequestration, this project is currently on hold.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currently expect to finance the construction of ATJ plants at the subsidiary level using a combination of Company equity, and capital from project level equity and debt financing. Cash distributions from future ATJ plant earnings would be proportionate to Gevo’s ownership in such plants under this expected financing structure. The use of project debt and third-party equity allows us to conserve capital for use on other growth projects.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an ATJ plant, we need to secure debt and possibly third-party equity. On October 16, 2024, we received a conditional commitment from the U.S. Department of Energy (“DOE”) Loan Programs Office (“LPO”) for a loan guarantee facility with a capacity of approximately $1.6 billion (including capitalized interest during construction). This milestone was significant as it helped to validate ATJ plant design integrity, which is underpinned by the DOE LPO’s diligence process. On October 8, 2025, the company received a letter from the DOE LPO granting an extension of the Conditional Commitment until April 16, 2026 (the “Extension”). The Extension allows the Company and DOE LPO to evaluate certain potential modifications to the project scope under the conditional commitment in order to address energy policies and priorities. The Conditional Commitment will remain effective during the extension period in order to allow for modifications which satisfy DOE LPO. The potential scope modifications include the construction of a lower cost ATJ-30 facility at GevoND and the optimal use of captured carbon dioxide for enhanced oil recovery.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Alcohol-to-Jet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shd w:fill="FFFFFF" w:val="clear"/>
        </w:rPr>
        <w:t>Renewable Natural Gas Business.</w:t>
      </w:r>
      <w:r>
        <w:rPr>
          <w:rFonts w:ascii="Times New Roman;Times;serif" w:hAnsi="Times New Roman;Times;serif"/>
          <w:sz w:val="20"/>
          <w:shd w:fill="FFFFFF" w:val="clear"/>
        </w:rPr>
        <w:t xml:space="preserve"> 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shd w:fill="FFFFFF" w:val="clear"/>
        </w:rPr>
        <w:t>in Northwest Iowa started up and began producing and</w:t>
      </w:r>
      <w:r>
        <w:rPr>
          <w:rFonts w:ascii="Times New Roman;Times;serif" w:hAnsi="Times New Roman;Times;serif"/>
          <w:sz w:val="20"/>
        </w:rPr>
        <w:t xml:space="preserve"> injecting initial volumes of biogas in 2022, during the project’s testing and ramp-up period. In 2023, the project achieved stable production levels and surpassed our annual production target of 310,000 million British thermal units (“MMBtu”). In addition, in 2024 we completed an expansion to 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to increase its annual expected output from 355,000 MMBtu to 400,000 MMBtu.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 xml:space="preserve">generates revenue through the sale of RNG and environmental attributes associated with RNG produced at the facility. These environmental attributes include credits under California’s Low Carbon Fuel Standard (“LCFS”) program and the U.S. Environmental Protection Agency (“EPA”) Renewable Fuels Standard (“RFS”) program (“RFS Program”), which allow us to earn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previously operated under a temporary pathway from California’s LCFS program, which we received during the first quarter of 2023. We continued to realize sales for our environmental attributes under the temporary pathway for LCFS credits and RINs in 2024. In March of 2025, the California Air Resources Board (“CARB”) approved our application for a provisional Tier 2 pathway, representing the significantly lower carbon intensity of our RNG than was reflected under the temporary pathway. With the provisional pathway approval having been received prior to March 31, 2025, we were able to apply the provisional pathway carbon intensity score to dispensing activities that occurred in Q4 2024, which also included RNG production for the months of July and August stored and dispensed in Q4 2024, and for dispensing activities throughout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provisional pathway has a CI score of approximately -339 MJ/eCO2, which represents approximately 160,000 carbon credits in the California LCFS system assuming our RNG operation produces 400,000 MMBTU in 2025. This is an increase of carbon credits from approximately 90,000 credits under our old temporary pathway of -150 MJ/eCO2. The increase of carbon credit generation of approximately 70,000 credits represents a significant increase in revenue for the RNG business.</w:t>
      </w:r>
    </w:p>
    <w:p>
      <w:pPr>
        <w:pStyle w:val="TextBody"/>
        <w:bidi w:val="0"/>
        <w:spacing w:before="240" w:after="0"/>
        <w:ind w:left="0" w:right="0" w:firstLine="360"/>
        <w:jc w:val="left"/>
        <w:rPr>
          <w:rFonts w:ascii="Times New Roman;Times;serif" w:hAnsi="Times New Roman;Times;serif"/>
          <w:sz w:val="20"/>
        </w:rPr>
      </w:pPr>
      <w:r>
        <w:rPr>
          <w:rFonts w:ascii="Times New Roman;Times;serif" w:hAnsi="Times New Roman;Times;serif"/>
          <w:b/>
          <w:i/>
          <w:sz w:val="20"/>
        </w:rPr>
        <w:t>Verity.</w:t>
      </w:r>
      <w:r>
        <w:rPr>
          <w:rFonts w:ascii="Times New Roman;Times;serif" w:hAnsi="Times New Roman;Times;serif"/>
          <w:sz w:val="20"/>
        </w:rPr>
        <w:t xml:space="preserve"> Verity Holdings, LLC (“Verity”), a wholly owned subsidiary of Gevo, is developing a data and software platform designed to support traceability, compliance reporting, and the monetization of carbon intensity (“CI”) reductions across the renewable fuels supply chain. The Verity platform currently enables the collection, aggregation and end-to-end tracking of data from agricultural production and processing partners to support reporting under federal and state regulatory programs, including Section 45Z and LCFS programs in California, Oregon, Washington, British Columbia and other Canadian provinces. In 2025, Verity began onboarding customers across multiple segments of the supply chain, including grain elevators, biofuel producers, and supply chain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partners, with the goal of enabling full lifecycle CI tracking and audit support. While still in the early stages of commercialization, Verity is actively building capabilities to support measurement, reporting, and verification (“MRV”) of Scope 1 and Scope 3 carbon insets and other environmental attributes. The platform is intended to support Gevo’s Alcohol-to-Jet Projects and is expected to evolve into a core infrastructure asset for CI tracking and carbon monetization across the broader low-carbon fuels and agriculture ecosystem.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Key Verity project highlights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Development of Verity began as a value-added service for our SAF production, and was then expanded to support external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Eight customers are currently contracted including ethanol producers, soybean processors and grain elevators, with additional customers in our pipeline;</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Completed its first privately-sponsored grower’s program for a biofuel client in the midwestern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Established agreements with two soybean processors to track the environmental attributes of soybeans, including soybean oil and renewable diesel;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Acquired </w:t>
            </w:r>
            <w:r>
              <w:rPr>
                <w:rFonts w:ascii="Times New Roman;Times;serif" w:hAnsi="Times New Roman;Times;serif"/>
                <w:b w:val="false"/>
                <w:i w:val="false"/>
                <w:caps w:val="false"/>
                <w:smallCaps w:val="false"/>
                <w:sz w:val="20"/>
              </w:rPr>
              <w:t>Cultivate Agricultural Intelligence, LLC</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(“CultivateAI”), a cloud-based, mobile software-as-a-service (“SaaS”) platform that helps stakeholders make informed, data-driven decisions with real-time analytics. Currently we are integrating CultivateAI’s platform with Verity’s attribute tracking solutions to deliver advanced solutions for carbon abatement across industries such as in food, feed, fuels and industrial markets; and</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Capital light, fee-based, industry-agnostic business model.</w:t>
            </w:r>
          </w:p>
        </w:tc>
      </w:tr>
    </w:tbl>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It is critical that we prove the CI of Gevo’s products, ensuring that these values are accurate and auditable. The mission of Verity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aggregated CI data supports a finished renewable fuel with a net CI reduction which can be quantified as a digital asset and monetized in voluntary or compliance carbon markets, and used to meet compliance requirements for tax incentives while preventing double-counting. We believe that in the future, regenerative agricultural practices have the potential to sequester large quantities of soil organic carbon while improving soil health.</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color w:val="212529"/>
          <w:sz w:val="20"/>
          <w:shd w:fill="FFFFFF" w:val="clear"/>
        </w:rPr>
        <w:t>Verity Contracts</w:t>
      </w:r>
      <w:r>
        <w:rPr>
          <w:rFonts w:ascii="Times New Roman;Times;serif" w:hAnsi="Times New Roman;Times;serif"/>
          <w:b/>
          <w:i/>
          <w:color w:val="212529"/>
          <w:sz w:val="20"/>
          <w:shd w:fill="FFFFFF" w:val="clear"/>
        </w:rPr>
        <w:t>. </w:t>
      </w:r>
      <w:r>
        <w:rPr>
          <w:rFonts w:ascii="Times New Roman;Times;serif" w:hAnsi="Times New Roman;Times;serif"/>
          <w:color w:val="212529"/>
          <w:sz w:val="20"/>
          <w:shd w:fill="FFFFFF" w:val="clear"/>
        </w:rPr>
        <w:t>In March 2023, we entered into a joint development framework agreement with Southwest Iowa 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Our customers agreements focus on implementing Verity technology and developing the market for carbon credits to help farmers and biofuel producers quantify the CI reductions for their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the third and fourth quarters of 2024, Verity entered into agreements with two additional ethanol plants, extending our reach in the U.S. ethanol market. One of those plants is GevoND, formerly Red Trail Energy, which Gevo acquired in January of 2025. Verity also added two soybean processing facilities to assist in tracking environmental aspects of soybean oil and renewable diesel, enabling them to expand into new markets. We expect to continue adding new Verity customers from our sales pipeline.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sz w:val="20"/>
        </w:rPr>
        <w:t>Acquisition of CultivateAI</w:t>
      </w:r>
      <w:r>
        <w:rPr>
          <w:rFonts w:ascii="Times New Roman;Times;serif" w:hAnsi="Times New Roman;Times;serif"/>
          <w:b/>
          <w:i/>
          <w:sz w:val="20"/>
        </w:rPr>
        <w:t>.</w:t>
      </w:r>
      <w:r>
        <w:rPr>
          <w:rFonts w:ascii="Times New Roman;Times;serif" w:hAnsi="Times New Roman;Times;serif"/>
          <w:sz w:val="20"/>
        </w:rPr>
        <w:t xml:space="preserve"> In the third quarter of 2024, Gevo acquired CultivateAI, a leading provider of agricultural data through a cloud-based, mobile SaaS platform. CultivateAI is a proven business with a track record of repeatable revenue. The business provides agricultural data to clients through a SaaS platform, leveraging high-resolution drone and satellite technology. This process begins by capturing detailed imagery of an agricultural operation. CultivateAI uses that information to build missing GIS maps and create a digital agricultural inventory, including facilities, assets, and crops. This comprehensive digital inventory generates quantifiable insights that help customers improve management practices and overall performance. CultivateAI’s technology has enabled Verity to accelerate its technology and business development efforts and overall growth</w:t>
      </w:r>
      <w:r>
        <w:rPr>
          <w:rFonts w:ascii="Times New Roman;Times;serif" w:hAnsi="Times New Roman;Times;serif"/>
          <w:sz w:val="20"/>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USDA Grant.</w:t>
      </w:r>
      <w:r>
        <w:rPr>
          <w:rFonts w:ascii="Times New Roman;Times;serif" w:hAnsi="Times New Roman;Times;serif"/>
          <w:sz w:val="20"/>
        </w:rPr>
        <w:t xml:space="preserve"> On April 22, 2025, we received notification of the termination of the U.S. Department of Agriculture (“USDA”) Partnerships for Climate-Smart Commodities grant for Gevo’s Climate-Smart Farm-to-Flight Program (the “USDA Grant”). The termination did not have a material impact on the financial statements for the nine months ended September 30, 2025, nor impact </w:t>
      </w:r>
      <w:r>
        <w:rPr>
          <w:rFonts w:ascii="Times New Roman;Times;serif" w:hAnsi="Times New Roman;Times;serif"/>
          <w:sz w:val="20"/>
          <w:shd w:fill="FFFFFF" w:val="clear"/>
        </w:rPr>
        <w:t>Gevo’s commercial objectives, since the critical work under the project had already been completed.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Ethanol to Olefins and the LG Chem Agreement.</w:t>
      </w:r>
      <w:r>
        <w:rPr>
          <w:rFonts w:ascii="Times New Roman;Times;serif" w:hAnsi="Times New Roman;Times;serif"/>
          <w:sz w:val="20"/>
          <w:shd w:fill="FFFFFF" w:val="clear"/>
        </w:rPr>
        <w:t xml:space="preserve"> 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SAF. These plant-based, renewable olefins would be derived from atmospheric CO2 captured through photosynthesis and are expected to deliver the same performance in final products on the market today. </w:t>
      </w:r>
      <w:r>
        <w:rPr>
          <w:rFonts w:ascii="Times New Roman;Times;serif" w:hAnsi="Times New Roman;Times;serif"/>
          <w:sz w:val="20"/>
        </w:rPr>
        <w:t>The market opportunities for these building blocks include low-carbon polypropylene, polyethylene and similar chemical products whose market size for low-carbon solutions is $400.0 – $500.0 billion. We also believe ETO will reduce the capital and operating cost in future Alcohol-to-Jet SAF production facilities.</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Under the terms of the agreement with LG Chem,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which is net of foreign taxes withheld of $0.2 million, and in the second quarter of 2024 received $0.7 million, which is net of foreign taxes withheld of $0.1 million. We expect to receive an additional $0.4 million through 2025 to help defray costs associated with the joint development efforts. In addition, LG Chem agreed to make certain payments to us upon commencement of commercialization as follows:</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$5.0 million upon commencement of commercialization, to be paid ratably over a period of five years.</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the first production facility beginning six years from commercial operation.</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all subsequent production facilities upon commencement of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also achieved the following recent milestones on our ETO technology: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first quarter of 2024, we successfully launched an ETO pilot plant at a third-party facility in Crosby, Texas, which has delivered the results required to move to the next phase of scale-up in our agreement with LG Chem.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achieved the second milestone under the joint development agreement with LG Chem in April 2024. As a result, we have received, project-to-date, $2.1 million in payments under the agreement.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third quarter of 2024, we successfully completed the first phase of developing our ETO pilot plant at a third-party facility. The data is being used for process design and further scale-up planning.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extended our joint development agreement with LG Chem to accelerate the commercialization of bio-propylene using Gevo’s ETO technology, aiming to deliver cost-effective, bio-based renewable fuels and chemicals.</w:t>
            </w:r>
          </w:p>
        </w:tc>
      </w:tr>
    </w:tbl>
    <w:p>
      <w:pPr>
        <w:pStyle w:val="TextBody"/>
        <w:bidi w:val="0"/>
        <w:spacing w:before="0" w:after="0"/>
        <w:ind w:left="108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Ethanol to Olefins and the Axens Agreement. </w:t>
      </w:r>
      <w:r>
        <w:rPr>
          <w:rFonts w:ascii="Times New Roman;Times;serif" w:hAnsi="Times New Roman;Times;serif"/>
          <w:sz w:val="20"/>
        </w:rPr>
        <w:t>Axens North America, Inc. (“Axens”) and Gevo are building on their previous successful commercial cooperation to ensure they remain leaders in the ethanol-to-jet space by partnering with IFPEN on the final development and commercial deployment of Gevo’s next-generation ethanol-to-olefins (“ETO”) process for fuel applications that are expected to achieve zero carbon intensity or better. Gevo’s ETO process produces light olefins from ethanol, which can then be converted to transportation fuels utilizing commercially proven oligomerization and hydrogenation technologies. Provided the technology development is completed successfully, Gevo is expected to lead deployment of its ETO technology in North America with an effort to bring high-quality jobs and economic development to rural America, and Axens would provide process licensing, catalyst, equipment, and engineering services globally.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Luverne Facility.</w:t>
      </w:r>
      <w:r>
        <w:rPr>
          <w:rFonts w:ascii="Times New Roman;Times;serif" w:hAnsi="Times New Roman;Times;serif"/>
          <w:sz w:val="20"/>
        </w:rPr>
        <w:t xml:space="preserve"> On May 28, 2025, Gevo entered into a definitive agreement to sell Agri-Energy, LLC (“Agri”), a wholly owned subsidiary of Gevo, to A.E. Innovation, LLC (“A.E.”) for $7 million, which closed in October 2025. The transaction included the Luverne Facility. Gevo retained ownership of certain isobutanol production related assets and a portion of the vacant land at the site for future use. With these retained assets, Gevo could potentially produce up to 1 million gallons per year of isobutanol, which can be sold as a specialty chemical or converted into isooctane and jet fuel. A.E., an agriculture-oriented buyer group located in Minnesota, acquired the ethanol plant and a portion of the land with the intent to restart ethanol production, which has been idled since 2022 </w:t>
      </w:r>
      <w:r>
        <w:rPr>
          <w:rFonts w:ascii="Times New Roman;Times;serif" w:hAnsi="Times New Roman;Times;serif"/>
          <w:sz w:val="20"/>
          <w:shd w:fill="FFFFFF" w:val="clear"/>
        </w:rPr>
        <w:t>as we shifted focus to our Renewable Jet Fuel Platform</w:t>
      </w:r>
      <w:r>
        <w:rPr>
          <w:rFonts w:ascii="Times New Roman;Times;serif" w:hAnsi="Times New Roman;Times;serif"/>
          <w:sz w:val="20"/>
        </w:rPr>
        <w:t>. Over the last several years, the Luverne Facility, in conjunction with local farmers, has been used as a demonstration site for educating Gevo’s stakeholders about regenerative agriculture and the versatility of corn and its co-products, as well as biofuel production, including SAF, isobutanol, and ethanol.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RNG Key Operating Metrics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Total operating revenues reflect both sales of RNG and sales of related environmental attributes. As a result, our revenues are primarily affected by unit production of RNG, production of environmental attributes, and the prices at which we monetize such production. The following table summarizes the key operating metrics described above, recorded on our RNG segment, which metrics we use to measure performance:</w:t>
      </w:r>
    </w:p>
    <w:tbl>
      <w:tblPr>
        <w:tblW w:w="10205" w:type="dxa"/>
        <w:jc w:val="left"/>
        <w:tblInd w:w="0" w:type="dxa"/>
        <w:tblLayout w:type="fixed"/>
        <w:tblCellMar>
          <w:top w:w="0" w:type="dxa"/>
          <w:left w:w="0" w:type="dxa"/>
          <w:bottom w:w="0" w:type="dxa"/>
          <w:right w:w="0" w:type="dxa"/>
        </w:tblCellMar>
      </w:tblPr>
      <w:tblGrid>
        <w:gridCol w:w="4511"/>
        <w:gridCol w:w="326"/>
        <w:gridCol w:w="289"/>
        <w:gridCol w:w="875"/>
        <w:gridCol w:w="417"/>
        <w:gridCol w:w="289"/>
        <w:gridCol w:w="731"/>
        <w:gridCol w:w="326"/>
        <w:gridCol w:w="226"/>
        <w:gridCol w:w="680"/>
        <w:gridCol w:w="326"/>
        <w:gridCol w:w="835"/>
        <w:gridCol w:w="374"/>
      </w:tblGrid>
      <w:tr>
        <w:trPr/>
        <w:tc>
          <w:tcPr>
            <w:tcW w:w="4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864485" cy="175260"/>
                      <wp:effectExtent l="0" t="0" r="0" b="0"/>
                      <wp:wrapNone/>
                      <wp:docPr id="474" name="Frame474"/>
                      <a:graphic xmlns:a="http://schemas.openxmlformats.org/drawingml/2006/main">
                        <a:graphicData uri="http://schemas.microsoft.com/office/word/2010/wordprocessingShape">
                          <wps:wsp>
                            <wps:cNvSpPr txBox="1"/>
                            <wps:spPr>
                              <a:xfrm>
                                <a:off x="0" y="0"/>
                                <a:ext cx="286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83515" cy="175260"/>
                      <wp:effectExtent l="0" t="0" r="0" b="0"/>
                      <wp:wrapNone/>
                      <wp:docPr id="476" name="Frame476"/>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55625" cy="175260"/>
                      <wp:effectExtent l="0" t="0" r="0" b="0"/>
                      <wp:wrapNone/>
                      <wp:docPr id="477" name="Frame47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64795" cy="175260"/>
                      <wp:effectExtent l="0" t="0" r="0" b="0"/>
                      <wp:wrapNone/>
                      <wp:docPr id="478" name="Frame478"/>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83515" cy="175260"/>
                      <wp:effectExtent l="0" t="0" r="0" b="0"/>
                      <wp:wrapNone/>
                      <wp:docPr id="479" name="Frame479"/>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64185" cy="175260"/>
                      <wp:effectExtent l="0" t="0" r="0" b="0"/>
                      <wp:wrapNone/>
                      <wp:docPr id="480" name="Frame48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43510" cy="175260"/>
                      <wp:effectExtent l="0" t="0" r="0" b="0"/>
                      <wp:wrapNone/>
                      <wp:docPr id="482" name="Frame4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31800" cy="175260"/>
                      <wp:effectExtent l="0" t="0" r="0" b="0"/>
                      <wp:wrapNone/>
                      <wp:docPr id="483" name="Frame48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30225" cy="175260"/>
                      <wp:effectExtent l="0" t="0" r="0" b="0"/>
                      <wp:wrapNone/>
                      <wp:docPr id="485" name="Frame485"/>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37490" cy="175260"/>
                      <wp:effectExtent l="0" t="0" r="0" b="0"/>
                      <wp:wrapNone/>
                      <wp:docPr id="486" name="Frame48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7" w:type="dxa"/>
            <w:tcBorders/>
            <w:vAlign w:val="center"/>
          </w:tcPr>
          <w:p>
            <w:pPr>
              <w:pStyle w:val="TableContents"/>
              <w:bidi w:val="0"/>
              <w:spacing w:before="0" w:after="1"/>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4" w:type="dxa"/>
            <w:tcBorders/>
            <w:vAlign w:val="center"/>
          </w:tcPr>
          <w:p>
            <w:pPr>
              <w:pStyle w:val="TableContents"/>
              <w:bidi w:val="0"/>
              <w:spacing w:before="0" w:after="1"/>
              <w:ind w:left="0" w:right="0" w:hanging="0"/>
              <w:jc w:val="left"/>
              <w:rPr/>
            </w:pPr>
            <w:r>
              <w:rPr/>
              <w:t>    </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89"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pPr>
            <w:r>
              <w:rPr/>
              <w:t> </w:t>
            </w:r>
          </w:p>
        </w:tc>
        <w:tc>
          <w:tcPr>
            <w:tcW w:w="289"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35"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 (RNG)</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1,742</w:t>
            </w:r>
          </w:p>
        </w:tc>
        <w:tc>
          <w:tcPr>
            <w:tcW w:w="417"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3,964</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  </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dispensed</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5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 carried into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c>
          <w:tcPr>
            <w:tcW w:w="417"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(835)</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  </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7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68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5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LCFS carried into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417"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47.08</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42.05</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RNG operating expenses </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3,499</w:t>
            </w:r>
          </w:p>
        </w:tc>
        <w:tc>
          <w:tcPr>
            <w:tcW w:w="417"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4,784</w:t>
            </w:r>
          </w:p>
        </w:tc>
        <w:tc>
          <w:tcPr>
            <w:tcW w:w="32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w:t>
            </w:r>
          </w:p>
        </w:tc>
        <w:tc>
          <w:tcPr>
            <w:tcW w:w="326"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operating expenses per MMBTU (actual)</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38.03</w:t>
            </w:r>
          </w:p>
        </w:tc>
        <w:tc>
          <w:tcPr>
            <w:tcW w:w="417"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47.37</w:t>
            </w:r>
          </w:p>
        </w:tc>
        <w:tc>
          <w:tcPr>
            <w:tcW w:w="32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326"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567"/>
        <w:gridCol w:w="326"/>
        <w:gridCol w:w="269"/>
        <w:gridCol w:w="823"/>
        <w:gridCol w:w="389"/>
        <w:gridCol w:w="251"/>
        <w:gridCol w:w="823"/>
        <w:gridCol w:w="326"/>
        <w:gridCol w:w="211"/>
        <w:gridCol w:w="681"/>
        <w:gridCol w:w="326"/>
        <w:gridCol w:w="838"/>
        <w:gridCol w:w="375"/>
      </w:tblGrid>
      <w:tr>
        <w:trPr/>
        <w:tc>
          <w:tcPr>
            <w:tcW w:w="4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900045" cy="175260"/>
                      <wp:effectExtent l="0" t="0" r="0" b="0"/>
                      <wp:wrapNone/>
                      <wp:docPr id="487" name="Frame487"/>
                      <a:graphic xmlns:a="http://schemas.openxmlformats.org/drawingml/2006/main">
                        <a:graphicData uri="http://schemas.microsoft.com/office/word/2010/wordprocessingShape">
                          <wps:wsp>
                            <wps:cNvSpPr txBox="1"/>
                            <wps:spPr>
                              <a:xfrm>
                                <a:off x="0" y="0"/>
                                <a:ext cx="290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07010" cy="175260"/>
                      <wp:effectExtent l="0" t="0" r="0" b="0"/>
                      <wp:wrapNone/>
                      <wp:docPr id="488" name="Frame4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70815" cy="175260"/>
                      <wp:effectExtent l="0" t="0" r="0" b="0"/>
                      <wp:wrapNone/>
                      <wp:docPr id="489" name="Frame489"/>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22605" cy="175260"/>
                      <wp:effectExtent l="0" t="0" r="0" b="0"/>
                      <wp:wrapNone/>
                      <wp:docPr id="490" name="Frame49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47015" cy="175260"/>
                      <wp:effectExtent l="0" t="0" r="0" b="0"/>
                      <wp:wrapNone/>
                      <wp:docPr id="491" name="Frame49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59385" cy="175260"/>
                      <wp:effectExtent l="0" t="0" r="0" b="0"/>
                      <wp:wrapNone/>
                      <wp:docPr id="492" name="Frame49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522605" cy="175260"/>
                      <wp:effectExtent l="0" t="0" r="0" b="0"/>
                      <wp:wrapNone/>
                      <wp:docPr id="493" name="Frame49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7010" cy="175260"/>
                      <wp:effectExtent l="0" t="0" r="0" b="0"/>
                      <wp:wrapNone/>
                      <wp:docPr id="494"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32435" cy="175260"/>
                      <wp:effectExtent l="0" t="0" r="0" b="0"/>
                      <wp:wrapNone/>
                      <wp:docPr id="496" name="Frame496"/>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07010" cy="175260"/>
                      <wp:effectExtent l="0" t="0" r="0" b="0"/>
                      <wp:wrapNone/>
                      <wp:docPr id="497" name="Frame4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532130" cy="175260"/>
                      <wp:effectExtent l="0" t="0" r="0" b="0"/>
                      <wp:wrapNone/>
                      <wp:docPr id="498" name="Frame49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38125" cy="175260"/>
                      <wp:effectExtent l="0" t="0" r="0" b="0"/>
                      <wp:wrapNone/>
                      <wp:docPr id="499" name="Frame49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9" w:type="dxa"/>
            <w:tcBorders/>
            <w:vAlign w:val="center"/>
          </w:tcPr>
          <w:p>
            <w:pPr>
              <w:pStyle w:val="TableContents"/>
              <w:bidi w:val="0"/>
              <w:spacing w:before="0" w:after="1"/>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5" w:type="dxa"/>
            <w:tcBorders/>
            <w:vAlign w:val="center"/>
          </w:tcPr>
          <w:p>
            <w:pPr>
              <w:pStyle w:val="TableContents"/>
              <w:bidi w:val="0"/>
              <w:spacing w:before="0" w:after="1"/>
              <w:ind w:left="0" w:right="0" w:hanging="0"/>
              <w:jc w:val="left"/>
              <w:rPr/>
            </w:pPr>
            <w:r>
              <w:rPr/>
              <w:t>    </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69"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pPr>
            <w:r>
              <w:rPr/>
              <w:t>  </w:t>
            </w:r>
          </w:p>
        </w:tc>
        <w:tc>
          <w:tcPr>
            <w:tcW w:w="389" w:type="dxa"/>
            <w:tcBorders/>
            <w:shd w:fill="CCEEFF" w:val="clear"/>
            <w:vAlign w:val="center"/>
          </w:tcPr>
          <w:p>
            <w:pPr>
              <w:pStyle w:val="TableContents"/>
              <w:bidi w:val="0"/>
              <w:spacing w:before="0" w:after="1"/>
              <w:ind w:left="0" w:right="0" w:hanging="0"/>
              <w:jc w:val="left"/>
              <w:rPr/>
            </w:pPr>
            <w:r>
              <w:rPr/>
              <w:t> </w:t>
            </w:r>
          </w:p>
        </w:tc>
        <w:tc>
          <w:tcPr>
            <w:tcW w:w="251"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38" w:type="dxa"/>
            <w:tcBorders/>
            <w:shd w:fill="CCEEFF" w:val="clear"/>
            <w:vAlign w:val="center"/>
          </w:tcPr>
          <w:p>
            <w:pPr>
              <w:pStyle w:val="TableContents"/>
              <w:bidi w:val="0"/>
              <w:spacing w:before="0" w:after="1"/>
              <w:ind w:left="0" w:right="0" w:hanging="0"/>
              <w:jc w:val="right"/>
              <w:rPr/>
            </w:pPr>
            <w:r>
              <w:rPr/>
              <w:t>  </w:t>
            </w:r>
          </w:p>
        </w:tc>
        <w:tc>
          <w:tcPr>
            <w:tcW w:w="375" w:type="dxa"/>
            <w:tcBorders/>
            <w:shd w:fill="CCEEFF" w:val="clear"/>
            <w:vAlign w:val="center"/>
          </w:tcPr>
          <w:p>
            <w:pPr>
              <w:pStyle w:val="TableContents"/>
              <w:bidi w:val="0"/>
              <w:spacing w:before="0" w:after="1"/>
              <w:ind w:left="0" w:right="0" w:hanging="0"/>
              <w:jc w:val="left"/>
              <w:rPr/>
            </w:pPr>
            <w:r>
              <w:rPr/>
              <w:t> </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 (RNG)</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5,689</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2,626</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7,464</w:t>
            </w:r>
          </w:p>
        </w:tc>
        <w:tc>
          <w:tcPr>
            <w:tcW w:w="38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13,918</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3,653</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 (MMBtu)</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dispensed</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89"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6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(2)</w:t>
            </w:r>
            <w:r>
              <w:rPr>
                <w:rFonts w:ascii="Times New Roman;Times;serif" w:hAnsi="Times New Roman;Times;serif"/>
                <w:sz w:val="20"/>
              </w:rPr>
              <w:t xml:space="preserve">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 carried into current period</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(2,949)</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389"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(834)</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0.73</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pPr>
            <w:r>
              <w:rPr/>
              <w:t>  </w:t>
            </w:r>
          </w:p>
        </w:tc>
        <w:tc>
          <w:tcPr>
            <w:tcW w:w="375" w:type="dxa"/>
            <w:tcBorders/>
            <w:vAlign w:val="center"/>
          </w:tcPr>
          <w:p>
            <w:pPr>
              <w:pStyle w:val="TableContents"/>
              <w:bidi w:val="0"/>
              <w:spacing w:before="0" w:after="1"/>
              <w:ind w:left="0" w:right="0" w:hanging="0"/>
              <w:jc w:val="left"/>
              <w:rPr/>
            </w:pPr>
            <w:r>
              <w:rPr/>
              <w:t>​</w:t>
            </w:r>
          </w:p>
        </w:tc>
      </w:tr>
      <w:tr>
        <w:trPr/>
        <w:tc>
          <w:tcPr>
            <w:tcW w:w="456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LCFS carried into current period</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89" w:type="dxa"/>
            <w:tcBorders/>
            <w:vAlign w:val="center"/>
          </w:tcPr>
          <w:p>
            <w:pPr>
              <w:pStyle w:val="TableContents"/>
              <w:bidi w:val="0"/>
              <w:spacing w:before="0" w:after="1"/>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58.77</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(52.38)</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pPr>
            <w:r>
              <w:rPr/>
              <w:t>​</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pPr>
            <w:r>
              <w:rPr/>
              <w:t>​</w:t>
            </w:r>
          </w:p>
        </w:tc>
        <w:tc>
          <w:tcPr>
            <w:tcW w:w="375" w:type="dxa"/>
            <w:tcBorders/>
            <w:vAlign w:val="center"/>
          </w:tcPr>
          <w:p>
            <w:pPr>
              <w:pStyle w:val="TableContents"/>
              <w:bidi w:val="0"/>
              <w:spacing w:before="0" w:after="1"/>
              <w:ind w:left="0" w:right="0" w:hanging="0"/>
              <w:jc w:val="left"/>
              <w:rPr/>
            </w:pPr>
            <w:r>
              <w:rPr/>
              <w:t>​</w:t>
            </w:r>
          </w:p>
        </w:tc>
      </w:tr>
      <w:tr>
        <w:trPr/>
        <w:tc>
          <w:tcPr>
            <w:tcW w:w="45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RNG operating expenses </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11,510</w:t>
            </w:r>
          </w:p>
        </w:tc>
        <w:tc>
          <w:tcPr>
            <w:tcW w:w="389"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(4,018)</w:t>
            </w:r>
          </w:p>
        </w:tc>
        <w:tc>
          <w:tcPr>
            <w:tcW w:w="326" w:type="dxa"/>
            <w:tcBorders/>
            <w:shd w:fill="CCEEFF" w:val="clear"/>
            <w:vAlign w:val="center"/>
          </w:tcPr>
          <w:p>
            <w:pPr>
              <w:pStyle w:val="TableContents"/>
              <w:bidi w:val="0"/>
              <w:spacing w:before="0" w:after="1"/>
              <w:ind w:left="0" w:right="0" w:hanging="0"/>
              <w:jc w:val="left"/>
              <w:rPr/>
            </w:pPr>
            <w:r>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operating expenses per MMBTU (actual)</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43.43</w:t>
            </w:r>
          </w:p>
        </w:tc>
        <w:tc>
          <w:tcPr>
            <w:tcW w:w="389" w:type="dxa"/>
            <w:tcBorders/>
            <w:vAlign w:val="center"/>
          </w:tcPr>
          <w:p>
            <w:pPr>
              <w:pStyle w:val="TableContents"/>
              <w:bidi w:val="0"/>
              <w:spacing w:before="0" w:after="1"/>
              <w:ind w:left="0" w:right="0" w:hanging="0"/>
              <w:jc w:val="left"/>
              <w:rPr/>
            </w:pPr>
            <w:r>
              <w:rPr/>
              <w:t>​</w:t>
            </w:r>
          </w:p>
        </w:tc>
        <w:tc>
          <w:tcPr>
            <w:tcW w:w="2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11.693 gallons of ethanol, and thus may generate 11.693 RINs under the RFS Program.</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(under the temporary pathway)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GevoND Key Operating Metrics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production and price levels from the date of acquisition for our GevoND segment:</w:t>
      </w:r>
    </w:p>
    <w:tbl>
      <w:tblPr>
        <w:tblW w:w="10205" w:type="dxa"/>
        <w:jc w:val="left"/>
        <w:tblInd w:w="0" w:type="dxa"/>
        <w:tblLayout w:type="fixed"/>
        <w:tblCellMar>
          <w:top w:w="0" w:type="dxa"/>
          <w:left w:w="0" w:type="dxa"/>
          <w:bottom w:w="0" w:type="dxa"/>
          <w:right w:w="0" w:type="dxa"/>
        </w:tblCellMar>
      </w:tblPr>
      <w:tblGrid>
        <w:gridCol w:w="2139"/>
        <w:gridCol w:w="326"/>
        <w:gridCol w:w="271"/>
        <w:gridCol w:w="1036"/>
        <w:gridCol w:w="326"/>
        <w:gridCol w:w="324"/>
        <w:gridCol w:w="808"/>
        <w:gridCol w:w="326"/>
        <w:gridCol w:w="442"/>
        <w:gridCol w:w="1104"/>
        <w:gridCol w:w="326"/>
        <w:gridCol w:w="271"/>
        <w:gridCol w:w="931"/>
        <w:gridCol w:w="326"/>
        <w:gridCol w:w="271"/>
        <w:gridCol w:w="978"/>
      </w:tblGrid>
      <w:tr>
        <w:trPr/>
        <w:tc>
          <w:tcPr>
            <w:tcW w:w="2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58265" cy="175260"/>
                      <wp:effectExtent l="0" t="0" r="0" b="0"/>
                      <wp:wrapNone/>
                      <wp:docPr id="500" name="Frame500"/>
                      <a:graphic xmlns:a="http://schemas.openxmlformats.org/drawingml/2006/main">
                        <a:graphicData uri="http://schemas.microsoft.com/office/word/2010/wordprocessingShape">
                          <wps:wsp>
                            <wps:cNvSpPr txBox="1"/>
                            <wps:spPr>
                              <a:xfrm>
                                <a:off x="0" y="0"/>
                                <a:ext cx="1358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72085" cy="175260"/>
                      <wp:effectExtent l="0" t="0" r="0" b="0"/>
                      <wp:wrapNone/>
                      <wp:docPr id="502" name="Frame50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57860" cy="175260"/>
                      <wp:effectExtent l="0" t="0" r="0" b="0"/>
                      <wp:wrapNone/>
                      <wp:docPr id="503" name="Frame50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5740" cy="175260"/>
                      <wp:effectExtent l="0" t="0" r="0" b="0"/>
                      <wp:wrapNone/>
                      <wp:docPr id="505" name="Frame50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513080" cy="175260"/>
                      <wp:effectExtent l="0" t="0" r="0" b="0"/>
                      <wp:wrapNone/>
                      <wp:docPr id="506" name="Frame506"/>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80670" cy="175260"/>
                      <wp:effectExtent l="0" t="0" r="0" b="0"/>
                      <wp:wrapNone/>
                      <wp:docPr id="508" name="Frame508"/>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701040" cy="175260"/>
                      <wp:effectExtent l="0" t="0" r="0" b="0"/>
                      <wp:wrapNone/>
                      <wp:docPr id="509" name="Frame509"/>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07010" cy="175260"/>
                      <wp:effectExtent l="0" t="0" r="0" b="0"/>
                      <wp:wrapNone/>
                      <wp:docPr id="510"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72085" cy="175260"/>
                      <wp:effectExtent l="0" t="0" r="0" b="0"/>
                      <wp:wrapNone/>
                      <wp:docPr id="511" name="Frame5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591185" cy="175260"/>
                      <wp:effectExtent l="0" t="0" r="0" b="0"/>
                      <wp:wrapNone/>
                      <wp:docPr id="512" name="Frame5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07010" cy="175260"/>
                      <wp:effectExtent l="0" t="0" r="0" b="0"/>
                      <wp:wrapNone/>
                      <wp:docPr id="513"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72085" cy="175260"/>
                      <wp:effectExtent l="0" t="0" r="0" b="0"/>
                      <wp:wrapNone/>
                      <wp:docPr id="514" name="Frame51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21030" cy="175260"/>
                      <wp:effectExtent l="0" t="0" r="0" b="0"/>
                      <wp:wrapNone/>
                      <wp:docPr id="515" name="Frame515"/>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74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Ethanol</w:t>
              <w:br/>
              <w:t>(gallons)</w:t>
            </w:r>
          </w:p>
        </w:tc>
        <w:tc>
          <w:tcPr>
            <w:tcW w:w="326" w:type="dxa"/>
            <w:tcBorders/>
            <w:vAlign w:val="center"/>
          </w:tcPr>
          <w:p>
            <w:pPr>
              <w:pStyle w:val="TableContents"/>
              <w:bidi w:val="0"/>
              <w:spacing w:before="0" w:after="0"/>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Dried</w:t>
              <w:br/>
              <w:t>Distillers Grains</w:t>
              <w:br/>
              <w:t>(tons)</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Modified Distillers Grains </w:t>
              <w:br/>
              <w:t>(tons)</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Corn Oil </w:t>
              <w:br/>
              <w:t xml:space="preserve">&amp; Syrup Sold </w:t>
              <w:br/>
              <w:t>(lbs)</w:t>
            </w:r>
          </w:p>
        </w:tc>
        <w:tc>
          <w:tcPr>
            <w:tcW w:w="326"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quantities</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16,515,197</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31,743</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14,286</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4,663,000</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pPr>
            <w:r>
              <w:rPr/>
              <w:t>  </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 price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131.56</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30,440</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4,176</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2,955</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38,470</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Marketing fees and other </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30,284</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2,932</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38,227</w: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righ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Primary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left"/>
              <w:rPr/>
            </w:pPr>
            <w:r>
              <w:rPr/>
              <w:t>​</w: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ground (bushels)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5,380,892</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cost per bushel</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corn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22,492</w:t>
            </w:r>
          </w:p>
        </w:tc>
      </w:tr>
      <w:tr>
        <w:trPr/>
        <w:tc>
          <w:tcPr>
            <w:tcW w:w="21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(MMBTU)</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394,672</w:t>
            </w:r>
          </w:p>
        </w:tc>
      </w:tr>
      <w:tr>
        <w:trPr/>
        <w:tc>
          <w:tcPr>
            <w:tcW w:w="21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cost per MMBTU</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21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natural gas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1,078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22"/>
        <w:gridCol w:w="326"/>
        <w:gridCol w:w="271"/>
        <w:gridCol w:w="1036"/>
        <w:gridCol w:w="326"/>
        <w:gridCol w:w="317"/>
        <w:gridCol w:w="792"/>
        <w:gridCol w:w="326"/>
        <w:gridCol w:w="422"/>
        <w:gridCol w:w="1054"/>
        <w:gridCol w:w="326"/>
        <w:gridCol w:w="271"/>
        <w:gridCol w:w="1036"/>
        <w:gridCol w:w="326"/>
        <w:gridCol w:w="271"/>
        <w:gridCol w:w="1083"/>
      </w:tblGrid>
      <w:tr>
        <w:trPr/>
        <w:tc>
          <w:tcPr>
            <w:tcW w:w="2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283970" cy="175260"/>
                      <wp:effectExtent l="0" t="0" r="0" b="0"/>
                      <wp:wrapNone/>
                      <wp:docPr id="516" name="Frame516"/>
                      <a:graphic xmlns:a="http://schemas.openxmlformats.org/drawingml/2006/main">
                        <a:graphicData uri="http://schemas.microsoft.com/office/word/2010/wordprocessingShape">
                          <wps:wsp>
                            <wps:cNvSpPr txBox="1"/>
                            <wps:spPr>
                              <a:xfrm>
                                <a:off x="0" y="0"/>
                                <a:ext cx="1283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72085" cy="175260"/>
                      <wp:effectExtent l="0" t="0" r="0" b="0"/>
                      <wp:wrapNone/>
                      <wp:docPr id="518" name="Frame5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57860" cy="175260"/>
                      <wp:effectExtent l="0" t="0" r="0" b="0"/>
                      <wp:wrapNone/>
                      <wp:docPr id="519" name="Frame5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1295" cy="175260"/>
                      <wp:effectExtent l="0" t="0" r="0" b="0"/>
                      <wp:wrapNone/>
                      <wp:docPr id="521" name="Frame52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502920" cy="175260"/>
                      <wp:effectExtent l="0" t="0" r="0" b="0"/>
                      <wp:wrapNone/>
                      <wp:docPr id="522" name="Frame52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07010" cy="175260"/>
                      <wp:effectExtent l="0" t="0" r="0" b="0"/>
                      <wp:wrapNone/>
                      <wp:docPr id="523"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67970" cy="175260"/>
                      <wp:effectExtent l="0" t="0" r="0" b="0"/>
                      <wp:wrapNone/>
                      <wp:docPr id="524" name="Frame524"/>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69290" cy="175260"/>
                      <wp:effectExtent l="0" t="0" r="0" b="0"/>
                      <wp:wrapNone/>
                      <wp:docPr id="525" name="Frame525"/>
                      <a:graphic xmlns:a="http://schemas.openxmlformats.org/drawingml/2006/main">
                        <a:graphicData uri="http://schemas.microsoft.com/office/word/2010/wordprocessingShape">
                          <wps:wsp>
                            <wps:cNvSpPr txBox="1"/>
                            <wps:spPr>
                              <a:xfrm>
                                <a:off x="0" y="0"/>
                                <a:ext cx="66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72085" cy="175260"/>
                      <wp:effectExtent l="0" t="0" r="0" b="0"/>
                      <wp:wrapNone/>
                      <wp:docPr id="527" name="Frame52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57860" cy="175260"/>
                      <wp:effectExtent l="0" t="0" r="0" b="0"/>
                      <wp:wrapNone/>
                      <wp:docPr id="528" name="Frame5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72085" cy="175260"/>
                      <wp:effectExtent l="0" t="0" r="0" b="0"/>
                      <wp:wrapNone/>
                      <wp:docPr id="530" name="Frame53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87705" cy="175260"/>
                      <wp:effectExtent l="0" t="0" r="0" b="0"/>
                      <wp:wrapNone/>
                      <wp:docPr id="531" name="Frame531"/>
                      <a:graphic xmlns:a="http://schemas.openxmlformats.org/drawingml/2006/main">
                        <a:graphicData uri="http://schemas.microsoft.com/office/word/2010/wordprocessingShape">
                          <wps:wsp>
                            <wps:cNvSpPr txBox="1"/>
                            <wps:spPr>
                              <a:xfrm>
                                <a:off x="0" y="0"/>
                                <a:ext cx="687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Ethanol</w:t>
              <w:br/>
              <w:t>(gallons)</w:t>
            </w:r>
          </w:p>
        </w:tc>
        <w:tc>
          <w:tcPr>
            <w:tcW w:w="326" w:type="dxa"/>
            <w:tcBorders/>
            <w:vAlign w:val="center"/>
          </w:tcPr>
          <w:p>
            <w:pPr>
              <w:pStyle w:val="TableContents"/>
              <w:bidi w:val="0"/>
              <w:spacing w:before="0" w:after="0"/>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Dried</w:t>
              <w:br/>
              <w:t>Distillers Grains</w:t>
              <w:br/>
              <w:t>(tons)</w:t>
            </w:r>
          </w:p>
        </w:tc>
        <w:tc>
          <w:tcPr>
            <w:tcW w:w="326" w:type="dxa"/>
            <w:tcBorders/>
            <w:vAlign w:val="center"/>
          </w:tcPr>
          <w:p>
            <w:pPr>
              <w:pStyle w:val="TableContents"/>
              <w:bidi w:val="0"/>
              <w:spacing w:before="0" w:after="0"/>
              <w:ind w:left="0" w:right="0" w:hanging="0"/>
              <w:jc w:val="left"/>
              <w:rPr/>
            </w:pPr>
            <w:r>
              <w:rPr/>
              <w:t>    </w:t>
            </w:r>
          </w:p>
        </w:tc>
        <w:tc>
          <w:tcPr>
            <w:tcW w:w="14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Modified Distillers Grains </w:t>
              <w:br/>
              <w:t>(tons)</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Corn Oil </w:t>
              <w:br/>
              <w:t xml:space="preserve">&amp; Syrup Sold </w:t>
              <w:br/>
              <w:t>(lbs)</w:t>
            </w:r>
          </w:p>
        </w:tc>
        <w:tc>
          <w:tcPr>
            <w:tcW w:w="326" w:type="dxa"/>
            <w:tcBorders/>
            <w:vAlign w:val="center"/>
          </w:tcPr>
          <w:p>
            <w:pPr>
              <w:pStyle w:val="TableContents"/>
              <w:bidi w:val="0"/>
              <w:spacing w:before="0" w:after="0"/>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left"/>
              <w:rPr/>
            </w:pPr>
            <w:r>
              <w:rPr/>
              <w:t>​</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quantities</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44,555,886</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70,113</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69,116</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12,623,860</w:t>
            </w:r>
          </w:p>
        </w:tc>
        <w:tc>
          <w:tcPr>
            <w:tcW w:w="326"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pPr>
            <w:r>
              <w:rPr/>
              <w:t>  </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 price</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w:t>
            </w:r>
          </w:p>
        </w:tc>
        <w:tc>
          <w:tcPr>
            <w:tcW w:w="326" w:type="dxa"/>
            <w:tcBorders/>
            <w:vAlign w:val="center"/>
          </w:tcPr>
          <w:p>
            <w:pPr>
              <w:pStyle w:val="TableContents"/>
              <w:bidi w:val="0"/>
              <w:spacing w:before="0" w:after="0"/>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71.36</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0.59</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76,455</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10,022</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98,842</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Marketing fees and other </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0"/>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76,037</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9,882</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7,370</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98,221</w:t>
            </w:r>
          </w:p>
        </w:tc>
      </w:tr>
      <w:tr>
        <w:trPr/>
        <w:tc>
          <w:tcPr>
            <w:tcW w:w="20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pPr>
            <w:r>
              <w:rPr/>
              <w:t>​</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Primary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left"/>
              <w:rPr/>
            </w:pPr>
            <w:r>
              <w:rPr/>
              <w:t>​</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ground (bushels)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14,908,124</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Corn cost per bushel</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corn production costs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62,167</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(MMBTU)</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1,066,973</w:t>
            </w:r>
          </w:p>
        </w:tc>
      </w:tr>
      <w:tr>
        <w:trPr/>
        <w:tc>
          <w:tcPr>
            <w:tcW w:w="2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Natural gas cost per MMBTU</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105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2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natural gas production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10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Comparison of the Three Months Ended September 30, 2025 and 2024 (in thousands):</w:t>
      </w:r>
    </w:p>
    <w:tbl>
      <w:tblPr>
        <w:tblW w:w="10205" w:type="dxa"/>
        <w:jc w:val="left"/>
        <w:tblInd w:w="0" w:type="dxa"/>
        <w:tblLayout w:type="fixed"/>
        <w:tblCellMar>
          <w:top w:w="0" w:type="dxa"/>
          <w:left w:w="0" w:type="dxa"/>
          <w:bottom w:w="0" w:type="dxa"/>
          <w:right w:w="0" w:type="dxa"/>
        </w:tblCellMar>
      </w:tblPr>
      <w:tblGrid>
        <w:gridCol w:w="4306"/>
        <w:gridCol w:w="326"/>
        <w:gridCol w:w="256"/>
        <w:gridCol w:w="840"/>
        <w:gridCol w:w="396"/>
        <w:gridCol w:w="256"/>
        <w:gridCol w:w="967"/>
        <w:gridCol w:w="326"/>
        <w:gridCol w:w="326"/>
        <w:gridCol w:w="690"/>
        <w:gridCol w:w="326"/>
        <w:gridCol w:w="871"/>
        <w:gridCol w:w="319"/>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734310" cy="175260"/>
                      <wp:effectExtent l="0" t="0" r="0" b="0"/>
                      <wp:wrapNone/>
                      <wp:docPr id="532" name="Frame532"/>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62560" cy="175260"/>
                      <wp:effectExtent l="0" t="0" r="0" b="0"/>
                      <wp:wrapNone/>
                      <wp:docPr id="534" name="Frame534"/>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33400" cy="175260"/>
                      <wp:effectExtent l="0" t="0" r="0" b="0"/>
                      <wp:wrapNone/>
                      <wp:docPr id="535" name="Frame535"/>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51460" cy="175260"/>
                      <wp:effectExtent l="0" t="0" r="0" b="0"/>
                      <wp:wrapNone/>
                      <wp:docPr id="536" name="Frame536"/>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62560" cy="175260"/>
                      <wp:effectExtent l="0" t="0" r="0" b="0"/>
                      <wp:wrapNone/>
                      <wp:docPr id="537" name="Frame53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14045" cy="175260"/>
                      <wp:effectExtent l="0" t="0" r="0" b="0"/>
                      <wp:wrapNone/>
                      <wp:docPr id="538" name="Frame538"/>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07010" cy="175260"/>
                      <wp:effectExtent l="0" t="0" r="0" b="0"/>
                      <wp:wrapNone/>
                      <wp:docPr id="539"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38150" cy="175260"/>
                      <wp:effectExtent l="0" t="0" r="0" b="0"/>
                      <wp:wrapNone/>
                      <wp:docPr id="541" name="Frame54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53085" cy="175260"/>
                      <wp:effectExtent l="0" t="0" r="0" b="0"/>
                      <wp:wrapNone/>
                      <wp:docPr id="543" name="Frame54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02565" cy="175260"/>
                      <wp:effectExtent l="0" t="0" r="0" b="0"/>
                      <wp:wrapNone/>
                      <wp:docPr id="544" name="Frame544"/>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9" w:type="dxa"/>
            <w:tcBorders/>
            <w:vAlign w:val="center"/>
          </w:tcPr>
          <w:p>
            <w:pPr>
              <w:pStyle w:val="TableContents"/>
              <w:bidi w:val="0"/>
              <w:spacing w:before="0" w:after="1"/>
              <w:ind w:left="0" w:right="0" w:hanging="0"/>
              <w:jc w:val="left"/>
              <w:rPr/>
            </w:pPr>
            <w:r>
              <w:rPr/>
              <w:t> </w:t>
            </w:r>
          </w:p>
        </w:tc>
      </w:tr>
      <w:tr>
        <w:trPr/>
        <w:tc>
          <w:tcPr>
            <w:tcW w:w="43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1"/>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9" w:type="dxa"/>
            <w:tcBorders/>
            <w:vAlign w:val="center"/>
          </w:tcPr>
          <w:p>
            <w:pPr>
              <w:pStyle w:val="TableContents"/>
              <w:bidi w:val="0"/>
              <w:spacing w:before="0" w:after="1"/>
              <w:ind w:left="0" w:right="0" w:hanging="0"/>
              <w:jc w:val="left"/>
              <w:rPr/>
            </w:pPr>
            <w:r>
              <w:rPr/>
              <w:t> </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42,710</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40,745</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pPr>
            <w:r>
              <w:rPr/>
              <w:t>​</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22,285</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11,647</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3,229</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(3,364)</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46,400</w:t>
            </w:r>
          </w:p>
        </w:tc>
        <w:tc>
          <w:tcPr>
            <w:tcW w:w="39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20,427</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(24,008)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20,318</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pPr>
            <w:r>
              <w:rPr/>
              <w:t>  </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8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(5,207)</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pPr>
            <w:r>
              <w:rPr/>
              <w:t> </w:t>
            </w:r>
          </w:p>
        </w:tc>
        <w:tc>
          <w:tcPr>
            <w:tcW w:w="9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8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w:t>
            </w:r>
          </w:p>
        </w:tc>
        <w:tc>
          <w:tcPr>
            <w:tcW w:w="396"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9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(2,855)</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9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(3,887)</w:t>
            </w:r>
          </w:p>
        </w:tc>
        <w:tc>
          <w:tcPr>
            <w:tcW w:w="39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(6,739)</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(7,577)</w:t>
            </w:r>
          </w:p>
        </w:tc>
        <w:tc>
          <w:tcPr>
            <w:tcW w:w="396" w:type="dxa"/>
            <w:tcBorders/>
            <w:shd w:fill="CCEEFF" w:val="cle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13,579</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96" w:type="dxa"/>
            <w:tcBorders/>
            <w:vAlign w:val="center"/>
          </w:tcPr>
          <w:p>
            <w:pPr>
              <w:pStyle w:val="TableContents"/>
              <w:bidi w:val="0"/>
              <w:spacing w:before="0" w:after="1"/>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 attributable to Gevo, Inc.</w:t>
            </w:r>
          </w:p>
        </w:tc>
        <w:tc>
          <w:tcPr>
            <w:tcW w:w="326" w:type="dxa"/>
            <w:tcBorders/>
            <w:shd w:fill="CCEEFF" w:val="clear"/>
            <w:vAlign w:val="center"/>
          </w:tcPr>
          <w:p>
            <w:pPr>
              <w:pStyle w:val="TableContents"/>
              <w:bidi w:val="0"/>
              <w:spacing w:before="0" w:after="1"/>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(7,954)</w:t>
            </w:r>
          </w:p>
        </w:tc>
        <w:tc>
          <w:tcPr>
            <w:tcW w:w="396" w:type="dxa"/>
            <w:tcBorders/>
            <w:shd w:fill="CCEEFF" w:val="clear"/>
            <w:vAlign w:val="center"/>
          </w:tcPr>
          <w:p>
            <w:pPr>
              <w:pStyle w:val="TableContents"/>
              <w:bidi w:val="0"/>
              <w:spacing w:before="0" w:after="1"/>
              <w:ind w:left="0" w:right="0" w:hanging="0"/>
              <w:jc w:val="righ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13,202</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three months ended September 30, 2025, operating revenue increased by $40.7 million compared to the three months ended September 30, 2024. This increase was primarily due to $38.2 million in revenue from GevoND, an increase in RNG and environmental attribute revenue of $2.0 million and $0.5 million in revenue from the sale of isooctane.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increased $19.7 million during the three months ended September 30, 2025, compared to the three months ended September 30, 2024, primarily due to production costs related to GevoND operation, partially offset by $11.8 million 45Z tax credit booked, net of transaction costs. The 45Z tax credit, designed to incentivize the production of SAF, allowed us to lower overall production costs, while maintaining production levels.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$3.9 million during the three months ended September 30, 2025, compared to the three months ended September 30, 2024, primarily due to $4.8 million depreciation related to GevoND, partially offset by a $2.5 million reduction of depreciation related to assets fully depreciated at our 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increased $0.2 million during the three months ended September 30, 2025, compared to the three months ended September 30, 2024, primarily due to increased consulting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decreased $- million during the three months ended September 30, 2025, compared to the three months ended September 30, 2024, primarily due to a $1.4 million increase in payroll expense, insurance costs, professional and consulting services and computer and software costs, offset by a $1.3 million decrease in stock-based compensation.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xml:space="preserve">. Project development costs are primarily related to our Alcohol-to-Jet Projects and Verity, and consist mainly of employee expenses, preliminary engineering costs, and technical consulting fees. Project development costs decreased $3.4 million during the three months ended September 30, 2025, compared to the three months ended September 30, 2024, primarily due to a $3.3 million decrease in consulting and professional services fees.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Income (loss) from operations. </w:t>
      </w:r>
      <w:r>
        <w:rPr>
          <w:rFonts w:ascii="Times New Roman;Times;serif" w:hAnsi="Times New Roman;Times;serif"/>
          <w:sz w:val="20"/>
        </w:rPr>
        <w:t>The Company’s loss from operations decreased by $20.3 million for the three months ended September 30, 2025, compared to the same period in 2024. This improvement was primarily driven by increased revenues from GevoND, lower cost of production due to the recognition of the 45Z tax credit, and decreased project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$4.1 million during the three months ended September 30, 2025, compared to the three months ended September 30, 2024, primarily due to the debt used to acquire GevoND and a higher interest rate on our 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$2.9 million during the three months ended September 30, 2025, compared to the three months ended September 30, 2024, primarily due to the acquisition of GevoND and to fund our capital projects and operating costs, resulting in a lower balance of cash equivalent investments during the three months ended September 30, 2025.</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Comparison of the Nine Months Ended September 30, 2025 and 2024 (in thousands):</w:t>
      </w:r>
    </w:p>
    <w:tbl>
      <w:tblPr>
        <w:tblW w:w="10205" w:type="dxa"/>
        <w:jc w:val="left"/>
        <w:tblInd w:w="0" w:type="dxa"/>
        <w:tblLayout w:type="fixed"/>
        <w:tblCellMar>
          <w:top w:w="0" w:type="dxa"/>
          <w:left w:w="0" w:type="dxa"/>
          <w:bottom w:w="0" w:type="dxa"/>
          <w:right w:w="0" w:type="dxa"/>
        </w:tblCellMar>
      </w:tblPr>
      <w:tblGrid>
        <w:gridCol w:w="4183"/>
        <w:gridCol w:w="326"/>
        <w:gridCol w:w="236"/>
        <w:gridCol w:w="890"/>
        <w:gridCol w:w="364"/>
        <w:gridCol w:w="236"/>
        <w:gridCol w:w="887"/>
        <w:gridCol w:w="326"/>
        <w:gridCol w:w="326"/>
        <w:gridCol w:w="795"/>
        <w:gridCol w:w="326"/>
        <w:gridCol w:w="991"/>
        <w:gridCol w:w="319"/>
      </w:tblGrid>
      <w:tr>
        <w:trPr/>
        <w:tc>
          <w:tcPr>
            <w:tcW w:w="4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656205" cy="175260"/>
                      <wp:effectExtent l="0" t="0" r="0" b="0"/>
                      <wp:wrapNone/>
                      <wp:docPr id="545" name="Frame545"/>
                      <a:graphic xmlns:a="http://schemas.openxmlformats.org/drawingml/2006/main">
                        <a:graphicData uri="http://schemas.microsoft.com/office/word/2010/wordprocessingShape">
                          <wps:wsp>
                            <wps:cNvSpPr txBox="1"/>
                            <wps:spPr>
                              <a:xfrm>
                                <a:off x="0" y="0"/>
                                <a:ext cx="2656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49860" cy="175260"/>
                      <wp:effectExtent l="0" t="0" r="0" b="0"/>
                      <wp:wrapNone/>
                      <wp:docPr id="547" name="Frame54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65150" cy="175260"/>
                      <wp:effectExtent l="0" t="0" r="0" b="0"/>
                      <wp:wrapNone/>
                      <wp:docPr id="548" name="Frame54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31140" cy="175260"/>
                      <wp:effectExtent l="0" t="0" r="0" b="0"/>
                      <wp:wrapNone/>
                      <wp:docPr id="549" name="Frame54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49860" cy="175260"/>
                      <wp:effectExtent l="0" t="0" r="0" b="0"/>
                      <wp:wrapNone/>
                      <wp:docPr id="550" name="Frame55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63245" cy="175260"/>
                      <wp:effectExtent l="0" t="0" r="0" b="0"/>
                      <wp:wrapNone/>
                      <wp:docPr id="551" name="Frame55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52" name="Frame5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504825" cy="175260"/>
                      <wp:effectExtent l="0" t="0" r="0" b="0"/>
                      <wp:wrapNone/>
                      <wp:docPr id="554" name="Frame554"/>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207010" cy="175260"/>
                      <wp:effectExtent l="0" t="0" r="0" b="0"/>
                      <wp:wrapNone/>
                      <wp:docPr id="555"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29285" cy="175260"/>
                      <wp:effectExtent l="0" t="0" r="0" b="0"/>
                      <wp:wrapNone/>
                      <wp:docPr id="556" name="Frame55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02565" cy="175260"/>
                      <wp:effectExtent l="0" t="0" r="0" b="0"/>
                      <wp:wrapNone/>
                      <wp:docPr id="557" name="Frame55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9" w:type="dxa"/>
            <w:tcBorders/>
            <w:vAlign w:val="center"/>
          </w:tcPr>
          <w:p>
            <w:pPr>
              <w:pStyle w:val="TableContents"/>
              <w:bidi w:val="0"/>
              <w:spacing w:before="0" w:after="1"/>
              <w:ind w:left="0" w:right="0" w:hanging="0"/>
              <w:jc w:val="left"/>
              <w:rPr/>
            </w:pPr>
            <w:r>
              <w:rPr/>
              <w:t> </w:t>
            </w:r>
          </w:p>
        </w:tc>
      </w:tr>
      <w:tr>
        <w:trPr/>
        <w:tc>
          <w:tcPr>
            <w:tcW w:w="418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4" w:type="dxa"/>
            <w:tcBorders/>
            <w:vAlign w:val="center"/>
          </w:tcPr>
          <w:p>
            <w:pPr>
              <w:pStyle w:val="TableContents"/>
              <w:bidi w:val="0"/>
              <w:spacing w:before="0" w:after="1"/>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9" w:type="dxa"/>
            <w:tcBorders/>
            <w:vAlign w:val="center"/>
          </w:tcPr>
          <w:p>
            <w:pPr>
              <w:pStyle w:val="TableContents"/>
              <w:bidi w:val="0"/>
              <w:spacing w:before="0" w:after="1"/>
              <w:ind w:left="0" w:right="0" w:hanging="0"/>
              <w:jc w:val="left"/>
              <w:rPr/>
            </w:pPr>
            <w:r>
              <w:rPr/>
              <w:t> </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115,232</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104,017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  </w:t>
            </w:r>
          </w:p>
        </w:tc>
        <w:tc>
          <w:tcPr>
            <w:tcW w:w="364"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60,996</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52,442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20,239</w:t>
            </w:r>
          </w:p>
        </w:tc>
        <w:tc>
          <w:tcPr>
            <w:tcW w:w="364"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33,514</w:t>
            </w:r>
          </w:p>
        </w:tc>
        <w:tc>
          <w:tcPr>
            <w:tcW w:w="364"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35,342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9,062</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(10,586)</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64"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133,265</w:t>
            </w:r>
          </w:p>
        </w:tc>
        <w:tc>
          <w:tcPr>
            <w:tcW w:w="364"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82,393</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50,872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(18,033)</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(71,178)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53,145</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 income</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pPr>
            <w:r>
              <w:rPr/>
              <w:t>  </w:t>
            </w:r>
          </w:p>
        </w:tc>
        <w:tc>
          <w:tcPr>
            <w:tcW w:w="364"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(12,846)</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w:t>
            </w:r>
          </w:p>
        </w:tc>
        <w:tc>
          <w:tcPr>
            <w:tcW w:w="364"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(8,499)</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(8,588)</w:t>
            </w:r>
          </w:p>
        </w:tc>
        <w:tc>
          <w:tcPr>
            <w:tcW w:w="364"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(26,621)</w:t>
            </w:r>
          </w:p>
        </w:tc>
        <w:tc>
          <w:tcPr>
            <w:tcW w:w="364" w:type="dxa"/>
            <w:tcBorders/>
            <w:shd w:fill="CCEEFF" w:val="clear"/>
            <w:vAlign w:val="center"/>
          </w:tcPr>
          <w:p>
            <w:pPr>
              <w:pStyle w:val="TableContents"/>
              <w:bidi w:val="0"/>
              <w:spacing w:before="0" w:after="1"/>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34,412</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attributable to non-controlling interest</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64"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8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Gevo, Inc.</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(27,538)</w:t>
            </w:r>
          </w:p>
        </w:tc>
        <w:tc>
          <w:tcPr>
            <w:tcW w:w="364" w:type="dxa"/>
            <w:tcBorders/>
            <w:shd w:fill="CCEEFF" w:val="clear"/>
            <w:vAlign w:val="center"/>
          </w:tcPr>
          <w:p>
            <w:pPr>
              <w:pStyle w:val="TableContents"/>
              <w:bidi w:val="0"/>
              <w:spacing w:before="0" w:after="1"/>
              <w:ind w:left="0" w:right="0" w:hanging="0"/>
              <w:jc w:val="righ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(61,033)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33,495</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 xml:space="preserve">During the nine months ended September 30, 2025, operating revenue increased by $104.0 million compared to the nine months ended September 30, 2024. This increase was primarily due to $98.2 million in revenue from GevoND, $1.6 million in additional revenue from our RNG </w:t>
      </w:r>
      <w:r>
        <w:rPr>
          <w:rFonts w:ascii="Times New Roman;Times;serif" w:hAnsi="Times New Roman;Times;serif"/>
          <w:color w:val="212529"/>
          <w:sz w:val="20"/>
          <w:shd w:fill="FFFFFF" w:val="clear"/>
        </w:rPr>
        <w:t xml:space="preserve">business </w:t>
      </w:r>
      <w:r>
        <w:rPr>
          <w:rFonts w:ascii="Times New Roman;Times;serif" w:hAnsi="Times New Roman;Times;serif"/>
          <w:sz w:val="20"/>
        </w:rPr>
        <w:t xml:space="preserve">driven by an increase in LCFS credits generated due to our improved carbon score for the LCFS program and $2.4 million from the sale of isooctane and others.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increased $52.4 million during the nine months ended September 30, 2025, compared to the same period in 2024. The increase was primarily driven by $50.2 million in net production costs associated with GevoND, which is net of the $32.7 million benefit from the Section 45Z clean fuel production tax credit and the realized gains from corn derivative contracts of $5.6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increased $8.0 million during the nine months ended September 30, 2025, compared to the nine months ended September 30, 2024, primarily due to $13.3 million of depreciation related to GevoND, partially offset by a $7.5 million reduction of depreciation related to assets fully depreciated at our 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decreased $0.2 million during the nine months ended September 30, 2025, compared to the nine months ended September 30, 2024, primarily due to decreased consulting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decreased $1.8 million during the nine months ended September 30, 2025, compared to the nine months ended September 30, 2024, primarily due to a $5.4 million decrease in stock-based compensation, which was partially offset by a $2.2 million increase related to professional services, insurance, and other G&amp;A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ATJ projects and Verity, and consist primarily of employee expenses, preliminary engineering costs, and technical consulting fees. Project development costs decreased $10.6 million during the nine months ended September 30, 2025, compared to the same period in 2024. The decrease was primarily due to a $7.2 million reduction in consulting and professional service fees, $1.8 million wind-down fee incurred in 2024, $1.0 million reduction in various project development expenses, and a $1.5 million reduction due to USDA reimbursement, net of grower fees, partially offset by $0.9 million in additional employee-related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Acquisition related costs</w:t>
      </w:r>
      <w:r>
        <w:rPr>
          <w:rFonts w:ascii="Times New Roman;Times;serif" w:hAnsi="Times New Roman;Times;serif"/>
          <w:sz w:val="20"/>
        </w:rPr>
        <w:t>. Acquisition related costs of $4.5 million are due to our acquisition of GevoND.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Facility idling costs. </w:t>
      </w:r>
      <w:r>
        <w:rPr>
          <w:rFonts w:ascii="Times New Roman;Times;serif" w:hAnsi="Times New Roman;Times;serif"/>
          <w:sz w:val="20"/>
          <w:shd w:fill="FFFFFF" w:val="clear"/>
        </w:rPr>
        <w:t>Facility idling costs are related to the care and maintenance of our Luverne Facility and reprocessing plant. </w:t>
      </w:r>
      <w:r>
        <w:rPr>
          <w:rFonts w:ascii="Times New Roman;Times;serif" w:hAnsi="Times New Roman;Times;serif"/>
          <w:sz w:val="20"/>
        </w:rPr>
        <w:t>Facility idling costs decreased $0.7 million during the nine months ended September 30, 2025, compared to the nine months ended September 30, 2024,</w:t>
      </w:r>
      <w:r>
        <w:rPr>
          <w:rFonts w:ascii="Times New Roman;Times;serif" w:hAnsi="Times New Roman;Times;serif"/>
          <w:sz w:val="20"/>
          <w:shd w:fill="FFFFFF" w:val="clear"/>
        </w:rPr>
        <w:t xml:space="preserve"> primarily due to utilizing the reprocessing plant for isooctane production.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The Company’s loss from operations decreased by $53.1 million during the nine months ended September 30, 2025, compared to the same period in 2024. This improvement was primarily driven by increased revenues from GevoND, lower production costs benefiting from the recognition of the 45Z tax credit, and reduced project development and general and administrative expenses. These benefits were partially offset by acquisition-related costs.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increased $10.1 million during the nine months ended September 30, 2025, compared to the nine months ended September 30, 2024, primarily due to the debt used to acquire GevoND and a higher interest rate on our Remarketed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decreased $8.5 million during the nine months ended September 30, 2025, compared to the nine months ended September 30, 2024, primarily due to the usage of cash for the acquisition of GevoND and to fund our capital projects and operating costs, resulting in a lower balance of cash equivalent investments during the nine months ended September 30,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remained relatively flat for the nine months ended September 30, 2025, compared to the nine months ended September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March 31, 2025, except for the adoption of a new accounting policy related to the recognition, measurement, and presentation of transferable Clean Fuel Production Credits under Section 45Z of the Internal Revenue Code. In accordance with IAS 20, "Accounting for Government Grants and Disclosure of Government Assistance," we have adopted a policy to account for the Section 45Z Clean Fuel Production Credit as a form of government assistance. This credit, which was part of the Inflation Reduction Act of 2022, and subsequently extended by the One Big Beautiful Bill Act of 2025, incentivizes the production of clean transportation fuels, is available to us for the production of low-carbon ethanol and SAF meeting specific carbon intensity reduction criteria. The credit is available for such fuels produced starting January 1, 2025, and we have the option to transfer these credits to third parties in exchange for cash as a means for us to monetize their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Under this new policy, we recognize the Section 45Z credits as an intangible asset, which is treated as a reduction to Cost of Goods Sold (COGS) when the qualifying fuel is produced. The amount recognized is based on the fair value per gallon of fuel produced, which is determined based on the expected transfer price of the credits. The recognition of the credits is contingent on meeting the relevant criteria under Section 45Z, including compliance with sustainability and carbon intensity reduction thresholds.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a description of our other critical accounting policies and estimates that affect our significant judgments and estimates used in the preparation of our condensed consolidated financial statements, refer to “Management’s Discussion and Analysis of Financial Condition and Results of Operations—Critical Accounting Estimates” contained in our 2024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September 30, 2025, we had cash and cash equivalents of $72.6 million and current restricted cash of $35.8 million, totaling $108.4 million in cash, cash equivalents, and restricted cash. </w:t>
      </w:r>
      <w:r>
        <w:rPr>
          <w:rFonts w:ascii="Times New Roman;Times;serif" w:hAnsi="Times New Roman;Times;serif"/>
          <w:sz w:val="20"/>
          <w:shd w:fill="FFFFFF" w:val="clear"/>
        </w:rPr>
        <w:t>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Alcohol-to-Jet Projects; (ii) potential investment in RNG business; (iii) operating activities at the Company’s corporate headquarters in Colorado, including research and development work; (iv) exploration of strategic alternatives and additional financing, including project financing; and (v) debt service obligations associated with any future borrowings. We believe that as a result of our cash and cash equivalents balances and the performance of our current and expected operations, we will be able to meet our obligations and other potential cash requirements during the next 12 months from the date of this report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and warrants, borrowings under debt facilities, and interest income. Our current sources of cash include sales of ethanol, distillers grains,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tbl>
      <w:tblPr>
        <w:tblW w:w="7225" w:type="dxa"/>
        <w:jc w:val="left"/>
        <w:tblInd w:w="0" w:type="dxa"/>
        <w:tblLayout w:type="fixed"/>
        <w:tblCellMar>
          <w:top w:w="0" w:type="dxa"/>
          <w:left w:w="0" w:type="dxa"/>
          <w:bottom w:w="0" w:type="dxa"/>
          <w:right w:w="0" w:type="dxa"/>
        </w:tblCellMar>
      </w:tblPr>
      <w:tblGrid>
        <w:gridCol w:w="4216"/>
        <w:gridCol w:w="326"/>
        <w:gridCol w:w="227"/>
        <w:gridCol w:w="971"/>
        <w:gridCol w:w="351"/>
        <w:gridCol w:w="227"/>
        <w:gridCol w:w="907"/>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677160" cy="175260"/>
                      <wp:effectExtent l="0" t="0" r="0" b="0"/>
                      <wp:wrapNone/>
                      <wp:docPr id="558" name="Frame55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9"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44145" cy="175260"/>
                      <wp:effectExtent l="0" t="0" r="0" b="0"/>
                      <wp:wrapNone/>
                      <wp:docPr id="560" name="Frame56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16585" cy="175260"/>
                      <wp:effectExtent l="0" t="0" r="0" b="0"/>
                      <wp:wrapNone/>
                      <wp:docPr id="561" name="Frame561"/>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222885" cy="175260"/>
                      <wp:effectExtent l="0" t="0" r="0" b="0"/>
                      <wp:wrapNone/>
                      <wp:docPr id="562" name="Frame562"/>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44145" cy="175260"/>
                      <wp:effectExtent l="0" t="0" r="0" b="0"/>
                      <wp:wrapNone/>
                      <wp:docPr id="563" name="Frame56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575945" cy="175260"/>
                      <wp:effectExtent l="0" t="0" r="0" b="0"/>
                      <wp:wrapNone/>
                      <wp:docPr id="564" name="Frame564"/>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1" w:type="dxa"/>
            <w:tcBorders/>
            <w:vAlign w:val="center"/>
          </w:tcPr>
          <w:p>
            <w:pPr>
              <w:pStyle w:val="TableContents"/>
              <w:bidi w:val="0"/>
              <w:spacing w:before="0" w:after="1"/>
              <w:ind w:left="0" w:right="0" w:hanging="0"/>
              <w:jc w:val="left"/>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(33,356)</w:t>
            </w:r>
          </w:p>
        </w:tc>
        <w:tc>
          <w:tcPr>
            <w:tcW w:w="351"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(38,540)</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(217,368)</w:t>
            </w:r>
          </w:p>
        </w:tc>
        <w:tc>
          <w:tcPr>
            <w:tcW w:w="351"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(37,193)</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100,065</w:t>
            </w:r>
          </w:p>
        </w:tc>
        <w:tc>
          <w:tcPr>
            <w:tcW w:w="351"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(6,993)</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nine months ended September 30, 2025, net cash used in operating activities was $33.4 million compared to $38.5 million for the nine months ended September 30, 2024. Non-cash charges primarily consisted of $20.2 million in depreciation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and $6.5 million in stock-based compensation expense. The accounts receivable balance increased significantly, reflecting increased billing activity from GevoND as well as higher revenue from our RNG plant due to the approval of the provisional Tier 2 pathway. This resulted in a $1.8 million increase compared to the same period in the prior year. </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the Company completed the acquisition of Red Trail Energy for consideration of $198.5 million, in addition to $10.0 million which was paid to an escrow account in 2024. This acquisition is reflected as a cash outflow in the period, consistent with the Company’s investing activities. Additionally, the Company made capital investments totaling $18.9 million in the development of its ATJ-60 project, along with other ongoing projects. These investments primarily relate to the acquisition of property, plant, and equipment, and are aimed at advancing the Company’s strategic initiatives in renewable energy and related sectors.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have substantially completed the engineering design on our ATJ-60 project and are proceeding with detailed engineering and modularization design. We are refining the project cost estimates with engineering, procurement, and construction partners to identify opportunities to reduce and negotiate the cost. We currently expect to finance the construction of ATJ-60 at the subsidiary level using a combination of Company equity and third-party capital, to include non-recourse debt. The Company previously projected a range of $90.0 – $125.0 million to be spent on ATJ-60 between January 2024 and the financial close of ATJ-60.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 is in the process of identifying and performing early site development work for additional Alcohol-to-Jet production locations. These potential sites include greenfield and brownfield (i.e., at an existing ethanol plant) locations that are advantageous in terms of potential economics, opportunities to decarbonize, and time to market. Early development work at GevoND is currently underway.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nine months ended September 30, 2024, </w:t>
      </w:r>
      <w:r>
        <w:rPr>
          <w:rFonts w:ascii="Times New Roman" w:hAnsi="Times New Roman"/>
          <w:sz w:val="20"/>
        </w:rPr>
        <w:t xml:space="preserve">we had $37.2 million in cash used in investing activities, comprised of investments in our capital projects, including $1.8 million in the RNG </w:t>
      </w:r>
      <w:r>
        <w:rPr>
          <w:rFonts w:ascii="Times New Roman;Times;serif" w:hAnsi="Times New Roman;Times;serif"/>
          <w:color w:val="212529"/>
          <w:sz w:val="20"/>
          <w:shd w:fill="FFFFFF" w:val="clear"/>
        </w:rPr>
        <w:t>business</w:t>
      </w:r>
      <w:r>
        <w:rPr>
          <w:rFonts w:ascii="Times New Roman" w:hAnsi="Times New Roman"/>
          <w:sz w:val="20"/>
        </w:rPr>
        <w:t>, $22.9 million for ATJ projects, and $12.5 million in other projects.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nine months ended September 30, 2025, the Company entered into a credit agreement with OIC for $105 million. The proceeds from this credit agreement were partially used to fund the acquisition of Red Trail Energy. Additionally, the lenders made an equity investment of $5 million in Gevo Intermediate HoldCo, LLC on the Closing Date. This equity investment is reflected as a cash inflow within 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ATJ at the subsidiary level using a combination of our own, third-party, and debt capital. The Company expects to retain an equity interest in the project and may invest equity in the project using the proceeds from the reimbursement of the Company’s ATJ development expenditures. Cash distributions from future ATJ earnings would be proportionate to Gevo’s ownership in ATJ under this expected financing structure which would allow us to conserve and redeploy our capital on other growth projects, including future Alcohol-to-Jet projects. We expect to apply similar development and financing strategies to future Alcohol-to-Jet Projects to enable growth of SAF production to meet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nine months ended September 30, 2024, </w:t>
      </w:r>
      <w:r>
        <w:rPr>
          <w:rFonts w:ascii="Times New Roman" w:hAnsi="Times New Roman"/>
          <w:sz w:val="20"/>
        </w:rPr>
        <w:t>we had $4.7 million of net cash used in financing activities, due to payments for repurchases of the Company’s common stock, debt issuance costs, finance lease liabilities, and equipment loans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repurchase shares of common stock under the stock repurchase program during the three and nine months ended September 30, 2025. The Company repurchased 1.1 million and 7.2 million shares of common stock for $0.6 million and $4.7 million under the stock repurchase program during the three and nine months ended September 30, 2024, respectively. Shares were repurchased at market value, and were retired immediately upon repurchase. As of September 30, 2025, approximately $20.3 million remained available under the stock repurchase program.</w:t>
      </w:r>
    </w:p>
    <w:p>
      <w:pPr>
        <w:pStyle w:val="TextBody"/>
        <w:bidi w:val="0"/>
        <w:spacing w:before="0" w:after="240"/>
        <w:ind w:left="0" w:right="0" w:hanging="0"/>
        <w:jc w:val="left"/>
        <w:rPr>
          <w:rFonts w:ascii="Times New Roman;Times;serif" w:hAnsi="Times New Roman;Times;serif"/>
          <w:b/>
          <w:sz w:val="20"/>
        </w:rPr>
      </w:pPr>
      <w:bookmarkStart w:id="1726" w:name="Item3QuantitativeandQualitativeDisclosur"/>
      <w:bookmarkStart w:id="1727" w:name="_73b45c32_c065_462f_ba32_0e10a84b43ef"/>
      <w:bookmarkEnd w:id="1726"/>
      <w:bookmarkEnd w:id="1727"/>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However, we note that we are exposed to market risks in the ordinary course of our business. These risks primarily consist of environmental attribute pricing, increased project costs, commodity pricing, interest rate, credit risk with our contract counterparties, and equity price risks. There have been no material changes since our disclosure in “Quantitative and Qualitative Disclosures About Market Risk” included in Part II, Item 7A of our 2024 Annual Report.</w:t>
      </w:r>
    </w:p>
    <w:p>
      <w:pPr>
        <w:pStyle w:val="TextBody"/>
        <w:bidi w:val="0"/>
        <w:spacing w:before="0" w:after="240"/>
        <w:ind w:left="0" w:right="0" w:hanging="0"/>
        <w:jc w:val="left"/>
        <w:rPr>
          <w:rFonts w:ascii="Times New Roman;Times;serif" w:hAnsi="Times New Roman;Times;serif"/>
          <w:b/>
          <w:sz w:val="20"/>
        </w:rPr>
      </w:pPr>
      <w:bookmarkStart w:id="1728" w:name="Item4ControlsandProcedures_150025"/>
      <w:bookmarkStart w:id="1729" w:name="_8e2f0fe7_05d5_4a31_8515_4e61f390e0a4"/>
      <w:bookmarkEnd w:id="1728"/>
      <w:bookmarkEnd w:id="172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previously reported in our Annual Report on Form 10-K for the year ended December 31, 2024, we have determined that we did not maintain a sufficient complement of personnel with the necessary technical expertise and accounting knowledge to appropriately address complex and non-routine transactions, which control deficiency constitutes a material weakness.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addition, as part of our post-acquisition internal control design and effectiveness testing (typically conducted in the first year following an acquisition), we discovered a material weakness resulting from the failure to design and maintain effective segregation of duties related to the preparation and review of journal entries at the Company’s GevoND operations. Additionally, we identified that management did not design and maintain user access controls to adequately restrict user and privileged access to financial applications, programs, and data to appropriate company personnel, which is also considered a material weakness.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As of September 30, 2025, we have initiated steps toward remediation of the issues. The material weaknesses cannot be considered completely remediated until the applicable controls have operated for a sufficient period of time and management has concluded, through testing, that these controls are operating effectively. We expect this to take through 2025 and beyond as necessary.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response to the identified material weaknesses, we have implemented and will continue to implement additional corrective actions to enhance the effectiveness of our controls and ensure that they are operating as intended.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Such measures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Hiring additional accounting personnel with the necessary technical accounting expertise and financial reporting knowledge to perform control activities surrounding complex and non-routine transactions.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Providing extensive and recurring training of our accounting staff.</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Continuing our engagement with an external firm to assist with complex and non-routine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improving communication channels among departments and teams involved in contract execution and those that handle financial reporting and internal control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We are reviewing access to our accounting systems to ensure that administrator access is limited to individuals who do not have the ability to record or approve transactions in the system. </w:t>
            </w:r>
            <w:r>
              <w:rPr>
                <w:rFonts w:ascii="Times New Roman;Times;serif" w:hAnsi="Times New Roman;Times;serif"/>
                <w:b w:val="false"/>
                <w:i w:val="false"/>
                <w:caps w:val="false"/>
                <w:smallCaps w:val="false"/>
                <w:sz w:val="20"/>
              </w:rPr>
              <w:t>The accounting system access issues discovered at our GevoND operations were promptly corrected in July 2025 as a result of our post-acquisition review of system access controls.</w:t>
            </w:r>
          </w:p>
        </w:tc>
      </w:tr>
    </w:tbl>
    <w:p>
      <w:pPr>
        <w:pStyle w:val="TextBody"/>
        <w:bidi w:val="0"/>
        <w:spacing w:before="0" w:after="0"/>
        <w:ind w:left="1080" w:right="0" w:hanging="0"/>
        <w:jc w:val="left"/>
        <w:rPr>
          <w:shd w:fill="FFFFFF" w:val="clear"/>
        </w:rPr>
      </w:pPr>
      <w:r>
        <w:rPr>
          <w:shd w:fill="FFFFFF" w:val="clea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September 30, 2025,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Except as disclosed above, there were no changes that occurred during the three months ended September 30,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30" w:name="PARTIIOTHERINFORMATION_881509"/>
      <w:bookmarkStart w:id="1731" w:name="_2a330374_850a_4227_8eec_1a9b59176a53"/>
      <w:bookmarkEnd w:id="1730"/>
      <w:bookmarkEnd w:id="1731"/>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732" w:name="Item1LegalProceedings_687788"/>
      <w:bookmarkEnd w:id="1732"/>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19, Commitments and Contingencies, in the accompanying Notes to the Financial Statements included in Part I - Item 1. Financial Statements of this Report.</w:t>
      </w:r>
    </w:p>
    <w:p>
      <w:pPr>
        <w:pStyle w:val="TextBody"/>
        <w:bidi w:val="0"/>
        <w:spacing w:before="0" w:after="240"/>
        <w:ind w:left="0" w:right="0" w:hanging="0"/>
        <w:jc w:val="left"/>
        <w:rPr>
          <w:rFonts w:ascii="Times New Roman;Times;serif" w:hAnsi="Times New Roman;Times;serif"/>
          <w:b/>
          <w:sz w:val="20"/>
        </w:rPr>
      </w:pPr>
      <w:bookmarkStart w:id="1733" w:name="Item1ARiskFactors_410492"/>
      <w:bookmarkStart w:id="1734" w:name="_c9bc6b65_7f1f_4718_8abe_e651fb2d920e"/>
      <w:bookmarkEnd w:id="1733"/>
      <w:bookmarkEnd w:id="1734"/>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2024 Annual Report, which could materially affect our business, financial condition, cash flows or future results. There have been no material changes in our risk factors included in our 2024 Annual Report. The risk factors in our 2024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240"/>
        <w:ind w:left="0" w:right="0" w:hanging="0"/>
        <w:jc w:val="left"/>
        <w:rPr>
          <w:rFonts w:ascii="Times New Roman;Times;serif" w:hAnsi="Times New Roman;Times;serif"/>
          <w:b/>
          <w:sz w:val="20"/>
        </w:rPr>
      </w:pPr>
      <w:bookmarkStart w:id="1735" w:name="Item2UnregisteredSalesofEquitySecurities"/>
      <w:bookmarkStart w:id="1736" w:name="_7b799a91_4239_46a3_9d14_ccba9aeca7d0"/>
      <w:bookmarkStart w:id="1737" w:name="_Item_2._Unregistered"/>
      <w:bookmarkEnd w:id="1735"/>
      <w:bookmarkEnd w:id="1736"/>
      <w:bookmarkEnd w:id="1737"/>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738" w:name="Item3DefaultsUponSeniorSecurities_300980"/>
      <w:bookmarkStart w:id="1739" w:name="_fcd4539f_74ab_4b18_b3c9_fd52c684e6ec"/>
      <w:bookmarkEnd w:id="1738"/>
      <w:bookmarkEnd w:id="1739"/>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740" w:name="Item4MineSafetyDisclosures_988747"/>
      <w:bookmarkStart w:id="1741" w:name="_ee08a718_4c72_450a_a549_951f3b2b289f"/>
      <w:bookmarkEnd w:id="1740"/>
      <w:bookmarkEnd w:id="1741"/>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742" w:name="Item5OtherInformation_31786"/>
      <w:bookmarkStart w:id="1743" w:name="_cea31f6d_22fd_44c3_bfc5_d3d88cbeeae4"/>
      <w:bookmarkEnd w:id="1742"/>
      <w:bookmarkEnd w:id="1743"/>
      <w:r>
        <w:rPr>
          <w:rFonts w:ascii="Times New Roman;Times;serif" w:hAnsi="Times New Roman;Times;serif"/>
          <w:b/>
          <w:sz w:val="20"/>
        </w:rPr>
        <w:t>Item 5. Other Information.</w:t>
      </w:r>
    </w:p>
    <w:p>
      <w:pPr>
        <w:pStyle w:val="TextBody"/>
        <w:bidi w:val="0"/>
        <w:spacing w:before="240" w:after="240"/>
        <w:ind w:left="0" w:right="0" w:firstLine="360"/>
        <w:jc w:val="left"/>
        <w:rPr>
          <w:rFonts w:ascii="Times New Roman;Times;serif" w:hAnsi="Times New Roman;Times;serif"/>
          <w:sz w:val="20"/>
        </w:rPr>
      </w:pPr>
      <w:bookmarkStart w:id="1744" w:name="Tc_ugLoe4B2jUqBicLNQ40ong_4_8"/>
      <w:bookmarkStart w:id="1745" w:name="Tc_sf_zQQ4WQ0ev6dCX6cpCkg_4_6"/>
      <w:bookmarkStart w:id="1746" w:name="Tc_Qw4razwIAkC5NTVkKREoGA_4_0"/>
      <w:bookmarkStart w:id="1747" w:name="Tc_bvAKjO3gFkGaU3Xxyv2lyw_3_8"/>
      <w:bookmarkStart w:id="1748" w:name="Tc_jfR1Ham7V02Z-Too-R2exw_3_6"/>
      <w:bookmarkStart w:id="1749" w:name="Tc_3GifG1uce0y5emAJ1eqVMA_3_0"/>
      <w:bookmarkStart w:id="1750" w:name="Tc_9HnX9yaiN0axQ2zlYuHS7A_2_8"/>
      <w:bookmarkStart w:id="1751" w:name="Tc_QWipQQMO0UyjKC7cDCh2_g_2_6"/>
      <w:bookmarkStart w:id="1752" w:name="Tc_X880mF5n30Sy2vLX7pkjaA_2_0"/>
      <w:bookmarkStart w:id="1753" w:name="Tc_8kKKmVc3UE6IrRPt4CZzxw_1_8"/>
      <w:bookmarkStart w:id="1754" w:name="Tc_yIQJ_HB1Dk29KRKkcpfNvQ_1_6"/>
      <w:bookmarkStart w:id="1755" w:name="Tc_vBuJbRyeL0qQQq2wsWcavA_1_4"/>
      <w:bookmarkStart w:id="1756" w:name="Tc_tcucIs7GEUKFhO23bn855g_1_2"/>
      <w:bookmarkStart w:id="1757" w:name="Tc_VPqn_3oKdkGFSG6mhsDl-A_1_0"/>
      <w:bookmarkStart w:id="1758" w:name="_35adc5e2_97a1_421e_9268_9faea2770f81"/>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r>
        <w:rPr>
          <w:rFonts w:ascii="Times New Roman;Times;serif" w:hAnsi="Times New Roman;Times;serif"/>
          <w:sz w:val="20"/>
        </w:rPr>
        <w:t>During the three months ended September 30, 2025, the below directors and/or officers, as defined in Rule 16a-1(f), adopted, modified or terminated a “Rule 10b5-1 trading arrangement,” as defined in Item 408 of Regulation S-K. The Rule 10b5-1 trading arrangements were each intended to satisfy the affirmative defense in Rule 10b5-1(c)(1).</w:t>
      </w:r>
    </w:p>
    <w:tbl>
      <w:tblPr>
        <w:tblW w:w="10205" w:type="dxa"/>
        <w:jc w:val="left"/>
        <w:tblInd w:w="0" w:type="dxa"/>
        <w:tblLayout w:type="fixed"/>
        <w:tblCellMar>
          <w:top w:w="0" w:type="dxa"/>
          <w:left w:w="0" w:type="dxa"/>
          <w:bottom w:w="0" w:type="dxa"/>
          <w:right w:w="0" w:type="dxa"/>
        </w:tblCellMar>
      </w:tblPr>
      <w:tblGrid>
        <w:gridCol w:w="1730"/>
        <w:gridCol w:w="109"/>
        <w:gridCol w:w="931"/>
        <w:gridCol w:w="109"/>
        <w:gridCol w:w="1252"/>
        <w:gridCol w:w="109"/>
        <w:gridCol w:w="2871"/>
        <w:gridCol w:w="109"/>
        <w:gridCol w:w="2985"/>
      </w:tblGrid>
      <w:tr>
        <w:trPr/>
        <w:tc>
          <w:tcPr>
            <w:tcW w:w="1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098550" cy="175260"/>
                      <wp:effectExtent l="0" t="0" r="0" b="0"/>
                      <wp:wrapNone/>
                      <wp:docPr id="565" name="Frame565"/>
                      <a:graphic xmlns:a="http://schemas.openxmlformats.org/drawingml/2006/main">
                        <a:graphicData uri="http://schemas.microsoft.com/office/word/2010/wordprocessingShape">
                          <wps:wsp>
                            <wps:cNvSpPr txBox="1"/>
                            <wps:spPr>
                              <a:xfrm>
                                <a:off x="0" y="0"/>
                                <a:ext cx="1098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9215" cy="175260"/>
                      <wp:effectExtent l="0" t="0" r="0" b="0"/>
                      <wp:wrapNone/>
                      <wp:docPr id="566" name="Frame5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91185" cy="175260"/>
                      <wp:effectExtent l="0" t="0" r="0" b="0"/>
                      <wp:wrapNone/>
                      <wp:docPr id="567" name="Frame5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9215" cy="175260"/>
                      <wp:effectExtent l="0" t="0" r="0" b="0"/>
                      <wp:wrapNone/>
                      <wp:docPr id="568" name="Frame5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795020" cy="175260"/>
                      <wp:effectExtent l="0" t="0" r="0" b="0"/>
                      <wp:wrapNone/>
                      <wp:docPr id="569" name="Frame56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9215" cy="175260"/>
                      <wp:effectExtent l="0" t="0" r="0" b="0"/>
                      <wp:wrapNone/>
                      <wp:docPr id="570" name="Frame5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1823085" cy="175260"/>
                      <wp:effectExtent l="0" t="0" r="0" b="0"/>
                      <wp:wrapNone/>
                      <wp:docPr id="571" name="Frame571"/>
                      <a:graphic xmlns:a="http://schemas.openxmlformats.org/drawingml/2006/main">
                        <a:graphicData uri="http://schemas.microsoft.com/office/word/2010/wordprocessingShape">
                          <wps:wsp>
                            <wps:cNvSpPr txBox="1"/>
                            <wps:spPr>
                              <a:xfrm>
                                <a:off x="0" y="0"/>
                                <a:ext cx="182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9215" cy="175260"/>
                      <wp:effectExtent l="0" t="0" r="0" b="0"/>
                      <wp:wrapNone/>
                      <wp:docPr id="572" name="Frame5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895475" cy="175260"/>
                      <wp:effectExtent l="0" t="0" r="0" b="0"/>
                      <wp:wrapNone/>
                      <wp:docPr id="573" name="Frame573"/>
                      <a:graphic xmlns:a="http://schemas.openxmlformats.org/drawingml/2006/main">
                        <a:graphicData uri="http://schemas.microsoft.com/office/word/2010/wordprocessingShape">
                          <wps:wsp>
                            <wps:cNvSpPr txBox="1"/>
                            <wps:spPr>
                              <a:xfrm>
                                <a:off x="0" y="0"/>
                                <a:ext cx="189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Action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Duration of Plan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9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w:t>
              <w:br/>
              <w:t>of Common Stock to be Purchased or Sold</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Patrick R. Gruber</w:t>
              <w:br/>
            </w:r>
            <w:r>
              <w:rPr>
                <w:rFonts w:ascii="Times New Roman;Times;serif" w:hAnsi="Times New Roman;Times;serif"/>
                <w:i/>
                <w:sz w:val="20"/>
              </w:rPr>
              <w:t>Chief Executive Officer</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Terminate</w:t>
            </w:r>
          </w:p>
        </w:tc>
        <w:tc>
          <w:tcPr>
            <w:tcW w:w="109"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11, 2025</w:t>
            </w:r>
          </w:p>
        </w:tc>
        <w:tc>
          <w:tcPr>
            <w:tcW w:w="109" w:type="dxa"/>
            <w:tcBorders/>
            <w:shd w:fill="CCEEFF" w:val="clear"/>
            <w:vAlign w:val="center"/>
          </w:tcPr>
          <w:p>
            <w:pPr>
              <w:pStyle w:val="TableContents"/>
              <w:bidi w:val="0"/>
              <w:spacing w:before="0" w:after="0"/>
              <w:ind w:left="0" w:right="0" w:hanging="0"/>
              <w:jc w:val="left"/>
              <w:rPr/>
            </w:pPr>
            <w:r>
              <w:rPr/>
              <w:t>​</w:t>
            </w:r>
          </w:p>
        </w:tc>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February 17, 2025</w:t>
            </w:r>
            <w:r>
              <w:rPr>
                <w:rFonts w:ascii="Times New Roman;Times;serif" w:hAnsi="Times New Roman;Times;serif"/>
                <w:sz w:val="20"/>
              </w:rPr>
              <w:t xml:space="preserve"> to February 16, 2026</w:t>
            </w:r>
          </w:p>
        </w:tc>
        <w:tc>
          <w:tcPr>
            <w:tcW w:w="109" w:type="dxa"/>
            <w:tcBorders/>
            <w:shd w:fill="CCEEFF" w:val="clear"/>
            <w:vAlign w:val="center"/>
          </w:tcPr>
          <w:p>
            <w:pPr>
              <w:pStyle w:val="TableContents"/>
              <w:bidi w:val="0"/>
              <w:spacing w:before="0" w:after="0"/>
              <w:ind w:left="0" w:right="0" w:hanging="0"/>
              <w:jc w:val="left"/>
              <w:rPr/>
            </w:pPr>
            <w:r>
              <w:rPr/>
              <w:t>​</w:t>
            </w:r>
          </w:p>
        </w:tc>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2,957,838</w:t>
            </w:r>
          </w:p>
        </w:tc>
      </w:tr>
      <w:tr>
        <w:trPr/>
        <w:tc>
          <w:tcPr>
            <w:tcW w:w="17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Patrick R. Gruber</w:t>
              <w:br/>
            </w:r>
            <w:r>
              <w:rPr>
                <w:rFonts w:ascii="Times New Roman;Times;serif" w:hAnsi="Times New Roman;Times;serif"/>
                <w:i/>
                <w:sz w:val="20"/>
              </w:rPr>
              <w:t>Chief Executive Officer</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w:t>
            </w:r>
          </w:p>
        </w:tc>
        <w:tc>
          <w:tcPr>
            <w:tcW w:w="109"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26, 2025</w:t>
            </w:r>
          </w:p>
        </w:tc>
        <w:tc>
          <w:tcPr>
            <w:tcW w:w="109"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November 25, 2025</w:t>
            </w:r>
            <w:r>
              <w:rPr>
                <w:rFonts w:ascii="Times New Roman;Times;serif" w:hAnsi="Times New Roman;Times;serif"/>
                <w:sz w:val="20"/>
              </w:rPr>
              <w:t xml:space="preserve"> to November 25, 2026</w:t>
            </w:r>
          </w:p>
        </w:tc>
        <w:tc>
          <w:tcPr>
            <w:tcW w:w="109" w:type="dxa"/>
            <w:tcBorders/>
            <w:vAlign w:val="center"/>
          </w:tcPr>
          <w:p>
            <w:pPr>
              <w:pStyle w:val="TableContents"/>
              <w:bidi w:val="0"/>
              <w:spacing w:before="0" w:after="0"/>
              <w:ind w:left="0" w:right="0" w:hanging="0"/>
              <w:jc w:val="left"/>
              <w:rPr/>
            </w:pPr>
            <w:r>
              <w:rPr/>
              <w:t>​</w:t>
            </w:r>
          </w:p>
        </w:tc>
        <w:tc>
          <w:tcPr>
            <w:tcW w:w="2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4,381,557</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Gary W. Mize</w:t>
              <w:br/>
            </w:r>
            <w:r>
              <w:rPr>
                <w:rFonts w:ascii="Times New Roman;Times;serif" w:hAnsi="Times New Roman;Times;serif"/>
                <w:i/>
                <w:sz w:val="20"/>
              </w:rPr>
              <w:t>Director</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Terminate</w:t>
            </w:r>
          </w:p>
        </w:tc>
        <w:tc>
          <w:tcPr>
            <w:tcW w:w="109"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14, 2025</w:t>
            </w:r>
          </w:p>
        </w:tc>
        <w:tc>
          <w:tcPr>
            <w:tcW w:w="109" w:type="dxa"/>
            <w:tcBorders/>
            <w:shd w:fill="CCEEFF" w:val="clear"/>
            <w:vAlign w:val="center"/>
          </w:tcPr>
          <w:p>
            <w:pPr>
              <w:pStyle w:val="TableContents"/>
              <w:bidi w:val="0"/>
              <w:spacing w:before="0" w:after="0"/>
              <w:ind w:left="0" w:right="0" w:hanging="0"/>
              <w:jc w:val="left"/>
              <w:rPr/>
            </w:pPr>
            <w:r>
              <w:rPr/>
              <w:t>​</w:t>
            </w:r>
          </w:p>
        </w:tc>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May 23, 2025</w:t>
            </w:r>
            <w:r>
              <w:rPr>
                <w:rFonts w:ascii="Times New Roman;Times;serif" w:hAnsi="Times New Roman;Times;serif"/>
                <w:sz w:val="20"/>
              </w:rPr>
              <w:t xml:space="preserve"> to May 22, 2026</w:t>
            </w:r>
          </w:p>
        </w:tc>
        <w:tc>
          <w:tcPr>
            <w:tcW w:w="109" w:type="dxa"/>
            <w:tcBorders/>
            <w:shd w:fill="CCEEFF" w:val="clear"/>
            <w:vAlign w:val="center"/>
          </w:tcPr>
          <w:p>
            <w:pPr>
              <w:pStyle w:val="TableContents"/>
              <w:bidi w:val="0"/>
              <w:spacing w:before="0" w:after="0"/>
              <w:ind w:left="0" w:right="0" w:hanging="0"/>
              <w:jc w:val="left"/>
              <w:rPr/>
            </w:pPr>
            <w:r>
              <w:rPr/>
              <w:t>​</w:t>
            </w:r>
          </w:p>
        </w:tc>
        <w:tc>
          <w:tcPr>
            <w:tcW w:w="2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224,639</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Except as set forth above, no directors or officers, as defined in Rule 16a-1(f), adopted, modified and/or terminated a “Rule 10b5-1 trading arrangement,” or a “non-Rule 10b5-1 trading arrangement,” each as defined in Item 408 of Regulation S-K, during the three months ended September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59" w:name="Item6Exhibits_75368"/>
      <w:bookmarkStart w:id="1760" w:name="_be524fc0_4c55_4313_b714_fb8ef723333d"/>
      <w:bookmarkEnd w:id="1759"/>
      <w:bookmarkEnd w:id="1760"/>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711"/>
        <w:gridCol w:w="326"/>
        <w:gridCol w:w="3452"/>
        <w:gridCol w:w="326"/>
        <w:gridCol w:w="526"/>
        <w:gridCol w:w="326"/>
        <w:gridCol w:w="711"/>
        <w:gridCol w:w="326"/>
        <w:gridCol w:w="1206"/>
        <w:gridCol w:w="326"/>
        <w:gridCol w:w="676"/>
        <w:gridCol w:w="326"/>
        <w:gridCol w:w="120"/>
        <w:gridCol w:w="570"/>
        <w:gridCol w:w="121"/>
        <w:gridCol w:w="156"/>
      </w:tblGrid>
      <w:tr>
        <w:trPr/>
        <w:tc>
          <w:tcPr>
            <w:tcW w:w="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43"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570" w:type="dxa"/>
            <w:tcBorders/>
            <w:vAlign w:val="center"/>
          </w:tcPr>
          <w:p>
            <w:pPr>
              <w:pStyle w:val="TableContents"/>
              <w:bidi w:val="0"/>
              <w:spacing w:before="0" w:after="0"/>
              <w:ind w:left="0" w:right="0" w:hanging="0"/>
              <w:jc w:val="left"/>
              <w:rPr/>
            </w:pPr>
            <w:r>
              <w:rPr/>
              <w:t>​</w:t>
            </w:r>
          </w:p>
        </w:tc>
        <w:tc>
          <w:tcPr>
            <w:tcW w:w="277" w:type="dxa"/>
            <w:gridSpan w:val="2"/>
            <w:tcBorders/>
            <w:vAlign w:val="center"/>
          </w:tcPr>
          <w:p>
            <w:pPr>
              <w:pStyle w:val="TableContents"/>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7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tcBorders/>
            <w:vAlign w:val="center"/>
          </w:tcPr>
          <w:p>
            <w:pPr>
              <w:pStyle w:val="TableHeading"/>
              <w:bidi w:val="0"/>
              <w:spacing w:before="0" w:after="0"/>
              <w:ind w:left="0" w:right="0" w:hanging="0"/>
              <w:jc w:val="left"/>
              <w:rPr/>
            </w:pPr>
            <w:r>
              <w:rPr/>
              <w:t>    </w:t>
            </w:r>
          </w:p>
        </w:tc>
        <w:tc>
          <w:tcPr>
            <w:tcW w:w="345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7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12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tcBorders/>
            <w:vAlign w:val="center"/>
          </w:tcPr>
          <w:p>
            <w:pPr>
              <w:pStyle w:val="TableHeading"/>
              <w:bidi w:val="0"/>
              <w:spacing w:before="0" w:after="0"/>
              <w:ind w:left="0" w:right="0" w:hanging="0"/>
              <w:jc w:val="left"/>
              <w:rPr/>
            </w:pPr>
            <w:r>
              <w:rPr/>
              <w:t>    </w:t>
            </w:r>
          </w:p>
        </w:tc>
        <w:tc>
          <w:tcPr>
            <w:tcW w:w="8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18"/>
                </w:rPr>
                <w:t>Form of Gevo, Inc. Common Stock Certificate</w:t>
              </w:r>
            </w:hyperlink>
            <w:r>
              <w:rPr>
                <w:rFonts w:ascii="Times New Roman;Times;serif" w:hAnsi="Times New Roman;Times;serif"/>
                <w:b w:val="false"/>
                <w:sz w:val="18"/>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333-168792</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January 19, 2011</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color w:val="212529"/>
                <w:sz w:val="18"/>
                <w:shd w:fill="FFFFFF" w:val="clear"/>
              </w:rPr>
            </w:pPr>
            <w:r>
              <w:rPr>
                <w:rFonts w:ascii="Times New Roman;Times;serif" w:hAnsi="Times New Roman;Times;serif"/>
                <w:b w:val="false"/>
                <w:color w:val="212529"/>
                <w:sz w:val="18"/>
                <w:shd w:fill="FFFFFF" w:val="clear"/>
              </w:rPr>
              <w:t>4.1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Bond Financing Agreement, dated July 10, 2025, by and between Gevo NW Iowa RNG, LLC and the Iowa Finance Authority</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July 10, 2025</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Carbon Dioxide Removal Sales Agreement, dated September 18, 2025, by and between Net-Zero Richardton, LLC and Biorecro North America, LLC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September 18, 2025</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10.3</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Tax Credit Transfer Agreement</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July 7, 2025</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50930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50930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50930xex32d1.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 xml:space="preserve">Certain schedules and exhibits have been omitted pursuant to Item 601(a)(5) of Regulation S-K. Gevo agrees to furnish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supplementally a copy of any omitted schedule or exhibit to the SEC upon request.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Certain portions of the exhibit have been omitted pursuant to Rule 601(b)(10) of Regulation S-K. The omitted information is not material and is the type of information that the registrant treats as private or confidential.</w:t>
      </w:r>
    </w:p>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761" w:name="SIGNATURES_446651"/>
      <w:bookmarkStart w:id="1762" w:name="_18f94896_08da_4a5f_805a_419a3eeeb760"/>
      <w:bookmarkEnd w:id="1761"/>
      <w:bookmarkEnd w:id="1762"/>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421"/>
        <w:gridCol w:w="5116"/>
        <w:gridCol w:w="154"/>
      </w:tblGrid>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Sylvia Gendenjamts</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51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Sylvia Gendenjamts, CPA</w:t>
              <w:br/>
              <w:t>Vice President Accounting and Treasurer</w:t>
              <w:br/>
              <w:t>(Duly Authorized Officer and Principal Accounting Officer)</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[November 10], 2025</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120"/>
        <w:ind w:left="0" w:right="0" w:hanging="0"/>
        <w:jc w:val="right"/>
        <w:rPr>
          <w:rFonts w:ascii="Times New Roman;Times;serif" w:hAnsi="Times New Roman;Times;serif"/>
          <w:b/>
          <w:sz w:val="20"/>
        </w:rPr>
      </w:pPr>
      <w:bookmarkStart w:id="1763" w:name="gevo-20250930xex31d1.htm"/>
      <w:bookmarkStart w:id="1764" w:name="ksgevo20250930xex31d1"/>
      <w:bookmarkEnd w:id="1763"/>
      <w:bookmarkEnd w:id="1764"/>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10,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0" w:type="dxa"/>
          <w:right w:w="0" w:type="dxa"/>
        </w:tblCellMar>
      </w:tblPr>
      <w:tblGrid>
        <w:gridCol w:w="2266"/>
      </w:tblGrid>
      <w:tr>
        <w:trPr/>
        <w:tc>
          <w:tcPr>
            <w:tcW w:w="2266" w:type="dxa"/>
            <w:tcBorders/>
            <w:vAlign w:val="center"/>
          </w:tcPr>
          <w:p>
            <w:pPr>
              <w:pStyle w:val="TableContents"/>
              <w:bidi w:val="0"/>
              <w:spacing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765" w:name="gevo-20250930xex31d2.htm"/>
      <w:bookmarkStart w:id="1766" w:name="ksgevo20250930xex31d2"/>
      <w:bookmarkEnd w:id="1765"/>
      <w:bookmarkEnd w:id="1766"/>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Oluwagbemileke Agiri,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10,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Oluwagbemileke Agiri</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767" w:name="gevo-20250930xex32d1.htm"/>
      <w:bookmarkStart w:id="1768" w:name="ksgevo20250930xex32d1"/>
      <w:bookmarkEnd w:id="1767"/>
      <w:bookmarkEnd w:id="1768"/>
      <w:r>
        <w:rPr>
          <w:rFonts w:ascii="Times New Roman;Times;serif" w:hAnsi="Times New Roman;Times;serif"/>
          <w:b/>
          <w:sz w:val="20"/>
        </w:rPr>
        <w:t>Exhibit 32.1</w:t>
      </w:r>
      <w:r>
        <w:br w:type="page"/>
      </w:r>
    </w:p>
    <w:p>
      <w:pPr>
        <w:pStyle w:val="TextBody"/>
        <w:bidi w:val="0"/>
        <w:spacing w:before="0" w:after="12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Oluwagbemileke Agiri, Chief Financial Officer of the Company, certify, pursuant to 18 U.S.C. Section 1350, as adopted pursuant to Section 906 of the Sarbanes-Oxley Act of 2002, that: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September 30, 2025 (the "Report"), fully complies with the requirements of Section 13(a) or 15(d) of the Securities Exchange Act of 1934, as amended;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515110" cy="175260"/>
                      <wp:effectExtent l="0" t="0" r="0" b="0"/>
                      <wp:wrapNone/>
                      <wp:docPr id="574" name="Frame57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November 10, 2025</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515110" cy="175260"/>
                      <wp:effectExtent l="0" t="0" r="0" b="0"/>
                      <wp:wrapNone/>
                      <wp:docPr id="575" name="Frame575"/>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515110" cy="175260"/>
                      <wp:effectExtent l="0" t="0" r="0" b="0"/>
                      <wp:wrapNone/>
                      <wp:docPr id="576" name="Frame576"/>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3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3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Oluwagbemileke Agiri</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Oluwagbemileke Agiri</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1515110" cy="175260"/>
                      <wp:effectExtent l="0" t="0" r="0" b="0"/>
                      <wp:wrapNone/>
                      <wp:docPr id="577" name="Frame577"/>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November 10, 2025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43774921027382/ex_310252.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hyperlink" Target="https://www.sec.gov/Archives/edgar/data/1392380/000110465925066988/tm2520303d1_ex10-1.htm" TargetMode="External"/><Relationship Id="rId6" Type="http://schemas.openxmlformats.org/officeDocument/2006/relationships/hyperlink" Target="https://www.sec.gov/Archives/edgar/data/1392380/000110465925091236/tm2526350d1_ex10-1.htm" TargetMode="External"/><Relationship Id="rId7" Type="http://schemas.openxmlformats.org/officeDocument/2006/relationships/hyperlink" Target="https://www.sec.gov/Archives/edgar/data/1392380/000110465925065999/tm2519912d1_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29185</Words>
  <Characters>163908</Characters>
  <CharactersWithSpaces>195534</CharactersWithSpaces>
  <Paragraphs>8705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