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Bowron Kimberly 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20"/>
        <w:spacing w:after="0" w:line="294" w:lineRule="auto"/>
        <w:rPr>
          <w:sz w:val="20"/>
          <w:szCs w:val="20"/>
          <w:color w:val="auto"/>
        </w:rPr>
      </w:pPr>
      <w:r>
        <w:rPr>
          <w:rFonts w:ascii="Times New Roman" w:cs="Times New Roman" w:eastAsia="Times New Roman" w:hAnsi="Times New Roman"/>
          <w:sz w:val="17"/>
          <w:szCs w:val="17"/>
          <w:color w:val="0000FF"/>
        </w:rPr>
        <w:t>C/O GEVO, INC. 345 INVERNESS DRIVE SOUTH</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BUILDING C, SUITE 310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ENGLEWOOD CO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80112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Gevo,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GEVO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6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60" w:type="dxa"/>
            <w:vAlign w:val="bottom"/>
            <w:tcBorders>
              <w:bottom w:val="single" w:sz="8" w:color="0000EE"/>
            </w:tcBorders>
          </w:tcPr>
          <w:p>
            <w:pPr>
              <w:spacing w:after="0"/>
              <w:rPr>
                <w:sz w:val="3"/>
                <w:szCs w:val="3"/>
                <w:color w:val="auto"/>
              </w:rPr>
            </w:pPr>
          </w:p>
        </w:tc>
        <w:tc>
          <w:tcPr>
            <w:tcW w:w="2860" w:type="dxa"/>
            <w:vAlign w:val="bottom"/>
          </w:tcPr>
          <w:p>
            <w:pPr>
              <w:spacing w:after="0"/>
              <w:rPr>
                <w:sz w:val="3"/>
                <w:szCs w:val="3"/>
                <w:color w:val="auto"/>
              </w:rPr>
            </w:pPr>
          </w:p>
        </w:tc>
        <w:tc>
          <w:tcPr>
            <w:tcW w:w="21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1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14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6"/>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860" w:type="dxa"/>
            <w:vAlign w:val="bottom"/>
            <w:tcBorders>
              <w:bottom w:val="single" w:sz="8" w:color="2C2C2C"/>
            </w:tcBorders>
          </w:tcPr>
          <w:p>
            <w:pPr>
              <w:spacing w:after="0"/>
              <w:rPr>
                <w:sz w:val="7"/>
                <w:szCs w:val="7"/>
                <w:color w:val="auto"/>
              </w:rPr>
            </w:pPr>
          </w:p>
        </w:tc>
        <w:tc>
          <w:tcPr>
            <w:tcW w:w="214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1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140" w:type="dxa"/>
            <w:vAlign w:val="bottom"/>
            <w:vMerge w:val="restart"/>
          </w:tcPr>
          <w:p>
            <w:pPr>
              <w:ind w:left="1180"/>
              <w:spacing w:after="0"/>
              <w:rPr>
                <w:sz w:val="20"/>
                <w:szCs w:val="20"/>
                <w:color w:val="auto"/>
              </w:rPr>
            </w:pPr>
            <w:r>
              <w:rPr>
                <w:rFonts w:ascii="Times New Roman" w:cs="Times New Roman" w:eastAsia="Times New Roman" w:hAnsi="Times New Roman"/>
                <w:sz w:val="17"/>
                <w:szCs w:val="17"/>
                <w:color w:val="0000FF"/>
              </w:rPr>
              <w:t>Chief of Staff</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06/12/2026</w:t>
            </w:r>
          </w:p>
        </w:tc>
        <w:tc>
          <w:tcPr>
            <w:tcW w:w="2860" w:type="dxa"/>
            <w:vAlign w:val="bottom"/>
          </w:tcPr>
          <w:p>
            <w:pPr>
              <w:spacing w:after="0"/>
              <w:rPr>
                <w:sz w:val="11"/>
                <w:szCs w:val="11"/>
                <w:color w:val="auto"/>
              </w:rPr>
            </w:pPr>
          </w:p>
        </w:tc>
        <w:tc>
          <w:tcPr>
            <w:tcW w:w="214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960" w:type="dxa"/>
            <w:vAlign w:val="bottom"/>
            <w:gridSpan w:val="3"/>
            <w:vMerge w:val="continue"/>
          </w:tcPr>
          <w:p>
            <w:pPr>
              <w:spacing w:after="0"/>
              <w:rPr>
                <w:sz w:val="8"/>
                <w:szCs w:val="8"/>
                <w:color w:val="auto"/>
              </w:rPr>
            </w:pPr>
          </w:p>
        </w:tc>
        <w:tc>
          <w:tcPr>
            <w:tcW w:w="28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86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15,470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1.4252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696,295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14,973.97</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by the Reporting Person to cover tax withholding obligations upon vesting of a restricted stock award. The reported sales were effected pursuant to a 10b5-1 trading plan adopted by the Reporting Person on November 20, 2025.</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$1.390 to $1.475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 Cabell Massey,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6673" TargetMode="External"/><Relationship Id="rId14" Type="http://schemas.openxmlformats.org/officeDocument/2006/relationships/hyperlink" Target="http://www.sec.gov/cgi-bin/browse-edgar?action=getcompany&amp;CIK=00013923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2026-06-15T16:44:24Z</dcterms:created>
  <dcterms:modified xsi:type="dcterms:W3CDTF">2026-06-15T16:44:24Z</dcterms:modified>
</cp:coreProperties>
</file>