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JAMES KYLE DEAN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04/01/2026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Gevo,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GEVO</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277"/>
        <w:spacing w:after="0" w:line="275" w:lineRule="auto"/>
        <w:rPr>
          <w:sz w:val="20"/>
          <w:szCs w:val="20"/>
          <w:color w:val="auto"/>
        </w:rPr>
      </w:pPr>
      <w:r>
        <w:rPr>
          <w:rFonts w:ascii="Times New Roman" w:cs="Times New Roman" w:eastAsia="Times New Roman" w:hAnsi="Times New Roman"/>
          <w:sz w:val="20"/>
          <w:szCs w:val="20"/>
          <w:color w:val="0000FF"/>
        </w:rPr>
        <w:t>C/O GEVO, INC. 345 INVERNESS DRIVE SOUTH</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BUILDING C, SUITE 310</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92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9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ENGLEWOOD CO</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80112</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543"/>
        <w:spacing w:after="0"/>
        <w:rPr>
          <w:sz w:val="20"/>
          <w:szCs w:val="20"/>
          <w:color w:val="auto"/>
        </w:rPr>
      </w:pPr>
      <w:r>
        <w:rPr>
          <w:rFonts w:ascii="Times New Roman" w:cs="Times New Roman" w:eastAsia="Times New Roman" w:hAnsi="Times New Roman"/>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E. Cabell Massey,</w:t>
            </w:r>
          </w:p>
        </w:tc>
        <w:tc>
          <w:tcPr>
            <w:tcW w:w="54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04/30/2026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undersigned hereby makes, constitutes and appoints each of Edwin Cabell Massey, Dave Kettner, Leke Agiri, Sylvia Gendenjamts and Ned Prusse,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Gevo, Inc. (the “Company”), to:</w:t>
      </w:r>
    </w:p>
    <w:p>
      <w:pPr>
        <w:spacing w:after="0" w:line="173" w:lineRule="exact"/>
        <w:rPr>
          <w:sz w:val="20"/>
          <w:szCs w:val="20"/>
          <w:color w:val="auto"/>
        </w:rPr>
      </w:pPr>
    </w:p>
    <w:p>
      <w:pPr>
        <w:jc w:val="both"/>
        <w:ind w:left="720" w:hanging="360"/>
        <w:spacing w:after="0" w:line="248" w:lineRule="auto"/>
        <w:tabs>
          <w:tab w:leader="none" w:pos="690" w:val="left"/>
        </w:tabs>
        <w:numPr>
          <w:ilvl w:val="0"/>
          <w:numId w:val="5"/>
        </w:numPr>
        <w:rPr>
          <w:rFonts w:ascii="Arial" w:cs="Arial" w:eastAsia="Arial" w:hAnsi="Arial"/>
          <w:sz w:val="21"/>
          <w:szCs w:val="21"/>
          <w:color w:val="auto"/>
        </w:rPr>
      </w:pPr>
      <w:r>
        <w:rPr>
          <w:rFonts w:ascii="Times New Roman" w:cs="Times New Roman" w:eastAsia="Times New Roman" w:hAnsi="Times New Roman"/>
          <w:sz w:val="22"/>
          <w:szCs w:val="22"/>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17" w:lineRule="exact"/>
        <w:rPr>
          <w:rFonts w:ascii="Arial" w:cs="Arial" w:eastAsia="Arial" w:hAnsi="Arial"/>
          <w:sz w:val="21"/>
          <w:szCs w:val="21"/>
          <w:color w:val="auto"/>
        </w:rPr>
      </w:pPr>
    </w:p>
    <w:p>
      <w:pPr>
        <w:jc w:val="both"/>
        <w:ind w:left="720" w:hanging="360"/>
        <w:spacing w:after="0" w:line="248" w:lineRule="auto"/>
        <w:tabs>
          <w:tab w:leader="none" w:pos="690" w:val="left"/>
        </w:tabs>
        <w:numPr>
          <w:ilvl w:val="0"/>
          <w:numId w:val="5"/>
        </w:numPr>
        <w:rPr>
          <w:rFonts w:ascii="Arial" w:cs="Arial" w:eastAsia="Arial" w:hAnsi="Arial"/>
          <w:sz w:val="21"/>
          <w:szCs w:val="21"/>
          <w:color w:val="auto"/>
        </w:rPr>
      </w:pPr>
      <w:r>
        <w:rPr>
          <w:rFonts w:ascii="Times New Roman" w:cs="Times New Roman" w:eastAsia="Times New Roman" w:hAnsi="Times New Roman"/>
          <w:sz w:val="22"/>
          <w:szCs w:val="22"/>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17" w:lineRule="exact"/>
        <w:rPr>
          <w:rFonts w:ascii="Arial" w:cs="Arial" w:eastAsia="Arial" w:hAnsi="Arial"/>
          <w:sz w:val="21"/>
          <w:szCs w:val="21"/>
          <w:color w:val="auto"/>
        </w:rPr>
      </w:pPr>
    </w:p>
    <w:p>
      <w:pPr>
        <w:ind w:left="720" w:hanging="360"/>
        <w:spacing w:after="0" w:line="273" w:lineRule="auto"/>
        <w:tabs>
          <w:tab w:leader="none" w:pos="690" w:val="left"/>
        </w:tabs>
        <w:numPr>
          <w:ilvl w:val="0"/>
          <w:numId w:val="5"/>
        </w:numPr>
        <w:rPr>
          <w:rFonts w:ascii="Arial" w:cs="Arial" w:eastAsia="Arial" w:hAnsi="Arial"/>
          <w:sz w:val="21"/>
          <w:szCs w:val="21"/>
          <w:color w:val="auto"/>
        </w:rPr>
      </w:pPr>
      <w:r>
        <w:rPr>
          <w:rFonts w:ascii="Times New Roman" w:cs="Times New Roman" w:eastAsia="Times New Roman" w:hAnsi="Times New Roman"/>
          <w:sz w:val="22"/>
          <w:szCs w:val="22"/>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w:t>
      </w:r>
    </w:p>
    <w:p>
      <w:pPr>
        <w:spacing w:after="0" w:line="174" w:lineRule="exact"/>
        <w:rPr>
          <w:rFonts w:ascii="Arial" w:cs="Arial" w:eastAsia="Arial" w:hAnsi="Arial"/>
          <w:sz w:val="21"/>
          <w:szCs w:val="21"/>
          <w:color w:val="auto"/>
        </w:rPr>
      </w:pPr>
    </w:p>
    <w:p>
      <w:pPr>
        <w:ind w:left="720" w:hanging="360"/>
        <w:spacing w:after="0" w:line="273" w:lineRule="auto"/>
        <w:tabs>
          <w:tab w:leader="none" w:pos="690" w:val="left"/>
        </w:tabs>
        <w:numPr>
          <w:ilvl w:val="0"/>
          <w:numId w:val="5"/>
        </w:numPr>
        <w:rPr>
          <w:rFonts w:ascii="Arial" w:cs="Arial" w:eastAsia="Arial" w:hAnsi="Arial"/>
          <w:sz w:val="21"/>
          <w:szCs w:val="21"/>
          <w:color w:val="auto"/>
        </w:rPr>
      </w:pPr>
      <w:r>
        <w:rPr>
          <w:rFonts w:ascii="Times New Roman" w:cs="Times New Roman" w:eastAsia="Times New Roman" w:hAnsi="Times New Roman"/>
          <w:sz w:val="22"/>
          <w:szCs w:val="22"/>
          <w:color w:val="auto"/>
        </w:rPr>
        <w:t>File, submit or otherwise deliver SEC Filings to any securities exchange on which the Company’s securities may be listed or traded;</w:t>
      </w:r>
    </w:p>
    <w:p>
      <w:pPr>
        <w:spacing w:after="0" w:line="189" w:lineRule="exact"/>
        <w:rPr>
          <w:rFonts w:ascii="Arial" w:cs="Arial" w:eastAsia="Arial" w:hAnsi="Arial"/>
          <w:sz w:val="21"/>
          <w:szCs w:val="21"/>
          <w:color w:val="auto"/>
        </w:rPr>
      </w:pPr>
    </w:p>
    <w:p>
      <w:pPr>
        <w:jc w:val="both"/>
        <w:ind w:left="720" w:hanging="360"/>
        <w:spacing w:after="0" w:line="248" w:lineRule="auto"/>
        <w:tabs>
          <w:tab w:leader="none" w:pos="690" w:val="left"/>
        </w:tabs>
        <w:numPr>
          <w:ilvl w:val="0"/>
          <w:numId w:val="5"/>
        </w:numPr>
        <w:rPr>
          <w:rFonts w:ascii="Arial" w:cs="Arial" w:eastAsia="Arial" w:hAnsi="Arial"/>
          <w:sz w:val="21"/>
          <w:szCs w:val="21"/>
          <w:color w:val="auto"/>
        </w:rPr>
      </w:pPr>
      <w:r>
        <w:rPr>
          <w:rFonts w:ascii="Times New Roman" w:cs="Times New Roman" w:eastAsia="Times New Roman" w:hAnsi="Times New Roman"/>
          <w:sz w:val="22"/>
          <w:szCs w:val="22"/>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17" w:lineRule="exact"/>
        <w:rPr>
          <w:rFonts w:ascii="Arial" w:cs="Arial" w:eastAsia="Arial" w:hAnsi="Arial"/>
          <w:sz w:val="21"/>
          <w:szCs w:val="21"/>
          <w:color w:val="auto"/>
        </w:rPr>
      </w:pPr>
    </w:p>
    <w:p>
      <w:pPr>
        <w:jc w:val="both"/>
        <w:ind w:left="720" w:hanging="360"/>
        <w:spacing w:after="0" w:line="257" w:lineRule="auto"/>
        <w:tabs>
          <w:tab w:leader="none" w:pos="690" w:val="left"/>
        </w:tabs>
        <w:numPr>
          <w:ilvl w:val="0"/>
          <w:numId w:val="5"/>
        </w:numPr>
        <w:rPr>
          <w:rFonts w:ascii="Arial" w:cs="Arial" w:eastAsia="Arial" w:hAnsi="Arial"/>
          <w:sz w:val="21"/>
          <w:szCs w:val="21"/>
          <w:color w:val="auto"/>
        </w:rPr>
      </w:pPr>
      <w:r>
        <w:rPr>
          <w:rFonts w:ascii="Times New Roman" w:cs="Times New Roman" w:eastAsia="Times New Roman" w:hAnsi="Times New Roman"/>
          <w:sz w:val="22"/>
          <w:szCs w:val="22"/>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207" w:lineRule="exact"/>
        <w:rPr>
          <w:rFonts w:ascii="Arial" w:cs="Arial" w:eastAsia="Arial" w:hAnsi="Arial"/>
          <w:sz w:val="21"/>
          <w:szCs w:val="21"/>
          <w:color w:val="auto"/>
        </w:rPr>
      </w:pPr>
    </w:p>
    <w:p>
      <w:pPr>
        <w:jc w:val="both"/>
        <w:ind w:left="720" w:hanging="360"/>
        <w:spacing w:after="0" w:line="252" w:lineRule="auto"/>
        <w:tabs>
          <w:tab w:leader="none" w:pos="690" w:val="left"/>
        </w:tabs>
        <w:numPr>
          <w:ilvl w:val="0"/>
          <w:numId w:val="5"/>
        </w:numPr>
        <w:rPr>
          <w:rFonts w:ascii="Arial" w:cs="Arial" w:eastAsia="Arial" w:hAnsi="Arial"/>
          <w:sz w:val="21"/>
          <w:szCs w:val="21"/>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9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21"/>
          <w:szCs w:val="21"/>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666115</wp:posOffset>
            </wp:positionV>
            <wp:extent cx="6946900" cy="1047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04775"/>
                    </a:xfrm>
                    <a:prstGeom prst="rect">
                      <a:avLst/>
                    </a:prstGeom>
                    <a:noFill/>
                  </pic:spPr>
                </pic:pic>
              </a:graphicData>
            </a:graphic>
          </wp:anchor>
        </w:drawing>
      </w:r>
    </w:p>
    <w:p>
      <w:pPr>
        <w:sectPr>
          <w:pgSz w:w="11900" w:h="16838" w:orient="portrait"/>
          <w:cols w:equalWidth="0" w:num="1">
            <w:col w:w="10940"/>
          </w:cols>
          <w:pgMar w:left="480" w:top="110" w:right="479" w:bottom="1440" w:gutter="0" w:footer="0" w:header="0"/>
        </w:sectPr>
      </w:pPr>
    </w:p>
    <w:bookmarkStart w:id="2" w:name="page3"/>
    <w:bookmarkEnd w:id="2"/>
    <w:p>
      <w:pPr>
        <w:ind w:left="1280" w:hanging="359"/>
        <w:spacing w:after="0" w:line="274" w:lineRule="auto"/>
        <w:rPr>
          <w:sz w:val="20"/>
          <w:szCs w:val="20"/>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189" w:lineRule="exact"/>
        <w:rPr>
          <w:sz w:val="20"/>
          <w:szCs w:val="20"/>
          <w:color w:val="auto"/>
        </w:rPr>
      </w:pPr>
    </w:p>
    <w:p>
      <w:pPr>
        <w:jc w:val="both"/>
        <w:ind w:left="1280" w:hanging="364"/>
        <w:spacing w:after="0" w:line="257" w:lineRule="auto"/>
        <w:tabs>
          <w:tab w:leader="none" w:pos="12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2" w:lineRule="exact"/>
        <w:rPr>
          <w:rFonts w:ascii="Times New Roman" w:cs="Times New Roman" w:eastAsia="Times New Roman" w:hAnsi="Times New Roman"/>
          <w:sz w:val="22"/>
          <w:szCs w:val="22"/>
          <w:color w:val="auto"/>
        </w:rPr>
      </w:pPr>
    </w:p>
    <w:p>
      <w:pPr>
        <w:jc w:val="both"/>
        <w:ind w:left="1280" w:hanging="364"/>
        <w:spacing w:after="0" w:line="252" w:lineRule="auto"/>
        <w:tabs>
          <w:tab w:leader="none" w:pos="12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213" w:lineRule="exact"/>
        <w:rPr>
          <w:rFonts w:ascii="Times New Roman" w:cs="Times New Roman" w:eastAsia="Times New Roman" w:hAnsi="Times New Roman"/>
          <w:sz w:val="22"/>
          <w:szCs w:val="22"/>
          <w:color w:val="auto"/>
        </w:rPr>
      </w:pPr>
    </w:p>
    <w:p>
      <w:pPr>
        <w:jc w:val="both"/>
        <w:ind w:left="1280" w:hanging="364"/>
        <w:spacing w:after="0" w:line="257" w:lineRule="auto"/>
        <w:tabs>
          <w:tab w:leader="none" w:pos="12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208" w:lineRule="exact"/>
        <w:rPr>
          <w:sz w:val="20"/>
          <w:szCs w:val="20"/>
          <w:color w:val="auto"/>
        </w:rPr>
      </w:pPr>
    </w:p>
    <w:p>
      <w:pPr>
        <w:jc w:val="both"/>
        <w:ind w:firstLine="916"/>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83" w:lineRule="exact"/>
        <w:rPr>
          <w:sz w:val="20"/>
          <w:szCs w:val="20"/>
          <w:color w:val="auto"/>
        </w:rPr>
      </w:pPr>
    </w:p>
    <w:p>
      <w:pPr>
        <w:jc w:val="both"/>
        <w:ind w:firstLine="916"/>
        <w:spacing w:after="0" w:line="268" w:lineRule="auto"/>
        <w:rPr>
          <w:sz w:val="20"/>
          <w:szCs w:val="20"/>
          <w:color w:val="auto"/>
        </w:rPr>
      </w:pPr>
      <w:r>
        <w:rPr>
          <w:rFonts w:ascii="Times New Roman" w:cs="Times New Roman" w:eastAsia="Times New Roman" w:hAnsi="Times New Roman"/>
          <w:sz w:val="21"/>
          <w:szCs w:val="21"/>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1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as of April 16, 2026.</w:t>
      </w:r>
    </w:p>
    <w:p>
      <w:pPr>
        <w:spacing w:after="0" w:line="200" w:lineRule="exact"/>
        <w:rPr>
          <w:sz w:val="20"/>
          <w:szCs w:val="20"/>
          <w:color w:val="auto"/>
        </w:rPr>
      </w:pPr>
    </w:p>
    <w:p>
      <w:pPr>
        <w:spacing w:after="0" w:line="267"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u w:val="single" w:color="auto"/>
          <w:color w:val="auto"/>
        </w:rPr>
        <w:t>/s/ Kyle James</w:t>
      </w:r>
    </w:p>
    <w:p>
      <w:pPr>
        <w:spacing w:after="0" w:line="1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Kyle James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181776458.1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6946900" cy="952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0"/>
                    </a:xfrm>
                    <a:prstGeom prst="rect">
                      <a:avLst/>
                    </a:prstGeom>
                    <a:noFill/>
                  </pic:spPr>
                </pic:pic>
              </a:graphicData>
            </a:graphic>
          </wp:anchor>
        </w:drawing>
      </w:r>
    </w:p>
    <w:p>
      <w:pPr>
        <w:sectPr>
          <w:pgSz w:w="11900" w:h="16838" w:orient="portrait"/>
          <w:cols w:equalWidth="0" w:num="1">
            <w:col w:w="10940"/>
          </w:cols>
          <w:pgMar w:left="480" w:top="114"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NOTARIZATION</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State of Colorado</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County of Douglas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Power of Attorney was acknowledged before me on April 15, 2026 by Kyle James.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/s/ Amanda Meira Medaugh</w:t>
      </w:r>
    </w:p>
    <w:p>
      <w:pPr>
        <w:spacing w:after="0" w:line="22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Notary Signature</w:t>
      </w:r>
    </w:p>
    <w:p>
      <w:pPr>
        <w:spacing w:after="0" w:line="200" w:lineRule="exact"/>
        <w:rPr>
          <w:sz w:val="20"/>
          <w:szCs w:val="20"/>
          <w:color w:val="auto"/>
        </w:rPr>
      </w:pPr>
    </w:p>
    <w:p>
      <w:pPr>
        <w:spacing w:after="0" w:line="31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[Notary Seal]</w:t>
      </w:r>
    </w:p>
    <w:sectPr>
      <w:pgSz w:w="11900" w:h="16838" w:orient="portrait"/>
      <w:cols w:equalWidth="0" w:num="1">
        <w:col w:w="9979"/>
      </w:cols>
      <w:pgMar w:left="48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2"/>
    </w:lvl>
  </w:abstractNum>
  <w:abstractNum w:abstractNumId="1">
    <w:nsid w:val="625558EC"/>
    <w:multiLevelType w:val="hybridMultilevel"/>
    <w:lvl w:ilvl="0">
      <w:lvlJc w:val="left"/>
      <w:lvlText w:val="%1."/>
      <w:numFmt w:val="decimal"/>
      <w:start w:val="4"/>
    </w:lvl>
  </w:abstractNum>
  <w:abstractNum w:abstractNumId="2">
    <w:nsid w:val="238E1F29"/>
    <w:multiLevelType w:val="hybridMultilevel"/>
    <w:lvl w:ilvl="0">
      <w:lvlJc w:val="left"/>
      <w:lvlText w:val="%1."/>
      <w:numFmt w:val="decimal"/>
      <w:start w:val="5"/>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444142" TargetMode="External"/><Relationship Id="rId11" Type="http://schemas.openxmlformats.org/officeDocument/2006/relationships/hyperlink" Target="http://www.sec.gov/cgi-bin/browse-edgar?action=getcompany&amp;CIK=00013923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2026-04-30T18:25:24Z</dcterms:created>
  <dcterms:modified xsi:type="dcterms:W3CDTF">2026-04-30T18:25:24Z</dcterms:modified>
</cp:coreProperties>
</file>