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auto"/>
        </w:rPr>
      </w:pPr>
      <w:hyperlink w:anchor="page1">
        <w:r>
          <w:rPr>
            <w:rFonts w:ascii="Arial" w:cs="Arial" w:eastAsia="Arial" w:hAnsi="Arial"/>
            <w:sz w:val="17"/>
            <w:szCs w:val="17"/>
            <w:u w:val="single" w:color="auto"/>
            <w:color w:val="auto"/>
          </w:rPr>
          <w:t>Table of Contents</w:t>
        </w:r>
      </w:hyperlink>
    </w:p>
    <w:p>
      <w:pPr>
        <w:spacing w:after="0" w:line="200" w:lineRule="exact"/>
        <w:rPr>
          <w:sz w:val="24"/>
          <w:szCs w:val="24"/>
          <w:color w:val="auto"/>
        </w:rPr>
      </w:pP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2608580</wp:posOffset>
            </wp:positionH>
            <wp:positionV relativeFrom="paragraph">
              <wp:posOffset>103505</wp:posOffset>
            </wp:positionV>
            <wp:extent cx="19335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33575" cy="8255"/>
                    </a:xfrm>
                    <a:prstGeom prst="rect">
                      <a:avLst/>
                    </a:prstGeom>
                    <a:noFill/>
                  </pic:spPr>
                </pic:pic>
              </a:graphicData>
            </a:graphic>
          </wp:anchor>
        </w:drawing>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2608580</wp:posOffset>
            </wp:positionH>
            <wp:positionV relativeFrom="paragraph">
              <wp:posOffset>40005</wp:posOffset>
            </wp:positionV>
            <wp:extent cx="19335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33575" cy="8255"/>
                    </a:xfrm>
                    <a:prstGeom prst="rect">
                      <a:avLst/>
                    </a:prstGeom>
                    <a:noFill/>
                  </pic:spPr>
                </pic:pic>
              </a:graphicData>
            </a:graphic>
          </wp:anchor>
        </w:drawing>
      </w:r>
    </w:p>
    <w:p>
      <w:pPr>
        <w:spacing w:after="0" w:line="181" w:lineRule="exact"/>
        <w:rPr>
          <w:sz w:val="24"/>
          <w:szCs w:val="24"/>
          <w:color w:val="auto"/>
        </w:rPr>
      </w:pPr>
    </w:p>
    <w:p>
      <w:pPr>
        <w:ind w:left="3860" w:right="2180" w:hanging="3855"/>
        <w:spacing w:after="0" w:line="359" w:lineRule="auto"/>
        <w:tabs>
          <w:tab w:leader="none" w:pos="195"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 1934 For the quarterly period ended March 31, 2022</w:t>
      </w:r>
    </w:p>
    <w:p>
      <w:pPr>
        <w:spacing w:after="0" w:line="199" w:lineRule="exact"/>
        <w:rPr>
          <w:sz w:val="24"/>
          <w:szCs w:val="24"/>
          <w:color w:val="auto"/>
        </w:rPr>
      </w:pPr>
    </w:p>
    <w:p>
      <w:pPr>
        <w:ind w:left="2960" w:right="1740" w:hanging="2955"/>
        <w:spacing w:after="0" w:line="320" w:lineRule="auto"/>
        <w:tabs>
          <w:tab w:leader="none" w:pos="198"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AND EXCHANGE ACT OF 1934 For the transition period from ________________ to ________________</w:t>
      </w:r>
    </w:p>
    <w:p>
      <w:pPr>
        <w:spacing w:after="0" w:line="1" w:lineRule="exact"/>
        <w:rPr>
          <w:rFonts w:ascii="MS PGothic" w:cs="MS PGothic" w:eastAsia="MS PGothic" w:hAnsi="MS PGothic"/>
          <w:sz w:val="17"/>
          <w:szCs w:val="17"/>
          <w:color w:val="auto"/>
          <w:highlight w:val="black"/>
        </w:rPr>
      </w:pPr>
    </w:p>
    <w:p>
      <w:pPr>
        <w:ind w:left="4280"/>
        <w:spacing w:after="0"/>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Commission File Number 001-35073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2069465</wp:posOffset>
            </wp:positionH>
            <wp:positionV relativeFrom="paragraph">
              <wp:posOffset>103505</wp:posOffset>
            </wp:positionV>
            <wp:extent cx="30041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04185" cy="8255"/>
                    </a:xfrm>
                    <a:prstGeom prst="rect">
                      <a:avLst/>
                    </a:prstGeom>
                    <a:noFill/>
                  </pic:spPr>
                </pic:pic>
              </a:graphicData>
            </a:graphic>
          </wp:anchor>
        </w:drawing>
      </w:r>
    </w:p>
    <w:p>
      <w:pPr>
        <w:spacing w:after="0" w:line="215" w:lineRule="exact"/>
        <w:rPr>
          <w:sz w:val="24"/>
          <w:szCs w:val="24"/>
          <w:color w:val="auto"/>
        </w:rPr>
      </w:pPr>
    </w:p>
    <w:tbl>
      <w:tblPr>
        <w:tblLayout w:type="fixed"/>
        <w:tblInd w:w="700" w:type="dxa"/>
        <w:tblCellMar>
          <w:top w:w="0" w:type="dxa"/>
          <w:left w:w="0" w:type="dxa"/>
          <w:bottom w:w="0" w:type="dxa"/>
          <w:right w:w="0" w:type="dxa"/>
        </w:tblCellMar>
      </w:tblPr>
      <w:tr>
        <w:trPr>
          <w:trHeight w:val="472"/>
        </w:trPr>
        <w:tc>
          <w:tcPr>
            <w:tcW w:w="2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120" w:type="dxa"/>
            <w:vAlign w:val="bottom"/>
            <w:gridSpan w:val="2"/>
          </w:tcPr>
          <w:p>
            <w:pPr>
              <w:jc w:val="center"/>
              <w:ind w:right="2073"/>
              <w:spacing w:after="0"/>
              <w:rPr>
                <w:sz w:val="20"/>
                <w:szCs w:val="20"/>
                <w:color w:val="auto"/>
              </w:rPr>
            </w:pPr>
            <w:r>
              <w:rPr>
                <w:rFonts w:ascii="Arial" w:cs="Arial" w:eastAsia="Arial" w:hAnsi="Arial"/>
                <w:sz w:val="38"/>
                <w:szCs w:val="38"/>
                <w:b w:val="1"/>
                <w:bCs w:val="1"/>
                <w:color w:val="auto"/>
              </w:rPr>
              <w:t>GEVO, INC.</w:t>
            </w:r>
          </w:p>
        </w:tc>
        <w:tc>
          <w:tcPr>
            <w:tcW w:w="0" w:type="dxa"/>
            <w:vAlign w:val="bottom"/>
          </w:tcPr>
          <w:p>
            <w:pPr>
              <w:spacing w:after="0"/>
              <w:rPr>
                <w:sz w:val="1"/>
                <w:szCs w:val="1"/>
                <w:color w:val="auto"/>
              </w:rPr>
            </w:pPr>
          </w:p>
        </w:tc>
      </w:tr>
      <w:tr>
        <w:trPr>
          <w:trHeight w:val="227"/>
        </w:trPr>
        <w:tc>
          <w:tcPr>
            <w:tcW w:w="2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120" w:type="dxa"/>
            <w:vAlign w:val="bottom"/>
            <w:gridSpan w:val="2"/>
          </w:tcPr>
          <w:p>
            <w:pPr>
              <w:jc w:val="center"/>
              <w:ind w:right="2073"/>
              <w:spacing w:after="0"/>
              <w:rPr>
                <w:sz w:val="20"/>
                <w:szCs w:val="20"/>
                <w:color w:val="auto"/>
              </w:rPr>
            </w:pPr>
            <w:r>
              <w:rPr>
                <w:rFonts w:ascii="Arial" w:cs="Arial" w:eastAsia="Arial" w:hAnsi="Arial"/>
                <w:sz w:val="17"/>
                <w:szCs w:val="17"/>
                <w:b w:val="1"/>
                <w:bCs w:val="1"/>
                <w:color w:val="auto"/>
                <w:w w:val="91"/>
              </w:rPr>
              <w:t>(Exact name of registrant as specified in its charter)</w:t>
            </w:r>
          </w:p>
        </w:tc>
        <w:tc>
          <w:tcPr>
            <w:tcW w:w="0" w:type="dxa"/>
            <w:vAlign w:val="bottom"/>
          </w:tcPr>
          <w:p>
            <w:pPr>
              <w:spacing w:after="0"/>
              <w:rPr>
                <w:sz w:val="1"/>
                <w:szCs w:val="1"/>
                <w:color w:val="auto"/>
              </w:rPr>
            </w:pPr>
          </w:p>
        </w:tc>
      </w:tr>
      <w:tr>
        <w:trPr>
          <w:trHeight w:val="79"/>
        </w:trPr>
        <w:tc>
          <w:tcPr>
            <w:tcW w:w="256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4340" w:type="dxa"/>
            <w:vAlign w:val="bottom"/>
            <w:tcBorders>
              <w:bottom w:val="single" w:sz="8" w:color="auto"/>
            </w:tcBorders>
          </w:tcPr>
          <w:p>
            <w:pPr>
              <w:spacing w:after="0"/>
              <w:rPr>
                <w:sz w:val="6"/>
                <w:szCs w:val="6"/>
                <w:color w:val="auto"/>
              </w:rPr>
            </w:pPr>
          </w:p>
        </w:tc>
        <w:tc>
          <w:tcPr>
            <w:tcW w:w="1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6"/>
        </w:trPr>
        <w:tc>
          <w:tcPr>
            <w:tcW w:w="294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3"/>
              </w:rPr>
              <w:t>Delaware</w:t>
            </w:r>
          </w:p>
        </w:tc>
        <w:tc>
          <w:tcPr>
            <w:tcW w:w="6120" w:type="dxa"/>
            <w:vAlign w:val="bottom"/>
            <w:gridSpan w:val="2"/>
          </w:tcPr>
          <w:p>
            <w:pPr>
              <w:jc w:val="right"/>
              <w:ind w:right="133"/>
              <w:spacing w:after="0"/>
              <w:rPr>
                <w:sz w:val="20"/>
                <w:szCs w:val="20"/>
                <w:color w:val="auto"/>
              </w:rPr>
            </w:pPr>
            <w:r>
              <w:rPr>
                <w:rFonts w:ascii="Arial" w:cs="Arial" w:eastAsia="Arial" w:hAnsi="Arial"/>
                <w:sz w:val="17"/>
                <w:szCs w:val="17"/>
                <w:b w:val="1"/>
                <w:bCs w:val="1"/>
                <w:color w:val="auto"/>
              </w:rPr>
              <w:t>87-0747704</w:t>
            </w:r>
          </w:p>
        </w:tc>
        <w:tc>
          <w:tcPr>
            <w:tcW w:w="0" w:type="dxa"/>
            <w:vAlign w:val="bottom"/>
          </w:tcPr>
          <w:p>
            <w:pPr>
              <w:spacing w:after="0"/>
              <w:rPr>
                <w:sz w:val="1"/>
                <w:szCs w:val="1"/>
                <w:color w:val="auto"/>
              </w:rPr>
            </w:pPr>
          </w:p>
        </w:tc>
      </w:tr>
      <w:tr>
        <w:trPr>
          <w:trHeight w:val="184"/>
        </w:trPr>
        <w:tc>
          <w:tcPr>
            <w:tcW w:w="2940" w:type="dxa"/>
            <w:vAlign w:val="bottom"/>
            <w:gridSpan w:val="2"/>
          </w:tcPr>
          <w:p>
            <w:pPr>
              <w:jc w:val="center"/>
              <w:ind w:right="80"/>
              <w:spacing w:after="0" w:line="184" w:lineRule="exact"/>
              <w:rPr>
                <w:sz w:val="20"/>
                <w:szCs w:val="20"/>
                <w:color w:val="auto"/>
              </w:rPr>
            </w:pPr>
            <w:r>
              <w:rPr>
                <w:rFonts w:ascii="Arial" w:cs="Arial" w:eastAsia="Arial" w:hAnsi="Arial"/>
                <w:sz w:val="17"/>
                <w:szCs w:val="17"/>
                <w:color w:val="auto"/>
                <w:w w:val="94"/>
              </w:rPr>
              <w:t>(State or other jurisdiction of</w:t>
            </w:r>
          </w:p>
        </w:tc>
        <w:tc>
          <w:tcPr>
            <w:tcW w:w="4340" w:type="dxa"/>
            <w:vAlign w:val="bottom"/>
          </w:tcPr>
          <w:p>
            <w:pPr>
              <w:spacing w:after="0"/>
              <w:rPr>
                <w:sz w:val="15"/>
                <w:szCs w:val="15"/>
                <w:color w:val="auto"/>
              </w:rPr>
            </w:pPr>
          </w:p>
        </w:tc>
        <w:tc>
          <w:tcPr>
            <w:tcW w:w="1780" w:type="dxa"/>
            <w:vAlign w:val="bottom"/>
          </w:tcPr>
          <w:p>
            <w:pPr>
              <w:jc w:val="center"/>
              <w:ind w:left="393"/>
              <w:spacing w:after="0" w:line="184" w:lineRule="exact"/>
              <w:rPr>
                <w:sz w:val="20"/>
                <w:szCs w:val="20"/>
                <w:color w:val="auto"/>
              </w:rPr>
            </w:pPr>
            <w:r>
              <w:rPr>
                <w:rFonts w:ascii="Arial" w:cs="Arial" w:eastAsia="Arial" w:hAnsi="Arial"/>
                <w:sz w:val="17"/>
                <w:szCs w:val="17"/>
                <w:color w:val="auto"/>
                <w:w w:val="94"/>
              </w:rPr>
              <w:t>(I.R.S. Employer</w:t>
            </w:r>
          </w:p>
        </w:tc>
        <w:tc>
          <w:tcPr>
            <w:tcW w:w="0" w:type="dxa"/>
            <w:vAlign w:val="bottom"/>
          </w:tcPr>
          <w:p>
            <w:pPr>
              <w:spacing w:after="0"/>
              <w:rPr>
                <w:sz w:val="1"/>
                <w:szCs w:val="1"/>
                <w:color w:val="auto"/>
              </w:rPr>
            </w:pPr>
          </w:p>
        </w:tc>
      </w:tr>
      <w:tr>
        <w:trPr>
          <w:trHeight w:val="221"/>
        </w:trPr>
        <w:tc>
          <w:tcPr>
            <w:tcW w:w="2940" w:type="dxa"/>
            <w:vAlign w:val="bottom"/>
            <w:gridSpan w:val="2"/>
          </w:tcPr>
          <w:p>
            <w:pPr>
              <w:jc w:val="center"/>
              <w:ind w:right="80"/>
              <w:spacing w:after="0"/>
              <w:rPr>
                <w:sz w:val="20"/>
                <w:szCs w:val="20"/>
                <w:color w:val="auto"/>
              </w:rPr>
            </w:pPr>
            <w:r>
              <w:rPr>
                <w:rFonts w:ascii="Arial" w:cs="Arial" w:eastAsia="Arial" w:hAnsi="Arial"/>
                <w:sz w:val="17"/>
                <w:szCs w:val="17"/>
                <w:color w:val="auto"/>
                <w:w w:val="94"/>
              </w:rPr>
              <w:t>incorporation or organization)</w:t>
            </w:r>
          </w:p>
        </w:tc>
        <w:tc>
          <w:tcPr>
            <w:tcW w:w="4340" w:type="dxa"/>
            <w:vAlign w:val="bottom"/>
          </w:tcPr>
          <w:p>
            <w:pPr>
              <w:spacing w:after="0"/>
              <w:rPr>
                <w:sz w:val="19"/>
                <w:szCs w:val="19"/>
                <w:color w:val="auto"/>
              </w:rPr>
            </w:pPr>
          </w:p>
        </w:tc>
        <w:tc>
          <w:tcPr>
            <w:tcW w:w="1780" w:type="dxa"/>
            <w:vAlign w:val="bottom"/>
          </w:tcPr>
          <w:p>
            <w:pPr>
              <w:jc w:val="center"/>
              <w:ind w:left="393"/>
              <w:spacing w:after="0"/>
              <w:rPr>
                <w:sz w:val="20"/>
                <w:szCs w:val="20"/>
                <w:color w:val="auto"/>
              </w:rPr>
            </w:pPr>
            <w:r>
              <w:rPr>
                <w:rFonts w:ascii="Arial" w:cs="Arial" w:eastAsia="Arial" w:hAnsi="Arial"/>
                <w:sz w:val="17"/>
                <w:szCs w:val="17"/>
                <w:color w:val="auto"/>
                <w:w w:val="98"/>
              </w:rPr>
              <w:t>Identification No.)</w:t>
            </w:r>
          </w:p>
        </w:tc>
        <w:tc>
          <w:tcPr>
            <w:tcW w:w="0" w:type="dxa"/>
            <w:vAlign w:val="bottom"/>
          </w:tcPr>
          <w:p>
            <w:pPr>
              <w:spacing w:after="0"/>
              <w:rPr>
                <w:sz w:val="1"/>
                <w:szCs w:val="1"/>
                <w:color w:val="auto"/>
              </w:rPr>
            </w:pPr>
          </w:p>
        </w:tc>
      </w:tr>
      <w:tr>
        <w:trPr>
          <w:trHeight w:val="288"/>
        </w:trPr>
        <w:tc>
          <w:tcPr>
            <w:tcW w:w="2940" w:type="dxa"/>
            <w:vAlign w:val="bottom"/>
            <w:gridSpan w:val="2"/>
          </w:tcPr>
          <w:p>
            <w:pPr>
              <w:jc w:val="center"/>
              <w:ind w:right="80"/>
              <w:spacing w:after="0"/>
              <w:rPr>
                <w:sz w:val="20"/>
                <w:szCs w:val="20"/>
                <w:color w:val="auto"/>
              </w:rPr>
            </w:pPr>
            <w:r>
              <w:rPr>
                <w:rFonts w:ascii="Arial" w:cs="Arial" w:eastAsia="Arial" w:hAnsi="Arial"/>
                <w:sz w:val="17"/>
                <w:szCs w:val="17"/>
                <w:color w:val="auto"/>
                <w:w w:val="92"/>
              </w:rPr>
              <w:t>345 Inverness Drive South,</w:t>
            </w:r>
          </w:p>
        </w:tc>
        <w:tc>
          <w:tcPr>
            <w:tcW w:w="4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940" w:type="dxa"/>
            <w:vAlign w:val="bottom"/>
            <w:gridSpan w:val="2"/>
          </w:tcPr>
          <w:p>
            <w:pPr>
              <w:jc w:val="center"/>
              <w:ind w:right="60"/>
              <w:spacing w:after="0" w:line="170" w:lineRule="exact"/>
              <w:rPr>
                <w:sz w:val="20"/>
                <w:szCs w:val="20"/>
                <w:color w:val="auto"/>
              </w:rPr>
            </w:pPr>
            <w:r>
              <w:rPr>
                <w:rFonts w:ascii="Arial" w:cs="Arial" w:eastAsia="Arial" w:hAnsi="Arial"/>
                <w:sz w:val="17"/>
                <w:szCs w:val="17"/>
                <w:color w:val="auto"/>
                <w:w w:val="95"/>
              </w:rPr>
              <w:t>Building C, Suite 310</w:t>
            </w:r>
          </w:p>
        </w:tc>
        <w:tc>
          <w:tcPr>
            <w:tcW w:w="6120" w:type="dxa"/>
            <w:vAlign w:val="bottom"/>
            <w:gridSpan w:val="2"/>
            <w:vMerge w:val="restart"/>
          </w:tcPr>
          <w:p>
            <w:pPr>
              <w:jc w:val="right"/>
              <w:ind w:right="353"/>
              <w:spacing w:after="0"/>
              <w:rPr>
                <w:sz w:val="20"/>
                <w:szCs w:val="20"/>
                <w:color w:val="auto"/>
              </w:rPr>
            </w:pPr>
            <w:r>
              <w:rPr>
                <w:rFonts w:ascii="Arial" w:cs="Arial" w:eastAsia="Arial" w:hAnsi="Arial"/>
                <w:sz w:val="17"/>
                <w:szCs w:val="17"/>
                <w:b w:val="1"/>
                <w:bCs w:val="1"/>
                <w:color w:val="auto"/>
              </w:rPr>
              <w:t>80112</w:t>
            </w:r>
          </w:p>
        </w:tc>
        <w:tc>
          <w:tcPr>
            <w:tcW w:w="0" w:type="dxa"/>
            <w:vAlign w:val="bottom"/>
          </w:tcPr>
          <w:p>
            <w:pPr>
              <w:spacing w:after="0"/>
              <w:rPr>
                <w:sz w:val="1"/>
                <w:szCs w:val="1"/>
                <w:color w:val="auto"/>
              </w:rPr>
            </w:pPr>
          </w:p>
        </w:tc>
      </w:tr>
      <w:tr>
        <w:trPr>
          <w:trHeight w:val="221"/>
        </w:trPr>
        <w:tc>
          <w:tcPr>
            <w:tcW w:w="2940" w:type="dxa"/>
            <w:vAlign w:val="bottom"/>
            <w:gridSpan w:val="2"/>
          </w:tcPr>
          <w:p>
            <w:pPr>
              <w:jc w:val="center"/>
              <w:ind w:right="60"/>
              <w:spacing w:after="0"/>
              <w:rPr>
                <w:sz w:val="20"/>
                <w:szCs w:val="20"/>
                <w:color w:val="auto"/>
              </w:rPr>
            </w:pPr>
            <w:r>
              <w:rPr>
                <w:rFonts w:ascii="Arial" w:cs="Arial" w:eastAsia="Arial" w:hAnsi="Arial"/>
                <w:sz w:val="17"/>
                <w:szCs w:val="17"/>
                <w:color w:val="auto"/>
                <w:w w:val="94"/>
              </w:rPr>
              <w:t>Englewood, CO</w:t>
            </w:r>
          </w:p>
        </w:tc>
        <w:tc>
          <w:tcPr>
            <w:tcW w:w="61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940" w:type="dxa"/>
            <w:vAlign w:val="bottom"/>
            <w:gridSpan w:val="2"/>
          </w:tcPr>
          <w:p>
            <w:pPr>
              <w:jc w:val="center"/>
              <w:ind w:right="60"/>
              <w:spacing w:after="0"/>
              <w:rPr>
                <w:sz w:val="20"/>
                <w:szCs w:val="20"/>
                <w:color w:val="auto"/>
              </w:rPr>
            </w:pPr>
            <w:r>
              <w:rPr>
                <w:rFonts w:ascii="Arial" w:cs="Arial" w:eastAsia="Arial" w:hAnsi="Arial"/>
                <w:sz w:val="17"/>
                <w:szCs w:val="17"/>
                <w:b w:val="1"/>
                <w:bCs w:val="1"/>
                <w:color w:val="auto"/>
                <w:w w:val="90"/>
              </w:rPr>
              <w:t>(Address of principal executive offices)</w:t>
            </w:r>
          </w:p>
        </w:tc>
        <w:tc>
          <w:tcPr>
            <w:tcW w:w="4340" w:type="dxa"/>
            <w:vAlign w:val="bottom"/>
          </w:tcPr>
          <w:p>
            <w:pPr>
              <w:spacing w:after="0"/>
              <w:rPr>
                <w:sz w:val="20"/>
                <w:szCs w:val="20"/>
                <w:color w:val="auto"/>
              </w:rPr>
            </w:pPr>
          </w:p>
        </w:tc>
        <w:tc>
          <w:tcPr>
            <w:tcW w:w="1780" w:type="dxa"/>
            <w:vAlign w:val="bottom"/>
          </w:tcPr>
          <w:p>
            <w:pPr>
              <w:jc w:val="center"/>
              <w:ind w:left="393"/>
              <w:spacing w:after="0"/>
              <w:rPr>
                <w:sz w:val="20"/>
                <w:szCs w:val="20"/>
                <w:color w:val="auto"/>
              </w:rPr>
            </w:pPr>
            <w:r>
              <w:rPr>
                <w:rFonts w:ascii="Arial" w:cs="Arial" w:eastAsia="Arial" w:hAnsi="Arial"/>
                <w:sz w:val="17"/>
                <w:szCs w:val="17"/>
                <w:b w:val="1"/>
                <w:bCs w:val="1"/>
                <w:color w:val="auto"/>
                <w:w w:val="97"/>
              </w:rPr>
              <w:t>(Zip Code)</w:t>
            </w:r>
          </w:p>
        </w:tc>
        <w:tc>
          <w:tcPr>
            <w:tcW w:w="0" w:type="dxa"/>
            <w:vAlign w:val="bottom"/>
          </w:tcPr>
          <w:p>
            <w:pPr>
              <w:spacing w:after="0"/>
              <w:rPr>
                <w:sz w:val="1"/>
                <w:szCs w:val="1"/>
                <w:color w:val="auto"/>
              </w:rPr>
            </w:pPr>
          </w:p>
        </w:tc>
      </w:tr>
    </w:tbl>
    <w:p>
      <w:pPr>
        <w:spacing w:after="0" w:line="7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(303) 858-8358</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(Registrant's telephone number, including area code)</w:t>
      </w:r>
    </w:p>
    <w:p>
      <w:pPr>
        <w:spacing w:after="0" w:line="54"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Borders>
              <w:bottom w:val="single" w:sz="8" w:color="auto"/>
            </w:tcBorders>
          </w:tcPr>
          <w:p>
            <w:pPr>
              <w:jc w:val="center"/>
              <w:ind w:left="233"/>
              <w:spacing w:after="0"/>
              <w:rPr>
                <w:sz w:val="20"/>
                <w:szCs w:val="20"/>
                <w:color w:val="auto"/>
              </w:rPr>
            </w:pPr>
            <w:r>
              <w:rPr>
                <w:rFonts w:ascii="Arial" w:cs="Arial" w:eastAsia="Arial" w:hAnsi="Arial"/>
                <w:sz w:val="17"/>
                <w:szCs w:val="17"/>
                <w:b w:val="1"/>
                <w:bCs w:val="1"/>
                <w:color w:val="auto"/>
                <w:w w:val="91"/>
              </w:rPr>
              <w:t>Title of Each Class</w:t>
            </w:r>
          </w:p>
        </w:tc>
        <w:tc>
          <w:tcPr>
            <w:tcW w:w="2280" w:type="dxa"/>
            <w:vAlign w:val="bottom"/>
            <w:tcBorders>
              <w:bottom w:val="single" w:sz="8" w:color="auto"/>
            </w:tcBorders>
          </w:tcPr>
          <w:p>
            <w:pPr>
              <w:jc w:val="center"/>
              <w:ind w:left="33"/>
              <w:spacing w:after="0"/>
              <w:rPr>
                <w:sz w:val="20"/>
                <w:szCs w:val="20"/>
                <w:color w:val="auto"/>
              </w:rPr>
            </w:pPr>
            <w:r>
              <w:rPr>
                <w:rFonts w:ascii="Arial" w:cs="Arial" w:eastAsia="Arial" w:hAnsi="Arial"/>
                <w:sz w:val="17"/>
                <w:szCs w:val="17"/>
                <w:b w:val="1"/>
                <w:bCs w:val="1"/>
                <w:color w:val="auto"/>
                <w:w w:val="93"/>
              </w:rPr>
              <w:t>Trading Symbol</w:t>
            </w:r>
          </w:p>
        </w:tc>
        <w:tc>
          <w:tcPr>
            <w:tcW w:w="4540" w:type="dxa"/>
            <w:vAlign w:val="bottom"/>
            <w:tcBorders>
              <w:bottom w:val="single" w:sz="8" w:color="auto"/>
            </w:tcBorders>
          </w:tcPr>
          <w:p>
            <w:pPr>
              <w:jc w:val="center"/>
              <w:ind w:right="93"/>
              <w:spacing w:after="0"/>
              <w:rPr>
                <w:sz w:val="20"/>
                <w:szCs w:val="20"/>
                <w:color w:val="auto"/>
              </w:rPr>
            </w:pPr>
            <w:r>
              <w:rPr>
                <w:rFonts w:ascii="Arial" w:cs="Arial" w:eastAsia="Arial" w:hAnsi="Arial"/>
                <w:sz w:val="17"/>
                <w:szCs w:val="17"/>
                <w:b w:val="1"/>
                <w:bCs w:val="1"/>
                <w:color w:val="auto"/>
                <w:w w:val="91"/>
              </w:rPr>
              <w:t>Name of Each Exchange on Which Registered</w:t>
            </w:r>
          </w:p>
        </w:tc>
      </w:tr>
      <w:tr>
        <w:trPr>
          <w:trHeight w:val="241"/>
        </w:trPr>
        <w:tc>
          <w:tcPr>
            <w:tcW w:w="4420" w:type="dxa"/>
            <w:vAlign w:val="bottom"/>
            <w:tcBorders>
              <w:bottom w:val="single" w:sz="8" w:color="auto"/>
            </w:tcBorders>
          </w:tcPr>
          <w:p>
            <w:pPr>
              <w:jc w:val="center"/>
              <w:ind w:left="233"/>
              <w:spacing w:after="0"/>
              <w:rPr>
                <w:sz w:val="20"/>
                <w:szCs w:val="20"/>
                <w:color w:val="auto"/>
              </w:rPr>
            </w:pPr>
            <w:r>
              <w:rPr>
                <w:rFonts w:ascii="Arial" w:cs="Arial" w:eastAsia="Arial" w:hAnsi="Arial"/>
                <w:sz w:val="17"/>
                <w:szCs w:val="17"/>
                <w:color w:val="auto"/>
                <w:w w:val="92"/>
              </w:rPr>
              <w:t>Common Stock, par value $0.01 per share</w:t>
            </w:r>
          </w:p>
        </w:tc>
        <w:tc>
          <w:tcPr>
            <w:tcW w:w="2280" w:type="dxa"/>
            <w:vAlign w:val="bottom"/>
            <w:tcBorders>
              <w:bottom w:val="single" w:sz="8" w:color="auto"/>
            </w:tcBorders>
          </w:tcPr>
          <w:p>
            <w:pPr>
              <w:jc w:val="center"/>
              <w:ind w:left="33"/>
              <w:spacing w:after="0"/>
              <w:rPr>
                <w:sz w:val="20"/>
                <w:szCs w:val="20"/>
                <w:color w:val="auto"/>
              </w:rPr>
            </w:pPr>
            <w:r>
              <w:rPr>
                <w:rFonts w:ascii="Arial" w:cs="Arial" w:eastAsia="Arial" w:hAnsi="Arial"/>
                <w:sz w:val="17"/>
                <w:szCs w:val="17"/>
                <w:color w:val="auto"/>
                <w:w w:val="97"/>
              </w:rPr>
              <w:t>GEVO</w:t>
            </w:r>
          </w:p>
        </w:tc>
        <w:tc>
          <w:tcPr>
            <w:tcW w:w="4540" w:type="dxa"/>
            <w:vAlign w:val="bottom"/>
            <w:tcBorders>
              <w:bottom w:val="single" w:sz="8" w:color="auto"/>
            </w:tcBorders>
          </w:tcPr>
          <w:p>
            <w:pPr>
              <w:jc w:val="center"/>
              <w:ind w:right="93"/>
              <w:spacing w:after="0"/>
              <w:rPr>
                <w:sz w:val="20"/>
                <w:szCs w:val="20"/>
                <w:color w:val="auto"/>
              </w:rPr>
            </w:pPr>
            <w:r>
              <w:rPr>
                <w:rFonts w:ascii="Arial" w:cs="Arial" w:eastAsia="Arial" w:hAnsi="Arial"/>
                <w:sz w:val="17"/>
                <w:szCs w:val="17"/>
                <w:color w:val="auto"/>
                <w:w w:val="94"/>
              </w:rPr>
              <w:t>The Nasdaq Stock Market LLC</w:t>
            </w:r>
          </w:p>
        </w:tc>
      </w:tr>
    </w:tbl>
    <w:p>
      <w:pPr>
        <w:spacing w:after="0" w:line="131" w:lineRule="exact"/>
        <w:rPr>
          <w:sz w:val="24"/>
          <w:szCs w:val="24"/>
          <w:color w:val="auto"/>
        </w:rPr>
      </w:pPr>
    </w:p>
    <w:p>
      <w:pPr>
        <w:ind w:right="180" w:firstLine="470"/>
        <w:spacing w:after="0" w:line="220"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2" w:lineRule="exact"/>
        <w:rPr>
          <w:sz w:val="24"/>
          <w:szCs w:val="24"/>
          <w:color w:val="auto"/>
        </w:rPr>
      </w:pPr>
    </w:p>
    <w:p>
      <w:pPr>
        <w:ind w:left="140" w:right="300"/>
        <w:spacing w:after="0" w:line="220"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2" w:lineRule="exact"/>
        <w:rPr>
          <w:sz w:val="24"/>
          <w:szCs w:val="24"/>
          <w:color w:val="auto"/>
        </w:rPr>
      </w:pPr>
    </w:p>
    <w:p>
      <w:pPr>
        <w:ind w:right="40" w:firstLine="470"/>
        <w:spacing w:after="0" w:line="272"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5" w:lineRule="exact"/>
        <w:rPr>
          <w:sz w:val="24"/>
          <w:szCs w:val="24"/>
          <w:color w:val="auto"/>
        </w:rPr>
      </w:pPr>
    </w:p>
    <w:tbl>
      <w:tblPr>
        <w:tblLayout w:type="fixed"/>
        <w:tblInd w:w="20" w:type="dxa"/>
        <w:tblCellMar>
          <w:top w:w="0" w:type="dxa"/>
          <w:left w:w="0" w:type="dxa"/>
          <w:bottom w:w="0" w:type="dxa"/>
          <w:right w:w="0" w:type="dxa"/>
        </w:tblCellMar>
      </w:tblPr>
      <w:tr>
        <w:trPr>
          <w:trHeight w:val="274"/>
        </w:trPr>
        <w:tc>
          <w:tcPr>
            <w:tcW w:w="242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3180" w:type="dxa"/>
            <w:vAlign w:val="bottom"/>
          </w:tcPr>
          <w:p>
            <w:pPr>
              <w:ind w:left="840"/>
              <w:spacing w:after="0" w:line="171" w:lineRule="exact"/>
              <w:rPr>
                <w:sz w:val="20"/>
                <w:szCs w:val="20"/>
                <w:color w:val="auto"/>
              </w:rPr>
            </w:pPr>
            <w:r>
              <w:rPr>
                <w:rFonts w:ascii="MS PGothic" w:cs="MS PGothic" w:eastAsia="MS PGothic" w:hAnsi="MS PGothic"/>
                <w:sz w:val="17"/>
                <w:szCs w:val="17"/>
                <w:color w:val="auto"/>
              </w:rPr>
              <w:t>☒</w:t>
            </w:r>
          </w:p>
        </w:tc>
        <w:tc>
          <w:tcPr>
            <w:tcW w:w="4260" w:type="dxa"/>
            <w:vAlign w:val="bottom"/>
          </w:tcPr>
          <w:p>
            <w:pPr>
              <w:jc w:val="right"/>
              <w:spacing w:after="0" w:line="196" w:lineRule="exact"/>
              <w:rPr>
                <w:sz w:val="20"/>
                <w:szCs w:val="20"/>
                <w:color w:val="auto"/>
              </w:rPr>
            </w:pPr>
            <w:r>
              <w:rPr>
                <w:rFonts w:ascii="Arial" w:cs="Arial" w:eastAsia="Arial" w:hAnsi="Arial"/>
                <w:sz w:val="17"/>
                <w:szCs w:val="17"/>
                <w:color w:val="auto"/>
              </w:rPr>
              <w:t xml:space="preserve">Accelerated filer </w:t>
            </w:r>
            <w:r>
              <w:rPr>
                <w:rFonts w:ascii="MS PGothic" w:cs="MS PGothic" w:eastAsia="MS PGothic" w:hAnsi="MS PGothic"/>
                <w:sz w:val="17"/>
                <w:szCs w:val="17"/>
                <w:color w:val="auto"/>
              </w:rPr>
              <w:t>☐</w:t>
            </w:r>
          </w:p>
        </w:tc>
      </w:tr>
      <w:tr>
        <w:trPr>
          <w:trHeight w:val="497"/>
        </w:trPr>
        <w:tc>
          <w:tcPr>
            <w:tcW w:w="2420" w:type="dxa"/>
            <w:vAlign w:val="bottom"/>
          </w:tcPr>
          <w:p>
            <w:pPr>
              <w:spacing w:after="0"/>
              <w:rPr>
                <w:sz w:val="20"/>
                <w:szCs w:val="20"/>
                <w:color w:val="auto"/>
              </w:rPr>
            </w:pPr>
            <w:r>
              <w:rPr>
                <w:rFonts w:ascii="Arial" w:cs="Arial" w:eastAsia="Arial" w:hAnsi="Arial"/>
                <w:sz w:val="17"/>
                <w:szCs w:val="17"/>
                <w:color w:val="auto"/>
              </w:rPr>
              <w:t>Non-accelerated filer</w:t>
            </w:r>
          </w:p>
        </w:tc>
        <w:tc>
          <w:tcPr>
            <w:tcW w:w="3180" w:type="dxa"/>
            <w:vAlign w:val="bottom"/>
          </w:tcPr>
          <w:p>
            <w:pPr>
              <w:ind w:left="840"/>
              <w:spacing w:after="0" w:line="171" w:lineRule="exact"/>
              <w:rPr>
                <w:sz w:val="20"/>
                <w:szCs w:val="20"/>
                <w:color w:val="auto"/>
              </w:rPr>
            </w:pPr>
            <w:r>
              <w:rPr>
                <w:rFonts w:ascii="MS PGothic" w:cs="MS PGothic" w:eastAsia="MS PGothic" w:hAnsi="MS PGothic"/>
                <w:sz w:val="17"/>
                <w:szCs w:val="17"/>
                <w:color w:val="auto"/>
              </w:rPr>
              <w:t>☐</w:t>
            </w:r>
          </w:p>
        </w:tc>
        <w:tc>
          <w:tcPr>
            <w:tcW w:w="4260" w:type="dxa"/>
            <w:vAlign w:val="bottom"/>
          </w:tcPr>
          <w:p>
            <w:pPr>
              <w:jc w:val="right"/>
              <w:spacing w:after="0" w:line="196" w:lineRule="exact"/>
              <w:rPr>
                <w:sz w:val="20"/>
                <w:szCs w:val="20"/>
                <w:color w:val="auto"/>
              </w:rPr>
            </w:pPr>
            <w:r>
              <w:rPr>
                <w:rFonts w:ascii="Arial" w:cs="Arial" w:eastAsia="Arial" w:hAnsi="Arial"/>
                <w:sz w:val="17"/>
                <w:szCs w:val="17"/>
                <w:color w:val="auto"/>
              </w:rPr>
              <w:t xml:space="preserve">Smaller reporting company </w:t>
            </w:r>
            <w:r>
              <w:rPr>
                <w:rFonts w:ascii="MS PGothic" w:cs="MS PGothic" w:eastAsia="MS PGothic" w:hAnsi="MS PGothic"/>
                <w:sz w:val="17"/>
                <w:szCs w:val="17"/>
                <w:color w:val="auto"/>
              </w:rPr>
              <w:t>☐</w:t>
            </w:r>
          </w:p>
        </w:tc>
      </w:tr>
      <w:tr>
        <w:trPr>
          <w:trHeight w:val="497"/>
        </w:trPr>
        <w:tc>
          <w:tcPr>
            <w:tcW w:w="24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260" w:type="dxa"/>
            <w:vAlign w:val="bottom"/>
          </w:tcPr>
          <w:p>
            <w:pPr>
              <w:jc w:val="right"/>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tc>
      </w:tr>
    </w:tbl>
    <w:p>
      <w:pPr>
        <w:spacing w:after="0" w:line="125" w:lineRule="exact"/>
        <w:rPr>
          <w:sz w:val="24"/>
          <w:szCs w:val="24"/>
          <w:color w:val="auto"/>
        </w:rPr>
      </w:pPr>
    </w:p>
    <w:p>
      <w:pPr>
        <w:ind w:right="60" w:firstLine="470"/>
        <w:spacing w:after="0" w:line="225"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ind w:left="480" w:right="1900"/>
        <w:spacing w:after="0" w:line="251"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May 6, 2022, 201,752,722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577215</wp:posOffset>
            </wp:positionV>
            <wp:extent cx="716216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165"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83820</wp:posOffset>
            </wp:positionV>
            <wp:extent cx="7136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50800</wp:posOffset>
            </wp:positionV>
            <wp:extent cx="7136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1" w:name="page2"/>
    <w:bookmarkEnd w:id="1"/>
    <w:p>
      <w:pPr>
        <w:spacing w:after="0"/>
        <w:rPr>
          <w:rFonts w:ascii="Arial" w:cs="Arial" w:eastAsia="Arial" w:hAnsi="Arial"/>
          <w:sz w:val="17"/>
          <w:szCs w:val="17"/>
          <w:u w:val="single" w:color="auto"/>
          <w:color w:val="auto"/>
        </w:rPr>
      </w:pPr>
      <w:hyperlink w:anchor="page1">
        <w:r>
          <w:rPr>
            <w:rFonts w:ascii="Arial" w:cs="Arial" w:eastAsia="Arial" w:hAnsi="Arial"/>
            <w:sz w:val="17"/>
            <w:szCs w:val="17"/>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GEVO,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MARCH 31, 2022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60" w:type="dxa"/>
            <w:vAlign w:val="bottom"/>
          </w:tcPr>
          <w:p>
            <w:pPr>
              <w:spacing w:after="0"/>
              <w:rPr>
                <w:sz w:val="19"/>
                <w:szCs w:val="19"/>
                <w:color w:val="auto"/>
              </w:rPr>
            </w:pPr>
          </w:p>
        </w:tc>
        <w:tc>
          <w:tcPr>
            <w:tcW w:w="9300" w:type="dxa"/>
            <w:vAlign w:val="bottom"/>
          </w:tcPr>
          <w:p>
            <w:pPr>
              <w:spacing w:after="0"/>
              <w:rPr>
                <w:sz w:val="19"/>
                <w:szCs w:val="19"/>
                <w:color w:val="auto"/>
              </w:rPr>
            </w:pPr>
          </w:p>
        </w:tc>
        <w:tc>
          <w:tcPr>
            <w:tcW w:w="980" w:type="dxa"/>
            <w:vAlign w:val="bottom"/>
          </w:tcPr>
          <w:p>
            <w:pPr>
              <w:ind w:left="300"/>
              <w:spacing w:after="0"/>
              <w:rPr>
                <w:sz w:val="20"/>
                <w:szCs w:val="20"/>
                <w:color w:val="auto"/>
              </w:rPr>
            </w:pPr>
            <w:r>
              <w:rPr>
                <w:rFonts w:ascii="Arial" w:cs="Arial" w:eastAsia="Arial" w:hAnsi="Arial"/>
                <w:sz w:val="17"/>
                <w:szCs w:val="17"/>
                <w:color w:val="auto"/>
              </w:rPr>
              <w:t>Page</w:t>
            </w:r>
          </w:p>
        </w:tc>
      </w:tr>
      <w:tr>
        <w:trPr>
          <w:trHeight w:val="248"/>
        </w:trPr>
        <w:tc>
          <w:tcPr>
            <w:tcW w:w="960" w:type="dxa"/>
            <w:vAlign w:val="bottom"/>
          </w:tcPr>
          <w:p>
            <w:pPr>
              <w:spacing w:after="0"/>
              <w:rPr>
                <w:sz w:val="21"/>
                <w:szCs w:val="21"/>
                <w:color w:val="auto"/>
              </w:rPr>
            </w:pPr>
          </w:p>
        </w:tc>
        <w:tc>
          <w:tcPr>
            <w:tcW w:w="9300" w:type="dxa"/>
            <w:vAlign w:val="bottom"/>
          </w:tcPr>
          <w:p>
            <w:pPr>
              <w:jc w:val="center"/>
              <w:spacing w:after="0"/>
              <w:rPr>
                <w:rFonts w:ascii="Arial" w:cs="Arial" w:eastAsia="Arial" w:hAnsi="Arial"/>
                <w:sz w:val="17"/>
                <w:szCs w:val="17"/>
                <w:b w:val="1"/>
                <w:bCs w:val="1"/>
                <w:color w:val="auto"/>
              </w:rPr>
            </w:pPr>
            <w:hyperlink w:anchor="page2">
              <w:r>
                <w:rPr>
                  <w:rFonts w:ascii="Arial" w:cs="Arial" w:eastAsia="Arial" w:hAnsi="Arial"/>
                  <w:sz w:val="17"/>
                  <w:szCs w:val="17"/>
                  <w:b w:val="1"/>
                  <w:bCs w:val="1"/>
                  <w:color w:val="auto"/>
                </w:rPr>
                <w:t>PART I. FINANCIAL INFORMATION</w:t>
              </w:r>
            </w:hyperlink>
          </w:p>
        </w:tc>
        <w:tc>
          <w:tcPr>
            <w:tcW w:w="980" w:type="dxa"/>
            <w:vAlign w:val="bottom"/>
          </w:tcPr>
          <w:p>
            <w:pPr>
              <w:spacing w:after="0"/>
              <w:rPr>
                <w:sz w:val="21"/>
                <w:szCs w:val="21"/>
                <w:color w:val="auto"/>
              </w:rPr>
            </w:pPr>
          </w:p>
        </w:tc>
      </w:tr>
      <w:tr>
        <w:trPr>
          <w:trHeight w:val="497"/>
        </w:trPr>
        <w:tc>
          <w:tcPr>
            <w:tcW w:w="960" w:type="dxa"/>
            <w:vAlign w:val="bottom"/>
          </w:tcPr>
          <w:p>
            <w:pPr>
              <w:ind w:left="20"/>
              <w:spacing w:after="0"/>
              <w:rPr>
                <w:rFonts w:ascii="Arial" w:cs="Arial" w:eastAsia="Arial" w:hAnsi="Arial"/>
                <w:sz w:val="17"/>
                <w:szCs w:val="17"/>
                <w:color w:val="auto"/>
              </w:rPr>
            </w:pPr>
            <w:hyperlink w:anchor="page3">
              <w:r>
                <w:rPr>
                  <w:rFonts w:ascii="Arial" w:cs="Arial" w:eastAsia="Arial" w:hAnsi="Arial"/>
                  <w:sz w:val="17"/>
                  <w:szCs w:val="17"/>
                  <w:color w:val="auto"/>
                </w:rPr>
                <w:t>Item 1.</w:t>
              </w:r>
            </w:hyperlink>
          </w:p>
        </w:tc>
        <w:tc>
          <w:tcPr>
            <w:tcW w:w="9300" w:type="dxa"/>
            <w:vAlign w:val="bottom"/>
          </w:tcPr>
          <w:p>
            <w:pPr>
              <w:ind w:left="300"/>
              <w:spacing w:after="0"/>
              <w:rPr>
                <w:rFonts w:ascii="Arial" w:cs="Arial" w:eastAsia="Arial" w:hAnsi="Arial"/>
                <w:sz w:val="17"/>
                <w:szCs w:val="17"/>
                <w:color w:val="auto"/>
              </w:rPr>
            </w:pPr>
            <w:hyperlink w:anchor="page3">
              <w:r>
                <w:rPr>
                  <w:rFonts w:ascii="Arial" w:cs="Arial" w:eastAsia="Arial" w:hAnsi="Arial"/>
                  <w:sz w:val="17"/>
                  <w:szCs w:val="17"/>
                  <w:color w:val="auto"/>
                </w:rPr>
                <w:t>Financial Statements</w:t>
              </w:r>
            </w:hyperlink>
          </w:p>
        </w:tc>
        <w:tc>
          <w:tcPr>
            <w:tcW w:w="980" w:type="dxa"/>
            <w:vAlign w:val="bottom"/>
          </w:tcPr>
          <w:p>
            <w:pPr>
              <w:jc w:val="center"/>
              <w:spacing w:after="0"/>
              <w:rPr>
                <w:rFonts w:ascii="Arial" w:cs="Arial" w:eastAsia="Arial" w:hAnsi="Arial"/>
                <w:sz w:val="17"/>
                <w:szCs w:val="17"/>
                <w:color w:val="auto"/>
                <w:w w:val="84"/>
              </w:rPr>
            </w:pPr>
            <w:hyperlink w:anchor="page3">
              <w:r>
                <w:rPr>
                  <w:rFonts w:ascii="Arial" w:cs="Arial" w:eastAsia="Arial" w:hAnsi="Arial"/>
                  <w:sz w:val="17"/>
                  <w:szCs w:val="17"/>
                  <w:color w:val="auto"/>
                  <w:w w:val="84"/>
                </w:rPr>
                <w:t>3</w:t>
              </w:r>
            </w:hyperlink>
          </w:p>
        </w:tc>
      </w:tr>
      <w:tr>
        <w:trPr>
          <w:trHeight w:val="248"/>
        </w:trPr>
        <w:tc>
          <w:tcPr>
            <w:tcW w:w="960" w:type="dxa"/>
            <w:vAlign w:val="bottom"/>
          </w:tcPr>
          <w:p>
            <w:pPr>
              <w:spacing w:after="0"/>
              <w:rPr>
                <w:sz w:val="21"/>
                <w:szCs w:val="21"/>
                <w:color w:val="auto"/>
              </w:rPr>
            </w:pPr>
          </w:p>
        </w:tc>
        <w:tc>
          <w:tcPr>
            <w:tcW w:w="9300" w:type="dxa"/>
            <w:vAlign w:val="bottom"/>
          </w:tcPr>
          <w:p>
            <w:pPr>
              <w:ind w:left="300"/>
              <w:spacing w:after="0"/>
              <w:rPr>
                <w:rFonts w:ascii="Arial" w:cs="Arial" w:eastAsia="Arial" w:hAnsi="Arial"/>
                <w:sz w:val="17"/>
                <w:szCs w:val="17"/>
                <w:color w:val="auto"/>
              </w:rPr>
            </w:pPr>
            <w:hyperlink w:anchor="page3">
              <w:r>
                <w:rPr>
                  <w:rFonts w:ascii="Arial" w:cs="Arial" w:eastAsia="Arial" w:hAnsi="Arial"/>
                  <w:sz w:val="17"/>
                  <w:szCs w:val="17"/>
                  <w:color w:val="auto"/>
                </w:rPr>
                <w:t>Consolidated Balance Sheets as of March 31, 2022 (unaudited) and December 31, 2021</w:t>
              </w:r>
            </w:hyperlink>
          </w:p>
        </w:tc>
        <w:tc>
          <w:tcPr>
            <w:tcW w:w="980" w:type="dxa"/>
            <w:vAlign w:val="bottom"/>
          </w:tcPr>
          <w:p>
            <w:pPr>
              <w:jc w:val="center"/>
              <w:spacing w:after="0"/>
              <w:rPr>
                <w:rFonts w:ascii="Arial" w:cs="Arial" w:eastAsia="Arial" w:hAnsi="Arial"/>
                <w:sz w:val="17"/>
                <w:szCs w:val="17"/>
                <w:color w:val="auto"/>
                <w:w w:val="84"/>
              </w:rPr>
            </w:pPr>
            <w:hyperlink w:anchor="page3">
              <w:r>
                <w:rPr>
                  <w:rFonts w:ascii="Arial" w:cs="Arial" w:eastAsia="Arial" w:hAnsi="Arial"/>
                  <w:sz w:val="17"/>
                  <w:szCs w:val="17"/>
                  <w:color w:val="auto"/>
                  <w:w w:val="84"/>
                </w:rPr>
                <w:t>3</w:t>
              </w:r>
            </w:hyperlink>
          </w:p>
        </w:tc>
      </w:tr>
      <w:tr>
        <w:trPr>
          <w:trHeight w:val="248"/>
        </w:trPr>
        <w:tc>
          <w:tcPr>
            <w:tcW w:w="960" w:type="dxa"/>
            <w:vAlign w:val="bottom"/>
          </w:tcPr>
          <w:p>
            <w:pPr>
              <w:spacing w:after="0"/>
              <w:rPr>
                <w:sz w:val="21"/>
                <w:szCs w:val="21"/>
                <w:color w:val="auto"/>
              </w:rPr>
            </w:pPr>
          </w:p>
        </w:tc>
        <w:tc>
          <w:tcPr>
            <w:tcW w:w="9300" w:type="dxa"/>
            <w:vAlign w:val="bottom"/>
          </w:tcPr>
          <w:p>
            <w:pPr>
              <w:ind w:left="300"/>
              <w:spacing w:after="0"/>
              <w:rPr>
                <w:rFonts w:ascii="Arial" w:cs="Arial" w:eastAsia="Arial" w:hAnsi="Arial"/>
                <w:sz w:val="17"/>
                <w:szCs w:val="17"/>
                <w:color w:val="auto"/>
              </w:rPr>
            </w:pPr>
            <w:hyperlink w:anchor="page3">
              <w:r>
                <w:rPr>
                  <w:rFonts w:ascii="Arial" w:cs="Arial" w:eastAsia="Arial" w:hAnsi="Arial"/>
                  <w:sz w:val="17"/>
                  <w:szCs w:val="17"/>
                  <w:color w:val="auto"/>
                </w:rPr>
                <w:t>Consolidated Statements of Operations for the three months ended March 31, 2022 and 2021 (unaudited)</w:t>
              </w:r>
            </w:hyperlink>
          </w:p>
        </w:tc>
        <w:tc>
          <w:tcPr>
            <w:tcW w:w="980" w:type="dxa"/>
            <w:vAlign w:val="bottom"/>
          </w:tcPr>
          <w:p>
            <w:pPr>
              <w:jc w:val="center"/>
              <w:spacing w:after="0"/>
              <w:rPr>
                <w:rFonts w:ascii="Arial" w:cs="Arial" w:eastAsia="Arial" w:hAnsi="Arial"/>
                <w:sz w:val="17"/>
                <w:szCs w:val="17"/>
                <w:color w:val="auto"/>
                <w:w w:val="84"/>
              </w:rPr>
            </w:pPr>
            <w:hyperlink w:anchor="page3">
              <w:r>
                <w:rPr>
                  <w:rFonts w:ascii="Arial" w:cs="Arial" w:eastAsia="Arial" w:hAnsi="Arial"/>
                  <w:sz w:val="17"/>
                  <w:szCs w:val="17"/>
                  <w:color w:val="auto"/>
                  <w:w w:val="84"/>
                </w:rPr>
                <w:t>4</w:t>
              </w:r>
            </w:hyperlink>
          </w:p>
        </w:tc>
      </w:tr>
      <w:tr>
        <w:trPr>
          <w:trHeight w:val="248"/>
        </w:trPr>
        <w:tc>
          <w:tcPr>
            <w:tcW w:w="960" w:type="dxa"/>
            <w:vAlign w:val="bottom"/>
          </w:tcPr>
          <w:p>
            <w:pPr>
              <w:spacing w:after="0"/>
              <w:rPr>
                <w:sz w:val="21"/>
                <w:szCs w:val="21"/>
                <w:color w:val="auto"/>
              </w:rPr>
            </w:pPr>
          </w:p>
        </w:tc>
        <w:tc>
          <w:tcPr>
            <w:tcW w:w="9300" w:type="dxa"/>
            <w:vAlign w:val="bottom"/>
          </w:tcPr>
          <w:p>
            <w:pPr>
              <w:ind w:left="300"/>
              <w:spacing w:after="0"/>
              <w:rPr>
                <w:rFonts w:ascii="Arial" w:cs="Arial" w:eastAsia="Arial" w:hAnsi="Arial"/>
                <w:sz w:val="17"/>
                <w:szCs w:val="17"/>
                <w:color w:val="auto"/>
                <w:w w:val="95"/>
              </w:rPr>
            </w:pPr>
            <w:hyperlink w:anchor="page4">
              <w:r>
                <w:rPr>
                  <w:rFonts w:ascii="Arial" w:cs="Arial" w:eastAsia="Arial" w:hAnsi="Arial"/>
                  <w:sz w:val="17"/>
                  <w:szCs w:val="17"/>
                  <w:color w:val="auto"/>
                  <w:w w:val="95"/>
                </w:rPr>
                <w:t>Consolidated Statements of Comprehensive Income (Loss) for the three months ended March 31, 2022 and 2021 (unaudited)</w:t>
              </w:r>
            </w:hyperlink>
          </w:p>
        </w:tc>
        <w:tc>
          <w:tcPr>
            <w:tcW w:w="980" w:type="dxa"/>
            <w:vAlign w:val="bottom"/>
          </w:tcPr>
          <w:p>
            <w:pPr>
              <w:jc w:val="center"/>
              <w:spacing w:after="0"/>
              <w:rPr>
                <w:rFonts w:ascii="Arial" w:cs="Arial" w:eastAsia="Arial" w:hAnsi="Arial"/>
                <w:sz w:val="17"/>
                <w:szCs w:val="17"/>
                <w:color w:val="auto"/>
                <w:w w:val="84"/>
              </w:rPr>
            </w:pPr>
            <w:hyperlink w:anchor="page4">
              <w:r>
                <w:rPr>
                  <w:rFonts w:ascii="Arial" w:cs="Arial" w:eastAsia="Arial" w:hAnsi="Arial"/>
                  <w:sz w:val="17"/>
                  <w:szCs w:val="17"/>
                  <w:color w:val="auto"/>
                  <w:w w:val="84"/>
                </w:rPr>
                <w:t>5</w:t>
              </w:r>
            </w:hyperlink>
          </w:p>
        </w:tc>
      </w:tr>
      <w:tr>
        <w:trPr>
          <w:trHeight w:val="248"/>
        </w:trPr>
        <w:tc>
          <w:tcPr>
            <w:tcW w:w="960" w:type="dxa"/>
            <w:vAlign w:val="bottom"/>
          </w:tcPr>
          <w:p>
            <w:pPr>
              <w:spacing w:after="0"/>
              <w:rPr>
                <w:sz w:val="21"/>
                <w:szCs w:val="21"/>
                <w:color w:val="auto"/>
              </w:rPr>
            </w:pPr>
          </w:p>
        </w:tc>
        <w:tc>
          <w:tcPr>
            <w:tcW w:w="9300" w:type="dxa"/>
            <w:vAlign w:val="bottom"/>
          </w:tcPr>
          <w:p>
            <w:pPr>
              <w:ind w:left="300"/>
              <w:spacing w:after="0"/>
              <w:rPr>
                <w:rFonts w:ascii="Arial" w:cs="Arial" w:eastAsia="Arial" w:hAnsi="Arial"/>
                <w:sz w:val="17"/>
                <w:szCs w:val="17"/>
                <w:color w:val="auto"/>
              </w:rPr>
            </w:pPr>
            <w:hyperlink w:anchor="page5">
              <w:r>
                <w:rPr>
                  <w:rFonts w:ascii="Arial" w:cs="Arial" w:eastAsia="Arial" w:hAnsi="Arial"/>
                  <w:sz w:val="17"/>
                  <w:szCs w:val="17"/>
                  <w:color w:val="auto"/>
                </w:rPr>
                <w:t xml:space="preserve">Consolidated Statements of Stockholders' Equity for the </w:t>
              </w:r>
            </w:hyperlink>
            <w:hyperlink w:anchor="page4">
              <w:r>
                <w:rPr>
                  <w:rFonts w:ascii="Arial" w:cs="Arial" w:eastAsia="Arial" w:hAnsi="Arial"/>
                  <w:sz w:val="17"/>
                  <w:szCs w:val="17"/>
                  <w:color w:val="auto"/>
                </w:rPr>
                <w:t>three months ended March 31, 2022 and 2021 (unaudited)</w:t>
              </w:r>
            </w:hyperlink>
          </w:p>
        </w:tc>
        <w:tc>
          <w:tcPr>
            <w:tcW w:w="980" w:type="dxa"/>
            <w:vAlign w:val="bottom"/>
          </w:tcPr>
          <w:p>
            <w:pPr>
              <w:jc w:val="center"/>
              <w:spacing w:after="0"/>
              <w:rPr>
                <w:rFonts w:ascii="Arial" w:cs="Arial" w:eastAsia="Arial" w:hAnsi="Arial"/>
                <w:sz w:val="17"/>
                <w:szCs w:val="17"/>
                <w:color w:val="auto"/>
                <w:w w:val="84"/>
              </w:rPr>
            </w:pPr>
            <w:hyperlink w:anchor="page5">
              <w:r>
                <w:rPr>
                  <w:rFonts w:ascii="Arial" w:cs="Arial" w:eastAsia="Arial" w:hAnsi="Arial"/>
                  <w:sz w:val="17"/>
                  <w:szCs w:val="17"/>
                  <w:color w:val="auto"/>
                  <w:w w:val="84"/>
                </w:rPr>
                <w:t>6</w:t>
              </w:r>
            </w:hyperlink>
          </w:p>
        </w:tc>
      </w:tr>
      <w:tr>
        <w:trPr>
          <w:trHeight w:val="248"/>
        </w:trPr>
        <w:tc>
          <w:tcPr>
            <w:tcW w:w="960" w:type="dxa"/>
            <w:vAlign w:val="bottom"/>
          </w:tcPr>
          <w:p>
            <w:pPr>
              <w:spacing w:after="0"/>
              <w:rPr>
                <w:sz w:val="21"/>
                <w:szCs w:val="21"/>
                <w:color w:val="auto"/>
              </w:rPr>
            </w:pPr>
          </w:p>
        </w:tc>
        <w:tc>
          <w:tcPr>
            <w:tcW w:w="9300" w:type="dxa"/>
            <w:vAlign w:val="bottom"/>
          </w:tcPr>
          <w:p>
            <w:pPr>
              <w:ind w:left="300"/>
              <w:spacing w:after="0"/>
              <w:rPr>
                <w:rFonts w:ascii="Arial" w:cs="Arial" w:eastAsia="Arial" w:hAnsi="Arial"/>
                <w:sz w:val="17"/>
                <w:szCs w:val="17"/>
                <w:color w:val="auto"/>
              </w:rPr>
            </w:pPr>
            <w:hyperlink w:anchor="page6">
              <w:r>
                <w:rPr>
                  <w:rFonts w:ascii="Arial" w:cs="Arial" w:eastAsia="Arial" w:hAnsi="Arial"/>
                  <w:sz w:val="17"/>
                  <w:szCs w:val="17"/>
                  <w:color w:val="auto"/>
                </w:rPr>
                <w:t xml:space="preserve">Consolidated Statements of Cash Flows for the </w:t>
              </w:r>
            </w:hyperlink>
            <w:hyperlink w:anchor="page4">
              <w:r>
                <w:rPr>
                  <w:rFonts w:ascii="Arial" w:cs="Arial" w:eastAsia="Arial" w:hAnsi="Arial"/>
                  <w:sz w:val="17"/>
                  <w:szCs w:val="17"/>
                  <w:color w:val="auto"/>
                </w:rPr>
                <w:t>three months ended March 31, 2022 and 2021 (unaudited)</w:t>
              </w:r>
            </w:hyperlink>
          </w:p>
        </w:tc>
        <w:tc>
          <w:tcPr>
            <w:tcW w:w="980" w:type="dxa"/>
            <w:vAlign w:val="bottom"/>
          </w:tcPr>
          <w:p>
            <w:pPr>
              <w:jc w:val="center"/>
              <w:spacing w:after="0"/>
              <w:rPr>
                <w:rFonts w:ascii="Arial" w:cs="Arial" w:eastAsia="Arial" w:hAnsi="Arial"/>
                <w:sz w:val="17"/>
                <w:szCs w:val="17"/>
                <w:color w:val="auto"/>
                <w:w w:val="84"/>
              </w:rPr>
            </w:pPr>
            <w:hyperlink w:anchor="page6">
              <w:r>
                <w:rPr>
                  <w:rFonts w:ascii="Arial" w:cs="Arial" w:eastAsia="Arial" w:hAnsi="Arial"/>
                  <w:sz w:val="17"/>
                  <w:szCs w:val="17"/>
                  <w:color w:val="auto"/>
                  <w:w w:val="84"/>
                </w:rPr>
                <w:t>7</w:t>
              </w:r>
            </w:hyperlink>
          </w:p>
        </w:tc>
      </w:tr>
      <w:tr>
        <w:trPr>
          <w:trHeight w:val="248"/>
        </w:trPr>
        <w:tc>
          <w:tcPr>
            <w:tcW w:w="960" w:type="dxa"/>
            <w:vAlign w:val="bottom"/>
          </w:tcPr>
          <w:p>
            <w:pPr>
              <w:spacing w:after="0"/>
              <w:rPr>
                <w:sz w:val="21"/>
                <w:szCs w:val="21"/>
                <w:color w:val="auto"/>
              </w:rPr>
            </w:pPr>
          </w:p>
        </w:tc>
        <w:tc>
          <w:tcPr>
            <w:tcW w:w="9300" w:type="dxa"/>
            <w:vAlign w:val="bottom"/>
          </w:tcPr>
          <w:p>
            <w:pPr>
              <w:ind w:left="300"/>
              <w:spacing w:after="0"/>
              <w:rPr>
                <w:rFonts w:ascii="Arial" w:cs="Arial" w:eastAsia="Arial" w:hAnsi="Arial"/>
                <w:sz w:val="17"/>
                <w:szCs w:val="17"/>
                <w:color w:val="auto"/>
              </w:rPr>
            </w:pPr>
            <w:hyperlink w:anchor="page7">
              <w:r>
                <w:rPr>
                  <w:rFonts w:ascii="Arial" w:cs="Arial" w:eastAsia="Arial" w:hAnsi="Arial"/>
                  <w:sz w:val="17"/>
                  <w:szCs w:val="17"/>
                  <w:color w:val="auto"/>
                </w:rPr>
                <w:t>Notes to Consolidated Financial Statements (unaudited)</w:t>
              </w:r>
            </w:hyperlink>
          </w:p>
        </w:tc>
        <w:tc>
          <w:tcPr>
            <w:tcW w:w="980" w:type="dxa"/>
            <w:vAlign w:val="bottom"/>
          </w:tcPr>
          <w:p>
            <w:pPr>
              <w:jc w:val="center"/>
              <w:spacing w:after="0"/>
              <w:rPr>
                <w:rFonts w:ascii="Arial" w:cs="Arial" w:eastAsia="Arial" w:hAnsi="Arial"/>
                <w:sz w:val="17"/>
                <w:szCs w:val="17"/>
                <w:color w:val="auto"/>
                <w:w w:val="84"/>
              </w:rPr>
            </w:pPr>
            <w:hyperlink w:anchor="page7">
              <w:r>
                <w:rPr>
                  <w:rFonts w:ascii="Arial" w:cs="Arial" w:eastAsia="Arial" w:hAnsi="Arial"/>
                  <w:sz w:val="17"/>
                  <w:szCs w:val="17"/>
                  <w:color w:val="auto"/>
                  <w:w w:val="84"/>
                </w:rPr>
                <w:t>8</w:t>
              </w:r>
            </w:hyperlink>
          </w:p>
        </w:tc>
      </w:tr>
      <w:tr>
        <w:trPr>
          <w:trHeight w:val="497"/>
        </w:trPr>
        <w:tc>
          <w:tcPr>
            <w:tcW w:w="960" w:type="dxa"/>
            <w:vAlign w:val="bottom"/>
          </w:tcPr>
          <w:p>
            <w:pPr>
              <w:ind w:left="20"/>
              <w:spacing w:after="0"/>
              <w:rPr>
                <w:rFonts w:ascii="Arial" w:cs="Arial" w:eastAsia="Arial" w:hAnsi="Arial"/>
                <w:sz w:val="17"/>
                <w:szCs w:val="17"/>
                <w:color w:val="auto"/>
              </w:rPr>
            </w:pPr>
            <w:hyperlink w:anchor="page24">
              <w:r>
                <w:rPr>
                  <w:rFonts w:ascii="Arial" w:cs="Arial" w:eastAsia="Arial" w:hAnsi="Arial"/>
                  <w:sz w:val="17"/>
                  <w:szCs w:val="17"/>
                  <w:color w:val="auto"/>
                </w:rPr>
                <w:t>Item 2.</w:t>
              </w:r>
            </w:hyperlink>
          </w:p>
        </w:tc>
        <w:tc>
          <w:tcPr>
            <w:tcW w:w="9300" w:type="dxa"/>
            <w:vAlign w:val="bottom"/>
          </w:tcPr>
          <w:p>
            <w:pPr>
              <w:ind w:left="300"/>
              <w:spacing w:after="0"/>
              <w:rPr>
                <w:rFonts w:ascii="Arial" w:cs="Arial" w:eastAsia="Arial" w:hAnsi="Arial"/>
                <w:sz w:val="17"/>
                <w:szCs w:val="17"/>
                <w:color w:val="auto"/>
              </w:rPr>
            </w:pPr>
            <w:hyperlink w:anchor="page24">
              <w:r>
                <w:rPr>
                  <w:rFonts w:ascii="Arial" w:cs="Arial" w:eastAsia="Arial" w:hAnsi="Arial"/>
                  <w:sz w:val="17"/>
                  <w:szCs w:val="17"/>
                  <w:color w:val="auto"/>
                </w:rPr>
                <w:t>Management’s Discussion and Analysis of Financial Condition and Results of Operations</w:t>
              </w:r>
            </w:hyperlink>
          </w:p>
        </w:tc>
        <w:tc>
          <w:tcPr>
            <w:tcW w:w="980" w:type="dxa"/>
            <w:vAlign w:val="bottom"/>
          </w:tcPr>
          <w:p>
            <w:pPr>
              <w:jc w:val="center"/>
              <w:spacing w:after="0"/>
              <w:rPr>
                <w:rFonts w:ascii="Arial" w:cs="Arial" w:eastAsia="Arial" w:hAnsi="Arial"/>
                <w:sz w:val="17"/>
                <w:szCs w:val="17"/>
                <w:color w:val="auto"/>
                <w:w w:val="94"/>
              </w:rPr>
            </w:pPr>
            <w:hyperlink w:anchor="page24">
              <w:r>
                <w:rPr>
                  <w:rFonts w:ascii="Arial" w:cs="Arial" w:eastAsia="Arial" w:hAnsi="Arial"/>
                  <w:sz w:val="17"/>
                  <w:szCs w:val="17"/>
                  <w:color w:val="auto"/>
                  <w:w w:val="94"/>
                </w:rPr>
                <w:t>25</w:t>
              </w:r>
            </w:hyperlink>
          </w:p>
        </w:tc>
      </w:tr>
      <w:tr>
        <w:trPr>
          <w:trHeight w:val="248"/>
        </w:trPr>
        <w:tc>
          <w:tcPr>
            <w:tcW w:w="960" w:type="dxa"/>
            <w:vAlign w:val="bottom"/>
          </w:tcPr>
          <w:p>
            <w:pPr>
              <w:ind w:left="20"/>
              <w:spacing w:after="0"/>
              <w:rPr>
                <w:rFonts w:ascii="Arial" w:cs="Arial" w:eastAsia="Arial" w:hAnsi="Arial"/>
                <w:sz w:val="17"/>
                <w:szCs w:val="17"/>
                <w:color w:val="auto"/>
              </w:rPr>
            </w:pPr>
            <w:hyperlink w:anchor="page33">
              <w:r>
                <w:rPr>
                  <w:rFonts w:ascii="Arial" w:cs="Arial" w:eastAsia="Arial" w:hAnsi="Arial"/>
                  <w:sz w:val="17"/>
                  <w:szCs w:val="17"/>
                  <w:color w:val="auto"/>
                </w:rPr>
                <w:t>Item 3.</w:t>
              </w:r>
            </w:hyperlink>
          </w:p>
        </w:tc>
        <w:tc>
          <w:tcPr>
            <w:tcW w:w="9300" w:type="dxa"/>
            <w:vAlign w:val="bottom"/>
          </w:tcPr>
          <w:p>
            <w:pPr>
              <w:ind w:left="300"/>
              <w:spacing w:after="0"/>
              <w:rPr>
                <w:rFonts w:ascii="Arial" w:cs="Arial" w:eastAsia="Arial" w:hAnsi="Arial"/>
                <w:sz w:val="17"/>
                <w:szCs w:val="17"/>
                <w:color w:val="auto"/>
              </w:rPr>
            </w:pPr>
            <w:hyperlink w:anchor="page33">
              <w:r>
                <w:rPr>
                  <w:rFonts w:ascii="Arial" w:cs="Arial" w:eastAsia="Arial" w:hAnsi="Arial"/>
                  <w:sz w:val="17"/>
                  <w:szCs w:val="17"/>
                  <w:color w:val="auto"/>
                </w:rPr>
                <w:t>Quantitative and Qualitative Disclosures About Market Risk</w:t>
              </w:r>
            </w:hyperlink>
          </w:p>
        </w:tc>
        <w:tc>
          <w:tcPr>
            <w:tcW w:w="980" w:type="dxa"/>
            <w:vAlign w:val="bottom"/>
          </w:tcPr>
          <w:p>
            <w:pPr>
              <w:jc w:val="center"/>
              <w:spacing w:after="0"/>
              <w:rPr>
                <w:rFonts w:ascii="Arial" w:cs="Arial" w:eastAsia="Arial" w:hAnsi="Arial"/>
                <w:sz w:val="17"/>
                <w:szCs w:val="17"/>
                <w:color w:val="auto"/>
                <w:w w:val="94"/>
              </w:rPr>
            </w:pPr>
            <w:hyperlink w:anchor="page33">
              <w:r>
                <w:rPr>
                  <w:rFonts w:ascii="Arial" w:cs="Arial" w:eastAsia="Arial" w:hAnsi="Arial"/>
                  <w:sz w:val="17"/>
                  <w:szCs w:val="17"/>
                  <w:color w:val="auto"/>
                  <w:w w:val="94"/>
                </w:rPr>
                <w:t>33</w:t>
              </w:r>
            </w:hyperlink>
          </w:p>
        </w:tc>
      </w:tr>
      <w:tr>
        <w:trPr>
          <w:trHeight w:val="248"/>
        </w:trPr>
        <w:tc>
          <w:tcPr>
            <w:tcW w:w="960" w:type="dxa"/>
            <w:vAlign w:val="bottom"/>
          </w:tcPr>
          <w:p>
            <w:pPr>
              <w:ind w:left="20"/>
              <w:spacing w:after="0"/>
              <w:rPr>
                <w:rFonts w:ascii="Arial" w:cs="Arial" w:eastAsia="Arial" w:hAnsi="Arial"/>
                <w:sz w:val="17"/>
                <w:szCs w:val="17"/>
                <w:color w:val="auto"/>
              </w:rPr>
            </w:pPr>
            <w:hyperlink w:anchor="page33">
              <w:r>
                <w:rPr>
                  <w:rFonts w:ascii="Arial" w:cs="Arial" w:eastAsia="Arial" w:hAnsi="Arial"/>
                  <w:sz w:val="17"/>
                  <w:szCs w:val="17"/>
                  <w:color w:val="auto"/>
                </w:rPr>
                <w:t>Item 4.</w:t>
              </w:r>
            </w:hyperlink>
          </w:p>
        </w:tc>
        <w:tc>
          <w:tcPr>
            <w:tcW w:w="9300" w:type="dxa"/>
            <w:vAlign w:val="bottom"/>
          </w:tcPr>
          <w:p>
            <w:pPr>
              <w:ind w:left="300"/>
              <w:spacing w:after="0"/>
              <w:rPr>
                <w:rFonts w:ascii="Arial" w:cs="Arial" w:eastAsia="Arial" w:hAnsi="Arial"/>
                <w:sz w:val="17"/>
                <w:szCs w:val="17"/>
                <w:color w:val="auto"/>
              </w:rPr>
            </w:pPr>
            <w:hyperlink w:anchor="page33">
              <w:r>
                <w:rPr>
                  <w:rFonts w:ascii="Arial" w:cs="Arial" w:eastAsia="Arial" w:hAnsi="Arial"/>
                  <w:sz w:val="17"/>
                  <w:szCs w:val="17"/>
                  <w:color w:val="auto"/>
                </w:rPr>
                <w:t>Controls and Procedures</w:t>
              </w:r>
            </w:hyperlink>
          </w:p>
        </w:tc>
        <w:tc>
          <w:tcPr>
            <w:tcW w:w="980" w:type="dxa"/>
            <w:vAlign w:val="bottom"/>
          </w:tcPr>
          <w:p>
            <w:pPr>
              <w:jc w:val="center"/>
              <w:spacing w:after="0"/>
              <w:rPr>
                <w:rFonts w:ascii="Arial" w:cs="Arial" w:eastAsia="Arial" w:hAnsi="Arial"/>
                <w:sz w:val="17"/>
                <w:szCs w:val="17"/>
                <w:color w:val="auto"/>
                <w:w w:val="94"/>
              </w:rPr>
            </w:pPr>
            <w:hyperlink w:anchor="page33">
              <w:r>
                <w:rPr>
                  <w:rFonts w:ascii="Arial" w:cs="Arial" w:eastAsia="Arial" w:hAnsi="Arial"/>
                  <w:sz w:val="17"/>
                  <w:szCs w:val="17"/>
                  <w:color w:val="auto"/>
                  <w:w w:val="94"/>
                </w:rPr>
                <w:t>33</w:t>
              </w:r>
            </w:hyperlink>
          </w:p>
        </w:tc>
      </w:tr>
      <w:tr>
        <w:trPr>
          <w:trHeight w:val="497"/>
        </w:trPr>
        <w:tc>
          <w:tcPr>
            <w:tcW w:w="960" w:type="dxa"/>
            <w:vAlign w:val="bottom"/>
          </w:tcPr>
          <w:p>
            <w:pPr>
              <w:spacing w:after="0"/>
              <w:rPr>
                <w:sz w:val="24"/>
                <w:szCs w:val="24"/>
                <w:color w:val="auto"/>
              </w:rPr>
            </w:pPr>
          </w:p>
        </w:tc>
        <w:tc>
          <w:tcPr>
            <w:tcW w:w="9300" w:type="dxa"/>
            <w:vAlign w:val="bottom"/>
          </w:tcPr>
          <w:p>
            <w:pPr>
              <w:jc w:val="center"/>
              <w:spacing w:after="0"/>
              <w:rPr>
                <w:rFonts w:ascii="Arial" w:cs="Arial" w:eastAsia="Arial" w:hAnsi="Arial"/>
                <w:sz w:val="17"/>
                <w:szCs w:val="17"/>
                <w:b w:val="1"/>
                <w:bCs w:val="1"/>
                <w:color w:val="auto"/>
              </w:rPr>
            </w:pPr>
            <w:hyperlink w:anchor="page33">
              <w:r>
                <w:rPr>
                  <w:rFonts w:ascii="Arial" w:cs="Arial" w:eastAsia="Arial" w:hAnsi="Arial"/>
                  <w:sz w:val="17"/>
                  <w:szCs w:val="17"/>
                  <w:b w:val="1"/>
                  <w:bCs w:val="1"/>
                  <w:color w:val="auto"/>
                </w:rPr>
                <w:t>PART II. OTHER INFORMATION</w:t>
              </w:r>
            </w:hyperlink>
          </w:p>
        </w:tc>
        <w:tc>
          <w:tcPr>
            <w:tcW w:w="980" w:type="dxa"/>
            <w:vAlign w:val="bottom"/>
          </w:tcPr>
          <w:p>
            <w:pPr>
              <w:spacing w:after="0"/>
              <w:rPr>
                <w:sz w:val="24"/>
                <w:szCs w:val="24"/>
                <w:color w:val="auto"/>
              </w:rPr>
            </w:pPr>
          </w:p>
        </w:tc>
      </w:tr>
      <w:tr>
        <w:trPr>
          <w:trHeight w:val="497"/>
        </w:trPr>
        <w:tc>
          <w:tcPr>
            <w:tcW w:w="960" w:type="dxa"/>
            <w:vAlign w:val="bottom"/>
          </w:tcPr>
          <w:p>
            <w:pPr>
              <w:ind w:left="20"/>
              <w:spacing w:after="0"/>
              <w:rPr>
                <w:rFonts w:ascii="Arial" w:cs="Arial" w:eastAsia="Arial" w:hAnsi="Arial"/>
                <w:sz w:val="17"/>
                <w:szCs w:val="17"/>
                <w:color w:val="auto"/>
              </w:rPr>
            </w:pPr>
            <w:hyperlink w:anchor="page34">
              <w:r>
                <w:rPr>
                  <w:rFonts w:ascii="Arial" w:cs="Arial" w:eastAsia="Arial" w:hAnsi="Arial"/>
                  <w:sz w:val="17"/>
                  <w:szCs w:val="17"/>
                  <w:color w:val="auto"/>
                </w:rPr>
                <w:t>Item 1.</w:t>
              </w:r>
            </w:hyperlink>
          </w:p>
        </w:tc>
        <w:tc>
          <w:tcPr>
            <w:tcW w:w="9300" w:type="dxa"/>
            <w:vAlign w:val="bottom"/>
          </w:tcPr>
          <w:p>
            <w:pPr>
              <w:ind w:left="300"/>
              <w:spacing w:after="0"/>
              <w:rPr>
                <w:rFonts w:ascii="Arial" w:cs="Arial" w:eastAsia="Arial" w:hAnsi="Arial"/>
                <w:sz w:val="17"/>
                <w:szCs w:val="17"/>
                <w:color w:val="auto"/>
              </w:rPr>
            </w:pPr>
            <w:hyperlink w:anchor="page34">
              <w:r>
                <w:rPr>
                  <w:rFonts w:ascii="Arial" w:cs="Arial" w:eastAsia="Arial" w:hAnsi="Arial"/>
                  <w:sz w:val="17"/>
                  <w:szCs w:val="17"/>
                  <w:color w:val="auto"/>
                </w:rPr>
                <w:t>Legal Proceedings</w:t>
              </w:r>
            </w:hyperlink>
          </w:p>
        </w:tc>
        <w:tc>
          <w:tcPr>
            <w:tcW w:w="980" w:type="dxa"/>
            <w:vAlign w:val="bottom"/>
          </w:tcPr>
          <w:p>
            <w:pPr>
              <w:jc w:val="center"/>
              <w:spacing w:after="0"/>
              <w:rPr>
                <w:rFonts w:ascii="Arial" w:cs="Arial" w:eastAsia="Arial" w:hAnsi="Arial"/>
                <w:sz w:val="17"/>
                <w:szCs w:val="17"/>
                <w:color w:val="auto"/>
                <w:w w:val="94"/>
              </w:rPr>
            </w:pPr>
            <w:hyperlink w:anchor="page34">
              <w:r>
                <w:rPr>
                  <w:rFonts w:ascii="Arial" w:cs="Arial" w:eastAsia="Arial" w:hAnsi="Arial"/>
                  <w:sz w:val="17"/>
                  <w:szCs w:val="17"/>
                  <w:color w:val="auto"/>
                  <w:w w:val="94"/>
                </w:rPr>
                <w:t>34</w:t>
              </w:r>
            </w:hyperlink>
          </w:p>
        </w:tc>
      </w:tr>
      <w:tr>
        <w:trPr>
          <w:trHeight w:val="248"/>
        </w:trPr>
        <w:tc>
          <w:tcPr>
            <w:tcW w:w="960" w:type="dxa"/>
            <w:vAlign w:val="bottom"/>
          </w:tcPr>
          <w:p>
            <w:pPr>
              <w:ind w:left="20"/>
              <w:spacing w:after="0"/>
              <w:rPr>
                <w:rFonts w:ascii="Arial" w:cs="Arial" w:eastAsia="Arial" w:hAnsi="Arial"/>
                <w:sz w:val="17"/>
                <w:szCs w:val="17"/>
                <w:color w:val="auto"/>
              </w:rPr>
            </w:pPr>
            <w:hyperlink w:anchor="page34">
              <w:r>
                <w:rPr>
                  <w:rFonts w:ascii="Arial" w:cs="Arial" w:eastAsia="Arial" w:hAnsi="Arial"/>
                  <w:sz w:val="17"/>
                  <w:szCs w:val="17"/>
                  <w:color w:val="auto"/>
                </w:rPr>
                <w:t>Item 1A.</w:t>
              </w:r>
            </w:hyperlink>
          </w:p>
        </w:tc>
        <w:tc>
          <w:tcPr>
            <w:tcW w:w="9300" w:type="dxa"/>
            <w:vAlign w:val="bottom"/>
          </w:tcPr>
          <w:p>
            <w:pPr>
              <w:ind w:left="300"/>
              <w:spacing w:after="0"/>
              <w:rPr>
                <w:rFonts w:ascii="Arial" w:cs="Arial" w:eastAsia="Arial" w:hAnsi="Arial"/>
                <w:sz w:val="17"/>
                <w:szCs w:val="17"/>
                <w:color w:val="auto"/>
              </w:rPr>
            </w:pPr>
            <w:hyperlink w:anchor="page34">
              <w:r>
                <w:rPr>
                  <w:rFonts w:ascii="Arial" w:cs="Arial" w:eastAsia="Arial" w:hAnsi="Arial"/>
                  <w:sz w:val="17"/>
                  <w:szCs w:val="17"/>
                  <w:color w:val="auto"/>
                </w:rPr>
                <w:t>Risk Factors</w:t>
              </w:r>
            </w:hyperlink>
          </w:p>
        </w:tc>
        <w:tc>
          <w:tcPr>
            <w:tcW w:w="980" w:type="dxa"/>
            <w:vAlign w:val="bottom"/>
          </w:tcPr>
          <w:p>
            <w:pPr>
              <w:jc w:val="center"/>
              <w:spacing w:after="0"/>
              <w:rPr>
                <w:rFonts w:ascii="Arial" w:cs="Arial" w:eastAsia="Arial" w:hAnsi="Arial"/>
                <w:sz w:val="17"/>
                <w:szCs w:val="17"/>
                <w:color w:val="auto"/>
                <w:w w:val="94"/>
              </w:rPr>
            </w:pPr>
            <w:hyperlink w:anchor="page34">
              <w:r>
                <w:rPr>
                  <w:rFonts w:ascii="Arial" w:cs="Arial" w:eastAsia="Arial" w:hAnsi="Arial"/>
                  <w:sz w:val="17"/>
                  <w:szCs w:val="17"/>
                  <w:color w:val="auto"/>
                  <w:w w:val="94"/>
                </w:rPr>
                <w:t>34</w:t>
              </w:r>
            </w:hyperlink>
          </w:p>
        </w:tc>
      </w:tr>
      <w:tr>
        <w:trPr>
          <w:trHeight w:val="248"/>
        </w:trPr>
        <w:tc>
          <w:tcPr>
            <w:tcW w:w="960" w:type="dxa"/>
            <w:vAlign w:val="bottom"/>
          </w:tcPr>
          <w:p>
            <w:pPr>
              <w:ind w:left="20"/>
              <w:spacing w:after="0"/>
              <w:rPr>
                <w:rFonts w:ascii="Arial" w:cs="Arial" w:eastAsia="Arial" w:hAnsi="Arial"/>
                <w:sz w:val="17"/>
                <w:szCs w:val="17"/>
                <w:color w:val="auto"/>
              </w:rPr>
            </w:pPr>
            <w:hyperlink w:anchor="page34">
              <w:r>
                <w:rPr>
                  <w:rFonts w:ascii="Arial" w:cs="Arial" w:eastAsia="Arial" w:hAnsi="Arial"/>
                  <w:sz w:val="17"/>
                  <w:szCs w:val="17"/>
                  <w:color w:val="auto"/>
                </w:rPr>
                <w:t>Item 2.</w:t>
              </w:r>
            </w:hyperlink>
          </w:p>
        </w:tc>
        <w:tc>
          <w:tcPr>
            <w:tcW w:w="9300" w:type="dxa"/>
            <w:vAlign w:val="bottom"/>
          </w:tcPr>
          <w:p>
            <w:pPr>
              <w:ind w:left="300"/>
              <w:spacing w:after="0"/>
              <w:rPr>
                <w:rFonts w:ascii="Arial" w:cs="Arial" w:eastAsia="Arial" w:hAnsi="Arial"/>
                <w:sz w:val="17"/>
                <w:szCs w:val="17"/>
                <w:color w:val="auto"/>
              </w:rPr>
            </w:pPr>
            <w:hyperlink w:anchor="page34">
              <w:r>
                <w:rPr>
                  <w:rFonts w:ascii="Arial" w:cs="Arial" w:eastAsia="Arial" w:hAnsi="Arial"/>
                  <w:sz w:val="17"/>
                  <w:szCs w:val="17"/>
                  <w:color w:val="auto"/>
                </w:rPr>
                <w:t>Unregistered Sales of Equity Securities and Use of Proceeds</w:t>
              </w:r>
            </w:hyperlink>
          </w:p>
        </w:tc>
        <w:tc>
          <w:tcPr>
            <w:tcW w:w="980" w:type="dxa"/>
            <w:vAlign w:val="bottom"/>
          </w:tcPr>
          <w:p>
            <w:pPr>
              <w:jc w:val="center"/>
              <w:spacing w:after="0"/>
              <w:rPr>
                <w:rFonts w:ascii="Arial" w:cs="Arial" w:eastAsia="Arial" w:hAnsi="Arial"/>
                <w:sz w:val="17"/>
                <w:szCs w:val="17"/>
                <w:color w:val="auto"/>
                <w:w w:val="94"/>
              </w:rPr>
            </w:pPr>
            <w:hyperlink w:anchor="page34">
              <w:r>
                <w:rPr>
                  <w:rFonts w:ascii="Arial" w:cs="Arial" w:eastAsia="Arial" w:hAnsi="Arial"/>
                  <w:sz w:val="17"/>
                  <w:szCs w:val="17"/>
                  <w:color w:val="auto"/>
                  <w:w w:val="94"/>
                </w:rPr>
                <w:t>34</w:t>
              </w:r>
            </w:hyperlink>
          </w:p>
        </w:tc>
      </w:tr>
      <w:tr>
        <w:trPr>
          <w:trHeight w:val="248"/>
        </w:trPr>
        <w:tc>
          <w:tcPr>
            <w:tcW w:w="960" w:type="dxa"/>
            <w:vAlign w:val="bottom"/>
          </w:tcPr>
          <w:p>
            <w:pPr>
              <w:ind w:left="20"/>
              <w:spacing w:after="0"/>
              <w:rPr>
                <w:rFonts w:ascii="Arial" w:cs="Arial" w:eastAsia="Arial" w:hAnsi="Arial"/>
                <w:sz w:val="17"/>
                <w:szCs w:val="17"/>
                <w:color w:val="auto"/>
              </w:rPr>
            </w:pPr>
            <w:hyperlink w:anchor="page34">
              <w:r>
                <w:rPr>
                  <w:rFonts w:ascii="Arial" w:cs="Arial" w:eastAsia="Arial" w:hAnsi="Arial"/>
                  <w:sz w:val="17"/>
                  <w:szCs w:val="17"/>
                  <w:color w:val="auto"/>
                </w:rPr>
                <w:t>Item 3.</w:t>
              </w:r>
            </w:hyperlink>
          </w:p>
        </w:tc>
        <w:tc>
          <w:tcPr>
            <w:tcW w:w="9300" w:type="dxa"/>
            <w:vAlign w:val="bottom"/>
          </w:tcPr>
          <w:p>
            <w:pPr>
              <w:ind w:left="300"/>
              <w:spacing w:after="0"/>
              <w:rPr>
                <w:rFonts w:ascii="Arial" w:cs="Arial" w:eastAsia="Arial" w:hAnsi="Arial"/>
                <w:sz w:val="17"/>
                <w:szCs w:val="17"/>
                <w:color w:val="auto"/>
              </w:rPr>
            </w:pPr>
            <w:hyperlink w:anchor="page34">
              <w:r>
                <w:rPr>
                  <w:rFonts w:ascii="Arial" w:cs="Arial" w:eastAsia="Arial" w:hAnsi="Arial"/>
                  <w:sz w:val="17"/>
                  <w:szCs w:val="17"/>
                  <w:color w:val="auto"/>
                </w:rPr>
                <w:t>Defaults Upon Senior Securities</w:t>
              </w:r>
            </w:hyperlink>
          </w:p>
        </w:tc>
        <w:tc>
          <w:tcPr>
            <w:tcW w:w="980" w:type="dxa"/>
            <w:vAlign w:val="bottom"/>
          </w:tcPr>
          <w:p>
            <w:pPr>
              <w:jc w:val="center"/>
              <w:spacing w:after="0"/>
              <w:rPr>
                <w:rFonts w:ascii="Arial" w:cs="Arial" w:eastAsia="Arial" w:hAnsi="Arial"/>
                <w:sz w:val="17"/>
                <w:szCs w:val="17"/>
                <w:color w:val="auto"/>
                <w:w w:val="94"/>
              </w:rPr>
            </w:pPr>
            <w:hyperlink w:anchor="page34">
              <w:r>
                <w:rPr>
                  <w:rFonts w:ascii="Arial" w:cs="Arial" w:eastAsia="Arial" w:hAnsi="Arial"/>
                  <w:sz w:val="17"/>
                  <w:szCs w:val="17"/>
                  <w:color w:val="auto"/>
                  <w:w w:val="94"/>
                </w:rPr>
                <w:t>34</w:t>
              </w:r>
            </w:hyperlink>
          </w:p>
        </w:tc>
      </w:tr>
      <w:tr>
        <w:trPr>
          <w:trHeight w:val="248"/>
        </w:trPr>
        <w:tc>
          <w:tcPr>
            <w:tcW w:w="960" w:type="dxa"/>
            <w:vAlign w:val="bottom"/>
          </w:tcPr>
          <w:p>
            <w:pPr>
              <w:ind w:left="20"/>
              <w:spacing w:after="0"/>
              <w:rPr>
                <w:rFonts w:ascii="Arial" w:cs="Arial" w:eastAsia="Arial" w:hAnsi="Arial"/>
                <w:sz w:val="17"/>
                <w:szCs w:val="17"/>
                <w:color w:val="auto"/>
              </w:rPr>
            </w:pPr>
            <w:hyperlink w:anchor="page34">
              <w:r>
                <w:rPr>
                  <w:rFonts w:ascii="Arial" w:cs="Arial" w:eastAsia="Arial" w:hAnsi="Arial"/>
                  <w:sz w:val="17"/>
                  <w:szCs w:val="17"/>
                  <w:color w:val="auto"/>
                </w:rPr>
                <w:t>Item 4.</w:t>
              </w:r>
            </w:hyperlink>
          </w:p>
        </w:tc>
        <w:tc>
          <w:tcPr>
            <w:tcW w:w="9300" w:type="dxa"/>
            <w:vAlign w:val="bottom"/>
          </w:tcPr>
          <w:p>
            <w:pPr>
              <w:ind w:left="300"/>
              <w:spacing w:after="0"/>
              <w:rPr>
                <w:rFonts w:ascii="Arial" w:cs="Arial" w:eastAsia="Arial" w:hAnsi="Arial"/>
                <w:sz w:val="17"/>
                <w:szCs w:val="17"/>
                <w:color w:val="auto"/>
              </w:rPr>
            </w:pPr>
            <w:hyperlink w:anchor="page34">
              <w:r>
                <w:rPr>
                  <w:rFonts w:ascii="Arial" w:cs="Arial" w:eastAsia="Arial" w:hAnsi="Arial"/>
                  <w:sz w:val="17"/>
                  <w:szCs w:val="17"/>
                  <w:color w:val="auto"/>
                </w:rPr>
                <w:t>Mine Safety Disclosures</w:t>
              </w:r>
            </w:hyperlink>
          </w:p>
        </w:tc>
        <w:tc>
          <w:tcPr>
            <w:tcW w:w="980" w:type="dxa"/>
            <w:vAlign w:val="bottom"/>
          </w:tcPr>
          <w:p>
            <w:pPr>
              <w:jc w:val="center"/>
              <w:spacing w:after="0"/>
              <w:rPr>
                <w:rFonts w:ascii="Arial" w:cs="Arial" w:eastAsia="Arial" w:hAnsi="Arial"/>
                <w:sz w:val="17"/>
                <w:szCs w:val="17"/>
                <w:color w:val="auto"/>
                <w:w w:val="94"/>
              </w:rPr>
            </w:pPr>
            <w:hyperlink w:anchor="page34">
              <w:r>
                <w:rPr>
                  <w:rFonts w:ascii="Arial" w:cs="Arial" w:eastAsia="Arial" w:hAnsi="Arial"/>
                  <w:sz w:val="17"/>
                  <w:szCs w:val="17"/>
                  <w:color w:val="auto"/>
                  <w:w w:val="94"/>
                </w:rPr>
                <w:t>35</w:t>
              </w:r>
            </w:hyperlink>
          </w:p>
        </w:tc>
      </w:tr>
      <w:tr>
        <w:trPr>
          <w:trHeight w:val="248"/>
        </w:trPr>
        <w:tc>
          <w:tcPr>
            <w:tcW w:w="960" w:type="dxa"/>
            <w:vAlign w:val="bottom"/>
          </w:tcPr>
          <w:p>
            <w:pPr>
              <w:ind w:left="20"/>
              <w:spacing w:after="0"/>
              <w:rPr>
                <w:rFonts w:ascii="Arial" w:cs="Arial" w:eastAsia="Arial" w:hAnsi="Arial"/>
                <w:sz w:val="17"/>
                <w:szCs w:val="17"/>
                <w:color w:val="auto"/>
              </w:rPr>
            </w:pPr>
            <w:hyperlink w:anchor="page35">
              <w:r>
                <w:rPr>
                  <w:rFonts w:ascii="Arial" w:cs="Arial" w:eastAsia="Arial" w:hAnsi="Arial"/>
                  <w:sz w:val="17"/>
                  <w:szCs w:val="17"/>
                  <w:color w:val="auto"/>
                </w:rPr>
                <w:t>Item 5.</w:t>
              </w:r>
            </w:hyperlink>
          </w:p>
        </w:tc>
        <w:tc>
          <w:tcPr>
            <w:tcW w:w="9300" w:type="dxa"/>
            <w:vAlign w:val="bottom"/>
          </w:tcPr>
          <w:p>
            <w:pPr>
              <w:ind w:left="300"/>
              <w:spacing w:after="0"/>
              <w:rPr>
                <w:rFonts w:ascii="Arial" w:cs="Arial" w:eastAsia="Arial" w:hAnsi="Arial"/>
                <w:sz w:val="17"/>
                <w:szCs w:val="17"/>
                <w:color w:val="auto"/>
              </w:rPr>
            </w:pPr>
            <w:hyperlink w:anchor="page35">
              <w:r>
                <w:rPr>
                  <w:rFonts w:ascii="Arial" w:cs="Arial" w:eastAsia="Arial" w:hAnsi="Arial"/>
                  <w:sz w:val="17"/>
                  <w:szCs w:val="17"/>
                  <w:color w:val="auto"/>
                </w:rPr>
                <w:t>Other Information</w:t>
              </w:r>
            </w:hyperlink>
          </w:p>
        </w:tc>
        <w:tc>
          <w:tcPr>
            <w:tcW w:w="980" w:type="dxa"/>
            <w:vAlign w:val="bottom"/>
          </w:tcPr>
          <w:p>
            <w:pPr>
              <w:jc w:val="center"/>
              <w:spacing w:after="0"/>
              <w:rPr>
                <w:rFonts w:ascii="Arial" w:cs="Arial" w:eastAsia="Arial" w:hAnsi="Arial"/>
                <w:sz w:val="17"/>
                <w:szCs w:val="17"/>
                <w:color w:val="auto"/>
                <w:w w:val="94"/>
              </w:rPr>
            </w:pPr>
            <w:hyperlink w:anchor="page35">
              <w:r>
                <w:rPr>
                  <w:rFonts w:ascii="Arial" w:cs="Arial" w:eastAsia="Arial" w:hAnsi="Arial"/>
                  <w:sz w:val="17"/>
                  <w:szCs w:val="17"/>
                  <w:color w:val="auto"/>
                  <w:w w:val="94"/>
                </w:rPr>
                <w:t>35</w:t>
              </w:r>
            </w:hyperlink>
          </w:p>
        </w:tc>
      </w:tr>
      <w:tr>
        <w:trPr>
          <w:trHeight w:val="248"/>
        </w:trPr>
        <w:tc>
          <w:tcPr>
            <w:tcW w:w="960" w:type="dxa"/>
            <w:vAlign w:val="bottom"/>
          </w:tcPr>
          <w:p>
            <w:pPr>
              <w:ind w:left="20"/>
              <w:spacing w:after="0"/>
              <w:rPr>
                <w:rFonts w:ascii="Arial" w:cs="Arial" w:eastAsia="Arial" w:hAnsi="Arial"/>
                <w:sz w:val="17"/>
                <w:szCs w:val="17"/>
                <w:color w:val="auto"/>
              </w:rPr>
            </w:pPr>
            <w:hyperlink w:anchor="page35">
              <w:r>
                <w:rPr>
                  <w:rFonts w:ascii="Arial" w:cs="Arial" w:eastAsia="Arial" w:hAnsi="Arial"/>
                  <w:sz w:val="17"/>
                  <w:szCs w:val="17"/>
                  <w:color w:val="auto"/>
                </w:rPr>
                <w:t>Item 6.</w:t>
              </w:r>
            </w:hyperlink>
          </w:p>
        </w:tc>
        <w:tc>
          <w:tcPr>
            <w:tcW w:w="9300" w:type="dxa"/>
            <w:vAlign w:val="bottom"/>
          </w:tcPr>
          <w:p>
            <w:pPr>
              <w:ind w:left="300"/>
              <w:spacing w:after="0"/>
              <w:rPr>
                <w:rFonts w:ascii="Arial" w:cs="Arial" w:eastAsia="Arial" w:hAnsi="Arial"/>
                <w:sz w:val="17"/>
                <w:szCs w:val="17"/>
                <w:color w:val="auto"/>
              </w:rPr>
            </w:pPr>
            <w:hyperlink w:anchor="page35">
              <w:r>
                <w:rPr>
                  <w:rFonts w:ascii="Arial" w:cs="Arial" w:eastAsia="Arial" w:hAnsi="Arial"/>
                  <w:sz w:val="17"/>
                  <w:szCs w:val="17"/>
                  <w:color w:val="auto"/>
                </w:rPr>
                <w:t>Exhibits</w:t>
              </w:r>
            </w:hyperlink>
          </w:p>
        </w:tc>
        <w:tc>
          <w:tcPr>
            <w:tcW w:w="980" w:type="dxa"/>
            <w:vAlign w:val="bottom"/>
          </w:tcPr>
          <w:p>
            <w:pPr>
              <w:jc w:val="center"/>
              <w:spacing w:after="0"/>
              <w:rPr>
                <w:rFonts w:ascii="Arial" w:cs="Arial" w:eastAsia="Arial" w:hAnsi="Arial"/>
                <w:sz w:val="17"/>
                <w:szCs w:val="17"/>
                <w:color w:val="auto"/>
                <w:w w:val="94"/>
              </w:rPr>
            </w:pPr>
            <w:hyperlink w:anchor="page35">
              <w:r>
                <w:rPr>
                  <w:rFonts w:ascii="Arial" w:cs="Arial" w:eastAsia="Arial" w:hAnsi="Arial"/>
                  <w:sz w:val="17"/>
                  <w:szCs w:val="17"/>
                  <w:color w:val="auto"/>
                  <w:w w:val="94"/>
                </w:rPr>
                <w:t>36</w:t>
              </w:r>
            </w:hyperlink>
          </w:p>
        </w:tc>
      </w:tr>
      <w:tr>
        <w:trPr>
          <w:trHeight w:val="497"/>
        </w:trPr>
        <w:tc>
          <w:tcPr>
            <w:tcW w:w="960" w:type="dxa"/>
            <w:vAlign w:val="bottom"/>
          </w:tcPr>
          <w:p>
            <w:pPr>
              <w:spacing w:after="0"/>
              <w:rPr>
                <w:sz w:val="24"/>
                <w:szCs w:val="24"/>
                <w:color w:val="auto"/>
              </w:rPr>
            </w:pPr>
          </w:p>
        </w:tc>
        <w:tc>
          <w:tcPr>
            <w:tcW w:w="9300" w:type="dxa"/>
            <w:vAlign w:val="bottom"/>
          </w:tcPr>
          <w:p>
            <w:pPr>
              <w:ind w:left="300"/>
              <w:spacing w:after="0"/>
              <w:rPr>
                <w:rFonts w:ascii="Arial" w:cs="Arial" w:eastAsia="Arial" w:hAnsi="Arial"/>
                <w:sz w:val="17"/>
                <w:szCs w:val="17"/>
                <w:color w:val="auto"/>
              </w:rPr>
            </w:pPr>
            <w:hyperlink w:anchor="page37">
              <w:r>
                <w:rPr>
                  <w:rFonts w:ascii="Arial" w:cs="Arial" w:eastAsia="Arial" w:hAnsi="Arial"/>
                  <w:sz w:val="17"/>
                  <w:szCs w:val="17"/>
                  <w:color w:val="auto"/>
                </w:rPr>
                <w:t>Signatures</w:t>
              </w:r>
            </w:hyperlink>
          </w:p>
        </w:tc>
        <w:tc>
          <w:tcPr>
            <w:tcW w:w="980" w:type="dxa"/>
            <w:vAlign w:val="bottom"/>
          </w:tcPr>
          <w:p>
            <w:pPr>
              <w:jc w:val="center"/>
              <w:spacing w:after="0"/>
              <w:rPr>
                <w:rFonts w:ascii="Arial" w:cs="Arial" w:eastAsia="Arial" w:hAnsi="Arial"/>
                <w:sz w:val="17"/>
                <w:szCs w:val="17"/>
                <w:color w:val="auto"/>
                <w:w w:val="94"/>
              </w:rPr>
            </w:pPr>
            <w:hyperlink w:anchor="page37">
              <w:r>
                <w:rPr>
                  <w:rFonts w:ascii="Arial" w:cs="Arial" w:eastAsia="Arial" w:hAnsi="Arial"/>
                  <w:sz w:val="17"/>
                  <w:szCs w:val="17"/>
                  <w:color w:val="auto"/>
                  <w:w w:val="94"/>
                </w:rPr>
                <w:t>38</w:t>
              </w:r>
            </w:hyperlink>
          </w:p>
        </w:tc>
      </w:tr>
      <w:tr>
        <w:trPr>
          <w:trHeight w:val="810"/>
        </w:trPr>
        <w:tc>
          <w:tcPr>
            <w:tcW w:w="960" w:type="dxa"/>
            <w:vAlign w:val="bottom"/>
          </w:tcPr>
          <w:p>
            <w:pPr>
              <w:spacing w:after="0"/>
              <w:rPr>
                <w:sz w:val="24"/>
                <w:szCs w:val="24"/>
                <w:color w:val="auto"/>
              </w:rPr>
            </w:pPr>
          </w:p>
        </w:tc>
        <w:tc>
          <w:tcPr>
            <w:tcW w:w="9300" w:type="dxa"/>
            <w:vAlign w:val="bottom"/>
          </w:tcPr>
          <w:p>
            <w:pPr>
              <w:jc w:val="center"/>
              <w:spacing w:after="0"/>
              <w:rPr>
                <w:sz w:val="20"/>
                <w:szCs w:val="20"/>
                <w:color w:val="auto"/>
              </w:rPr>
            </w:pPr>
            <w:r>
              <w:rPr>
                <w:rFonts w:ascii="Arial" w:cs="Arial" w:eastAsia="Arial" w:hAnsi="Arial"/>
                <w:sz w:val="17"/>
                <w:szCs w:val="17"/>
                <w:color w:val="auto"/>
                <w:w w:val="84"/>
              </w:rPr>
              <w:t>2</w:t>
            </w:r>
          </w:p>
        </w:tc>
        <w:tc>
          <w:tcPr>
            <w:tcW w:w="980" w:type="dxa"/>
            <w:vAlign w:val="bottom"/>
          </w:tcPr>
          <w:p>
            <w:pPr>
              <w:spacing w:after="0"/>
              <w:rPr>
                <w:sz w:val="24"/>
                <w:szCs w:val="24"/>
                <w:color w:val="auto"/>
              </w:rPr>
            </w:pPr>
          </w:p>
        </w:tc>
      </w:tr>
      <w:tr>
        <w:trPr>
          <w:trHeight w:val="98"/>
        </w:trPr>
        <w:tc>
          <w:tcPr>
            <w:tcW w:w="960" w:type="dxa"/>
            <w:vAlign w:val="bottom"/>
            <w:tcBorders>
              <w:bottom w:val="single" w:sz="8" w:color="9A9A9A"/>
            </w:tcBorders>
          </w:tcPr>
          <w:p>
            <w:pPr>
              <w:spacing w:after="0"/>
              <w:rPr>
                <w:sz w:val="8"/>
                <w:szCs w:val="8"/>
                <w:color w:val="auto"/>
              </w:rPr>
            </w:pPr>
          </w:p>
        </w:tc>
        <w:tc>
          <w:tcPr>
            <w:tcW w:w="93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 w:name="page3"/>
    <w:bookmarkEnd w:id="2"/>
    <w:p>
      <w:pPr>
        <w:spacing w:after="0"/>
        <w:rPr>
          <w:rFonts w:ascii="Arial" w:cs="Arial" w:eastAsia="Arial" w:hAnsi="Arial"/>
          <w:sz w:val="17"/>
          <w:szCs w:val="17"/>
          <w:u w:val="single" w:color="auto"/>
          <w:color w:val="auto"/>
        </w:rPr>
      </w:pPr>
      <w:hyperlink w:anchor="page1">
        <w:r>
          <w:rPr>
            <w:rFonts w:ascii="Arial" w:cs="Arial" w:eastAsia="Arial" w:hAnsi="Arial"/>
            <w:sz w:val="17"/>
            <w:szCs w:val="17"/>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 FINANCIAL INFORMATION</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32" w:lineRule="exact"/>
        <w:rPr>
          <w:sz w:val="20"/>
          <w:szCs w:val="20"/>
          <w:color w:val="auto"/>
        </w:rPr>
      </w:pPr>
    </w:p>
    <w:p>
      <w:pPr>
        <w:ind w:left="5140"/>
        <w:spacing w:after="0"/>
        <w:rPr>
          <w:sz w:val="20"/>
          <w:szCs w:val="20"/>
          <w:color w:val="auto"/>
        </w:rPr>
      </w:pPr>
      <w:r>
        <w:rPr>
          <w:rFonts w:ascii="Arial" w:cs="Arial" w:eastAsia="Arial" w:hAnsi="Arial"/>
          <w:sz w:val="17"/>
          <w:szCs w:val="17"/>
          <w:b w:val="1"/>
          <w:bCs w:val="1"/>
          <w:color w:val="auto"/>
        </w:rPr>
        <w:t>GEVO, INC.</w:t>
      </w:r>
    </w:p>
    <w:p>
      <w:pPr>
        <w:spacing w:after="0" w:line="14" w:lineRule="exact"/>
        <w:rPr>
          <w:sz w:val="20"/>
          <w:szCs w:val="20"/>
          <w:color w:val="auto"/>
        </w:rPr>
      </w:pPr>
    </w:p>
    <w:p>
      <w:pPr>
        <w:ind w:left="4120"/>
        <w:spacing w:after="0"/>
        <w:rPr>
          <w:sz w:val="20"/>
          <w:szCs w:val="20"/>
          <w:color w:val="auto"/>
        </w:rPr>
      </w:pPr>
      <w:r>
        <w:rPr>
          <w:rFonts w:ascii="Arial" w:cs="Arial" w:eastAsia="Arial" w:hAnsi="Arial"/>
          <w:sz w:val="17"/>
          <w:szCs w:val="17"/>
          <w:b w:val="1"/>
          <w:bCs w:val="1"/>
          <w:color w:val="auto"/>
        </w:rPr>
        <w:t>CONSOLIDATED BALANCE SHEETS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 thousands, except share and per share amounts)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520" w:type="dxa"/>
            <w:vAlign w:val="bottom"/>
          </w:tcPr>
          <w:p>
            <w:pPr>
              <w:spacing w:after="0"/>
              <w:rPr>
                <w:sz w:val="17"/>
                <w:szCs w:val="17"/>
                <w:color w:val="auto"/>
              </w:rPr>
            </w:pPr>
          </w:p>
        </w:tc>
        <w:tc>
          <w:tcPr>
            <w:tcW w:w="1020" w:type="dxa"/>
            <w:vAlign w:val="bottom"/>
            <w:gridSpan w:val="2"/>
          </w:tcPr>
          <w:p>
            <w:pPr>
              <w:ind w:left="320"/>
              <w:spacing w:after="0"/>
              <w:rPr>
                <w:sz w:val="20"/>
                <w:szCs w:val="20"/>
                <w:color w:val="auto"/>
              </w:rPr>
            </w:pPr>
            <w:r>
              <w:rPr>
                <w:rFonts w:ascii="Arial" w:cs="Arial" w:eastAsia="Arial" w:hAnsi="Arial"/>
                <w:sz w:val="14"/>
                <w:szCs w:val="14"/>
                <w:b w:val="1"/>
                <w:bCs w:val="1"/>
                <w:color w:val="auto"/>
              </w:rPr>
              <w:t>Note</w:t>
            </w:r>
          </w:p>
        </w:tc>
        <w:tc>
          <w:tcPr>
            <w:tcW w:w="260" w:type="dxa"/>
            <w:vAlign w:val="bottom"/>
          </w:tcPr>
          <w:p>
            <w:pPr>
              <w:spacing w:after="0"/>
              <w:rPr>
                <w:sz w:val="17"/>
                <w:szCs w:val="17"/>
                <w:color w:val="auto"/>
              </w:rPr>
            </w:pPr>
          </w:p>
        </w:tc>
        <w:tc>
          <w:tcPr>
            <w:tcW w:w="164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 2022</w:t>
            </w:r>
          </w:p>
        </w:tc>
        <w:tc>
          <w:tcPr>
            <w:tcW w:w="220" w:type="dxa"/>
            <w:vAlign w:val="bottom"/>
          </w:tcPr>
          <w:p>
            <w:pPr>
              <w:spacing w:after="0"/>
              <w:rPr>
                <w:sz w:val="17"/>
                <w:szCs w:val="17"/>
                <w:color w:val="auto"/>
              </w:rPr>
            </w:pPr>
          </w:p>
        </w:tc>
        <w:tc>
          <w:tcPr>
            <w:tcW w:w="1580" w:type="dxa"/>
            <w:vAlign w:val="bottom"/>
          </w:tcPr>
          <w:p>
            <w:pPr>
              <w:jc w:val="right"/>
              <w:ind w:right="270"/>
              <w:spacing w:after="0"/>
              <w:rPr>
                <w:sz w:val="20"/>
                <w:szCs w:val="20"/>
                <w:color w:val="auto"/>
              </w:rPr>
            </w:pPr>
            <w:r>
              <w:rPr>
                <w:rFonts w:ascii="Arial" w:cs="Arial" w:eastAsia="Arial" w:hAnsi="Arial"/>
                <w:sz w:val="14"/>
                <w:szCs w:val="14"/>
                <w:b w:val="1"/>
                <w:bCs w:val="1"/>
                <w:color w:val="auto"/>
                <w:w w:val="96"/>
              </w:rPr>
              <w:t>December 31, 2021</w:t>
            </w:r>
          </w:p>
        </w:tc>
        <w:tc>
          <w:tcPr>
            <w:tcW w:w="0" w:type="dxa"/>
            <w:vAlign w:val="bottom"/>
          </w:tcPr>
          <w:p>
            <w:pPr>
              <w:spacing w:after="0"/>
              <w:rPr>
                <w:sz w:val="1"/>
                <w:szCs w:val="1"/>
                <w:color w:val="auto"/>
              </w:rPr>
            </w:pPr>
          </w:p>
        </w:tc>
      </w:tr>
      <w:tr>
        <w:trPr>
          <w:trHeight w:val="187"/>
        </w:trPr>
        <w:tc>
          <w:tcPr>
            <w:tcW w:w="6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90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15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158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52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9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44,626</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40,833</w:t>
            </w:r>
          </w:p>
        </w:tc>
        <w:tc>
          <w:tcPr>
            <w:tcW w:w="0" w:type="dxa"/>
            <w:vAlign w:val="bottom"/>
          </w:tcPr>
          <w:p>
            <w:pPr>
              <w:spacing w:after="0"/>
              <w:rPr>
                <w:sz w:val="1"/>
                <w:szCs w:val="1"/>
                <w:color w:val="auto"/>
              </w:rPr>
            </w:pPr>
          </w:p>
        </w:tc>
      </w:tr>
      <w:tr>
        <w:trPr>
          <w:trHeight w:val="186"/>
        </w:trPr>
        <w:tc>
          <w:tcPr>
            <w:tcW w:w="6520" w:type="dxa"/>
            <w:vAlign w:val="bottom"/>
          </w:tcPr>
          <w:p>
            <w:pPr>
              <w:ind w:left="120"/>
              <w:spacing w:after="0"/>
              <w:rPr>
                <w:sz w:val="20"/>
                <w:szCs w:val="20"/>
                <w:color w:val="auto"/>
              </w:rPr>
            </w:pPr>
            <w:r>
              <w:rPr>
                <w:rFonts w:ascii="Arial" w:cs="Arial" w:eastAsia="Arial" w:hAnsi="Arial"/>
                <w:sz w:val="14"/>
                <w:szCs w:val="14"/>
                <w:color w:val="auto"/>
              </w:rPr>
              <w:t>Marketable securities (current)</w:t>
            </w: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5, 17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265,813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275,340</w:t>
            </w: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Restricted cash (current)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12</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16,216</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25,032</w:t>
            </w:r>
          </w:p>
        </w:tc>
        <w:tc>
          <w:tcPr>
            <w:tcW w:w="0" w:type="dxa"/>
            <w:vAlign w:val="bottom"/>
          </w:tcPr>
          <w:p>
            <w:pPr>
              <w:spacing w:after="0"/>
              <w:rPr>
                <w:sz w:val="1"/>
                <w:szCs w:val="1"/>
                <w:color w:val="auto"/>
              </w:rPr>
            </w:pPr>
          </w:p>
        </w:tc>
      </w:tr>
      <w:tr>
        <w:trPr>
          <w:trHeight w:val="186"/>
        </w:trPr>
        <w:tc>
          <w:tcPr>
            <w:tcW w:w="6520" w:type="dxa"/>
            <w:vAlign w:val="bottom"/>
          </w:tcPr>
          <w:p>
            <w:pPr>
              <w:ind w:left="140"/>
              <w:spacing w:after="0"/>
              <w:rPr>
                <w:sz w:val="20"/>
                <w:szCs w:val="20"/>
                <w:color w:val="auto"/>
              </w:rPr>
            </w:pPr>
            <w:r>
              <w:rPr>
                <w:rFonts w:ascii="Arial" w:cs="Arial" w:eastAsia="Arial" w:hAnsi="Arial"/>
                <w:sz w:val="14"/>
                <w:szCs w:val="14"/>
                <w:color w:val="auto"/>
              </w:rPr>
              <w:t>Accounts receivable, net</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978</w:t>
            </w: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Inventories</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2,735</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2,751</w:t>
            </w:r>
          </w:p>
        </w:tc>
        <w:tc>
          <w:tcPr>
            <w:tcW w:w="0" w:type="dxa"/>
            <w:vAlign w:val="bottom"/>
          </w:tcPr>
          <w:p>
            <w:pPr>
              <w:spacing w:after="0"/>
              <w:rPr>
                <w:sz w:val="1"/>
                <w:szCs w:val="1"/>
                <w:color w:val="auto"/>
              </w:rPr>
            </w:pPr>
          </w:p>
        </w:tc>
      </w:tr>
      <w:tr>
        <w:trPr>
          <w:trHeight w:val="186"/>
        </w:trPr>
        <w:tc>
          <w:tcPr>
            <w:tcW w:w="6520" w:type="dxa"/>
            <w:vAlign w:val="bottom"/>
          </w:tcPr>
          <w:p>
            <w:pPr>
              <w:ind w:left="140"/>
              <w:spacing w:after="0"/>
              <w:rPr>
                <w:sz w:val="20"/>
                <w:szCs w:val="20"/>
                <w:color w:val="auto"/>
              </w:rPr>
            </w:pPr>
            <w:r>
              <w:rPr>
                <w:rFonts w:ascii="Arial" w:cs="Arial" w:eastAsia="Arial" w:hAnsi="Arial"/>
                <w:sz w:val="14"/>
                <w:szCs w:val="14"/>
                <w:color w:val="auto"/>
              </w:rPr>
              <w:t>Prepaid expenses and other current assets</w:t>
            </w:r>
          </w:p>
        </w:tc>
        <w:tc>
          <w:tcPr>
            <w:tcW w:w="900" w:type="dxa"/>
            <w:vAlign w:val="bottom"/>
          </w:tcPr>
          <w:p>
            <w:pPr>
              <w:jc w:val="center"/>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5,861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6,857</w:t>
            </w:r>
          </w:p>
        </w:tc>
        <w:tc>
          <w:tcPr>
            <w:tcW w:w="0" w:type="dxa"/>
            <w:vAlign w:val="bottom"/>
          </w:tcPr>
          <w:p>
            <w:pPr>
              <w:spacing w:after="0"/>
              <w:rPr>
                <w:sz w:val="1"/>
                <w:szCs w:val="1"/>
                <w:color w:val="auto"/>
              </w:rPr>
            </w:pPr>
          </w:p>
        </w:tc>
      </w:tr>
      <w:tr>
        <w:trPr>
          <w:trHeight w:val="23"/>
        </w:trPr>
        <w:tc>
          <w:tcPr>
            <w:tcW w:w="65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5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Total current assets</w:t>
            </w:r>
          </w:p>
        </w:tc>
        <w:tc>
          <w:tcPr>
            <w:tcW w:w="9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335,419</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351,791</w:t>
            </w:r>
          </w:p>
        </w:tc>
        <w:tc>
          <w:tcPr>
            <w:tcW w:w="0" w:type="dxa"/>
            <w:vAlign w:val="bottom"/>
          </w:tcPr>
          <w:p>
            <w:pPr>
              <w:spacing w:after="0"/>
              <w:rPr>
                <w:sz w:val="1"/>
                <w:szCs w:val="1"/>
                <w:color w:val="auto"/>
              </w:rPr>
            </w:pPr>
          </w:p>
        </w:tc>
      </w:tr>
      <w:tr>
        <w:trPr>
          <w:trHeight w:val="186"/>
        </w:trPr>
        <w:tc>
          <w:tcPr>
            <w:tcW w:w="6520" w:type="dxa"/>
            <w:vAlign w:val="bottom"/>
          </w:tcPr>
          <w:p>
            <w:pPr>
              <w:ind w:left="20"/>
              <w:spacing w:after="0"/>
              <w:rPr>
                <w:sz w:val="20"/>
                <w:szCs w:val="20"/>
                <w:color w:val="auto"/>
              </w:rPr>
            </w:pPr>
            <w:r>
              <w:rPr>
                <w:rFonts w:ascii="Arial" w:cs="Arial" w:eastAsia="Arial" w:hAnsi="Arial"/>
                <w:sz w:val="14"/>
                <w:szCs w:val="14"/>
                <w:color w:val="auto"/>
              </w:rPr>
              <w:t>Property, plant and equipment, net</w:t>
            </w:r>
          </w:p>
        </w:tc>
        <w:tc>
          <w:tcPr>
            <w:tcW w:w="900" w:type="dxa"/>
            <w:vAlign w:val="bottom"/>
          </w:tcPr>
          <w:p>
            <w:pPr>
              <w:jc w:val="center"/>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156,896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139,141</w:t>
            </w: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Long-term marketable securities</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5, 17</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32,724</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64,396</w:t>
            </w:r>
          </w:p>
        </w:tc>
        <w:tc>
          <w:tcPr>
            <w:tcW w:w="0" w:type="dxa"/>
            <w:vAlign w:val="bottom"/>
          </w:tcPr>
          <w:p>
            <w:pPr>
              <w:spacing w:after="0"/>
              <w:rPr>
                <w:sz w:val="1"/>
                <w:szCs w:val="1"/>
                <w:color w:val="auto"/>
              </w:rPr>
            </w:pPr>
          </w:p>
        </w:tc>
      </w:tr>
      <w:tr>
        <w:trPr>
          <w:trHeight w:val="186"/>
        </w:trPr>
        <w:tc>
          <w:tcPr>
            <w:tcW w:w="6520" w:type="dxa"/>
            <w:vAlign w:val="bottom"/>
          </w:tcPr>
          <w:p>
            <w:pPr>
              <w:ind w:left="20"/>
              <w:spacing w:after="0"/>
              <w:rPr>
                <w:sz w:val="20"/>
                <w:szCs w:val="20"/>
                <w:color w:val="auto"/>
              </w:rPr>
            </w:pPr>
            <w:r>
              <w:rPr>
                <w:rFonts w:ascii="Arial" w:cs="Arial" w:eastAsia="Arial" w:hAnsi="Arial"/>
                <w:sz w:val="14"/>
                <w:szCs w:val="14"/>
                <w:color w:val="auto"/>
              </w:rPr>
              <w:t>Long-term restricted cash</w:t>
            </w: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12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70,238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70,168</w:t>
            </w: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right-of-use assets</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2,209</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2,414</w:t>
            </w:r>
          </w:p>
        </w:tc>
        <w:tc>
          <w:tcPr>
            <w:tcW w:w="0" w:type="dxa"/>
            <w:vAlign w:val="bottom"/>
          </w:tcPr>
          <w:p>
            <w:pPr>
              <w:spacing w:after="0"/>
              <w:rPr>
                <w:sz w:val="1"/>
                <w:szCs w:val="1"/>
                <w:color w:val="auto"/>
              </w:rPr>
            </w:pPr>
          </w:p>
        </w:tc>
      </w:tr>
      <w:tr>
        <w:trPr>
          <w:trHeight w:val="186"/>
        </w:trPr>
        <w:tc>
          <w:tcPr>
            <w:tcW w:w="6520" w:type="dxa"/>
            <w:vAlign w:val="bottom"/>
          </w:tcPr>
          <w:p>
            <w:pPr>
              <w:ind w:left="20"/>
              <w:spacing w:after="0"/>
              <w:rPr>
                <w:sz w:val="20"/>
                <w:szCs w:val="20"/>
                <w:color w:val="auto"/>
              </w:rPr>
            </w:pPr>
            <w:r>
              <w:rPr>
                <w:rFonts w:ascii="Arial" w:cs="Arial" w:eastAsia="Arial" w:hAnsi="Arial"/>
                <w:sz w:val="14"/>
                <w:szCs w:val="14"/>
                <w:color w:val="auto"/>
              </w:rPr>
              <w:t>Finance right-of-use assets</w:t>
            </w:r>
          </w:p>
        </w:tc>
        <w:tc>
          <w:tcPr>
            <w:tcW w:w="900" w:type="dxa"/>
            <w:vAlign w:val="bottom"/>
          </w:tcPr>
          <w:p>
            <w:pPr>
              <w:jc w:val="center"/>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26,887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27,297</w:t>
            </w: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Intangible assets, net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8,656</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8,938</w:t>
            </w:r>
          </w:p>
        </w:tc>
        <w:tc>
          <w:tcPr>
            <w:tcW w:w="0" w:type="dxa"/>
            <w:vAlign w:val="bottom"/>
          </w:tcPr>
          <w:p>
            <w:pPr>
              <w:spacing w:after="0"/>
              <w:rPr>
                <w:sz w:val="1"/>
                <w:szCs w:val="1"/>
                <w:color w:val="auto"/>
              </w:rPr>
            </w:pPr>
          </w:p>
        </w:tc>
      </w:tr>
      <w:tr>
        <w:trPr>
          <w:trHeight w:val="186"/>
        </w:trPr>
        <w:tc>
          <w:tcPr>
            <w:tcW w:w="6520" w:type="dxa"/>
            <w:vAlign w:val="bottom"/>
          </w:tcPr>
          <w:p>
            <w:pPr>
              <w:ind w:left="20"/>
              <w:spacing w:after="0"/>
              <w:rPr>
                <w:sz w:val="20"/>
                <w:szCs w:val="20"/>
                <w:color w:val="auto"/>
              </w:rPr>
            </w:pPr>
            <w:r>
              <w:rPr>
                <w:rFonts w:ascii="Arial" w:cs="Arial" w:eastAsia="Arial" w:hAnsi="Arial"/>
                <w:sz w:val="14"/>
                <w:szCs w:val="14"/>
                <w:color w:val="auto"/>
              </w:rPr>
              <w:t>Deposits and other assets</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5,631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2,331</w:t>
            </w:r>
          </w:p>
        </w:tc>
        <w:tc>
          <w:tcPr>
            <w:tcW w:w="0" w:type="dxa"/>
            <w:vAlign w:val="bottom"/>
          </w:tcPr>
          <w:p>
            <w:pPr>
              <w:spacing w:after="0"/>
              <w:rPr>
                <w:sz w:val="1"/>
                <w:szCs w:val="1"/>
                <w:color w:val="auto"/>
              </w:rPr>
            </w:pPr>
          </w:p>
        </w:tc>
      </w:tr>
      <w:tr>
        <w:trPr>
          <w:trHeight w:val="23"/>
        </w:trPr>
        <w:tc>
          <w:tcPr>
            <w:tcW w:w="65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65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Total assets</w:t>
            </w:r>
          </w:p>
        </w:tc>
        <w:tc>
          <w:tcPr>
            <w:tcW w:w="9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638,660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666,476</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w:t>
            </w: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52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9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520" w:type="dxa"/>
            <w:vAlign w:val="bottom"/>
          </w:tcPr>
          <w:p>
            <w:pPr>
              <w:ind w:left="140"/>
              <w:spacing w:after="0"/>
              <w:rPr>
                <w:sz w:val="20"/>
                <w:szCs w:val="20"/>
                <w:color w:val="auto"/>
              </w:rPr>
            </w:pPr>
            <w:r>
              <w:rPr>
                <w:rFonts w:ascii="Arial" w:cs="Arial" w:eastAsia="Arial" w:hAnsi="Arial"/>
                <w:sz w:val="14"/>
                <w:szCs w:val="14"/>
                <w:color w:val="auto"/>
              </w:rPr>
              <w:t>Accounts payable and accrued liabilities</w:t>
            </w: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11</w:t>
            </w:r>
          </w:p>
        </w:tc>
        <w:tc>
          <w:tcPr>
            <w:tcW w:w="120" w:type="dxa"/>
            <w:vAlign w:val="bottom"/>
          </w:tcPr>
          <w:p>
            <w:pPr>
              <w:spacing w:after="0"/>
              <w:rPr>
                <w:sz w:val="16"/>
                <w:szCs w:val="16"/>
                <w:color w:val="auto"/>
              </w:rPr>
            </w:pPr>
          </w:p>
        </w:tc>
        <w:tc>
          <w:tcPr>
            <w:tcW w:w="260" w:type="dxa"/>
            <w:vAlign w:val="bottom"/>
          </w:tcPr>
          <w:p>
            <w:pPr>
              <w:jc w:val="right"/>
              <w:ind w:right="110"/>
              <w:spacing w:after="0"/>
              <w:rPr>
                <w:sz w:val="20"/>
                <w:szCs w:val="20"/>
                <w:color w:val="auto"/>
              </w:rPr>
            </w:pPr>
            <w:r>
              <w:rPr>
                <w:rFonts w:ascii="Arial" w:cs="Arial" w:eastAsia="Arial" w:hAnsi="Arial"/>
                <w:sz w:val="14"/>
                <w:szCs w:val="14"/>
                <w:color w:val="auto"/>
                <w:w w:val="76"/>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13,410</w:t>
            </w:r>
          </w:p>
        </w:tc>
        <w:tc>
          <w:tcPr>
            <w:tcW w:w="100" w:type="dxa"/>
            <w:vAlign w:val="bottom"/>
          </w:tcPr>
          <w:p>
            <w:pPr>
              <w:spacing w:after="0"/>
              <w:rPr>
                <w:sz w:val="16"/>
                <w:szCs w:val="16"/>
                <w:color w:val="auto"/>
              </w:rPr>
            </w:pPr>
          </w:p>
        </w:tc>
        <w:tc>
          <w:tcPr>
            <w:tcW w:w="220" w:type="dxa"/>
            <w:vAlign w:val="bottom"/>
          </w:tcPr>
          <w:p>
            <w:pPr>
              <w:jc w:val="right"/>
              <w:ind w:right="70"/>
              <w:spacing w:after="0"/>
              <w:rPr>
                <w:sz w:val="20"/>
                <w:szCs w:val="20"/>
                <w:color w:val="auto"/>
              </w:rPr>
            </w:pPr>
            <w:r>
              <w:rPr>
                <w:rFonts w:ascii="Arial" w:cs="Arial" w:eastAsia="Arial" w:hAnsi="Arial"/>
                <w:sz w:val="14"/>
                <w:szCs w:val="14"/>
                <w:color w:val="auto"/>
                <w:w w:val="76"/>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28,288</w:t>
            </w: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Operating lease liabilities (current)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772</w:t>
            </w:r>
          </w:p>
        </w:tc>
        <w:tc>
          <w:tcPr>
            <w:tcW w:w="0" w:type="dxa"/>
            <w:vAlign w:val="bottom"/>
          </w:tcPr>
          <w:p>
            <w:pPr>
              <w:spacing w:after="0"/>
              <w:rPr>
                <w:sz w:val="1"/>
                <w:szCs w:val="1"/>
                <w:color w:val="auto"/>
              </w:rPr>
            </w:pPr>
          </w:p>
        </w:tc>
      </w:tr>
      <w:tr>
        <w:trPr>
          <w:trHeight w:val="186"/>
        </w:trPr>
        <w:tc>
          <w:tcPr>
            <w:tcW w:w="6520" w:type="dxa"/>
            <w:vAlign w:val="bottom"/>
          </w:tcPr>
          <w:p>
            <w:pPr>
              <w:ind w:left="120"/>
              <w:spacing w:after="0"/>
              <w:rPr>
                <w:sz w:val="20"/>
                <w:szCs w:val="20"/>
                <w:color w:val="auto"/>
              </w:rPr>
            </w:pPr>
            <w:r>
              <w:rPr>
                <w:rFonts w:ascii="Arial" w:cs="Arial" w:eastAsia="Arial" w:hAnsi="Arial"/>
                <w:sz w:val="14"/>
                <w:szCs w:val="14"/>
                <w:color w:val="auto"/>
              </w:rPr>
              <w:t>Finance lease liabilities (current)</w:t>
            </w:r>
          </w:p>
        </w:tc>
        <w:tc>
          <w:tcPr>
            <w:tcW w:w="900" w:type="dxa"/>
            <w:vAlign w:val="bottom"/>
          </w:tcPr>
          <w:p>
            <w:pPr>
              <w:jc w:val="center"/>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4,029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3,413</w:t>
            </w: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6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Loans payable - other (current)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12</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179"/>
        </w:trPr>
        <w:tc>
          <w:tcPr>
            <w:tcW w:w="6520" w:type="dxa"/>
            <w:vAlign w:val="bottom"/>
          </w:tcPr>
          <w:p>
            <w:pPr>
              <w:ind w:left="440"/>
              <w:spacing w:after="0"/>
              <w:rPr>
                <w:sz w:val="20"/>
                <w:szCs w:val="20"/>
                <w:color w:val="auto"/>
              </w:rPr>
            </w:pPr>
            <w:r>
              <w:rPr>
                <w:rFonts w:ascii="Arial" w:cs="Arial" w:eastAsia="Arial" w:hAnsi="Arial"/>
                <w:sz w:val="14"/>
                <w:szCs w:val="14"/>
                <w:color w:val="auto"/>
              </w:rPr>
              <w:t>Total current liabilities</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17,944</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32,631</w:t>
            </w: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2021 Bonds payable (long-term)</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12, 17</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66,669</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66,486</w:t>
            </w:r>
          </w:p>
        </w:tc>
        <w:tc>
          <w:tcPr>
            <w:tcW w:w="0" w:type="dxa"/>
            <w:vAlign w:val="bottom"/>
          </w:tcPr>
          <w:p>
            <w:pPr>
              <w:spacing w:after="0"/>
              <w:rPr>
                <w:sz w:val="1"/>
                <w:szCs w:val="1"/>
                <w:color w:val="auto"/>
              </w:rPr>
            </w:pPr>
          </w:p>
        </w:tc>
      </w:tr>
      <w:tr>
        <w:trPr>
          <w:trHeight w:val="186"/>
        </w:trPr>
        <w:tc>
          <w:tcPr>
            <w:tcW w:w="6520" w:type="dxa"/>
            <w:vAlign w:val="bottom"/>
          </w:tcPr>
          <w:p>
            <w:pPr>
              <w:ind w:left="20"/>
              <w:spacing w:after="0"/>
              <w:rPr>
                <w:sz w:val="20"/>
                <w:szCs w:val="20"/>
                <w:color w:val="auto"/>
              </w:rPr>
            </w:pPr>
            <w:r>
              <w:rPr>
                <w:rFonts w:ascii="Arial" w:cs="Arial" w:eastAsia="Arial" w:hAnsi="Arial"/>
                <w:sz w:val="14"/>
                <w:szCs w:val="14"/>
                <w:color w:val="auto"/>
              </w:rPr>
              <w:t>Loans payable - other (long-term)</w:t>
            </w: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12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276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318</w:t>
            </w: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 liabilities (long-term)</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1,838</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1,902</w:t>
            </w:r>
          </w:p>
        </w:tc>
        <w:tc>
          <w:tcPr>
            <w:tcW w:w="0" w:type="dxa"/>
            <w:vAlign w:val="bottom"/>
          </w:tcPr>
          <w:p>
            <w:pPr>
              <w:spacing w:after="0"/>
              <w:rPr>
                <w:sz w:val="1"/>
                <w:szCs w:val="1"/>
                <w:color w:val="auto"/>
              </w:rPr>
            </w:pPr>
          </w:p>
        </w:tc>
      </w:tr>
      <w:tr>
        <w:trPr>
          <w:trHeight w:val="186"/>
        </w:trPr>
        <w:tc>
          <w:tcPr>
            <w:tcW w:w="6520" w:type="dxa"/>
            <w:vAlign w:val="bottom"/>
          </w:tcPr>
          <w:p>
            <w:pPr>
              <w:ind w:left="20"/>
              <w:spacing w:after="0"/>
              <w:rPr>
                <w:sz w:val="20"/>
                <w:szCs w:val="20"/>
                <w:color w:val="auto"/>
              </w:rPr>
            </w:pPr>
            <w:r>
              <w:rPr>
                <w:rFonts w:ascii="Arial" w:cs="Arial" w:eastAsia="Arial" w:hAnsi="Arial"/>
                <w:sz w:val="14"/>
                <w:szCs w:val="14"/>
                <w:color w:val="auto"/>
              </w:rPr>
              <w:t>Finance lease liabilities (long-term)</w:t>
            </w:r>
          </w:p>
        </w:tc>
        <w:tc>
          <w:tcPr>
            <w:tcW w:w="900" w:type="dxa"/>
            <w:vAlign w:val="bottom"/>
          </w:tcPr>
          <w:p>
            <w:pPr>
              <w:jc w:val="center"/>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17,403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17,797</w:t>
            </w: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long-term liabilities</w:t>
            </w:r>
          </w:p>
        </w:tc>
        <w:tc>
          <w:tcPr>
            <w:tcW w:w="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79"/>
        </w:trPr>
        <w:tc>
          <w:tcPr>
            <w:tcW w:w="6520" w:type="dxa"/>
            <w:vAlign w:val="bottom"/>
          </w:tcPr>
          <w:p>
            <w:pPr>
              <w:ind w:left="440"/>
              <w:spacing w:after="0"/>
              <w:rPr>
                <w:sz w:val="20"/>
                <w:szCs w:val="20"/>
                <w:color w:val="auto"/>
              </w:rPr>
            </w:pPr>
            <w:r>
              <w:rPr>
                <w:rFonts w:ascii="Arial" w:cs="Arial" w:eastAsia="Arial" w:hAnsi="Arial"/>
                <w:sz w:val="14"/>
                <w:szCs w:val="14"/>
                <w:color w:val="auto"/>
              </w:rPr>
              <w:t>Total liabilities</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104,225</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119,221</w:t>
            </w:r>
          </w:p>
        </w:tc>
        <w:tc>
          <w:tcPr>
            <w:tcW w:w="0" w:type="dxa"/>
            <w:vAlign w:val="bottom"/>
          </w:tcPr>
          <w:p>
            <w:pPr>
              <w:spacing w:after="0"/>
              <w:rPr>
                <w:sz w:val="1"/>
                <w:szCs w:val="1"/>
                <w:color w:val="auto"/>
              </w:rPr>
            </w:pPr>
          </w:p>
        </w:tc>
      </w:tr>
      <w:tr>
        <w:trPr>
          <w:trHeight w:val="23"/>
        </w:trPr>
        <w:tc>
          <w:tcPr>
            <w:tcW w:w="65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9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5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520" w:type="dxa"/>
            <w:vAlign w:val="bottom"/>
          </w:tcPr>
          <w:p>
            <w:pPr>
              <w:ind w:left="140"/>
              <w:spacing w:after="0"/>
              <w:rPr>
                <w:sz w:val="20"/>
                <w:szCs w:val="20"/>
                <w:color w:val="auto"/>
              </w:rPr>
            </w:pPr>
            <w:r>
              <w:rPr>
                <w:rFonts w:ascii="Arial" w:cs="Arial" w:eastAsia="Arial" w:hAnsi="Arial"/>
                <w:sz w:val="14"/>
                <w:szCs w:val="14"/>
                <w:color w:val="auto"/>
                <w:w w:val="89"/>
              </w:rPr>
              <w:t>Common stock, $0.01 par value per share; 500,000,000 and 250,000,000 shares authorized at March 31, 2022 and</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520" w:type="dxa"/>
            <w:vAlign w:val="bottom"/>
          </w:tcPr>
          <w:p>
            <w:pPr>
              <w:ind w:left="280"/>
              <w:spacing w:after="0" w:line="157" w:lineRule="exact"/>
              <w:rPr>
                <w:sz w:val="20"/>
                <w:szCs w:val="20"/>
                <w:color w:val="auto"/>
              </w:rPr>
            </w:pPr>
            <w:r>
              <w:rPr>
                <w:rFonts w:ascii="Arial" w:cs="Arial" w:eastAsia="Arial" w:hAnsi="Arial"/>
                <w:sz w:val="14"/>
                <w:szCs w:val="14"/>
                <w:color w:val="auto"/>
                <w:w w:val="92"/>
              </w:rPr>
              <w:t>December 31, 2021, respectively; 201,752,722 and 201,988,662 shares issued and outstanding at March 31,</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6520" w:type="dxa"/>
            <w:vAlign w:val="bottom"/>
          </w:tcPr>
          <w:p>
            <w:pPr>
              <w:ind w:left="280"/>
              <w:spacing w:after="0"/>
              <w:rPr>
                <w:sz w:val="20"/>
                <w:szCs w:val="20"/>
                <w:color w:val="auto"/>
              </w:rPr>
            </w:pPr>
            <w:r>
              <w:rPr>
                <w:rFonts w:ascii="Arial" w:cs="Arial" w:eastAsia="Arial" w:hAnsi="Arial"/>
                <w:sz w:val="14"/>
                <w:szCs w:val="14"/>
                <w:color w:val="auto"/>
              </w:rPr>
              <w:t>2022 and December 31, 2021, respectively.</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Additional paid-in capital</w:t>
            </w:r>
          </w:p>
        </w:tc>
        <w:tc>
          <w:tcPr>
            <w:tcW w:w="9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1,107,051</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1,103,224</w:t>
            </w:r>
          </w:p>
        </w:tc>
        <w:tc>
          <w:tcPr>
            <w:tcW w:w="0" w:type="dxa"/>
            <w:vAlign w:val="bottom"/>
          </w:tcPr>
          <w:p>
            <w:pPr>
              <w:spacing w:after="0"/>
              <w:rPr>
                <w:sz w:val="1"/>
                <w:szCs w:val="1"/>
                <w:color w:val="auto"/>
              </w:rPr>
            </w:pPr>
          </w:p>
        </w:tc>
      </w:tr>
      <w:tr>
        <w:trPr>
          <w:trHeight w:val="186"/>
        </w:trPr>
        <w:tc>
          <w:tcPr>
            <w:tcW w:w="6520" w:type="dxa"/>
            <w:vAlign w:val="bottom"/>
          </w:tcPr>
          <w:p>
            <w:pPr>
              <w:ind w:left="120"/>
              <w:spacing w:after="0"/>
              <w:rPr>
                <w:sz w:val="20"/>
                <w:szCs w:val="20"/>
                <w:color w:val="auto"/>
              </w:rPr>
            </w:pPr>
            <w:r>
              <w:rPr>
                <w:rFonts w:ascii="Arial" w:cs="Arial" w:eastAsia="Arial" w:hAnsi="Arial"/>
                <w:sz w:val="14"/>
                <w:szCs w:val="14"/>
                <w:color w:val="auto"/>
              </w:rPr>
              <w:t>Accumulated other comprehensive loss</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(1,587)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(614)</w:t>
            </w: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6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Accumulated deficit</w:t>
            </w:r>
          </w:p>
        </w:tc>
        <w:tc>
          <w:tcPr>
            <w:tcW w:w="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(573,048)</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(557,375)</w:t>
            </w:r>
          </w:p>
        </w:tc>
        <w:tc>
          <w:tcPr>
            <w:tcW w:w="0" w:type="dxa"/>
            <w:vAlign w:val="bottom"/>
          </w:tcPr>
          <w:p>
            <w:pPr>
              <w:spacing w:after="0"/>
              <w:rPr>
                <w:sz w:val="1"/>
                <w:szCs w:val="1"/>
                <w:color w:val="auto"/>
              </w:rPr>
            </w:pPr>
          </w:p>
        </w:tc>
      </w:tr>
      <w:tr>
        <w:trPr>
          <w:trHeight w:val="179"/>
        </w:trPr>
        <w:tc>
          <w:tcPr>
            <w:tcW w:w="6520" w:type="dxa"/>
            <w:vAlign w:val="bottom"/>
          </w:tcPr>
          <w:p>
            <w:pPr>
              <w:ind w:left="440"/>
              <w:spacing w:after="0"/>
              <w:rPr>
                <w:sz w:val="20"/>
                <w:szCs w:val="20"/>
                <w:color w:val="auto"/>
              </w:rPr>
            </w:pPr>
            <w:r>
              <w:rPr>
                <w:rFonts w:ascii="Arial" w:cs="Arial" w:eastAsia="Arial" w:hAnsi="Arial"/>
                <w:sz w:val="14"/>
                <w:szCs w:val="14"/>
                <w:color w:val="auto"/>
              </w:rPr>
              <w:t>Total stockholders' equity</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534,435</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547,255</w:t>
            </w:r>
          </w:p>
        </w:tc>
        <w:tc>
          <w:tcPr>
            <w:tcW w:w="0" w:type="dxa"/>
            <w:vAlign w:val="bottom"/>
          </w:tcPr>
          <w:p>
            <w:pPr>
              <w:spacing w:after="0"/>
              <w:rPr>
                <w:sz w:val="1"/>
                <w:szCs w:val="1"/>
                <w:color w:val="auto"/>
              </w:rPr>
            </w:pPr>
          </w:p>
        </w:tc>
      </w:tr>
      <w:tr>
        <w:trPr>
          <w:trHeight w:val="23"/>
        </w:trPr>
        <w:tc>
          <w:tcPr>
            <w:tcW w:w="65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638,660</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666,476</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7"/>
          <w:szCs w:val="17"/>
          <w:color w:val="auto"/>
        </w:rPr>
        <w:t>See the accompanying Notes to the Consolidated Financial Statements.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 w:name="page4"/>
    <w:bookmarkEnd w:id="3"/>
    <w:p>
      <w:pPr>
        <w:spacing w:after="0"/>
        <w:rPr>
          <w:rFonts w:ascii="Arial" w:cs="Arial" w:eastAsia="Arial" w:hAnsi="Arial"/>
          <w:sz w:val="17"/>
          <w:szCs w:val="17"/>
          <w:u w:val="single" w:color="auto"/>
          <w:color w:val="auto"/>
        </w:rPr>
      </w:pPr>
      <w:hyperlink w:anchor="page1">
        <w:r>
          <w:rPr>
            <w:rFonts w:ascii="Arial" w:cs="Arial" w:eastAsia="Arial" w:hAnsi="Arial"/>
            <w:sz w:val="17"/>
            <w:szCs w:val="17"/>
            <w:u w:val="single" w:color="auto"/>
            <w:color w:val="auto"/>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GEVO,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300" w:type="dxa"/>
            <w:vAlign w:val="bottom"/>
            <w:gridSpan w:val="4"/>
          </w:tcPr>
          <w:p>
            <w:pPr>
              <w:jc w:val="right"/>
              <w:ind w:right="85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9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Note</w:t>
            </w: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65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jc w:val="right"/>
              <w:ind w:right="69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jc w:val="right"/>
              <w:ind w:right="69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
        </w:trPr>
        <w:tc>
          <w:tcPr>
            <w:tcW w:w="65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 and cost of goods sold</w:t>
            </w:r>
          </w:p>
        </w:tc>
        <w:tc>
          <w:tcPr>
            <w:tcW w:w="9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520" w:type="dxa"/>
            <w:vAlign w:val="bottom"/>
          </w:tcPr>
          <w:p>
            <w:pPr>
              <w:ind w:left="140"/>
              <w:spacing w:after="0"/>
              <w:rPr>
                <w:sz w:val="20"/>
                <w:szCs w:val="20"/>
                <w:color w:val="auto"/>
              </w:rPr>
            </w:pPr>
            <w:r>
              <w:rPr>
                <w:rFonts w:ascii="Arial" w:cs="Arial" w:eastAsia="Arial" w:hAnsi="Arial"/>
                <w:sz w:val="14"/>
                <w:szCs w:val="14"/>
                <w:color w:val="auto"/>
              </w:rPr>
              <w:t>Ethanol sales and related products, net</w:t>
            </w:r>
          </w:p>
        </w:tc>
        <w:tc>
          <w:tcPr>
            <w:tcW w:w="900" w:type="dxa"/>
            <w:vAlign w:val="bottom"/>
          </w:tcPr>
          <w:p>
            <w:pPr>
              <w:jc w:val="center"/>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440" w:type="dxa"/>
            <w:vAlign w:val="bottom"/>
          </w:tcPr>
          <w:p>
            <w:pPr>
              <w:jc w:val="right"/>
              <w:ind w:right="27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16"/>
                <w:szCs w:val="16"/>
                <w:color w:val="auto"/>
              </w:rPr>
            </w:pPr>
          </w:p>
        </w:tc>
        <w:tc>
          <w:tcPr>
            <w:tcW w:w="440" w:type="dxa"/>
            <w:vAlign w:val="bottom"/>
          </w:tcPr>
          <w:p>
            <w:pPr>
              <w:jc w:val="right"/>
              <w:ind w:right="27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Hydrocarbon revenue</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6"/>
        </w:trPr>
        <w:tc>
          <w:tcPr>
            <w:tcW w:w="6520" w:type="dxa"/>
            <w:vAlign w:val="bottom"/>
          </w:tcPr>
          <w:p>
            <w:pPr>
              <w:ind w:left="120"/>
              <w:spacing w:after="0"/>
              <w:rPr>
                <w:sz w:val="20"/>
                <w:szCs w:val="20"/>
                <w:color w:val="auto"/>
              </w:rPr>
            </w:pPr>
            <w:r>
              <w:rPr>
                <w:rFonts w:ascii="Arial" w:cs="Arial" w:eastAsia="Arial" w:hAnsi="Arial"/>
                <w:sz w:val="14"/>
                <w:szCs w:val="14"/>
                <w:color w:val="auto"/>
              </w:rPr>
              <w:t>Other revenue</w:t>
            </w:r>
          </w:p>
        </w:tc>
        <w:tc>
          <w:tcPr>
            <w:tcW w:w="900" w:type="dxa"/>
            <w:vAlign w:val="bottom"/>
          </w:tcPr>
          <w:p>
            <w:pPr>
              <w:jc w:val="center"/>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23"/>
        </w:trPr>
        <w:tc>
          <w:tcPr>
            <w:tcW w:w="65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5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Total revenues</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2, 18</w:t>
            </w:r>
          </w:p>
        </w:tc>
        <w:tc>
          <w:tcPr>
            <w:tcW w:w="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232</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86"/>
        </w:trPr>
        <w:tc>
          <w:tcPr>
            <w:tcW w:w="6520" w:type="dxa"/>
            <w:vAlign w:val="bottom"/>
          </w:tcPr>
          <w:p>
            <w:pPr>
              <w:ind w:left="140"/>
              <w:spacing w:after="0"/>
              <w:rPr>
                <w:sz w:val="20"/>
                <w:szCs w:val="20"/>
                <w:color w:val="auto"/>
              </w:rPr>
            </w:pPr>
            <w:r>
              <w:rPr>
                <w:rFonts w:ascii="Arial" w:cs="Arial" w:eastAsia="Arial" w:hAnsi="Arial"/>
                <w:sz w:val="14"/>
                <w:szCs w:val="14"/>
                <w:color w:val="auto"/>
              </w:rPr>
              <w:t>Cost of production (including non-cash compensation expense of $0.09 million and nil, respectively)</w:t>
            </w: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14, 18</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3,090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901</w:t>
            </w: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6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Depreciation and amortization</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8, 9, 18</w:t>
            </w: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1,091</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1,093</w:t>
            </w:r>
          </w:p>
        </w:tc>
        <w:tc>
          <w:tcPr>
            <w:tcW w:w="0" w:type="dxa"/>
            <w:vAlign w:val="bottom"/>
          </w:tcPr>
          <w:p>
            <w:pPr>
              <w:spacing w:after="0"/>
              <w:rPr>
                <w:sz w:val="1"/>
                <w:szCs w:val="1"/>
                <w:color w:val="auto"/>
              </w:rPr>
            </w:pPr>
          </w:p>
        </w:tc>
      </w:tr>
      <w:tr>
        <w:trPr>
          <w:trHeight w:val="179"/>
        </w:trPr>
        <w:tc>
          <w:tcPr>
            <w:tcW w:w="6520" w:type="dxa"/>
            <w:vAlign w:val="bottom"/>
          </w:tcPr>
          <w:p>
            <w:pPr>
              <w:ind w:left="440"/>
              <w:spacing w:after="0"/>
              <w:rPr>
                <w:sz w:val="20"/>
                <w:szCs w:val="20"/>
                <w:color w:val="auto"/>
              </w:rPr>
            </w:pPr>
            <w:r>
              <w:rPr>
                <w:rFonts w:ascii="Arial" w:cs="Arial" w:eastAsia="Arial" w:hAnsi="Arial"/>
                <w:sz w:val="14"/>
                <w:szCs w:val="14"/>
                <w:color w:val="auto"/>
              </w:rPr>
              <w:t>Total cost of goods sold</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4,181</w:t>
            </w:r>
          </w:p>
        </w:tc>
        <w:tc>
          <w:tcPr>
            <w:tcW w:w="1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1,994</w:t>
            </w:r>
          </w:p>
        </w:tc>
        <w:tc>
          <w:tcPr>
            <w:tcW w:w="0" w:type="dxa"/>
            <w:vAlign w:val="bottom"/>
          </w:tcPr>
          <w:p>
            <w:pPr>
              <w:spacing w:after="0"/>
              <w:rPr>
                <w:sz w:val="1"/>
                <w:szCs w:val="1"/>
                <w:color w:val="auto"/>
              </w:rPr>
            </w:pPr>
          </w:p>
        </w:tc>
      </w:tr>
      <w:tr>
        <w:trPr>
          <w:trHeight w:val="23"/>
        </w:trPr>
        <w:tc>
          <w:tcPr>
            <w:tcW w:w="65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6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Gross loss</w:t>
            </w:r>
          </w:p>
        </w:tc>
        <w:tc>
          <w:tcPr>
            <w:tcW w:w="9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(3,949)</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(1,901)</w:t>
            </w:r>
          </w:p>
        </w:tc>
        <w:tc>
          <w:tcPr>
            <w:tcW w:w="0" w:type="dxa"/>
            <w:vAlign w:val="bottom"/>
          </w:tcPr>
          <w:p>
            <w:pPr>
              <w:spacing w:after="0"/>
              <w:rPr>
                <w:sz w:val="1"/>
                <w:szCs w:val="1"/>
                <w:color w:val="auto"/>
              </w:rPr>
            </w:pPr>
          </w:p>
        </w:tc>
      </w:tr>
      <w:tr>
        <w:trPr>
          <w:trHeight w:val="166"/>
        </w:trPr>
        <w:tc>
          <w:tcPr>
            <w:tcW w:w="6520" w:type="dxa"/>
            <w:vAlign w:val="bottom"/>
          </w:tcPr>
          <w:p>
            <w:pPr>
              <w:ind w:left="20"/>
              <w:spacing w:after="0"/>
              <w:rPr>
                <w:sz w:val="20"/>
                <w:szCs w:val="20"/>
                <w:color w:val="auto"/>
              </w:rPr>
            </w:pPr>
            <w:r>
              <w:rPr>
                <w:rFonts w:ascii="Arial" w:cs="Arial" w:eastAsia="Arial" w:hAnsi="Arial"/>
                <w:sz w:val="14"/>
                <w:szCs w:val="14"/>
                <w:b w:val="1"/>
                <w:bCs w:val="1"/>
                <w:color w:val="auto"/>
              </w:rPr>
              <w:t>Operating expenses</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652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1"/>
              </w:rPr>
              <w:t>Research and development expense (including non-cash compensation expense of $0.1 million and $0.5 million,</w:t>
            </w: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respectively)</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14</w:t>
            </w:r>
          </w:p>
        </w:tc>
        <w:tc>
          <w:tcPr>
            <w:tcW w:w="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1,192</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1,378</w:t>
            </w:r>
          </w:p>
        </w:tc>
        <w:tc>
          <w:tcPr>
            <w:tcW w:w="0" w:type="dxa"/>
            <w:vAlign w:val="bottom"/>
          </w:tcPr>
          <w:p>
            <w:pPr>
              <w:spacing w:after="0"/>
              <w:rPr>
                <w:sz w:val="1"/>
                <w:szCs w:val="1"/>
                <w:color w:val="auto"/>
              </w:rPr>
            </w:pPr>
          </w:p>
        </w:tc>
      </w:tr>
      <w:tr>
        <w:trPr>
          <w:trHeight w:val="164"/>
        </w:trPr>
        <w:tc>
          <w:tcPr>
            <w:tcW w:w="6520" w:type="dxa"/>
            <w:vAlign w:val="bottom"/>
          </w:tcPr>
          <w:p>
            <w:pPr>
              <w:ind w:left="140"/>
              <w:spacing w:after="0"/>
              <w:rPr>
                <w:sz w:val="20"/>
                <w:szCs w:val="20"/>
                <w:color w:val="auto"/>
              </w:rPr>
            </w:pPr>
            <w:r>
              <w:rPr>
                <w:rFonts w:ascii="Arial" w:cs="Arial" w:eastAsia="Arial" w:hAnsi="Arial"/>
                <w:sz w:val="14"/>
                <w:szCs w:val="14"/>
                <w:color w:val="auto"/>
                <w:w w:val="91"/>
              </w:rPr>
              <w:t>Selling, general and administrative expense (including non-cash compensation expense of $1.4 million and $0.5</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6520" w:type="dxa"/>
            <w:vAlign w:val="bottom"/>
          </w:tcPr>
          <w:p>
            <w:pPr>
              <w:ind w:left="140"/>
              <w:spacing w:after="0"/>
              <w:rPr>
                <w:sz w:val="20"/>
                <w:szCs w:val="20"/>
                <w:color w:val="auto"/>
              </w:rPr>
            </w:pPr>
            <w:r>
              <w:rPr>
                <w:rFonts w:ascii="Arial" w:cs="Arial" w:eastAsia="Arial" w:hAnsi="Arial"/>
                <w:sz w:val="14"/>
                <w:szCs w:val="14"/>
                <w:color w:val="auto"/>
              </w:rPr>
              <w:t>million, respectively)</w:t>
            </w: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14</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9,367</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3,814</w:t>
            </w: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Preliminary stage project costs</w:t>
            </w:r>
          </w:p>
        </w:tc>
        <w:tc>
          <w:tcPr>
            <w:tcW w:w="9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507</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2,727</w:t>
            </w:r>
          </w:p>
        </w:tc>
        <w:tc>
          <w:tcPr>
            <w:tcW w:w="0" w:type="dxa"/>
            <w:vAlign w:val="bottom"/>
          </w:tcPr>
          <w:p>
            <w:pPr>
              <w:spacing w:after="0"/>
              <w:rPr>
                <w:sz w:val="1"/>
                <w:szCs w:val="1"/>
                <w:color w:val="auto"/>
              </w:rPr>
            </w:pPr>
          </w:p>
        </w:tc>
      </w:tr>
      <w:tr>
        <w:trPr>
          <w:trHeight w:val="186"/>
        </w:trPr>
        <w:tc>
          <w:tcPr>
            <w:tcW w:w="6520" w:type="dxa"/>
            <w:vAlign w:val="bottom"/>
          </w:tcPr>
          <w:p>
            <w:pPr>
              <w:ind w:left="140"/>
              <w:spacing w:after="0"/>
              <w:rPr>
                <w:sz w:val="20"/>
                <w:szCs w:val="20"/>
                <w:color w:val="auto"/>
              </w:rPr>
            </w:pPr>
            <w:r>
              <w:rPr>
                <w:rFonts w:ascii="Arial" w:cs="Arial" w:eastAsia="Arial" w:hAnsi="Arial"/>
                <w:sz w:val="14"/>
                <w:szCs w:val="14"/>
                <w:color w:val="auto"/>
              </w:rPr>
              <w:t>Other operations (including non-cash compensation expense of $0.1 million and nil, respectively)</w:t>
            </w: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14</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589</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6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Depreciation and amortization</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8, 9, 18</w:t>
            </w: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351</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79"/>
        </w:trPr>
        <w:tc>
          <w:tcPr>
            <w:tcW w:w="6520" w:type="dxa"/>
            <w:vAlign w:val="bottom"/>
          </w:tcPr>
          <w:p>
            <w:pPr>
              <w:ind w:left="440"/>
              <w:spacing w:after="0"/>
              <w:rPr>
                <w:sz w:val="20"/>
                <w:szCs w:val="20"/>
                <w:color w:val="auto"/>
              </w:rPr>
            </w:pPr>
            <w:r>
              <w:rPr>
                <w:rFonts w:ascii="Arial" w:cs="Arial" w:eastAsia="Arial" w:hAnsi="Arial"/>
                <w:sz w:val="14"/>
                <w:szCs w:val="14"/>
                <w:color w:val="auto"/>
              </w:rPr>
              <w:t>Total operating expenses</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12,006</w:t>
            </w:r>
          </w:p>
        </w:tc>
        <w:tc>
          <w:tcPr>
            <w:tcW w:w="1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7,977</w:t>
            </w:r>
          </w:p>
        </w:tc>
        <w:tc>
          <w:tcPr>
            <w:tcW w:w="0" w:type="dxa"/>
            <w:vAlign w:val="bottom"/>
          </w:tcPr>
          <w:p>
            <w:pPr>
              <w:spacing w:after="0"/>
              <w:rPr>
                <w:sz w:val="1"/>
                <w:szCs w:val="1"/>
                <w:color w:val="auto"/>
              </w:rPr>
            </w:pPr>
          </w:p>
        </w:tc>
      </w:tr>
      <w:tr>
        <w:trPr>
          <w:trHeight w:val="23"/>
        </w:trPr>
        <w:tc>
          <w:tcPr>
            <w:tcW w:w="65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18</w:t>
            </w:r>
          </w:p>
        </w:tc>
        <w:tc>
          <w:tcPr>
            <w:tcW w:w="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(15,955)</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(9,878)</w:t>
            </w:r>
          </w:p>
        </w:tc>
        <w:tc>
          <w:tcPr>
            <w:tcW w:w="0" w:type="dxa"/>
            <w:vAlign w:val="bottom"/>
          </w:tcPr>
          <w:p>
            <w:pPr>
              <w:spacing w:after="0"/>
              <w:rPr>
                <w:sz w:val="1"/>
                <w:szCs w:val="1"/>
                <w:color w:val="auto"/>
              </w:rPr>
            </w:pPr>
          </w:p>
        </w:tc>
      </w:tr>
      <w:tr>
        <w:trPr>
          <w:trHeight w:val="166"/>
        </w:trPr>
        <w:tc>
          <w:tcPr>
            <w:tcW w:w="652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(Loss) gain from change in fair value of derivative warrant liability</w:t>
            </w:r>
          </w:p>
        </w:tc>
        <w:tc>
          <w:tcPr>
            <w:tcW w:w="9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86"/>
        </w:trPr>
        <w:tc>
          <w:tcPr>
            <w:tcW w:w="6520" w:type="dxa"/>
            <w:vAlign w:val="bottom"/>
          </w:tcPr>
          <w:p>
            <w:pPr>
              <w:ind w:left="120"/>
              <w:spacing w:after="0"/>
              <w:rPr>
                <w:sz w:val="20"/>
                <w:szCs w:val="20"/>
                <w:color w:val="auto"/>
              </w:rPr>
            </w:pPr>
            <w:r>
              <w:rPr>
                <w:rFonts w:ascii="Arial" w:cs="Arial" w:eastAsia="Arial" w:hAnsi="Arial"/>
                <w:sz w:val="14"/>
                <w:szCs w:val="14"/>
                <w:color w:val="auto"/>
              </w:rPr>
              <w:t>Interest expense</w:t>
            </w: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12, 18</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Interest and dividend income</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5</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86"/>
        </w:trPr>
        <w:tc>
          <w:tcPr>
            <w:tcW w:w="6520" w:type="dxa"/>
            <w:vAlign w:val="bottom"/>
          </w:tcPr>
          <w:p>
            <w:pPr>
              <w:ind w:left="140"/>
              <w:spacing w:after="0"/>
              <w:rPr>
                <w:sz w:val="20"/>
                <w:szCs w:val="20"/>
                <w:color w:val="auto"/>
              </w:rPr>
            </w:pPr>
            <w:r>
              <w:rPr>
                <w:rFonts w:ascii="Arial" w:cs="Arial" w:eastAsia="Arial" w:hAnsi="Arial"/>
                <w:sz w:val="14"/>
                <w:szCs w:val="14"/>
                <w:color w:val="auto"/>
              </w:rPr>
              <w:t>Other income (expense), net</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23"/>
        </w:trPr>
        <w:tc>
          <w:tcPr>
            <w:tcW w:w="65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65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Total other income (expense), net</w:t>
            </w:r>
          </w:p>
        </w:tc>
        <w:tc>
          <w:tcPr>
            <w:tcW w:w="9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282</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202"/>
        </w:trPr>
        <w:tc>
          <w:tcPr>
            <w:tcW w:w="6520" w:type="dxa"/>
            <w:vAlign w:val="bottom"/>
          </w:tcPr>
          <w:p>
            <w:pPr>
              <w:ind w:left="20"/>
              <w:spacing w:after="0"/>
              <w:rPr>
                <w:sz w:val="20"/>
                <w:szCs w:val="20"/>
                <w:color w:val="auto"/>
              </w:rPr>
            </w:pPr>
            <w:r>
              <w:rPr>
                <w:rFonts w:ascii="Arial" w:cs="Arial" w:eastAsia="Arial" w:hAnsi="Arial"/>
                <w:sz w:val="14"/>
                <w:szCs w:val="14"/>
                <w:color w:val="auto"/>
              </w:rPr>
              <w:t>Net loss</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(15,673)</w:t>
            </w:r>
          </w:p>
        </w:tc>
        <w:tc>
          <w:tcPr>
            <w:tcW w:w="100" w:type="dxa"/>
            <w:vAlign w:val="bottom"/>
            <w:tcBorders>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(10,057)</w:t>
            </w:r>
          </w:p>
        </w:tc>
        <w:tc>
          <w:tcPr>
            <w:tcW w:w="0" w:type="dxa"/>
            <w:vAlign w:val="bottom"/>
          </w:tcPr>
          <w:p>
            <w:pPr>
              <w:spacing w:after="0"/>
              <w:rPr>
                <w:sz w:val="1"/>
                <w:szCs w:val="1"/>
                <w:color w:val="auto"/>
              </w:rPr>
            </w:pP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5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520" w:type="dxa"/>
            <w:vAlign w:val="bottom"/>
          </w:tcPr>
          <w:p>
            <w:pPr>
              <w:ind w:left="20"/>
              <w:spacing w:after="0"/>
              <w:rPr>
                <w:sz w:val="20"/>
                <w:szCs w:val="20"/>
                <w:color w:val="auto"/>
              </w:rPr>
            </w:pPr>
            <w:r>
              <w:rPr>
                <w:rFonts w:ascii="Arial" w:cs="Arial" w:eastAsia="Arial" w:hAnsi="Arial"/>
                <w:sz w:val="14"/>
                <w:szCs w:val="14"/>
                <w:color w:val="auto"/>
              </w:rPr>
              <w:t>Net loss per share - basic and diluted</w:t>
            </w:r>
          </w:p>
        </w:tc>
        <w:tc>
          <w:tcPr>
            <w:tcW w:w="900" w:type="dxa"/>
            <w:vAlign w:val="bottom"/>
          </w:tcPr>
          <w:p>
            <w:pPr>
              <w:jc w:val="center"/>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8"/>
                <w:szCs w:val="18"/>
                <w:color w:val="auto"/>
              </w:rPr>
            </w:pPr>
          </w:p>
        </w:tc>
        <w:tc>
          <w:tcPr>
            <w:tcW w:w="44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(0.08)</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5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520" w:type="dxa"/>
            <w:vAlign w:val="bottom"/>
          </w:tcPr>
          <w:p>
            <w:pPr>
              <w:ind w:left="20"/>
              <w:spacing w:after="0"/>
              <w:rPr>
                <w:sz w:val="20"/>
                <w:szCs w:val="20"/>
                <w:color w:val="auto"/>
              </w:rPr>
            </w:pPr>
            <w:r>
              <w:rPr>
                <w:rFonts w:ascii="Arial" w:cs="Arial" w:eastAsia="Arial" w:hAnsi="Arial"/>
                <w:sz w:val="14"/>
                <w:szCs w:val="14"/>
                <w:color w:val="auto"/>
              </w:rPr>
              <w:t>Weighted-average number of common shares outstanding - basic and diluted</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201,925,747</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183,566,524</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the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7"/>
          <w:szCs w:val="17"/>
          <w:b w:val="1"/>
          <w:bCs w:val="1"/>
          <w:color w:val="auto"/>
        </w:rPr>
        <w:t>GEVO,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COMPREHENSIVE INCOME (LOSS)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 thousands)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4"/>
          </w:tcPr>
          <w:p>
            <w:pPr>
              <w:jc w:val="right"/>
              <w:ind w:right="709"/>
              <w:spacing w:after="0"/>
              <w:rPr>
                <w:sz w:val="20"/>
                <w:szCs w:val="20"/>
                <w:color w:val="auto"/>
              </w:rPr>
            </w:pPr>
            <w:r>
              <w:rPr>
                <w:rFonts w:ascii="Arial" w:cs="Arial" w:eastAsia="Arial" w:hAnsi="Arial"/>
                <w:sz w:val="16"/>
                <w:szCs w:val="16"/>
                <w:b w:val="1"/>
                <w:bCs w:val="1"/>
                <w:color w:val="auto"/>
              </w:rPr>
              <w:t>Three Months Ended March 31,</w:t>
            </w:r>
          </w:p>
        </w:tc>
      </w:tr>
      <w:tr>
        <w:trPr>
          <w:trHeight w:val="215"/>
        </w:trPr>
        <w:tc>
          <w:tcPr>
            <w:tcW w:w="6520" w:type="dxa"/>
            <w:vAlign w:val="bottom"/>
          </w:tcPr>
          <w:p>
            <w:pPr>
              <w:spacing w:after="0"/>
              <w:rPr>
                <w:sz w:val="18"/>
                <w:szCs w:val="18"/>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Note</w:t>
            </w:r>
          </w:p>
        </w:tc>
        <w:tc>
          <w:tcPr>
            <w:tcW w:w="420" w:type="dxa"/>
            <w:vAlign w:val="bottom"/>
          </w:tcPr>
          <w:p>
            <w:pPr>
              <w:spacing w:after="0"/>
              <w:rPr>
                <w:sz w:val="18"/>
                <w:szCs w:val="18"/>
                <w:color w:val="auto"/>
              </w:rPr>
            </w:pPr>
          </w:p>
        </w:tc>
        <w:tc>
          <w:tcPr>
            <w:tcW w:w="1400" w:type="dxa"/>
            <w:vAlign w:val="bottom"/>
          </w:tcPr>
          <w:p>
            <w:pPr>
              <w:jc w:val="right"/>
              <w:ind w:right="668"/>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ind w:right="669"/>
              <w:spacing w:after="0"/>
              <w:rPr>
                <w:sz w:val="20"/>
                <w:szCs w:val="20"/>
                <w:color w:val="auto"/>
              </w:rPr>
            </w:pPr>
            <w:r>
              <w:rPr>
                <w:rFonts w:ascii="Arial" w:cs="Arial" w:eastAsia="Arial" w:hAnsi="Arial"/>
                <w:sz w:val="16"/>
                <w:szCs w:val="16"/>
                <w:b w:val="1"/>
                <w:bCs w:val="1"/>
                <w:color w:val="auto"/>
              </w:rPr>
              <w:t>2021</w:t>
            </w:r>
          </w:p>
        </w:tc>
      </w:tr>
      <w:tr>
        <w:trPr>
          <w:trHeight w:val="189"/>
        </w:trPr>
        <w:tc>
          <w:tcPr>
            <w:tcW w:w="6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w:t>
            </w:r>
          </w:p>
        </w:tc>
        <w:tc>
          <w:tcPr>
            <w:tcW w:w="90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(15,673)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(10,057)</w:t>
            </w:r>
          </w:p>
        </w:tc>
      </w:tr>
      <w:tr>
        <w:trPr>
          <w:trHeight w:val="186"/>
        </w:trPr>
        <w:tc>
          <w:tcPr>
            <w:tcW w:w="6520" w:type="dxa"/>
            <w:vAlign w:val="bottom"/>
          </w:tcPr>
          <w:p>
            <w:pPr>
              <w:ind w:left="20"/>
              <w:spacing w:after="0"/>
              <w:rPr>
                <w:sz w:val="20"/>
                <w:szCs w:val="20"/>
                <w:color w:val="auto"/>
              </w:rPr>
            </w:pPr>
            <w:r>
              <w:rPr>
                <w:rFonts w:ascii="Arial" w:cs="Arial" w:eastAsia="Arial" w:hAnsi="Arial"/>
                <w:sz w:val="14"/>
                <w:szCs w:val="14"/>
                <w:color w:val="auto"/>
              </w:rPr>
              <w:t>Other comprehensive income (loss)</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3"/>
        </w:trPr>
        <w:tc>
          <w:tcPr>
            <w:tcW w:w="6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89"/>
        </w:trPr>
        <w:tc>
          <w:tcPr>
            <w:tcW w:w="6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Unrealized gain (loss) on available-for-sale securities, net of tax</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5</w:t>
            </w: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(974)</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4"/>
                <w:szCs w:val="14"/>
                <w:color w:val="auto"/>
              </w:rPr>
              <w:t>—</w:t>
            </w:r>
          </w:p>
        </w:tc>
      </w:tr>
      <w:tr>
        <w:trPr>
          <w:trHeight w:val="186"/>
        </w:trPr>
        <w:tc>
          <w:tcPr>
            <w:tcW w:w="6520" w:type="dxa"/>
            <w:vAlign w:val="bottom"/>
          </w:tcPr>
          <w:p>
            <w:pPr>
              <w:ind w:left="340"/>
              <w:spacing w:after="0"/>
              <w:rPr>
                <w:sz w:val="20"/>
                <w:szCs w:val="20"/>
                <w:color w:val="auto"/>
              </w:rPr>
            </w:pPr>
            <w:r>
              <w:rPr>
                <w:rFonts w:ascii="Arial" w:cs="Arial" w:eastAsia="Arial" w:hAnsi="Arial"/>
                <w:sz w:val="14"/>
                <w:szCs w:val="14"/>
                <w:color w:val="auto"/>
              </w:rPr>
              <w:t>Adjustment for net gain (loss) realized and included in net income, net of tax</w:t>
            </w:r>
          </w:p>
        </w:tc>
        <w:tc>
          <w:tcPr>
            <w:tcW w:w="900" w:type="dxa"/>
            <w:vAlign w:val="bottom"/>
          </w:tcPr>
          <w:p>
            <w:pPr>
              <w:jc w:val="center"/>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tcPr>
          <w:p>
            <w:pPr>
              <w:ind w:left="1200"/>
              <w:spacing w:after="0"/>
              <w:rPr>
                <w:sz w:val="20"/>
                <w:szCs w:val="20"/>
                <w:color w:val="auto"/>
              </w:rPr>
            </w:pPr>
            <w:r>
              <w:rPr>
                <w:rFonts w:ascii="Arial" w:cs="Arial" w:eastAsia="Arial" w:hAnsi="Arial"/>
                <w:sz w:val="14"/>
                <w:szCs w:val="14"/>
                <w:color w:val="auto"/>
              </w:rPr>
              <w:t>—</w:t>
            </w:r>
          </w:p>
        </w:tc>
      </w:tr>
      <w:tr>
        <w:trPr>
          <w:trHeight w:val="23"/>
        </w:trPr>
        <w:tc>
          <w:tcPr>
            <w:tcW w:w="65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2"/>
        </w:trPr>
        <w:tc>
          <w:tcPr>
            <w:tcW w:w="6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Total change in other comprehensive income (loss)</w:t>
            </w:r>
          </w:p>
        </w:tc>
        <w:tc>
          <w:tcPr>
            <w:tcW w:w="9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(973)</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4"/>
                <w:szCs w:val="14"/>
                <w:color w:val="auto"/>
              </w:rPr>
              <w:t>—</w:t>
            </w:r>
          </w:p>
        </w:tc>
      </w:tr>
      <w:tr>
        <w:trPr>
          <w:trHeight w:val="202"/>
        </w:trPr>
        <w:tc>
          <w:tcPr>
            <w:tcW w:w="6520" w:type="dxa"/>
            <w:vAlign w:val="bottom"/>
          </w:tcPr>
          <w:p>
            <w:pPr>
              <w:ind w:left="20"/>
              <w:spacing w:after="0"/>
              <w:rPr>
                <w:sz w:val="20"/>
                <w:szCs w:val="20"/>
                <w:color w:val="auto"/>
              </w:rPr>
            </w:pPr>
            <w:r>
              <w:rPr>
                <w:rFonts w:ascii="Arial" w:cs="Arial" w:eastAsia="Arial" w:hAnsi="Arial"/>
                <w:sz w:val="14"/>
                <w:szCs w:val="14"/>
                <w:b w:val="1"/>
                <w:bCs w:val="1"/>
                <w:color w:val="auto"/>
              </w:rPr>
              <w:t>Comprehensive loss</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(16,646)</w:t>
            </w: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(10,057)</w:t>
            </w:r>
          </w:p>
        </w:tc>
      </w:tr>
      <w:tr>
        <w:trPr>
          <w:trHeight w:val="20"/>
        </w:trPr>
        <w:tc>
          <w:tcPr>
            <w:tcW w:w="6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7"/>
          <w:szCs w:val="17"/>
          <w:color w:val="auto"/>
        </w:rPr>
        <w:t>See the accompanying Notes to the Consolidated Financial Statements.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rFonts w:ascii="Arial" w:cs="Arial" w:eastAsia="Arial" w:hAnsi="Arial"/>
          <w:sz w:val="17"/>
          <w:szCs w:val="17"/>
          <w:u w:val="single" w:color="auto"/>
          <w:color w:val="auto"/>
        </w:rPr>
      </w:pPr>
      <w:hyperlink w:anchor="page1">
        <w:r>
          <w:rPr>
            <w:rFonts w:ascii="Arial" w:cs="Arial" w:eastAsia="Arial" w:hAnsi="Arial"/>
            <w:sz w:val="17"/>
            <w:szCs w:val="17"/>
            <w:u w:val="single" w:color="auto"/>
            <w:color w:val="auto"/>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GEVO,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STOCKHOLDERS' EQUITY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gridSpan w:val="5"/>
          </w:tcPr>
          <w:p>
            <w:pPr>
              <w:ind w:left="600"/>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15"/>
                <w:szCs w:val="15"/>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5"/>
                <w:szCs w:val="15"/>
                <w:color w:val="auto"/>
              </w:rPr>
            </w:pPr>
          </w:p>
        </w:tc>
        <w:tc>
          <w:tcPr>
            <w:tcW w:w="1060" w:type="dxa"/>
            <w:vAlign w:val="bottom"/>
            <w:vMerge w:val="restart"/>
          </w:tcPr>
          <w:p>
            <w:pPr>
              <w:jc w:val="right"/>
              <w:ind w:right="13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23"/>
        </w:trPr>
        <w:tc>
          <w:tcPr>
            <w:tcW w:w="3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3200" w:type="dxa"/>
            <w:vAlign w:val="bottom"/>
          </w:tcPr>
          <w:p>
            <w:pPr>
              <w:spacing w:after="0"/>
              <w:rPr>
                <w:sz w:val="15"/>
                <w:szCs w:val="15"/>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8"/>
              </w:rPr>
              <w:t>Note</w:t>
            </w:r>
          </w:p>
        </w:tc>
        <w:tc>
          <w:tcPr>
            <w:tcW w:w="110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5"/>
                <w:szCs w:val="15"/>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1120" w:type="dxa"/>
            <w:vAlign w:val="bottom"/>
            <w:gridSpan w:val="3"/>
          </w:tcPr>
          <w:p>
            <w:pPr>
              <w:ind w:left="60"/>
              <w:spacing w:after="0"/>
              <w:rPr>
                <w:sz w:val="20"/>
                <w:szCs w:val="20"/>
                <w:color w:val="auto"/>
              </w:rPr>
            </w:pPr>
            <w:r>
              <w:rPr>
                <w:rFonts w:ascii="Arial" w:cs="Arial" w:eastAsia="Arial" w:hAnsi="Arial"/>
                <w:sz w:val="14"/>
                <w:szCs w:val="14"/>
                <w:b w:val="1"/>
                <w:bCs w:val="1"/>
                <w:color w:val="auto"/>
              </w:rPr>
              <w:t>Paid-In Capital</w:t>
            </w:r>
          </w:p>
        </w:tc>
        <w:tc>
          <w:tcPr>
            <w:tcW w:w="14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8"/>
              </w:rPr>
              <w:t>Comprehensive Loss</w:t>
            </w:r>
          </w:p>
        </w:tc>
        <w:tc>
          <w:tcPr>
            <w:tcW w:w="140" w:type="dxa"/>
            <w:vAlign w:val="bottom"/>
          </w:tcPr>
          <w:p>
            <w:pPr>
              <w:spacing w:after="0"/>
              <w:rPr>
                <w:sz w:val="15"/>
                <w:szCs w:val="15"/>
                <w:color w:val="auto"/>
              </w:rPr>
            </w:pPr>
          </w:p>
        </w:tc>
        <w:tc>
          <w:tcPr>
            <w:tcW w:w="1100" w:type="dxa"/>
            <w:vAlign w:val="bottom"/>
            <w:gridSpan w:val="2"/>
          </w:tcPr>
          <w:p>
            <w:pPr>
              <w:ind w:left="24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5"/>
                <w:szCs w:val="15"/>
                <w:color w:val="auto"/>
              </w:rPr>
            </w:pPr>
          </w:p>
        </w:tc>
        <w:tc>
          <w:tcPr>
            <w:tcW w:w="1060" w:type="dxa"/>
            <w:vAlign w:val="bottom"/>
          </w:tcPr>
          <w:p>
            <w:pPr>
              <w:jc w:val="right"/>
              <w:ind w:right="33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
        </w:trPr>
        <w:tc>
          <w:tcPr>
            <w:tcW w:w="32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3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2021</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201,988,662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1,103,224</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50"/>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(557,375)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547,255</w:t>
            </w:r>
          </w:p>
        </w:tc>
        <w:tc>
          <w:tcPr>
            <w:tcW w:w="0" w:type="dxa"/>
            <w:vAlign w:val="bottom"/>
          </w:tcPr>
          <w:p>
            <w:pPr>
              <w:spacing w:after="0"/>
              <w:rPr>
                <w:sz w:val="1"/>
                <w:szCs w:val="1"/>
                <w:color w:val="auto"/>
              </w:rPr>
            </w:pPr>
          </w:p>
        </w:tc>
      </w:tr>
      <w:tr>
        <w:trPr>
          <w:trHeight w:val="204"/>
        </w:trPr>
        <w:tc>
          <w:tcPr>
            <w:tcW w:w="3200" w:type="dxa"/>
            <w:vAlign w:val="bottom"/>
          </w:tcPr>
          <w:p>
            <w:pPr>
              <w:ind w:left="120"/>
              <w:spacing w:after="0"/>
              <w:rPr>
                <w:sz w:val="20"/>
                <w:szCs w:val="20"/>
                <w:color w:val="auto"/>
              </w:rPr>
            </w:pPr>
            <w:r>
              <w:rPr>
                <w:rFonts w:ascii="Arial" w:cs="Arial" w:eastAsia="Arial" w:hAnsi="Arial"/>
                <w:sz w:val="14"/>
                <w:szCs w:val="14"/>
                <w:color w:val="auto"/>
                <w:w w:val="92"/>
              </w:rPr>
              <w:t>Issuance of common stock upon exercise of warrants</w:t>
            </w:r>
          </w:p>
        </w:tc>
        <w:tc>
          <w:tcPr>
            <w:tcW w:w="720" w:type="dxa"/>
            <w:vAlign w:val="bottom"/>
          </w:tcPr>
          <w:p>
            <w:pPr>
              <w:jc w:val="center"/>
              <w:spacing w:after="0"/>
              <w:rPr>
                <w:sz w:val="20"/>
                <w:szCs w:val="20"/>
                <w:color w:val="auto"/>
              </w:rPr>
            </w:pPr>
            <w:r>
              <w:rPr>
                <w:rFonts w:ascii="Arial" w:cs="Arial" w:eastAsia="Arial" w:hAnsi="Arial"/>
                <w:sz w:val="14"/>
                <w:szCs w:val="14"/>
                <w:color w:val="auto"/>
                <w:w w:val="89"/>
              </w:rPr>
              <w:t>10</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4,677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0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14"/>
        </w:trPr>
        <w:tc>
          <w:tcPr>
            <w:tcW w:w="3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Non-cash stock-based compensation</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14</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4,044</w:t>
            </w:r>
          </w:p>
        </w:tc>
        <w:tc>
          <w:tcPr>
            <w:tcW w:w="0" w:type="dxa"/>
            <w:vAlign w:val="bottom"/>
          </w:tcPr>
          <w:p>
            <w:pPr>
              <w:spacing w:after="0"/>
              <w:rPr>
                <w:sz w:val="1"/>
                <w:szCs w:val="1"/>
                <w:color w:val="auto"/>
              </w:rPr>
            </w:pPr>
          </w:p>
        </w:tc>
      </w:tr>
      <w:tr>
        <w:trPr>
          <w:trHeight w:val="131"/>
        </w:trPr>
        <w:tc>
          <w:tcPr>
            <w:tcW w:w="3200" w:type="dxa"/>
            <w:vAlign w:val="bottom"/>
          </w:tcPr>
          <w:p>
            <w:pPr>
              <w:ind w:left="120"/>
              <w:spacing w:after="0" w:line="131" w:lineRule="exact"/>
              <w:rPr>
                <w:sz w:val="20"/>
                <w:szCs w:val="20"/>
                <w:color w:val="auto"/>
              </w:rPr>
            </w:pPr>
            <w:r>
              <w:rPr>
                <w:rFonts w:ascii="Arial" w:cs="Arial" w:eastAsia="Arial" w:hAnsi="Arial"/>
                <w:sz w:val="14"/>
                <w:szCs w:val="14"/>
                <w:color w:val="auto"/>
                <w:w w:val="94"/>
              </w:rPr>
              <w:t>Issuance of common stock under stock plans, net of</w:t>
            </w: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w w:val="89"/>
              </w:rPr>
              <w:t>14</w:t>
            </w:r>
          </w:p>
        </w:tc>
        <w:tc>
          <w:tcPr>
            <w:tcW w:w="1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(240,617)</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00" w:type="dxa"/>
            <w:vAlign w:val="bottom"/>
            <w:gridSpan w:val="2"/>
            <w:vMerge w:val="restart"/>
          </w:tcPr>
          <w:p>
            <w:pPr>
              <w:ind w:left="8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181"/>
        </w:trPr>
        <w:tc>
          <w:tcPr>
            <w:tcW w:w="3200" w:type="dxa"/>
            <w:vAlign w:val="bottom"/>
          </w:tcPr>
          <w:p>
            <w:pPr>
              <w:ind w:left="120"/>
              <w:spacing w:after="0"/>
              <w:rPr>
                <w:sz w:val="20"/>
                <w:szCs w:val="20"/>
                <w:color w:val="auto"/>
              </w:rPr>
            </w:pPr>
            <w:r>
              <w:rPr>
                <w:rFonts w:ascii="Arial" w:cs="Arial" w:eastAsia="Arial" w:hAnsi="Arial"/>
                <w:sz w:val="14"/>
                <w:szCs w:val="14"/>
                <w:color w:val="auto"/>
              </w:rPr>
              <w:t>taxes</w:t>
            </w: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comprehensive loss</w:t>
            </w: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(973)</w:t>
            </w:r>
          </w:p>
        </w:tc>
        <w:tc>
          <w:tcPr>
            <w:tcW w:w="0" w:type="dxa"/>
            <w:vAlign w:val="bottom"/>
          </w:tcPr>
          <w:p>
            <w:pPr>
              <w:spacing w:after="0"/>
              <w:rPr>
                <w:sz w:val="1"/>
                <w:szCs w:val="1"/>
                <w:color w:val="auto"/>
              </w:rPr>
            </w:pPr>
          </w:p>
        </w:tc>
      </w:tr>
      <w:tr>
        <w:trPr>
          <w:trHeight w:val="181"/>
        </w:trPr>
        <w:tc>
          <w:tcPr>
            <w:tcW w:w="3200" w:type="dxa"/>
            <w:vAlign w:val="bottom"/>
          </w:tcPr>
          <w:p>
            <w:pPr>
              <w:ind w:left="120"/>
              <w:spacing w:after="0"/>
              <w:rPr>
                <w:sz w:val="20"/>
                <w:szCs w:val="20"/>
                <w:color w:val="auto"/>
              </w:rPr>
            </w:pPr>
            <w:r>
              <w:rPr>
                <w:rFonts w:ascii="Arial" w:cs="Arial" w:eastAsia="Arial" w:hAnsi="Arial"/>
                <w:sz w:val="14"/>
                <w:szCs w:val="14"/>
                <w:color w:val="auto"/>
              </w:rPr>
              <w:t>Net loss</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(15,673)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(15,673)</w:t>
            </w:r>
          </w:p>
        </w:tc>
        <w:tc>
          <w:tcPr>
            <w:tcW w:w="0" w:type="dxa"/>
            <w:vAlign w:val="bottom"/>
          </w:tcPr>
          <w:p>
            <w:pPr>
              <w:spacing w:after="0"/>
              <w:rPr>
                <w:sz w:val="1"/>
                <w:szCs w:val="1"/>
                <w:color w:val="auto"/>
              </w:rPr>
            </w:pPr>
          </w:p>
        </w:tc>
      </w:tr>
      <w:tr>
        <w:trPr>
          <w:trHeight w:val="203"/>
        </w:trPr>
        <w:tc>
          <w:tcPr>
            <w:tcW w:w="3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March 31, 2022</w:t>
            </w:r>
          </w:p>
        </w:tc>
        <w:tc>
          <w:tcPr>
            <w:tcW w:w="7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201,752,722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1,107,051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(573,048)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534,435</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2020</w:t>
            </w: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128,138,311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1,282</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643,269</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50"/>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(498,172)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146,379</w:t>
            </w:r>
          </w:p>
        </w:tc>
        <w:tc>
          <w:tcPr>
            <w:tcW w:w="0" w:type="dxa"/>
            <w:vAlign w:val="bottom"/>
          </w:tcPr>
          <w:p>
            <w:pPr>
              <w:spacing w:after="0"/>
              <w:rPr>
                <w:sz w:val="1"/>
                <w:szCs w:val="1"/>
                <w:color w:val="auto"/>
              </w:rPr>
            </w:pPr>
          </w:p>
        </w:tc>
      </w:tr>
      <w:tr>
        <w:trPr>
          <w:trHeight w:val="204"/>
        </w:trPr>
        <w:tc>
          <w:tcPr>
            <w:tcW w:w="3200" w:type="dxa"/>
            <w:vAlign w:val="bottom"/>
          </w:tcPr>
          <w:p>
            <w:pPr>
              <w:ind w:left="120"/>
              <w:spacing w:after="0"/>
              <w:rPr>
                <w:sz w:val="20"/>
                <w:szCs w:val="20"/>
                <w:color w:val="auto"/>
              </w:rPr>
            </w:pPr>
            <w:r>
              <w:rPr>
                <w:rFonts w:ascii="Arial" w:cs="Arial" w:eastAsia="Arial" w:hAnsi="Arial"/>
                <w:sz w:val="14"/>
                <w:szCs w:val="14"/>
                <w:color w:val="auto"/>
              </w:rPr>
              <w:t>Issuance of common stock, net of issuance costs</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68,170,579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682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457,008</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0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457,690</w:t>
            </w:r>
          </w:p>
        </w:tc>
        <w:tc>
          <w:tcPr>
            <w:tcW w:w="0" w:type="dxa"/>
            <w:vAlign w:val="bottom"/>
          </w:tcPr>
          <w:p>
            <w:pPr>
              <w:spacing w:after="0"/>
              <w:rPr>
                <w:sz w:val="1"/>
                <w:szCs w:val="1"/>
                <w:color w:val="auto"/>
              </w:rPr>
            </w:pPr>
          </w:p>
        </w:tc>
      </w:tr>
      <w:tr>
        <w:trPr>
          <w:trHeight w:val="214"/>
        </w:trPr>
        <w:tc>
          <w:tcPr>
            <w:tcW w:w="320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2"/>
              </w:rPr>
              <w:t>Issuance of common stock upon exercise of warrants</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1,863,058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1,117</w:t>
            </w:r>
          </w:p>
        </w:tc>
        <w:tc>
          <w:tcPr>
            <w:tcW w:w="0" w:type="dxa"/>
            <w:vAlign w:val="bottom"/>
          </w:tcPr>
          <w:p>
            <w:pPr>
              <w:spacing w:after="0"/>
              <w:rPr>
                <w:sz w:val="1"/>
                <w:szCs w:val="1"/>
                <w:color w:val="auto"/>
              </w:rPr>
            </w:pPr>
          </w:p>
        </w:tc>
      </w:tr>
      <w:tr>
        <w:trPr>
          <w:trHeight w:val="204"/>
        </w:trPr>
        <w:tc>
          <w:tcPr>
            <w:tcW w:w="3200" w:type="dxa"/>
            <w:vAlign w:val="bottom"/>
          </w:tcPr>
          <w:p>
            <w:pPr>
              <w:ind w:left="120"/>
              <w:spacing w:after="0"/>
              <w:rPr>
                <w:sz w:val="20"/>
                <w:szCs w:val="20"/>
                <w:color w:val="auto"/>
              </w:rPr>
            </w:pPr>
            <w:r>
              <w:rPr>
                <w:rFonts w:ascii="Arial" w:cs="Arial" w:eastAsia="Arial" w:hAnsi="Arial"/>
                <w:sz w:val="14"/>
                <w:szCs w:val="14"/>
                <w:color w:val="auto"/>
              </w:rPr>
              <w:t>Non-cash stock-based compensation</w:t>
            </w:r>
          </w:p>
        </w:tc>
        <w:tc>
          <w:tcPr>
            <w:tcW w:w="720" w:type="dxa"/>
            <w:vAlign w:val="bottom"/>
          </w:tcPr>
          <w:p>
            <w:pPr>
              <w:jc w:val="center"/>
              <w:spacing w:after="0"/>
              <w:rPr>
                <w:sz w:val="20"/>
                <w:szCs w:val="20"/>
                <w:color w:val="auto"/>
              </w:rPr>
            </w:pPr>
            <w:r>
              <w:rPr>
                <w:rFonts w:ascii="Arial" w:cs="Arial" w:eastAsia="Arial" w:hAnsi="Arial"/>
                <w:sz w:val="14"/>
                <w:szCs w:val="14"/>
                <w:color w:val="auto"/>
                <w:w w:val="89"/>
              </w:rPr>
              <w:t>14</w:t>
            </w:r>
          </w:p>
        </w:tc>
        <w:tc>
          <w:tcPr>
            <w:tcW w:w="1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562</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0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562</w:t>
            </w:r>
          </w:p>
        </w:tc>
        <w:tc>
          <w:tcPr>
            <w:tcW w:w="0" w:type="dxa"/>
            <w:vAlign w:val="bottom"/>
          </w:tcPr>
          <w:p>
            <w:pPr>
              <w:spacing w:after="0"/>
              <w:rPr>
                <w:sz w:val="1"/>
                <w:szCs w:val="1"/>
                <w:color w:val="auto"/>
              </w:rPr>
            </w:pPr>
          </w:p>
        </w:tc>
      </w:tr>
      <w:tr>
        <w:trPr>
          <w:trHeight w:val="170"/>
        </w:trPr>
        <w:tc>
          <w:tcPr>
            <w:tcW w:w="320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4"/>
              </w:rPr>
              <w:t>Issuance of common stock under stock plans, net of</w:t>
            </w: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taxes</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14</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(121,499)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3200" w:type="dxa"/>
            <w:vAlign w:val="bottom"/>
          </w:tcPr>
          <w:p>
            <w:pPr>
              <w:ind w:left="120"/>
              <w:spacing w:after="0"/>
              <w:rPr>
                <w:sz w:val="20"/>
                <w:szCs w:val="20"/>
                <w:color w:val="auto"/>
              </w:rPr>
            </w:pPr>
            <w:r>
              <w:rPr>
                <w:rFonts w:ascii="Arial" w:cs="Arial" w:eastAsia="Arial" w:hAnsi="Arial"/>
                <w:sz w:val="14"/>
                <w:szCs w:val="14"/>
                <w:color w:val="auto"/>
              </w:rPr>
              <w:t>Net loss</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(10,057)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(10,057)</w:t>
            </w:r>
          </w:p>
        </w:tc>
        <w:tc>
          <w:tcPr>
            <w:tcW w:w="0" w:type="dxa"/>
            <w:vAlign w:val="bottom"/>
          </w:tcPr>
          <w:p>
            <w:pPr>
              <w:spacing w:after="0"/>
              <w:rPr>
                <w:sz w:val="1"/>
                <w:szCs w:val="1"/>
                <w:color w:val="auto"/>
              </w:rPr>
            </w:pPr>
          </w:p>
        </w:tc>
      </w:tr>
      <w:tr>
        <w:trPr>
          <w:trHeight w:val="187"/>
        </w:trPr>
        <w:tc>
          <w:tcPr>
            <w:tcW w:w="3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March 31, 2021</w:t>
            </w:r>
          </w:p>
        </w:tc>
        <w:tc>
          <w:tcPr>
            <w:tcW w:w="7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198,050,449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1,101,939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(508,229)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595,691</w:t>
            </w: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7"/>
          <w:szCs w:val="17"/>
          <w:color w:val="auto"/>
        </w:rPr>
        <w:t>See the accompanying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-114935</wp:posOffset>
            </wp:positionV>
            <wp:extent cx="45891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589145" cy="825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rFonts w:ascii="Arial" w:cs="Arial" w:eastAsia="Arial" w:hAnsi="Arial"/>
          <w:sz w:val="17"/>
          <w:szCs w:val="17"/>
          <w:u w:val="single" w:color="auto"/>
          <w:color w:val="auto"/>
        </w:rPr>
      </w:pPr>
      <w:hyperlink w:anchor="page1">
        <w:r>
          <w:rPr>
            <w:rFonts w:ascii="Arial" w:cs="Arial" w:eastAsia="Arial" w:hAnsi="Arial"/>
            <w:sz w:val="17"/>
            <w:szCs w:val="17"/>
            <w:u w:val="single" w:color="auto"/>
            <w:color w:val="auto"/>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GEVO,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 thousands)</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300" w:type="dxa"/>
            <w:vAlign w:val="bottom"/>
            <w:gridSpan w:val="4"/>
          </w:tcPr>
          <w:p>
            <w:pPr>
              <w:jc w:val="right"/>
              <w:ind w:right="85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9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Note</w:t>
            </w: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65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jc w:val="right"/>
              <w:ind w:right="69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jc w:val="right"/>
              <w:ind w:right="69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
        </w:trPr>
        <w:tc>
          <w:tcPr>
            <w:tcW w:w="65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9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520" w:type="dxa"/>
            <w:vAlign w:val="bottom"/>
          </w:tcPr>
          <w:p>
            <w:pPr>
              <w:ind w:left="20"/>
              <w:spacing w:after="0"/>
              <w:rPr>
                <w:sz w:val="20"/>
                <w:szCs w:val="20"/>
                <w:color w:val="auto"/>
              </w:rPr>
            </w:pPr>
            <w:r>
              <w:rPr>
                <w:rFonts w:ascii="Arial" w:cs="Arial" w:eastAsia="Arial" w:hAnsi="Arial"/>
                <w:sz w:val="14"/>
                <w:szCs w:val="14"/>
                <w:color w:val="auto"/>
              </w:rPr>
              <w:t>Net loss</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jc w:val="right"/>
              <w:ind w:right="27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(15,673)</w:t>
            </w:r>
          </w:p>
        </w:tc>
        <w:tc>
          <w:tcPr>
            <w:tcW w:w="100" w:type="dxa"/>
            <w:vAlign w:val="bottom"/>
          </w:tcPr>
          <w:p>
            <w:pPr>
              <w:spacing w:after="0"/>
              <w:rPr>
                <w:sz w:val="16"/>
                <w:szCs w:val="16"/>
                <w:color w:val="auto"/>
              </w:rPr>
            </w:pPr>
          </w:p>
        </w:tc>
        <w:tc>
          <w:tcPr>
            <w:tcW w:w="440" w:type="dxa"/>
            <w:vAlign w:val="bottom"/>
          </w:tcPr>
          <w:p>
            <w:pPr>
              <w:jc w:val="right"/>
              <w:ind w:right="27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(10,057)</w:t>
            </w: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9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520" w:type="dxa"/>
            <w:vAlign w:val="bottom"/>
          </w:tcPr>
          <w:p>
            <w:pPr>
              <w:ind w:left="240"/>
              <w:spacing w:after="0"/>
              <w:rPr>
                <w:sz w:val="20"/>
                <w:szCs w:val="20"/>
                <w:color w:val="auto"/>
              </w:rPr>
            </w:pPr>
            <w:r>
              <w:rPr>
                <w:rFonts w:ascii="Arial" w:cs="Arial" w:eastAsia="Arial" w:hAnsi="Arial"/>
                <w:sz w:val="14"/>
                <w:szCs w:val="14"/>
                <w:color w:val="auto"/>
              </w:rPr>
              <w:t>Stock-based compensation</w:t>
            </w: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14</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4,258</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925</w:t>
            </w: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Depreciation and amortization</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8, 9, 18</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1,442</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1,149</w:t>
            </w:r>
          </w:p>
        </w:tc>
        <w:tc>
          <w:tcPr>
            <w:tcW w:w="0" w:type="dxa"/>
            <w:vAlign w:val="bottom"/>
          </w:tcPr>
          <w:p>
            <w:pPr>
              <w:spacing w:after="0"/>
              <w:rPr>
                <w:sz w:val="1"/>
                <w:szCs w:val="1"/>
                <w:color w:val="auto"/>
              </w:rPr>
            </w:pPr>
          </w:p>
        </w:tc>
      </w:tr>
      <w:tr>
        <w:trPr>
          <w:trHeight w:val="186"/>
        </w:trPr>
        <w:tc>
          <w:tcPr>
            <w:tcW w:w="6520" w:type="dxa"/>
            <w:vAlign w:val="bottom"/>
          </w:tcPr>
          <w:p>
            <w:pPr>
              <w:ind w:left="240"/>
              <w:spacing w:after="0"/>
              <w:rPr>
                <w:sz w:val="20"/>
                <w:szCs w:val="20"/>
                <w:color w:val="auto"/>
              </w:rPr>
            </w:pPr>
            <w:r>
              <w:rPr>
                <w:rFonts w:ascii="Arial" w:cs="Arial" w:eastAsia="Arial" w:hAnsi="Arial"/>
                <w:sz w:val="14"/>
                <w:szCs w:val="14"/>
                <w:color w:val="auto"/>
              </w:rPr>
              <w:t>Non-cash lease expense</w:t>
            </w:r>
          </w:p>
        </w:tc>
        <w:tc>
          <w:tcPr>
            <w:tcW w:w="900" w:type="dxa"/>
            <w:vAlign w:val="bottom"/>
          </w:tcPr>
          <w:p>
            <w:pPr>
              <w:jc w:val="center"/>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Non-cash interest expense</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5</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1,150</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6520" w:type="dxa"/>
            <w:vAlign w:val="bottom"/>
          </w:tcPr>
          <w:p>
            <w:pPr>
              <w:ind w:left="240"/>
              <w:spacing w:after="0"/>
              <w:rPr>
                <w:sz w:val="20"/>
                <w:szCs w:val="20"/>
                <w:color w:val="auto"/>
              </w:rPr>
            </w:pPr>
            <w:r>
              <w:rPr>
                <w:rFonts w:ascii="Arial" w:cs="Arial" w:eastAsia="Arial" w:hAnsi="Arial"/>
                <w:sz w:val="14"/>
                <w:szCs w:val="14"/>
                <w:color w:val="auto"/>
              </w:rPr>
              <w:t>Changes in operating assets and liabilities:</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Accounts receivable</w:t>
            </w:r>
          </w:p>
        </w:tc>
        <w:tc>
          <w:tcPr>
            <w:tcW w:w="9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810</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435</w:t>
            </w:r>
          </w:p>
        </w:tc>
        <w:tc>
          <w:tcPr>
            <w:tcW w:w="0" w:type="dxa"/>
            <w:vAlign w:val="bottom"/>
          </w:tcPr>
          <w:p>
            <w:pPr>
              <w:spacing w:after="0"/>
              <w:rPr>
                <w:sz w:val="1"/>
                <w:szCs w:val="1"/>
                <w:color w:val="auto"/>
              </w:rPr>
            </w:pPr>
          </w:p>
        </w:tc>
      </w:tr>
      <w:tr>
        <w:trPr>
          <w:trHeight w:val="186"/>
        </w:trPr>
        <w:tc>
          <w:tcPr>
            <w:tcW w:w="6520" w:type="dxa"/>
            <w:vAlign w:val="bottom"/>
          </w:tcPr>
          <w:p>
            <w:pPr>
              <w:ind w:left="340"/>
              <w:spacing w:after="0"/>
              <w:rPr>
                <w:sz w:val="20"/>
                <w:szCs w:val="20"/>
                <w:color w:val="auto"/>
              </w:rPr>
            </w:pPr>
            <w:r>
              <w:rPr>
                <w:rFonts w:ascii="Arial" w:cs="Arial" w:eastAsia="Arial" w:hAnsi="Arial"/>
                <w:sz w:val="14"/>
                <w:szCs w:val="14"/>
                <w:color w:val="auto"/>
              </w:rPr>
              <w:t>Inventories</w:t>
            </w:r>
          </w:p>
        </w:tc>
        <w:tc>
          <w:tcPr>
            <w:tcW w:w="900" w:type="dxa"/>
            <w:vAlign w:val="bottom"/>
          </w:tcPr>
          <w:p>
            <w:pPr>
              <w:jc w:val="center"/>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Prepaid expenses and other current assets, deposits and other assets</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4</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(2,317)</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(4,273)</w:t>
            </w:r>
          </w:p>
        </w:tc>
        <w:tc>
          <w:tcPr>
            <w:tcW w:w="0" w:type="dxa"/>
            <w:vAlign w:val="bottom"/>
          </w:tcPr>
          <w:p>
            <w:pPr>
              <w:spacing w:after="0"/>
              <w:rPr>
                <w:sz w:val="1"/>
                <w:szCs w:val="1"/>
                <w:color w:val="auto"/>
              </w:rPr>
            </w:pPr>
          </w:p>
        </w:tc>
      </w:tr>
      <w:tr>
        <w:trPr>
          <w:trHeight w:val="186"/>
        </w:trPr>
        <w:tc>
          <w:tcPr>
            <w:tcW w:w="6520" w:type="dxa"/>
            <w:vAlign w:val="bottom"/>
          </w:tcPr>
          <w:p>
            <w:pPr>
              <w:ind w:left="340"/>
              <w:spacing w:after="0"/>
              <w:rPr>
                <w:sz w:val="20"/>
                <w:szCs w:val="20"/>
                <w:color w:val="auto"/>
              </w:rPr>
            </w:pPr>
            <w:r>
              <w:rPr>
                <w:rFonts w:ascii="Arial" w:cs="Arial" w:eastAsia="Arial" w:hAnsi="Arial"/>
                <w:sz w:val="14"/>
                <w:szCs w:val="14"/>
                <w:color w:val="auto"/>
              </w:rPr>
              <w:t>Accounts payable, accrued expenses and long-term liabilities</w:t>
            </w: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11, 12, 6</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(2,285)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4,600</w:t>
            </w:r>
          </w:p>
        </w:tc>
        <w:tc>
          <w:tcPr>
            <w:tcW w:w="0" w:type="dxa"/>
            <w:vAlign w:val="bottom"/>
          </w:tcPr>
          <w:p>
            <w:pPr>
              <w:spacing w:after="0"/>
              <w:rPr>
                <w:sz w:val="1"/>
                <w:szCs w:val="1"/>
                <w:color w:val="auto"/>
              </w:rPr>
            </w:pPr>
          </w:p>
        </w:tc>
      </w:tr>
      <w:tr>
        <w:trPr>
          <w:trHeight w:val="23"/>
        </w:trPr>
        <w:tc>
          <w:tcPr>
            <w:tcW w:w="65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65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4"/>
                <w:szCs w:val="14"/>
                <w:b w:val="1"/>
                <w:bCs w:val="1"/>
                <w:color w:val="auto"/>
              </w:rPr>
              <w:t>Net cash used in operating activities</w:t>
            </w:r>
          </w:p>
        </w:tc>
        <w:tc>
          <w:tcPr>
            <w:tcW w:w="9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(12,460)</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(7,165)</w:t>
            </w:r>
          </w:p>
        </w:tc>
        <w:tc>
          <w:tcPr>
            <w:tcW w:w="0" w:type="dxa"/>
            <w:vAlign w:val="bottom"/>
          </w:tcPr>
          <w:p>
            <w:pPr>
              <w:spacing w:after="0"/>
              <w:rPr>
                <w:sz w:val="1"/>
                <w:szCs w:val="1"/>
                <w:color w:val="auto"/>
              </w:rPr>
            </w:pPr>
          </w:p>
        </w:tc>
      </w:tr>
      <w:tr>
        <w:trPr>
          <w:trHeight w:val="241"/>
        </w:trPr>
        <w:tc>
          <w:tcPr>
            <w:tcW w:w="6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9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520" w:type="dxa"/>
            <w:vAlign w:val="bottom"/>
          </w:tcPr>
          <w:p>
            <w:pPr>
              <w:ind w:left="120"/>
              <w:spacing w:after="0"/>
              <w:rPr>
                <w:sz w:val="20"/>
                <w:szCs w:val="20"/>
                <w:color w:val="auto"/>
              </w:rPr>
            </w:pPr>
            <w:r>
              <w:rPr>
                <w:rFonts w:ascii="Arial" w:cs="Arial" w:eastAsia="Arial" w:hAnsi="Arial"/>
                <w:sz w:val="14"/>
                <w:szCs w:val="14"/>
                <w:color w:val="auto"/>
              </w:rPr>
              <w:t>Acquisitions of property, plant and equipment</w:t>
            </w:r>
          </w:p>
        </w:tc>
        <w:tc>
          <w:tcPr>
            <w:tcW w:w="900" w:type="dxa"/>
            <w:vAlign w:val="bottom"/>
          </w:tcPr>
          <w:p>
            <w:pPr>
              <w:jc w:val="center"/>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(31,218)</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(4,630)</w:t>
            </w: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Acquisition of patent portfolio</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9</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6520" w:type="dxa"/>
            <w:vAlign w:val="bottom"/>
          </w:tcPr>
          <w:p>
            <w:pPr>
              <w:ind w:left="120"/>
              <w:spacing w:after="0"/>
              <w:rPr>
                <w:sz w:val="20"/>
                <w:szCs w:val="20"/>
                <w:color w:val="auto"/>
              </w:rPr>
            </w:pPr>
            <w:r>
              <w:rPr>
                <w:rFonts w:ascii="Arial" w:cs="Arial" w:eastAsia="Arial" w:hAnsi="Arial"/>
                <w:sz w:val="14"/>
                <w:szCs w:val="14"/>
                <w:color w:val="auto"/>
              </w:rPr>
              <w:t>Proceeds from sale and maturity of marketable securities</w:t>
            </w:r>
          </w:p>
        </w:tc>
        <w:tc>
          <w:tcPr>
            <w:tcW w:w="900" w:type="dxa"/>
            <w:vAlign w:val="bottom"/>
          </w:tcPr>
          <w:p>
            <w:pPr>
              <w:jc w:val="center"/>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71,082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6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Purchase of marketable securities</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5</w:t>
            </w: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(31,993)</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6520" w:type="dxa"/>
            <w:vAlign w:val="bottom"/>
          </w:tcPr>
          <w:p>
            <w:pPr>
              <w:ind w:left="540"/>
              <w:spacing w:after="0"/>
              <w:rPr>
                <w:sz w:val="20"/>
                <w:szCs w:val="20"/>
                <w:color w:val="auto"/>
              </w:rPr>
            </w:pPr>
            <w:r>
              <w:rPr>
                <w:rFonts w:ascii="Arial" w:cs="Arial" w:eastAsia="Arial" w:hAnsi="Arial"/>
                <w:sz w:val="14"/>
                <w:szCs w:val="14"/>
                <w:b w:val="1"/>
                <w:bCs w:val="1"/>
                <w:color w:val="auto"/>
              </w:rPr>
              <w:t>Net cash used in investing activities</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7,861</w:t>
            </w:r>
          </w:p>
        </w:tc>
        <w:tc>
          <w:tcPr>
            <w:tcW w:w="1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(4,630)</w:t>
            </w:r>
          </w:p>
        </w:tc>
        <w:tc>
          <w:tcPr>
            <w:tcW w:w="0" w:type="dxa"/>
            <w:vAlign w:val="bottom"/>
          </w:tcPr>
          <w:p>
            <w:pPr>
              <w:spacing w:after="0"/>
              <w:rPr>
                <w:sz w:val="1"/>
                <w:szCs w:val="1"/>
                <w:color w:val="auto"/>
              </w:rPr>
            </w:pPr>
          </w:p>
        </w:tc>
      </w:tr>
      <w:tr>
        <w:trPr>
          <w:trHeight w:val="23"/>
        </w:trPr>
        <w:tc>
          <w:tcPr>
            <w:tcW w:w="65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65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652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Debt and equity offering costs</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12</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(31,683)</w:t>
            </w:r>
          </w:p>
        </w:tc>
        <w:tc>
          <w:tcPr>
            <w:tcW w:w="0" w:type="dxa"/>
            <w:vAlign w:val="bottom"/>
          </w:tcPr>
          <w:p>
            <w:pPr>
              <w:spacing w:after="0"/>
              <w:rPr>
                <w:sz w:val="1"/>
                <w:szCs w:val="1"/>
                <w:color w:val="auto"/>
              </w:rPr>
            </w:pPr>
          </w:p>
        </w:tc>
      </w:tr>
      <w:tr>
        <w:trPr>
          <w:trHeight w:val="186"/>
        </w:trPr>
        <w:tc>
          <w:tcPr>
            <w:tcW w:w="6520" w:type="dxa"/>
            <w:vAlign w:val="bottom"/>
          </w:tcPr>
          <w:p>
            <w:pPr>
              <w:ind w:left="120"/>
              <w:spacing w:after="0"/>
              <w:rPr>
                <w:sz w:val="20"/>
                <w:szCs w:val="20"/>
                <w:color w:val="auto"/>
              </w:rPr>
            </w:pPr>
            <w:r>
              <w:rPr>
                <w:rFonts w:ascii="Arial" w:cs="Arial" w:eastAsia="Arial" w:hAnsi="Arial"/>
                <w:sz w:val="14"/>
                <w:szCs w:val="14"/>
                <w:color w:val="auto"/>
              </w:rPr>
              <w:t>Proceeds from issuance of common stock and common stock warrants</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489,373</w:t>
            </w: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Proceeds from exercise of warrants</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10</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1,117</w:t>
            </w:r>
          </w:p>
        </w:tc>
        <w:tc>
          <w:tcPr>
            <w:tcW w:w="0" w:type="dxa"/>
            <w:vAlign w:val="bottom"/>
          </w:tcPr>
          <w:p>
            <w:pPr>
              <w:spacing w:after="0"/>
              <w:rPr>
                <w:sz w:val="1"/>
                <w:szCs w:val="1"/>
                <w:color w:val="auto"/>
              </w:rPr>
            </w:pPr>
          </w:p>
        </w:tc>
      </w:tr>
      <w:tr>
        <w:trPr>
          <w:trHeight w:val="186"/>
        </w:trPr>
        <w:tc>
          <w:tcPr>
            <w:tcW w:w="6520" w:type="dxa"/>
            <w:vAlign w:val="bottom"/>
          </w:tcPr>
          <w:p>
            <w:pPr>
              <w:ind w:left="120"/>
              <w:spacing w:after="0"/>
              <w:rPr>
                <w:sz w:val="20"/>
                <w:szCs w:val="20"/>
                <w:color w:val="auto"/>
              </w:rPr>
            </w:pPr>
            <w:r>
              <w:rPr>
                <w:rFonts w:ascii="Arial" w:cs="Arial" w:eastAsia="Arial" w:hAnsi="Arial"/>
                <w:sz w:val="14"/>
                <w:szCs w:val="14"/>
                <w:color w:val="auto"/>
              </w:rPr>
              <w:t>Net settlement of common stock under stock plans</w:t>
            </w: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14</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Payment of loans payable - other</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12</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86"/>
        </w:trPr>
        <w:tc>
          <w:tcPr>
            <w:tcW w:w="6520" w:type="dxa"/>
            <w:vAlign w:val="bottom"/>
          </w:tcPr>
          <w:p>
            <w:pPr>
              <w:ind w:left="120"/>
              <w:spacing w:after="0"/>
              <w:rPr>
                <w:sz w:val="20"/>
                <w:szCs w:val="20"/>
                <w:color w:val="auto"/>
              </w:rPr>
            </w:pPr>
            <w:r>
              <w:rPr>
                <w:rFonts w:ascii="Arial" w:cs="Arial" w:eastAsia="Arial" w:hAnsi="Arial"/>
                <w:sz w:val="14"/>
                <w:szCs w:val="14"/>
                <w:color w:val="auto"/>
              </w:rPr>
              <w:t>Payment of finance lease liabilities</w:t>
            </w:r>
          </w:p>
        </w:tc>
        <w:tc>
          <w:tcPr>
            <w:tcW w:w="900" w:type="dxa"/>
            <w:vAlign w:val="bottom"/>
          </w:tcPr>
          <w:p>
            <w:pPr>
              <w:jc w:val="center"/>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65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65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b w:val="1"/>
                <w:bCs w:val="1"/>
                <w:color w:val="auto"/>
              </w:rPr>
              <w:t>Net cash provided by financing activities</w:t>
            </w:r>
          </w:p>
        </w:tc>
        <w:tc>
          <w:tcPr>
            <w:tcW w:w="9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(354)</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458,780</w:t>
            </w:r>
          </w:p>
        </w:tc>
        <w:tc>
          <w:tcPr>
            <w:tcW w:w="0" w:type="dxa"/>
            <w:vAlign w:val="bottom"/>
          </w:tcPr>
          <w:p>
            <w:pPr>
              <w:spacing w:after="0"/>
              <w:rPr>
                <w:sz w:val="1"/>
                <w:szCs w:val="1"/>
                <w:color w:val="auto"/>
              </w:rPr>
            </w:pPr>
          </w:p>
        </w:tc>
      </w:tr>
      <w:tr>
        <w:trPr>
          <w:trHeight w:val="241"/>
        </w:trPr>
        <w:tc>
          <w:tcPr>
            <w:tcW w:w="6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increase (decrease) in cash and cash equivalents</w:t>
            </w:r>
          </w:p>
        </w:tc>
        <w:tc>
          <w:tcPr>
            <w:tcW w:w="9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(4,953)</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446,985</w:t>
            </w:r>
          </w:p>
        </w:tc>
        <w:tc>
          <w:tcPr>
            <w:tcW w:w="0" w:type="dxa"/>
            <w:vAlign w:val="bottom"/>
          </w:tcPr>
          <w:p>
            <w:pPr>
              <w:spacing w:after="0"/>
              <w:rPr>
                <w:sz w:val="1"/>
                <w:szCs w:val="1"/>
                <w:color w:val="auto"/>
              </w:rPr>
            </w:pPr>
          </w:p>
        </w:tc>
      </w:tr>
      <w:tr>
        <w:trPr>
          <w:trHeight w:val="181"/>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cash equivalents and restricted cash at beginning of period</w:t>
            </w:r>
          </w:p>
        </w:tc>
        <w:tc>
          <w:tcPr>
            <w:tcW w:w="9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136,033</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78,338</w:t>
            </w:r>
          </w:p>
        </w:tc>
        <w:tc>
          <w:tcPr>
            <w:tcW w:w="0" w:type="dxa"/>
            <w:vAlign w:val="bottom"/>
          </w:tcPr>
          <w:p>
            <w:pPr>
              <w:spacing w:after="0"/>
              <w:rPr>
                <w:sz w:val="1"/>
                <w:szCs w:val="1"/>
                <w:color w:val="auto"/>
              </w:rPr>
            </w:pPr>
          </w:p>
        </w:tc>
      </w:tr>
      <w:tr>
        <w:trPr>
          <w:trHeight w:val="23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cash equivalents and restricted cash at end of period</w:t>
            </w:r>
          </w:p>
        </w:tc>
        <w:tc>
          <w:tcPr>
            <w:tcW w:w="9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131,080</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525,323</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4"/>
          </w:tcPr>
          <w:p>
            <w:pPr>
              <w:jc w:val="right"/>
              <w:ind w:right="830"/>
              <w:spacing w:after="0"/>
              <w:rPr>
                <w:sz w:val="20"/>
                <w:szCs w:val="20"/>
                <w:color w:val="auto"/>
              </w:rPr>
            </w:pPr>
            <w:r>
              <w:rPr>
                <w:rFonts w:ascii="Arial" w:cs="Arial" w:eastAsia="Arial" w:hAnsi="Arial"/>
                <w:sz w:val="14"/>
                <w:szCs w:val="14"/>
                <w:b w:val="1"/>
                <w:bCs w:val="1"/>
                <w:color w:val="auto"/>
              </w:rPr>
              <w:t>Three Months Ended March 31,</w:t>
            </w:r>
          </w:p>
        </w:tc>
      </w:tr>
      <w:tr>
        <w:trPr>
          <w:trHeight w:val="186"/>
        </w:trPr>
        <w:tc>
          <w:tcPr>
            <w:tcW w:w="7520" w:type="dxa"/>
            <w:vAlign w:val="bottom"/>
          </w:tcPr>
          <w:p>
            <w:pPr>
              <w:ind w:left="20"/>
              <w:spacing w:after="0"/>
              <w:rPr>
                <w:sz w:val="20"/>
                <w:szCs w:val="20"/>
                <w:color w:val="auto"/>
              </w:rPr>
            </w:pPr>
            <w:r>
              <w:rPr>
                <w:rFonts w:ascii="Arial" w:cs="Arial" w:eastAsia="Arial" w:hAnsi="Arial"/>
                <w:sz w:val="14"/>
                <w:szCs w:val="14"/>
                <w:b w:val="1"/>
                <w:bCs w:val="1"/>
                <w:color w:val="auto"/>
              </w:rPr>
              <w:t>Schedule of cash, cash equivalents and restricted cash</w:t>
            </w:r>
          </w:p>
        </w:tc>
        <w:tc>
          <w:tcPr>
            <w:tcW w:w="420" w:type="dxa"/>
            <w:vAlign w:val="bottom"/>
          </w:tcPr>
          <w:p>
            <w:pPr>
              <w:spacing w:after="0"/>
              <w:rPr>
                <w:sz w:val="16"/>
                <w:szCs w:val="16"/>
                <w:color w:val="auto"/>
              </w:rPr>
            </w:pPr>
          </w:p>
        </w:tc>
        <w:tc>
          <w:tcPr>
            <w:tcW w:w="1400" w:type="dxa"/>
            <w:vAlign w:val="bottom"/>
          </w:tcPr>
          <w:p>
            <w:pPr>
              <w:jc w:val="right"/>
              <w:ind w:right="710"/>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right"/>
              <w:ind w:right="690"/>
              <w:spacing w:after="0"/>
              <w:rPr>
                <w:sz w:val="20"/>
                <w:szCs w:val="20"/>
                <w:color w:val="auto"/>
              </w:rPr>
            </w:pPr>
            <w:r>
              <w:rPr>
                <w:rFonts w:ascii="Arial" w:cs="Arial" w:eastAsia="Arial" w:hAnsi="Arial"/>
                <w:sz w:val="14"/>
                <w:szCs w:val="14"/>
                <w:b w:val="1"/>
                <w:bCs w:val="1"/>
                <w:color w:val="auto"/>
              </w:rPr>
              <w:t>2021</w:t>
            </w:r>
          </w:p>
        </w:tc>
      </w:tr>
      <w:tr>
        <w:trPr>
          <w:trHeight w:val="23"/>
        </w:trPr>
        <w:tc>
          <w:tcPr>
            <w:tcW w:w="7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89"/>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4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44,626</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525,323</w:t>
            </w:r>
          </w:p>
        </w:tc>
      </w:tr>
      <w:tr>
        <w:trPr>
          <w:trHeight w:val="181"/>
        </w:trPr>
        <w:tc>
          <w:tcPr>
            <w:tcW w:w="7520" w:type="dxa"/>
            <w:vAlign w:val="bottom"/>
          </w:tcPr>
          <w:p>
            <w:pPr>
              <w:ind w:left="20"/>
              <w:spacing w:after="0"/>
              <w:rPr>
                <w:sz w:val="20"/>
                <w:szCs w:val="20"/>
                <w:color w:val="auto"/>
              </w:rPr>
            </w:pPr>
            <w:r>
              <w:rPr>
                <w:rFonts w:ascii="Arial" w:cs="Arial" w:eastAsia="Arial" w:hAnsi="Arial"/>
                <w:sz w:val="14"/>
                <w:szCs w:val="14"/>
                <w:color w:val="auto"/>
              </w:rPr>
              <w:t>Restricted cash (current)</w:t>
            </w:r>
          </w:p>
        </w:tc>
        <w:tc>
          <w:tcPr>
            <w:tcW w:w="4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16,216</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ind w:left="1220"/>
              <w:spacing w:after="0"/>
              <w:rPr>
                <w:sz w:val="20"/>
                <w:szCs w:val="20"/>
                <w:color w:val="auto"/>
              </w:rPr>
            </w:pPr>
            <w:r>
              <w:rPr>
                <w:rFonts w:ascii="Arial" w:cs="Arial" w:eastAsia="Arial" w:hAnsi="Arial"/>
                <w:sz w:val="14"/>
                <w:szCs w:val="14"/>
                <w:color w:val="auto"/>
                <w:w w:val="99"/>
              </w:rPr>
              <w:t>—</w:t>
            </w:r>
          </w:p>
        </w:tc>
      </w:tr>
      <w:tr>
        <w:trPr>
          <w:trHeight w:val="183"/>
        </w:trPr>
        <w:tc>
          <w:tcPr>
            <w:tcW w:w="7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restricted cash</w:t>
            </w:r>
          </w:p>
        </w:tc>
        <w:tc>
          <w:tcPr>
            <w:tcW w:w="42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70,238</w:t>
            </w:r>
          </w:p>
        </w:tc>
        <w:tc>
          <w:tcPr>
            <w:tcW w:w="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ind w:left="1220"/>
              <w:spacing w:after="0"/>
              <w:rPr>
                <w:sz w:val="20"/>
                <w:szCs w:val="20"/>
                <w:color w:val="auto"/>
              </w:rPr>
            </w:pPr>
            <w:r>
              <w:rPr>
                <w:rFonts w:ascii="Arial" w:cs="Arial" w:eastAsia="Arial" w:hAnsi="Arial"/>
                <w:sz w:val="14"/>
                <w:szCs w:val="14"/>
                <w:color w:val="auto"/>
                <w:w w:val="99"/>
              </w:rPr>
              <w:t>—</w:t>
            </w:r>
          </w:p>
        </w:tc>
      </w:tr>
      <w:tr>
        <w:trPr>
          <w:trHeight w:val="205"/>
        </w:trPr>
        <w:tc>
          <w:tcPr>
            <w:tcW w:w="7520" w:type="dxa"/>
            <w:vAlign w:val="bottom"/>
          </w:tcPr>
          <w:p>
            <w:pPr>
              <w:ind w:left="20"/>
              <w:spacing w:after="0"/>
              <w:rPr>
                <w:sz w:val="20"/>
                <w:szCs w:val="20"/>
                <w:color w:val="auto"/>
              </w:rPr>
            </w:pPr>
            <w:r>
              <w:rPr>
                <w:rFonts w:ascii="Arial" w:cs="Arial" w:eastAsia="Arial" w:hAnsi="Arial"/>
                <w:sz w:val="14"/>
                <w:szCs w:val="14"/>
                <w:b w:val="1"/>
                <w:bCs w:val="1"/>
                <w:color w:val="auto"/>
              </w:rPr>
              <w:t>Total cash, cash equivalents and restricted cash</w:t>
            </w:r>
          </w:p>
        </w:tc>
        <w:tc>
          <w:tcPr>
            <w:tcW w:w="42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131,080</w:t>
            </w:r>
          </w:p>
        </w:tc>
        <w:tc>
          <w:tcPr>
            <w:tcW w:w="80" w:type="dxa"/>
            <w:vAlign w:val="bottom"/>
          </w:tcPr>
          <w:p>
            <w:pPr>
              <w:spacing w:after="0"/>
              <w:rPr>
                <w:sz w:val="17"/>
                <w:szCs w:val="17"/>
                <w:color w:val="auto"/>
              </w:rPr>
            </w:pPr>
          </w:p>
        </w:tc>
        <w:tc>
          <w:tcPr>
            <w:tcW w:w="44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525,323</w:t>
            </w:r>
          </w:p>
        </w:tc>
      </w:tr>
      <w:tr>
        <w:trPr>
          <w:trHeight w:val="20"/>
        </w:trPr>
        <w:tc>
          <w:tcPr>
            <w:tcW w:w="75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2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40" w:type="dxa"/>
            <w:vAlign w:val="bottom"/>
            <w:gridSpan w:val="4"/>
          </w:tcPr>
          <w:p>
            <w:pPr>
              <w:jc w:val="right"/>
              <w:ind w:right="83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52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2"/>
              </w:rPr>
              <w:t>Supplemental disclosures of cash and non-cash investing and financing transactions</w:t>
            </w:r>
          </w:p>
        </w:tc>
        <w:tc>
          <w:tcPr>
            <w:tcW w:w="22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5280" w:type="dxa"/>
            <w:vAlign w:val="bottom"/>
            <w:vMerge w:val="continue"/>
          </w:tcPr>
          <w:p>
            <w:pPr>
              <w:spacing w:after="0"/>
              <w:rPr>
                <w:sz w:val="15"/>
                <w:szCs w:val="15"/>
                <w:color w:val="auto"/>
              </w:rPr>
            </w:pPr>
          </w:p>
        </w:tc>
        <w:tc>
          <w:tcPr>
            <w:tcW w:w="2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jc w:val="right"/>
              <w:ind w:right="710"/>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jc w:val="right"/>
              <w:ind w:right="69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
        </w:trPr>
        <w:tc>
          <w:tcPr>
            <w:tcW w:w="528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paid for interest</w:t>
            </w:r>
          </w:p>
        </w:tc>
        <w:tc>
          <w:tcPr>
            <w:tcW w:w="2920" w:type="dxa"/>
            <w:vAlign w:val="bottom"/>
            <w:tcBorders>
              <w:bottom w:val="single" w:sz="8" w:color="CCEEFF"/>
            </w:tcBorders>
            <w:gridSpan w:val="2"/>
            <w:shd w:val="clear" w:color="auto" w:fill="CCEEFF"/>
          </w:tcPr>
          <w:p>
            <w:pPr>
              <w:jc w:val="right"/>
              <w:ind w:right="60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4"/>
        </w:trPr>
        <w:tc>
          <w:tcPr>
            <w:tcW w:w="5280" w:type="dxa"/>
            <w:vAlign w:val="bottom"/>
          </w:tcPr>
          <w:p>
            <w:pPr>
              <w:ind w:left="20"/>
              <w:spacing w:after="0"/>
              <w:rPr>
                <w:sz w:val="20"/>
                <w:szCs w:val="20"/>
                <w:color w:val="auto"/>
              </w:rPr>
            </w:pPr>
            <w:r>
              <w:rPr>
                <w:rFonts w:ascii="Arial" w:cs="Arial" w:eastAsia="Arial" w:hAnsi="Arial"/>
                <w:sz w:val="14"/>
                <w:szCs w:val="14"/>
                <w:color w:val="auto"/>
              </w:rPr>
              <w:t>Cash paid for interest capitalized to construction in progress</w:t>
            </w:r>
          </w:p>
        </w:tc>
        <w:tc>
          <w:tcPr>
            <w:tcW w:w="2920" w:type="dxa"/>
            <w:vAlign w:val="bottom"/>
            <w:gridSpan w:val="2"/>
          </w:tcPr>
          <w:p>
            <w:pPr>
              <w:jc w:val="right"/>
              <w:ind w:right="60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516</w:t>
            </w:r>
          </w:p>
        </w:tc>
        <w:tc>
          <w:tcPr>
            <w:tcW w:w="80" w:type="dxa"/>
            <w:vAlign w:val="bottom"/>
          </w:tcPr>
          <w:p>
            <w:pPr>
              <w:spacing w:after="0"/>
              <w:rPr>
                <w:sz w:val="17"/>
                <w:szCs w:val="17"/>
                <w:color w:val="auto"/>
              </w:rPr>
            </w:pPr>
          </w:p>
        </w:tc>
        <w:tc>
          <w:tcPr>
            <w:tcW w:w="440" w:type="dxa"/>
            <w:vAlign w:val="bottom"/>
          </w:tcPr>
          <w:p>
            <w:pPr>
              <w:jc w:val="right"/>
              <w:ind w:right="27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Non-cash interest capitalized to construction in progress</w:t>
            </w:r>
          </w:p>
        </w:tc>
        <w:tc>
          <w:tcPr>
            <w:tcW w:w="2920" w:type="dxa"/>
            <w:vAlign w:val="bottom"/>
            <w:gridSpan w:val="2"/>
            <w:shd w:val="clear" w:color="auto" w:fill="CCEEFF"/>
          </w:tcPr>
          <w:p>
            <w:pPr>
              <w:jc w:val="right"/>
              <w:ind w:right="60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7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5280" w:type="dxa"/>
            <w:vAlign w:val="bottom"/>
          </w:tcPr>
          <w:p>
            <w:pPr>
              <w:ind w:left="20"/>
              <w:spacing w:after="0"/>
              <w:rPr>
                <w:sz w:val="20"/>
                <w:szCs w:val="20"/>
                <w:color w:val="auto"/>
              </w:rPr>
            </w:pPr>
            <w:r>
              <w:rPr>
                <w:rFonts w:ascii="Arial" w:cs="Arial" w:eastAsia="Arial" w:hAnsi="Arial"/>
                <w:sz w:val="14"/>
                <w:szCs w:val="14"/>
                <w:color w:val="auto"/>
              </w:rPr>
              <w:t>Non-cash purchase of property, plant and equipment</w:t>
            </w:r>
          </w:p>
        </w:tc>
        <w:tc>
          <w:tcPr>
            <w:tcW w:w="2920" w:type="dxa"/>
            <w:vAlign w:val="bottom"/>
            <w:gridSpan w:val="2"/>
          </w:tcPr>
          <w:p>
            <w:pPr>
              <w:jc w:val="right"/>
              <w:ind w:right="60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7,530</w:t>
            </w:r>
          </w:p>
        </w:tc>
        <w:tc>
          <w:tcPr>
            <w:tcW w:w="80" w:type="dxa"/>
            <w:vAlign w:val="bottom"/>
          </w:tcPr>
          <w:p>
            <w:pPr>
              <w:spacing w:after="0"/>
              <w:rPr>
                <w:sz w:val="15"/>
                <w:szCs w:val="15"/>
                <w:color w:val="auto"/>
              </w:rPr>
            </w:pPr>
          </w:p>
        </w:tc>
        <w:tc>
          <w:tcPr>
            <w:tcW w:w="440" w:type="dxa"/>
            <w:vAlign w:val="bottom"/>
          </w:tcPr>
          <w:p>
            <w:pPr>
              <w:jc w:val="right"/>
              <w:ind w:right="27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999</w:t>
            </w:r>
          </w:p>
        </w:tc>
        <w:tc>
          <w:tcPr>
            <w:tcW w:w="0" w:type="dxa"/>
            <w:vAlign w:val="bottom"/>
          </w:tcPr>
          <w:p>
            <w:pPr>
              <w:spacing w:after="0"/>
              <w:rPr>
                <w:sz w:val="1"/>
                <w:szCs w:val="1"/>
                <w:color w:val="auto"/>
              </w:rPr>
            </w:pPr>
          </w:p>
        </w:tc>
      </w:tr>
      <w:tr>
        <w:trPr>
          <w:trHeight w:val="185"/>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Right-of-use asset purchased with operating lease</w:t>
            </w:r>
          </w:p>
        </w:tc>
        <w:tc>
          <w:tcPr>
            <w:tcW w:w="2920" w:type="dxa"/>
            <w:vAlign w:val="bottom"/>
            <w:gridSpan w:val="2"/>
            <w:shd w:val="clear" w:color="auto" w:fill="CCEEFF"/>
          </w:tcPr>
          <w:p>
            <w:pPr>
              <w:jc w:val="right"/>
              <w:ind w:right="60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27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1,562</w:t>
            </w:r>
          </w:p>
        </w:tc>
        <w:tc>
          <w:tcPr>
            <w:tcW w:w="0" w:type="dxa"/>
            <w:vAlign w:val="bottom"/>
          </w:tcPr>
          <w:p>
            <w:pPr>
              <w:spacing w:after="0"/>
              <w:rPr>
                <w:sz w:val="1"/>
                <w:szCs w:val="1"/>
                <w:color w:val="auto"/>
              </w:rPr>
            </w:pPr>
          </w:p>
        </w:tc>
      </w:tr>
      <w:tr>
        <w:trPr>
          <w:trHeight w:val="221"/>
        </w:trPr>
        <w:tc>
          <w:tcPr>
            <w:tcW w:w="8200" w:type="dxa"/>
            <w:vAlign w:val="bottom"/>
            <w:gridSpan w:val="3"/>
          </w:tcPr>
          <w:p>
            <w:pPr>
              <w:jc w:val="center"/>
              <w:ind w:left="2968"/>
              <w:spacing w:after="0"/>
              <w:rPr>
                <w:sz w:val="20"/>
                <w:szCs w:val="20"/>
                <w:color w:val="auto"/>
              </w:rPr>
            </w:pPr>
            <w:r>
              <w:rPr>
                <w:rFonts w:ascii="Arial" w:cs="Arial" w:eastAsia="Arial" w:hAnsi="Arial"/>
                <w:sz w:val="17"/>
                <w:szCs w:val="17"/>
                <w:color w:val="auto"/>
                <w:w w:val="91"/>
              </w:rPr>
              <w:t>See the accompanying Notes to the Consolidated Financial Statements.</w:t>
            </w: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85"/>
        </w:trPr>
        <w:tc>
          <w:tcPr>
            <w:tcW w:w="5280" w:type="dxa"/>
            <w:vAlign w:val="bottom"/>
          </w:tcPr>
          <w:p>
            <w:pPr>
              <w:spacing w:after="0"/>
              <w:rPr>
                <w:sz w:val="24"/>
                <w:szCs w:val="24"/>
                <w:color w:val="auto"/>
              </w:rPr>
            </w:pPr>
          </w:p>
        </w:tc>
        <w:tc>
          <w:tcPr>
            <w:tcW w:w="2240" w:type="dxa"/>
            <w:vAlign w:val="bottom"/>
          </w:tcPr>
          <w:p>
            <w:pPr>
              <w:jc w:val="right"/>
              <w:ind w:right="1787"/>
              <w:spacing w:after="0"/>
              <w:rPr>
                <w:sz w:val="20"/>
                <w:szCs w:val="20"/>
                <w:color w:val="auto"/>
              </w:rPr>
            </w:pPr>
            <w:r>
              <w:rPr>
                <w:rFonts w:ascii="Arial" w:cs="Arial" w:eastAsia="Arial" w:hAnsi="Arial"/>
                <w:sz w:val="17"/>
                <w:szCs w:val="17"/>
                <w:color w:val="auto"/>
              </w:rPr>
              <w:t>7</w:t>
            </w: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5280" w:type="dxa"/>
            <w:vAlign w:val="bottom"/>
            <w:tcBorders>
              <w:bottom w:val="single" w:sz="8" w:color="9A9A9A"/>
            </w:tcBorders>
          </w:tcPr>
          <w:p>
            <w:pPr>
              <w:spacing w:after="0"/>
              <w:rPr>
                <w:sz w:val="8"/>
                <w:szCs w:val="8"/>
                <w:color w:val="auto"/>
              </w:rPr>
            </w:pPr>
          </w:p>
        </w:tc>
        <w:tc>
          <w:tcPr>
            <w:tcW w:w="224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rFonts w:ascii="Arial" w:cs="Arial" w:eastAsia="Arial" w:hAnsi="Arial"/>
          <w:sz w:val="17"/>
          <w:szCs w:val="17"/>
          <w:u w:val="single" w:color="auto"/>
          <w:color w:val="auto"/>
        </w:rPr>
      </w:pPr>
      <w:hyperlink w:anchor="page1">
        <w:r>
          <w:rPr>
            <w:rFonts w:ascii="Arial" w:cs="Arial" w:eastAsia="Arial" w:hAnsi="Arial"/>
            <w:sz w:val="17"/>
            <w:szCs w:val="17"/>
            <w:u w:val="single" w:color="auto"/>
            <w:color w:val="auto"/>
          </w:rPr>
          <w:t>Table of Contents</w:t>
        </w:r>
      </w:hyperlink>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GEVO, INC.</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20" w:hanging="315"/>
        <w:spacing w:after="0"/>
        <w:tabs>
          <w:tab w:leader="none" w:pos="32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Nature of Business, Financial Condition and Basis of Presentation</w:t>
      </w:r>
    </w:p>
    <w:p>
      <w:pPr>
        <w:spacing w:after="0" w:line="32" w:lineRule="exact"/>
        <w:rPr>
          <w:sz w:val="20"/>
          <w:szCs w:val="20"/>
          <w:color w:val="auto"/>
        </w:rPr>
      </w:pPr>
    </w:p>
    <w:p>
      <w:pPr>
        <w:ind w:right="20" w:firstLine="470"/>
        <w:spacing w:after="0" w:line="265" w:lineRule="auto"/>
        <w:rPr>
          <w:sz w:val="20"/>
          <w:szCs w:val="20"/>
          <w:color w:val="auto"/>
        </w:rPr>
      </w:pPr>
      <w:r>
        <w:rPr>
          <w:rFonts w:ascii="Arial" w:cs="Arial" w:eastAsia="Arial" w:hAnsi="Arial"/>
          <w:sz w:val="17"/>
          <w:szCs w:val="17"/>
          <w:i w:val="1"/>
          <w:iCs w:val="1"/>
          <w:color w:val="auto"/>
        </w:rPr>
        <w:t xml:space="preserve">Nature of business. </w:t>
      </w:r>
      <w:r>
        <w:rPr>
          <w:rFonts w:ascii="Arial" w:cs="Arial" w:eastAsia="Arial" w:hAnsi="Arial"/>
          <w:sz w:val="17"/>
          <w:szCs w:val="17"/>
          <w:color w:val="auto"/>
        </w:rPr>
        <w:t>Gevo, Inc. (Nasdaq: GEVO) ("Gevo" or the "Company," which, unless otherwise indicated, refers to Gevo, Inc. and its subsidiaries), a</w:t>
      </w:r>
      <w:r>
        <w:rPr>
          <w:rFonts w:ascii="Arial" w:cs="Arial" w:eastAsia="Arial" w:hAnsi="Arial"/>
          <w:sz w:val="17"/>
          <w:szCs w:val="17"/>
          <w:i w:val="1"/>
          <w:iCs w:val="1"/>
          <w:color w:val="auto"/>
        </w:rPr>
        <w:t xml:space="preserve"> </w:t>
      </w:r>
      <w:r>
        <w:rPr>
          <w:rFonts w:ascii="Arial" w:cs="Arial" w:eastAsia="Arial" w:hAnsi="Arial"/>
          <w:sz w:val="17"/>
          <w:szCs w:val="17"/>
          <w:color w:val="auto"/>
        </w:rPr>
        <w:t>Delaware corporation founded in 2005, is a growth-oriented company with the mission of solving greenhouse gas emissions for those sectors of the transportation industry that are not amenable to electrification or hydrogen.</w:t>
      </w:r>
    </w:p>
    <w:p>
      <w:pPr>
        <w:spacing w:after="0" w:line="190" w:lineRule="exact"/>
        <w:rPr>
          <w:sz w:val="20"/>
          <w:szCs w:val="20"/>
          <w:color w:val="auto"/>
        </w:rPr>
      </w:pPr>
    </w:p>
    <w:p>
      <w:pPr>
        <w:ind w:right="60" w:firstLine="470"/>
        <w:spacing w:after="0" w:line="232" w:lineRule="auto"/>
        <w:rPr>
          <w:sz w:val="20"/>
          <w:szCs w:val="20"/>
          <w:color w:val="auto"/>
        </w:rPr>
      </w:pPr>
      <w:r>
        <w:rPr>
          <w:rFonts w:ascii="Arial" w:cs="Arial" w:eastAsia="Arial" w:hAnsi="Arial"/>
          <w:sz w:val="17"/>
          <w:szCs w:val="17"/>
          <w:color w:val="auto"/>
        </w:rPr>
        <w:t>The Company is focused on transforming renewable energy into energy-dense liquid hydrocarbons that can be used as renewable fuels, such as sustainable aviation fuel ("SAF"), with the potential to achieve a “net-zero” greenhouse gas ("GHG") footprint. The Company uses the Argonne National Laboratory’s GREET (Greenhouse gases, Regulated Emissions, and Energy use in Transportation) model (the "GREET Model") to measure, predict and verify GHG emissions across the life-cycle of its products. The “net-zero” concept means Gevo expects that by using renewable and substantially decarbonized energy sources, drop-in hydrocarbon fuels can be produced that have a net-zero, full life cycle footprint measured from the capture of renewable carbon through the burning of the fuel.</w:t>
      </w:r>
    </w:p>
    <w:p>
      <w:pPr>
        <w:spacing w:after="0" w:line="212" w:lineRule="exact"/>
        <w:rPr>
          <w:sz w:val="20"/>
          <w:szCs w:val="20"/>
          <w:color w:val="auto"/>
        </w:rPr>
      </w:pPr>
    </w:p>
    <w:p>
      <w:pPr>
        <w:jc w:val="both"/>
        <w:ind w:right="160" w:firstLine="470"/>
        <w:spacing w:after="0" w:line="256" w:lineRule="auto"/>
        <w:rPr>
          <w:sz w:val="20"/>
          <w:szCs w:val="20"/>
          <w:color w:val="auto"/>
        </w:rPr>
      </w:pPr>
      <w:r>
        <w:rPr>
          <w:rFonts w:ascii="Arial" w:cs="Arial" w:eastAsia="Arial" w:hAnsi="Arial"/>
          <w:sz w:val="17"/>
          <w:szCs w:val="17"/>
          <w:color w:val="auto"/>
        </w:rPr>
        <w:t>Gevo's primary market focus, given current demand and growing customer interest, is SAF. The Company believes it also has commercial opportunities for other renewable hydrocarbon products, such as (i) hydrocarbons for gasoline blendstocks and diesel fuel, (ii) ingredients for the chemical industry, such as ethylene and butenes, and (iii) plastics, materials and other chemicals.</w:t>
      </w:r>
    </w:p>
    <w:p>
      <w:pPr>
        <w:spacing w:after="0" w:line="198" w:lineRule="exact"/>
        <w:rPr>
          <w:sz w:val="20"/>
          <w:szCs w:val="20"/>
          <w:color w:val="auto"/>
        </w:rPr>
      </w:pPr>
    </w:p>
    <w:p>
      <w:pPr>
        <w:ind w:right="140" w:firstLine="470"/>
        <w:spacing w:after="0" w:line="251" w:lineRule="auto"/>
        <w:rPr>
          <w:sz w:val="20"/>
          <w:szCs w:val="20"/>
          <w:color w:val="auto"/>
        </w:rPr>
      </w:pPr>
      <w:r>
        <w:rPr>
          <w:rFonts w:ascii="Arial" w:cs="Arial" w:eastAsia="Arial" w:hAnsi="Arial"/>
          <w:sz w:val="17"/>
          <w:szCs w:val="17"/>
          <w:color w:val="auto"/>
        </w:rPr>
        <w:t>The Company believes it has the technology and know-how to convert various carbohydrate feeds through a fermentation process into alcohols and then transform the alcohols into renewable fuels and materials. While the Company expects its first major capital deployments to focus on the production of SAF, Gevo recognizes that there are opportunities to operate in several different markets, and it will pursue those opportunities when appropriate based on customer interest, access to capital and expected investment returns.</w:t>
      </w:r>
    </w:p>
    <w:p>
      <w:pPr>
        <w:spacing w:after="0" w:line="189" w:lineRule="exact"/>
        <w:rPr>
          <w:sz w:val="20"/>
          <w:szCs w:val="20"/>
          <w:color w:val="auto"/>
        </w:rPr>
      </w:pPr>
    </w:p>
    <w:p>
      <w:pPr>
        <w:ind w:right="120" w:firstLine="470"/>
        <w:spacing w:after="0" w:line="236" w:lineRule="auto"/>
        <w:rPr>
          <w:sz w:val="20"/>
          <w:szCs w:val="20"/>
          <w:color w:val="auto"/>
        </w:rPr>
      </w:pPr>
      <w:r>
        <w:rPr>
          <w:rFonts w:ascii="Arial" w:cs="Arial" w:eastAsia="Arial" w:hAnsi="Arial"/>
          <w:sz w:val="17"/>
          <w:szCs w:val="17"/>
          <w:color w:val="auto"/>
        </w:rPr>
        <w:t>Gevo currently operates a wholly-owned development plant in Luverne, Minnesota (the "Luverne Facility"). The Luverne Facility was originally constructed in 1998 and is located on approximately 55 acres of land, which contains approximately 50,000 square feet of building space. Our Luverne Facility is a scale up and development site. Gevo intends to use the Luverne Facility to prove our processes, process concepts, unit operations and for other purposes in order to optimize feedstocks and the processes used for producing hydrocarbons from alcohols.</w:t>
      </w:r>
    </w:p>
    <w:p>
      <w:pPr>
        <w:spacing w:after="0" w:line="198" w:lineRule="exact"/>
        <w:rPr>
          <w:sz w:val="20"/>
          <w:szCs w:val="20"/>
          <w:color w:val="auto"/>
        </w:rPr>
      </w:pPr>
    </w:p>
    <w:p>
      <w:pPr>
        <w:ind w:right="40" w:firstLine="470"/>
        <w:spacing w:after="0" w:line="246" w:lineRule="auto"/>
        <w:rPr>
          <w:sz w:val="20"/>
          <w:szCs w:val="20"/>
          <w:color w:val="auto"/>
        </w:rPr>
      </w:pPr>
      <w:r>
        <w:rPr>
          <w:rFonts w:ascii="Arial" w:cs="Arial" w:eastAsia="Arial" w:hAnsi="Arial"/>
          <w:sz w:val="16"/>
          <w:szCs w:val="16"/>
          <w:color w:val="auto"/>
        </w:rPr>
        <w:t>Gevo's renewable natural gas ("RNG") project ("NW Iowa RNG") owned by Gevo NW Iowa RNG, LLC, will generate RNG captured from dairy cow manure supplied by three dairies located in Northwest Iowa totaling over 20,000 milking cows. Animal manure can be digested anaerobically to produce biogas, which is then upgraded to pipeline quality gas referred to as RNG. Gevo NW Iowa RNG, LLC intends to sell RNG to the California market through an agreement with BP Canada Energy Marketing Corp. and BP Products North America Inc. (collectively, "BP"). Our dairy farm partners realize a variety of benefits including improved operational and environmental compliance options. These services facilitate long-term relationships with project hosts that may serve as a source for future projects and relationships. Gevo believes that RNG has potential to displace fossil-based natural gas used in the future production of net-zero hydrocarbon manufacturing facilities, providing the benefit of lowering the carbon intensity of hydrocarbon fuels.</w:t>
      </w:r>
    </w:p>
    <w:p>
      <w:pPr>
        <w:spacing w:after="0" w:line="196" w:lineRule="exact"/>
        <w:rPr>
          <w:sz w:val="20"/>
          <w:szCs w:val="20"/>
          <w:color w:val="auto"/>
        </w:rPr>
      </w:pPr>
    </w:p>
    <w:p>
      <w:pPr>
        <w:ind w:right="60" w:firstLine="470"/>
        <w:spacing w:after="0" w:line="236" w:lineRule="auto"/>
        <w:rPr>
          <w:sz w:val="20"/>
          <w:szCs w:val="20"/>
          <w:color w:val="auto"/>
        </w:rPr>
      </w:pPr>
      <w:r>
        <w:rPr>
          <w:rFonts w:ascii="Arial" w:cs="Arial" w:eastAsia="Arial" w:hAnsi="Arial"/>
          <w:sz w:val="17"/>
          <w:szCs w:val="17"/>
          <w:color w:val="auto"/>
        </w:rPr>
        <w:t>In 2021, we began construction on NW Iowa RNG under a self-perform project delivery format. We completed most of the construction efforts at the end of 2021, and in January 2022, we began the process of commissioning the project. NW Iowa RNG is expected to be completed within budget. All digesters are currently in the start-up phase and are expected to reach steady production levels in the second quarter of 2022. When fully operational, NW Iowa RNG is expected to generate approximately 355,000 MMBtu of RNG per year.</w:t>
      </w:r>
    </w:p>
    <w:p>
      <w:pPr>
        <w:spacing w:after="0" w:line="198" w:lineRule="exact"/>
        <w:rPr>
          <w:sz w:val="20"/>
          <w:szCs w:val="20"/>
          <w:color w:val="auto"/>
        </w:rPr>
      </w:pPr>
    </w:p>
    <w:p>
      <w:pPr>
        <w:ind w:firstLine="470"/>
        <w:spacing w:after="0" w:line="256" w:lineRule="auto"/>
        <w:rPr>
          <w:sz w:val="20"/>
          <w:szCs w:val="20"/>
          <w:color w:val="auto"/>
        </w:rPr>
      </w:pPr>
      <w:r>
        <w:rPr>
          <w:rFonts w:ascii="Arial" w:cs="Arial" w:eastAsia="Arial" w:hAnsi="Arial"/>
          <w:sz w:val="17"/>
          <w:szCs w:val="17"/>
          <w:color w:val="auto"/>
        </w:rPr>
        <w:t>We also operate a demonstration facility in Silsbee, Texas in partnership with South Hampton Resources, Inc. (the "South Hampton Facility"), from which the Company produces limited volumes of SAF and liquid hydrocarbon fuel.</w:t>
      </w:r>
    </w:p>
    <w:p>
      <w:pPr>
        <w:spacing w:after="0" w:line="197" w:lineRule="exact"/>
        <w:rPr>
          <w:sz w:val="20"/>
          <w:szCs w:val="20"/>
          <w:color w:val="auto"/>
        </w:rPr>
      </w:pPr>
    </w:p>
    <w:p>
      <w:pPr>
        <w:ind w:right="420" w:firstLine="470"/>
        <w:spacing w:after="0" w:line="306" w:lineRule="auto"/>
        <w:rPr>
          <w:sz w:val="20"/>
          <w:szCs w:val="20"/>
          <w:color w:val="auto"/>
        </w:rPr>
      </w:pPr>
      <w:r>
        <w:rPr>
          <w:rFonts w:ascii="Arial" w:cs="Arial" w:eastAsia="Arial" w:hAnsi="Arial"/>
          <w:sz w:val="15"/>
          <w:szCs w:val="15"/>
          <w:color w:val="auto"/>
        </w:rPr>
        <w:t>Ultimately, the Company believes that the attainment of profitable operations is dependent upon future events, including, but not limited to (i) the successful development of the Company's initial Net-Zero Project (the "Net-Zero 1 Project") and future projects for the production of energy dense liquid hydrocarbons using renewable energy and our proprietary technology; and (ii) the achievement of a level of revenues adequate to support its cost structure.</w:t>
      </w:r>
    </w:p>
    <w:p>
      <w:pPr>
        <w:spacing w:after="0" w:line="164" w:lineRule="exact"/>
        <w:rPr>
          <w:sz w:val="20"/>
          <w:szCs w:val="20"/>
          <w:color w:val="auto"/>
        </w:rPr>
      </w:pPr>
    </w:p>
    <w:p>
      <w:pPr>
        <w:ind w:right="380" w:firstLine="470"/>
        <w:spacing w:after="0" w:line="272" w:lineRule="auto"/>
        <w:rPr>
          <w:sz w:val="20"/>
          <w:szCs w:val="20"/>
          <w:color w:val="auto"/>
        </w:rPr>
      </w:pPr>
      <w:r>
        <w:rPr>
          <w:rFonts w:ascii="Arial" w:cs="Arial" w:eastAsia="Arial" w:hAnsi="Arial"/>
          <w:sz w:val="17"/>
          <w:szCs w:val="17"/>
          <w:i w:val="1"/>
          <w:iCs w:val="1"/>
          <w:color w:val="auto"/>
        </w:rPr>
        <w:t xml:space="preserve">Basis of presentation. </w:t>
      </w:r>
      <w:r>
        <w:rPr>
          <w:rFonts w:ascii="Arial" w:cs="Arial" w:eastAsia="Arial" w:hAnsi="Arial"/>
          <w:sz w:val="17"/>
          <w:szCs w:val="17"/>
          <w:color w:val="auto"/>
        </w:rPr>
        <w:t>The unaudited consolidated financial statements of the Company (which include the accounts of its wholly-owned subsidiaries</w:t>
      </w:r>
      <w:r>
        <w:rPr>
          <w:rFonts w:ascii="Arial" w:cs="Arial" w:eastAsia="Arial" w:hAnsi="Arial"/>
          <w:sz w:val="17"/>
          <w:szCs w:val="17"/>
          <w:i w:val="1"/>
          <w:iCs w:val="1"/>
          <w:color w:val="auto"/>
        </w:rPr>
        <w:t xml:space="preserve"> </w:t>
      </w:r>
      <w:r>
        <w:rPr>
          <w:rFonts w:ascii="Arial" w:cs="Arial" w:eastAsia="Arial" w:hAnsi="Arial"/>
          <w:sz w:val="17"/>
          <w:szCs w:val="17"/>
          <w:color w:val="auto"/>
        </w:rPr>
        <w:t>Gevo Asset, LLC, Gevo RNG HoldCo, LLC, Gevo NW Iowa RNG, LLC, Gevo Net-Zero</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rFonts w:ascii="Arial" w:cs="Arial" w:eastAsia="Arial" w:hAnsi="Arial"/>
          <w:sz w:val="17"/>
          <w:szCs w:val="17"/>
          <w:u w:val="single" w:color="auto"/>
          <w:color w:val="auto"/>
        </w:rPr>
      </w:pPr>
      <w:hyperlink w:anchor="page1">
        <w:r>
          <w:rPr>
            <w:rFonts w:ascii="Arial" w:cs="Arial" w:eastAsia="Arial" w:hAnsi="Arial"/>
            <w:sz w:val="17"/>
            <w:szCs w:val="17"/>
            <w:u w:val="single" w:color="auto"/>
            <w:color w:val="auto"/>
          </w:rPr>
          <w:t>Table of Contents</w:t>
        </w:r>
      </w:hyperlink>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GEVO, INC.</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57"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HoldCo, LLC, Gevo Net-Zero 1</w:t>
      </w:r>
      <w:r>
        <w:rPr>
          <w:rFonts w:ascii="Arial" w:cs="Arial" w:eastAsia="Arial" w:hAnsi="Arial"/>
          <w:sz w:val="16"/>
          <w:szCs w:val="16"/>
          <w:i w:val="1"/>
          <w:iCs w:val="1"/>
          <w:color w:val="auto"/>
        </w:rPr>
        <w:t>,</w:t>
      </w:r>
      <w:r>
        <w:rPr>
          <w:rFonts w:ascii="Arial" w:cs="Arial" w:eastAsia="Arial" w:hAnsi="Arial"/>
          <w:sz w:val="16"/>
          <w:szCs w:val="16"/>
          <w:color w:val="auto"/>
        </w:rPr>
        <w:t xml:space="preserve"> LLC, and Agri-Energy, LLC (“Agri-Energy”)) have been prepared, without audit, pursuant to the rules and regulations of the U.S. Securities and Exchange Commission (the “SEC”). Accordingly, they do </w:t>
      </w:r>
      <w:r>
        <w:rPr>
          <w:rFonts w:ascii="Arial" w:cs="Arial" w:eastAsia="Arial" w:hAnsi="Arial"/>
          <w:sz w:val="16"/>
          <w:szCs w:val="16"/>
          <w:i w:val="1"/>
          <w:iCs w:val="1"/>
          <w:color w:val="auto"/>
        </w:rPr>
        <w:t>not</w:t>
      </w:r>
      <w:r>
        <w:rPr>
          <w:rFonts w:ascii="Arial" w:cs="Arial" w:eastAsia="Arial" w:hAnsi="Arial"/>
          <w:sz w:val="16"/>
          <w:szCs w:val="16"/>
          <w:color w:val="auto"/>
        </w:rPr>
        <w:t xml:space="preserve"> include all information and footnotes required by accounting principles generally accepted in the United States (“GAAP”) for complete financial statements. These statements reflect all normal and recurring adjustments which, in the opinion of management, are necessary to present fairly the financial position, results of operations and cash flows of the Company as of, and for the three months ended, March 31, 2022, and are </w:t>
      </w:r>
      <w:r>
        <w:rPr>
          <w:rFonts w:ascii="Arial" w:cs="Arial" w:eastAsia="Arial" w:hAnsi="Arial"/>
          <w:sz w:val="16"/>
          <w:szCs w:val="16"/>
          <w:i w:val="1"/>
          <w:iCs w:val="1"/>
          <w:color w:val="auto"/>
        </w:rPr>
        <w:t>not</w:t>
      </w:r>
      <w:r>
        <w:rPr>
          <w:rFonts w:ascii="Arial" w:cs="Arial" w:eastAsia="Arial" w:hAnsi="Arial"/>
          <w:sz w:val="16"/>
          <w:szCs w:val="16"/>
          <w:color w:val="auto"/>
        </w:rPr>
        <w:t xml:space="preserve"> necessarily indicative of the results to be expected for the full year. These statements should be read in conjunction with the Company’s audited consolidated financial statements and notes thereto included under the heading “Financial Statements and Supplementary Data” in Part II, Item 8 of the Company’s Annual Report on Form 10-K for the year ended December 31, 2021</w:t>
      </w:r>
      <w:r>
        <w:rPr>
          <w:rFonts w:ascii="Arial" w:cs="Arial" w:eastAsia="Arial" w:hAnsi="Arial"/>
          <w:sz w:val="16"/>
          <w:szCs w:val="16"/>
          <w:i w:val="1"/>
          <w:iCs w:val="1"/>
          <w:color w:val="auto"/>
        </w:rPr>
        <w:t>.</w:t>
      </w:r>
      <w:r>
        <w:rPr>
          <w:rFonts w:ascii="Arial" w:cs="Arial" w:eastAsia="Arial" w:hAnsi="Arial"/>
          <w:sz w:val="16"/>
          <w:szCs w:val="16"/>
          <w:color w:val="auto"/>
        </w:rPr>
        <w:t xml:space="preserve"> The financial statements at December 31, 2021, have been derived from the audited financial statements as of that date. For further information, refer to our audited financial statements and notes thereto included for the year ended December 31, 2021 (the "2021 Annual Report").</w:t>
      </w:r>
    </w:p>
    <w:p>
      <w:pPr>
        <w:spacing w:after="0" w:line="199" w:lineRule="exact"/>
        <w:rPr>
          <w:sz w:val="20"/>
          <w:szCs w:val="20"/>
          <w:color w:val="auto"/>
        </w:rPr>
      </w:pPr>
    </w:p>
    <w:p>
      <w:pPr>
        <w:jc w:val="both"/>
        <w:ind w:right="240" w:firstLine="470"/>
        <w:spacing w:after="0" w:line="272" w:lineRule="auto"/>
        <w:rPr>
          <w:sz w:val="20"/>
          <w:szCs w:val="20"/>
          <w:color w:val="auto"/>
        </w:rPr>
      </w:pPr>
      <w:r>
        <w:rPr>
          <w:rFonts w:ascii="Arial" w:cs="Arial" w:eastAsia="Arial" w:hAnsi="Arial"/>
          <w:sz w:val="17"/>
          <w:szCs w:val="17"/>
          <w:i w:val="1"/>
          <w:iCs w:val="1"/>
          <w:color w:val="auto"/>
        </w:rPr>
        <w:t xml:space="preserve">Reclassifications. </w:t>
      </w:r>
      <w:r>
        <w:rPr>
          <w:rFonts w:ascii="Arial" w:cs="Arial" w:eastAsia="Arial" w:hAnsi="Arial"/>
          <w:sz w:val="17"/>
          <w:szCs w:val="17"/>
          <w:color w:val="auto"/>
        </w:rPr>
        <w:t>The Company reclassified certain prior period amounts to conform to the current period presentation, including the categorization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depreciation and amortization on the Consolidated Statements of Operations. These reclassifications had </w:t>
      </w:r>
      <w:r>
        <w:rPr>
          <w:rFonts w:ascii="Arial" w:cs="Arial" w:eastAsia="Arial" w:hAnsi="Arial"/>
          <w:sz w:val="17"/>
          <w:szCs w:val="17"/>
          <w:i w:val="1"/>
          <w:iCs w:val="1"/>
          <w:color w:val="auto"/>
        </w:rPr>
        <w:t>no</w:t>
      </w:r>
      <w:r>
        <w:rPr>
          <w:rFonts w:ascii="Arial" w:cs="Arial" w:eastAsia="Arial" w:hAnsi="Arial"/>
          <w:sz w:val="17"/>
          <w:szCs w:val="17"/>
          <w:color w:val="auto"/>
        </w:rPr>
        <w:t xml:space="preserve"> impact on total revenues, total cost of goods sold, total operating expenses, net loss or stockholders' equity for any period.</w:t>
      </w:r>
    </w:p>
    <w:p>
      <w:pPr>
        <w:spacing w:after="0" w:line="192" w:lineRule="exact"/>
        <w:rPr>
          <w:sz w:val="20"/>
          <w:szCs w:val="20"/>
          <w:color w:val="auto"/>
        </w:rPr>
      </w:pPr>
    </w:p>
    <w:p>
      <w:pPr>
        <w:ind w:left="320" w:hanging="315"/>
        <w:spacing w:after="0"/>
        <w:tabs>
          <w:tab w:leader="none" w:pos="32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Revenues from Contracts with Customers and Other Revenues</w:t>
      </w:r>
    </w:p>
    <w:p>
      <w:pPr>
        <w:spacing w:after="0" w:line="200" w:lineRule="exact"/>
        <w:rPr>
          <w:sz w:val="20"/>
          <w:szCs w:val="20"/>
          <w:color w:val="auto"/>
        </w:rPr>
      </w:pPr>
    </w:p>
    <w:p>
      <w:pPr>
        <w:spacing w:after="0" w:line="212" w:lineRule="exact"/>
        <w:rPr>
          <w:sz w:val="20"/>
          <w:szCs w:val="20"/>
          <w:color w:val="auto"/>
        </w:rPr>
      </w:pPr>
    </w:p>
    <w:p>
      <w:pPr>
        <w:ind w:right="20" w:firstLine="470"/>
        <w:spacing w:after="0" w:line="279" w:lineRule="auto"/>
        <w:rPr>
          <w:sz w:val="20"/>
          <w:szCs w:val="20"/>
          <w:color w:val="auto"/>
        </w:rPr>
      </w:pPr>
      <w:r>
        <w:rPr>
          <w:rFonts w:ascii="Arial" w:cs="Arial" w:eastAsia="Arial" w:hAnsi="Arial"/>
          <w:sz w:val="16"/>
          <w:szCs w:val="16"/>
          <w:color w:val="auto"/>
        </w:rPr>
        <w:t xml:space="preserve">The Company's limited revenues are derived from two development-scale plants: (i) the South Hampton Facility and (ii) the Luverne Facility. These revenues are from customer contracts for ethanol sales and related products and hydrocarbon revenues, which include SAF, isooctene, and isooctane. These are sold mostly on a free-on-board, shipping point basis (recognized at a point in time), are independent transactions, do </w:t>
      </w:r>
      <w:r>
        <w:rPr>
          <w:rFonts w:ascii="Arial" w:cs="Arial" w:eastAsia="Arial" w:hAnsi="Arial"/>
          <w:sz w:val="16"/>
          <w:szCs w:val="16"/>
          <w:i w:val="1"/>
          <w:iCs w:val="1"/>
          <w:color w:val="auto"/>
        </w:rPr>
        <w:t>not</w:t>
      </w:r>
      <w:r>
        <w:rPr>
          <w:rFonts w:ascii="Arial" w:cs="Arial" w:eastAsia="Arial" w:hAnsi="Arial"/>
          <w:sz w:val="16"/>
          <w:szCs w:val="16"/>
          <w:color w:val="auto"/>
        </w:rPr>
        <w:t xml:space="preserve"> provide post-sale support or promises to deliver future goods, and are single performance obligations. Historically, grant revenues consisted of governmental and cooperative research grants, while other revenue includes consulting services and short-term leases for certain storage facilities at the Luverne Facility. For the quarters ended March 31, 2022 and 2021, there were </w:t>
      </w:r>
      <w:r>
        <w:rPr>
          <w:rFonts w:ascii="Arial" w:cs="Arial" w:eastAsia="Arial" w:hAnsi="Arial"/>
          <w:sz w:val="16"/>
          <w:szCs w:val="16"/>
          <w:i w:val="1"/>
          <w:iCs w:val="1"/>
          <w:color w:val="auto"/>
        </w:rPr>
        <w:t>no</w:t>
      </w:r>
      <w:r>
        <w:rPr>
          <w:rFonts w:ascii="Arial" w:cs="Arial" w:eastAsia="Arial" w:hAnsi="Arial"/>
          <w:sz w:val="16"/>
          <w:szCs w:val="16"/>
          <w:color w:val="auto"/>
        </w:rPr>
        <w:t xml:space="preserve"> variable revenues and as of March 31, 2022 and December 31, 2021, there were </w:t>
      </w:r>
      <w:r>
        <w:rPr>
          <w:rFonts w:ascii="Arial" w:cs="Arial" w:eastAsia="Arial" w:hAnsi="Arial"/>
          <w:sz w:val="16"/>
          <w:szCs w:val="16"/>
          <w:i w:val="1"/>
          <w:iCs w:val="1"/>
          <w:color w:val="auto"/>
        </w:rPr>
        <w:t>no</w:t>
      </w:r>
      <w:r>
        <w:rPr>
          <w:rFonts w:ascii="Arial" w:cs="Arial" w:eastAsia="Arial" w:hAnsi="Arial"/>
          <w:sz w:val="16"/>
          <w:szCs w:val="16"/>
          <w:color w:val="auto"/>
        </w:rPr>
        <w:t xml:space="preserve"> remaining unfulfilled or partially fulfilled performance obligations. The Company does not offer explicit or implicit price concessions, so it records the revenue and trade receivables at 100% of the transaction price. Since all amounts are provided and due in less than one year, the Company elects to not record a financing component.</w:t>
      </w:r>
    </w:p>
    <w:p>
      <w:pPr>
        <w:spacing w:after="0" w:line="113" w:lineRule="exact"/>
        <w:rPr>
          <w:sz w:val="20"/>
          <w:szCs w:val="20"/>
          <w:color w:val="auto"/>
        </w:rPr>
      </w:pPr>
    </w:p>
    <w:p>
      <w:pPr>
        <w:ind w:left="320" w:hanging="315"/>
        <w:spacing w:after="0"/>
        <w:tabs>
          <w:tab w:leader="none" w:pos="32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Net loss Per Share</w:t>
      </w:r>
    </w:p>
    <w:p>
      <w:pPr>
        <w:spacing w:after="0" w:line="32" w:lineRule="exact"/>
        <w:rPr>
          <w:sz w:val="20"/>
          <w:szCs w:val="20"/>
          <w:color w:val="auto"/>
        </w:rPr>
      </w:pPr>
    </w:p>
    <w:p>
      <w:pPr>
        <w:ind w:right="100" w:firstLine="470"/>
        <w:spacing w:after="0" w:line="260" w:lineRule="auto"/>
        <w:rPr>
          <w:sz w:val="20"/>
          <w:szCs w:val="20"/>
          <w:color w:val="auto"/>
        </w:rPr>
      </w:pPr>
      <w:r>
        <w:rPr>
          <w:rFonts w:ascii="Arial" w:cs="Arial" w:eastAsia="Arial" w:hAnsi="Arial"/>
          <w:sz w:val="17"/>
          <w:szCs w:val="17"/>
          <w:color w:val="auto"/>
        </w:rPr>
        <w:t>Basic net loss per share is calculated based on the weighted average number of common shares outstanding for the period. Diluted net loss per share is calculated based on the assumption that stock options and other dilutive securities outstanding, which have an exercise price less than the average market price of the Company's common shares during the period, would have been exercised on the later of the beginning of the period or the date granted and that the funds obtained from the exercise were used to purchase common shares at the average market price during the period. None of the Company's stock options or other dilutive securities are considered to be dilutive in periods with net losses.</w:t>
      </w:r>
    </w:p>
    <w:p>
      <w:pPr>
        <w:spacing w:after="0" w:line="210" w:lineRule="exact"/>
        <w:rPr>
          <w:sz w:val="20"/>
          <w:szCs w:val="20"/>
          <w:color w:val="auto"/>
        </w:rPr>
      </w:pPr>
    </w:p>
    <w:p>
      <w:pPr>
        <w:jc w:val="both"/>
        <w:ind w:right="200" w:firstLine="470"/>
        <w:spacing w:after="0" w:line="267" w:lineRule="auto"/>
        <w:rPr>
          <w:sz w:val="20"/>
          <w:szCs w:val="20"/>
          <w:color w:val="auto"/>
        </w:rPr>
      </w:pPr>
      <w:r>
        <w:rPr>
          <w:rFonts w:ascii="Arial" w:cs="Arial" w:eastAsia="Arial" w:hAnsi="Arial"/>
          <w:sz w:val="17"/>
          <w:szCs w:val="17"/>
          <w:color w:val="auto"/>
        </w:rPr>
        <w:t>The effect of the Company’s dilutive securities is calculated using the treasury stock method and only those instruments that result in a reduction in net income per common share are included in the calculation. Diluted net loss per share for the three months ended March 31, 2022 and 2021 excluded 1,751,170 and 220,099, respectively, of common stock equivalents because the effect of their inclusion would be anti-dilutive or would decrease the reported net loss per share.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rFonts w:ascii="Arial" w:cs="Arial" w:eastAsia="Arial" w:hAnsi="Arial"/>
          <w:sz w:val="17"/>
          <w:szCs w:val="17"/>
          <w:u w:val="single" w:color="auto"/>
          <w:color w:val="auto"/>
        </w:rPr>
      </w:pPr>
      <w:hyperlink w:anchor="page1">
        <w:r>
          <w:rPr>
            <w:rFonts w:ascii="Arial" w:cs="Arial" w:eastAsia="Arial" w:hAnsi="Arial"/>
            <w:sz w:val="17"/>
            <w:szCs w:val="17"/>
            <w:u w:val="single" w:color="auto"/>
            <w:color w:val="auto"/>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GEVO,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220" w:type="dxa"/>
            <w:vAlign w:val="bottom"/>
          </w:tcPr>
          <w:p>
            <w:pPr>
              <w:ind w:left="480"/>
              <w:spacing w:after="0"/>
              <w:rPr>
                <w:sz w:val="20"/>
                <w:szCs w:val="20"/>
                <w:color w:val="auto"/>
              </w:rPr>
            </w:pPr>
            <w:r>
              <w:rPr>
                <w:rFonts w:ascii="Arial" w:cs="Arial" w:eastAsia="Arial" w:hAnsi="Arial"/>
                <w:sz w:val="17"/>
                <w:szCs w:val="17"/>
                <w:color w:val="auto"/>
              </w:rPr>
              <w:t>Basic and diluted net loss per share is calculated as follows (net loss in thousands):</w:t>
            </w: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84"/>
        </w:trPr>
        <w:tc>
          <w:tcPr>
            <w:tcW w:w="72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4"/>
          </w:tcPr>
          <w:p>
            <w:pPr>
              <w:jc w:val="right"/>
              <w:ind w:right="733"/>
              <w:spacing w:after="0"/>
              <w:rPr>
                <w:sz w:val="20"/>
                <w:szCs w:val="20"/>
                <w:color w:val="auto"/>
              </w:rPr>
            </w:pPr>
            <w:r>
              <w:rPr>
                <w:rFonts w:ascii="Arial" w:cs="Arial" w:eastAsia="Arial" w:hAnsi="Arial"/>
                <w:sz w:val="17"/>
                <w:szCs w:val="17"/>
                <w:b w:val="1"/>
                <w:bCs w:val="1"/>
                <w:color w:val="auto"/>
              </w:rPr>
              <w:t>Three Months Ended March 31,</w:t>
            </w:r>
          </w:p>
        </w:tc>
      </w:tr>
      <w:tr>
        <w:trPr>
          <w:trHeight w:val="235"/>
        </w:trPr>
        <w:tc>
          <w:tcPr>
            <w:tcW w:w="72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13"/>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13"/>
              <w:spacing w:after="0"/>
              <w:rPr>
                <w:sz w:val="20"/>
                <w:szCs w:val="20"/>
                <w:color w:val="auto"/>
              </w:rPr>
            </w:pPr>
            <w:r>
              <w:rPr>
                <w:rFonts w:ascii="Arial" w:cs="Arial" w:eastAsia="Arial" w:hAnsi="Arial"/>
                <w:sz w:val="17"/>
                <w:szCs w:val="17"/>
                <w:b w:val="1"/>
                <w:bCs w:val="1"/>
                <w:color w:val="auto"/>
              </w:rPr>
              <w:t>2021</w:t>
            </w:r>
          </w:p>
        </w:tc>
      </w:tr>
      <w:tr>
        <w:trPr>
          <w:trHeight w:val="222"/>
        </w:trPr>
        <w:tc>
          <w:tcPr>
            <w:tcW w:w="7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46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(15,673)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(10,057)</w:t>
            </w:r>
          </w:p>
        </w:tc>
      </w:tr>
      <w:tr>
        <w:trPr>
          <w:trHeight w:val="196"/>
        </w:trPr>
        <w:tc>
          <w:tcPr>
            <w:tcW w:w="7220" w:type="dxa"/>
            <w:vAlign w:val="bottom"/>
          </w:tcPr>
          <w:p>
            <w:pPr>
              <w:ind w:left="20"/>
              <w:spacing w:after="0"/>
              <w:rPr>
                <w:sz w:val="20"/>
                <w:szCs w:val="20"/>
                <w:color w:val="auto"/>
              </w:rPr>
            </w:pPr>
            <w:r>
              <w:rPr>
                <w:rFonts w:ascii="Arial" w:cs="Arial" w:eastAsia="Arial" w:hAnsi="Arial"/>
                <w:sz w:val="17"/>
                <w:szCs w:val="17"/>
                <w:color w:val="auto"/>
              </w:rPr>
              <w:t>Basic and diluted weighted-average shares outstanding</w:t>
            </w:r>
          </w:p>
        </w:tc>
        <w:tc>
          <w:tcPr>
            <w:tcW w:w="4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201,925,747</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183,566,524</w:t>
            </w:r>
          </w:p>
        </w:tc>
      </w:tr>
      <w:tr>
        <w:trPr>
          <w:trHeight w:val="20"/>
        </w:trPr>
        <w:tc>
          <w:tcPr>
            <w:tcW w:w="72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39"/>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Basic and diluted net loss per share</w:t>
            </w:r>
          </w:p>
        </w:tc>
        <w:tc>
          <w:tcPr>
            <w:tcW w:w="46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(0.08)</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(0.05)</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color w:val="auto"/>
        </w:rPr>
        <w:t>4.</w:t>
      </w:r>
      <w:r>
        <w:rPr>
          <w:sz w:val="20"/>
          <w:szCs w:val="20"/>
          <w:color w:val="auto"/>
        </w:rPr>
        <w:tab/>
      </w:r>
      <w:r>
        <w:rPr>
          <w:rFonts w:ascii="Arial" w:cs="Arial" w:eastAsia="Arial" w:hAnsi="Arial"/>
          <w:sz w:val="15"/>
          <w:szCs w:val="15"/>
          <w:b w:val="1"/>
          <w:bCs w:val="1"/>
          <w:color w:val="auto"/>
        </w:rPr>
        <w:t>Prepaid and Other Current Assets</w:t>
      </w:r>
    </w:p>
    <w:p>
      <w:pPr>
        <w:spacing w:after="0" w:line="255" w:lineRule="exact"/>
        <w:rPr>
          <w:sz w:val="20"/>
          <w:szCs w:val="20"/>
          <w:color w:val="auto"/>
        </w:rPr>
      </w:pPr>
    </w:p>
    <w:p>
      <w:pPr>
        <w:ind w:left="780"/>
        <w:spacing w:after="0"/>
        <w:rPr>
          <w:sz w:val="20"/>
          <w:szCs w:val="20"/>
          <w:color w:val="auto"/>
        </w:rPr>
      </w:pPr>
      <w:r>
        <w:rPr>
          <w:rFonts w:ascii="Arial" w:cs="Arial" w:eastAsia="Arial" w:hAnsi="Arial"/>
          <w:sz w:val="17"/>
          <w:szCs w:val="17"/>
          <w:color w:val="auto"/>
        </w:rPr>
        <w:t>The following table sets forth the components of the Company’s prepaid and other current assets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gridSpan w:val="2"/>
          </w:tcPr>
          <w:p>
            <w:pPr>
              <w:ind w:left="140"/>
              <w:spacing w:after="0"/>
              <w:rPr>
                <w:sz w:val="20"/>
                <w:szCs w:val="20"/>
                <w:color w:val="auto"/>
              </w:rPr>
            </w:pPr>
            <w:r>
              <w:rPr>
                <w:rFonts w:ascii="Arial" w:cs="Arial" w:eastAsia="Arial" w:hAnsi="Arial"/>
                <w:sz w:val="17"/>
                <w:szCs w:val="17"/>
                <w:b w:val="1"/>
                <w:bCs w:val="1"/>
                <w:color w:val="auto"/>
              </w:rPr>
              <w:t>March 31, 2022</w:t>
            </w:r>
          </w:p>
        </w:tc>
        <w:tc>
          <w:tcPr>
            <w:tcW w:w="200" w:type="dxa"/>
            <w:vAlign w:val="bottom"/>
          </w:tcPr>
          <w:p>
            <w:pPr>
              <w:spacing w:after="0"/>
              <w:rPr>
                <w:sz w:val="20"/>
                <w:szCs w:val="20"/>
                <w:color w:val="auto"/>
              </w:rPr>
            </w:pPr>
          </w:p>
        </w:tc>
        <w:tc>
          <w:tcPr>
            <w:tcW w:w="1760" w:type="dxa"/>
            <w:vAlign w:val="bottom"/>
          </w:tcPr>
          <w:p>
            <w:pPr>
              <w:jc w:val="right"/>
              <w:ind w:right="193"/>
              <w:spacing w:after="0"/>
              <w:rPr>
                <w:sz w:val="20"/>
                <w:szCs w:val="20"/>
                <w:color w:val="auto"/>
              </w:rPr>
            </w:pPr>
            <w:r>
              <w:rPr>
                <w:rFonts w:ascii="Arial" w:cs="Arial" w:eastAsia="Arial" w:hAnsi="Arial"/>
                <w:sz w:val="17"/>
                <w:szCs w:val="17"/>
                <w:b w:val="1"/>
                <w:bCs w:val="1"/>
                <w:color w:val="auto"/>
                <w:w w:val="95"/>
              </w:rPr>
              <w:t>December 31, 2021</w:t>
            </w:r>
          </w:p>
        </w:tc>
      </w:tr>
      <w:tr>
        <w:trPr>
          <w:trHeight w:val="248"/>
        </w:trPr>
        <w:tc>
          <w:tcPr>
            <w:tcW w:w="7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Prepaid insurance</w:t>
            </w: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397</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805</w:t>
            </w:r>
          </w:p>
        </w:tc>
      </w:tr>
      <w:tr>
        <w:trPr>
          <w:trHeight w:val="242"/>
        </w:trPr>
        <w:tc>
          <w:tcPr>
            <w:tcW w:w="7220" w:type="dxa"/>
            <w:vAlign w:val="bottom"/>
          </w:tcPr>
          <w:p>
            <w:pPr>
              <w:ind w:left="20"/>
              <w:spacing w:after="0"/>
              <w:rPr>
                <w:sz w:val="20"/>
                <w:szCs w:val="20"/>
                <w:color w:val="auto"/>
              </w:rPr>
            </w:pPr>
            <w:r>
              <w:rPr>
                <w:rFonts w:ascii="Arial" w:cs="Arial" w:eastAsia="Arial" w:hAnsi="Arial"/>
                <w:sz w:val="17"/>
                <w:szCs w:val="17"/>
                <w:color w:val="auto"/>
              </w:rPr>
              <w:t>Interest receivable</w:t>
            </w:r>
          </w:p>
        </w:tc>
        <w:tc>
          <w:tcPr>
            <w:tcW w:w="2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1,252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1,530</w:t>
            </w:r>
          </w:p>
        </w:tc>
      </w:tr>
      <w:tr>
        <w:trPr>
          <w:trHeight w:val="255"/>
        </w:trPr>
        <w:tc>
          <w:tcPr>
            <w:tcW w:w="7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Exclusivity fees</w:t>
            </w:r>
          </w:p>
        </w:tc>
        <w:tc>
          <w:tcPr>
            <w:tcW w:w="260" w:type="dxa"/>
            <w:vAlign w:val="bottom"/>
            <w:shd w:val="clear" w:color="auto" w:fill="CCEEFF"/>
          </w:tcPr>
          <w:p>
            <w:pPr>
              <w:spacing w:after="0"/>
              <w:rPr>
                <w:sz w:val="22"/>
                <w:szCs w:val="22"/>
                <w:color w:val="auto"/>
              </w:rPr>
            </w:pPr>
          </w:p>
        </w:tc>
        <w:tc>
          <w:tcPr>
            <w:tcW w:w="1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2"/>
                <w:szCs w:val="22"/>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3,250</w:t>
            </w:r>
          </w:p>
        </w:tc>
      </w:tr>
      <w:tr>
        <w:trPr>
          <w:trHeight w:val="242"/>
        </w:trPr>
        <w:tc>
          <w:tcPr>
            <w:tcW w:w="7220" w:type="dxa"/>
            <w:vAlign w:val="bottom"/>
          </w:tcPr>
          <w:p>
            <w:pPr>
              <w:ind w:left="20"/>
              <w:spacing w:after="0"/>
              <w:rPr>
                <w:sz w:val="20"/>
                <w:szCs w:val="20"/>
                <w:color w:val="auto"/>
              </w:rPr>
            </w:pPr>
            <w:r>
              <w:rPr>
                <w:rFonts w:ascii="Arial" w:cs="Arial" w:eastAsia="Arial" w:hAnsi="Arial"/>
                <w:sz w:val="17"/>
                <w:szCs w:val="17"/>
                <w:color w:val="auto"/>
              </w:rPr>
              <w:t>Prepaid engineering</w:t>
            </w:r>
          </w:p>
        </w:tc>
        <w:tc>
          <w:tcPr>
            <w:tcW w:w="2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2,275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409</w:t>
            </w:r>
          </w:p>
        </w:tc>
      </w:tr>
      <w:tr>
        <w:trPr>
          <w:trHeight w:val="248"/>
        </w:trPr>
        <w:tc>
          <w:tcPr>
            <w:tcW w:w="7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Prepaid other</w:t>
            </w:r>
          </w:p>
        </w:tc>
        <w:tc>
          <w:tcPr>
            <w:tcW w:w="26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1,937</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863</w:t>
            </w:r>
          </w:p>
        </w:tc>
      </w:tr>
      <w:tr>
        <w:trPr>
          <w:trHeight w:val="248"/>
        </w:trPr>
        <w:tc>
          <w:tcPr>
            <w:tcW w:w="7220" w:type="dxa"/>
            <w:vAlign w:val="bottom"/>
          </w:tcPr>
          <w:p>
            <w:pPr>
              <w:ind w:left="20"/>
              <w:spacing w:after="0"/>
              <w:rPr>
                <w:sz w:val="20"/>
                <w:szCs w:val="20"/>
                <w:color w:val="auto"/>
              </w:rPr>
            </w:pPr>
            <w:r>
              <w:rPr>
                <w:rFonts w:ascii="Arial" w:cs="Arial" w:eastAsia="Arial" w:hAnsi="Arial"/>
                <w:sz w:val="17"/>
                <w:szCs w:val="17"/>
                <w:color w:val="auto"/>
              </w:rPr>
              <w:t>Total Prepaid and other current assets</w:t>
            </w: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5,861</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6,857</w:t>
            </w:r>
          </w:p>
        </w:tc>
      </w:tr>
      <w:tr>
        <w:trPr>
          <w:trHeight w:val="20"/>
        </w:trPr>
        <w:tc>
          <w:tcPr>
            <w:tcW w:w="7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92" w:lineRule="exact"/>
        <w:rPr>
          <w:sz w:val="20"/>
          <w:szCs w:val="20"/>
          <w:color w:val="auto"/>
        </w:rPr>
      </w:pPr>
    </w:p>
    <w:p>
      <w:pPr>
        <w:ind w:right="120" w:firstLine="470"/>
        <w:spacing w:after="0" w:line="288" w:lineRule="auto"/>
        <w:rPr>
          <w:sz w:val="20"/>
          <w:szCs w:val="20"/>
          <w:color w:val="auto"/>
        </w:rPr>
      </w:pPr>
      <w:r>
        <w:rPr>
          <w:rFonts w:ascii="Arial" w:cs="Arial" w:eastAsia="Arial" w:hAnsi="Arial"/>
          <w:sz w:val="17"/>
          <w:szCs w:val="17"/>
          <w:color w:val="auto"/>
        </w:rPr>
        <w:t>The $3.3 million of prepaid fees above are exclusivity fees and are reported in Deposits and other assets in the Consolidated Balance Sheets (Note 13) as of March 31, 2022.</w:t>
      </w:r>
    </w:p>
    <w:p>
      <w:pPr>
        <w:spacing w:after="0" w:line="178" w:lineRule="exact"/>
        <w:rPr>
          <w:sz w:val="20"/>
          <w:szCs w:val="20"/>
          <w:color w:val="auto"/>
        </w:rPr>
      </w:pPr>
    </w:p>
    <w:p>
      <w:pPr>
        <w:ind w:left="320" w:hanging="315"/>
        <w:spacing w:after="0"/>
        <w:tabs>
          <w:tab w:leader="none" w:pos="32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Marketable Securities</w:t>
      </w:r>
    </w:p>
    <w:p>
      <w:pPr>
        <w:spacing w:after="0" w:line="255" w:lineRule="exact"/>
        <w:rPr>
          <w:sz w:val="20"/>
          <w:szCs w:val="20"/>
          <w:color w:val="auto"/>
        </w:rPr>
      </w:pPr>
    </w:p>
    <w:p>
      <w:pPr>
        <w:ind w:right="300" w:firstLine="470"/>
        <w:spacing w:after="0" w:line="288" w:lineRule="auto"/>
        <w:rPr>
          <w:sz w:val="20"/>
          <w:szCs w:val="20"/>
          <w:color w:val="auto"/>
        </w:rPr>
      </w:pPr>
      <w:r>
        <w:rPr>
          <w:rFonts w:ascii="Arial" w:cs="Arial" w:eastAsia="Arial" w:hAnsi="Arial"/>
          <w:sz w:val="17"/>
          <w:szCs w:val="17"/>
          <w:color w:val="auto"/>
        </w:rPr>
        <w:t>The Company's investments in marketable securities are stated at fair value and are available-for-sale. The following table summarizes the Company's investments in marketable securities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360" w:type="dxa"/>
            <w:vAlign w:val="bottom"/>
            <w:gridSpan w:val="6"/>
          </w:tcPr>
          <w:p>
            <w:pPr>
              <w:jc w:val="center"/>
              <w:ind w:left="933"/>
              <w:spacing w:after="0"/>
              <w:rPr>
                <w:sz w:val="20"/>
                <w:szCs w:val="20"/>
                <w:color w:val="auto"/>
              </w:rPr>
            </w:pPr>
            <w:r>
              <w:rPr>
                <w:rFonts w:ascii="Arial" w:cs="Arial" w:eastAsia="Arial" w:hAnsi="Arial"/>
                <w:sz w:val="17"/>
                <w:szCs w:val="17"/>
                <w:b w:val="1"/>
                <w:bCs w:val="1"/>
                <w:color w:val="auto"/>
                <w:w w:val="92"/>
              </w:rPr>
              <w:t>Available-for-Sale Securities at</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8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7"/>
                <w:szCs w:val="17"/>
                <w:b w:val="1"/>
                <w:bCs w:val="1"/>
                <w:color w:val="auto"/>
                <w:w w:val="95"/>
              </w:rPr>
              <w:t>March 31, 2022</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4800" w:type="dxa"/>
            <w:vAlign w:val="bottom"/>
          </w:tcPr>
          <w:p>
            <w:pPr>
              <w:spacing w:after="0"/>
              <w:rPr>
                <w:sz w:val="14"/>
                <w:szCs w:val="14"/>
                <w:color w:val="auto"/>
              </w:rPr>
            </w:pPr>
          </w:p>
        </w:tc>
        <w:tc>
          <w:tcPr>
            <w:tcW w:w="1800" w:type="dxa"/>
            <w:vAlign w:val="bottom"/>
            <w:gridSpan w:val="2"/>
            <w:vMerge w:val="restart"/>
          </w:tcPr>
          <w:p>
            <w:pPr>
              <w:ind w:left="520"/>
              <w:spacing w:after="0"/>
              <w:rPr>
                <w:sz w:val="20"/>
                <w:szCs w:val="20"/>
                <w:color w:val="auto"/>
              </w:rPr>
            </w:pPr>
            <w:r>
              <w:rPr>
                <w:rFonts w:ascii="Arial" w:cs="Arial" w:eastAsia="Arial" w:hAnsi="Arial"/>
                <w:sz w:val="17"/>
                <w:szCs w:val="17"/>
                <w:b w:val="1"/>
                <w:bCs w:val="1"/>
                <w:color w:val="auto"/>
              </w:rPr>
              <w:t>Maturity</w:t>
            </w:r>
          </w:p>
        </w:tc>
        <w:tc>
          <w:tcPr>
            <w:tcW w:w="140" w:type="dxa"/>
            <w:vAlign w:val="bottom"/>
          </w:tcPr>
          <w:p>
            <w:pPr>
              <w:spacing w:after="0"/>
              <w:rPr>
                <w:sz w:val="14"/>
                <w:szCs w:val="14"/>
                <w:color w:val="auto"/>
              </w:rPr>
            </w:pPr>
          </w:p>
        </w:tc>
        <w:tc>
          <w:tcPr>
            <w:tcW w:w="1440" w:type="dxa"/>
            <w:vAlign w:val="bottom"/>
            <w:gridSpan w:val="2"/>
          </w:tcPr>
          <w:p>
            <w:pPr>
              <w:jc w:val="center"/>
              <w:ind w:right="220"/>
              <w:spacing w:after="0" w:line="163" w:lineRule="exact"/>
              <w:rPr>
                <w:sz w:val="20"/>
                <w:szCs w:val="20"/>
                <w:color w:val="auto"/>
              </w:rPr>
            </w:pPr>
            <w:r>
              <w:rPr>
                <w:rFonts w:ascii="Arial" w:cs="Arial" w:eastAsia="Arial" w:hAnsi="Arial"/>
                <w:sz w:val="17"/>
                <w:szCs w:val="17"/>
                <w:b w:val="1"/>
                <w:bCs w:val="1"/>
                <w:color w:val="auto"/>
                <w:w w:val="93"/>
              </w:rPr>
              <w:t>Amortized Cost</w:t>
            </w:r>
          </w:p>
        </w:tc>
        <w:tc>
          <w:tcPr>
            <w:tcW w:w="1580" w:type="dxa"/>
            <w:vAlign w:val="bottom"/>
            <w:gridSpan w:val="3"/>
          </w:tcPr>
          <w:p>
            <w:pPr>
              <w:jc w:val="center"/>
              <w:ind w:right="100"/>
              <w:spacing w:after="0" w:line="163" w:lineRule="exact"/>
              <w:rPr>
                <w:sz w:val="20"/>
                <w:szCs w:val="20"/>
                <w:color w:val="auto"/>
              </w:rPr>
            </w:pPr>
            <w:r>
              <w:rPr>
                <w:rFonts w:ascii="Arial" w:cs="Arial" w:eastAsia="Arial" w:hAnsi="Arial"/>
                <w:sz w:val="17"/>
                <w:szCs w:val="17"/>
                <w:b w:val="1"/>
                <w:bCs w:val="1"/>
                <w:color w:val="auto"/>
                <w:w w:val="91"/>
              </w:rPr>
              <w:t>Gross Unrealized</w:t>
            </w:r>
          </w:p>
        </w:tc>
        <w:tc>
          <w:tcPr>
            <w:tcW w:w="340" w:type="dxa"/>
            <w:vAlign w:val="bottom"/>
          </w:tcPr>
          <w:p>
            <w:pPr>
              <w:spacing w:after="0"/>
              <w:rPr>
                <w:sz w:val="14"/>
                <w:szCs w:val="14"/>
                <w:color w:val="auto"/>
              </w:rPr>
            </w:pPr>
          </w:p>
        </w:tc>
        <w:tc>
          <w:tcPr>
            <w:tcW w:w="1140" w:type="dxa"/>
            <w:vAlign w:val="bottom"/>
            <w:vMerge w:val="restart"/>
          </w:tcPr>
          <w:p>
            <w:pPr>
              <w:jc w:val="right"/>
              <w:ind w:right="253"/>
              <w:spacing w:after="0"/>
              <w:rPr>
                <w:sz w:val="20"/>
                <w:szCs w:val="20"/>
                <w:color w:val="auto"/>
              </w:rPr>
            </w:pPr>
            <w:r>
              <w:rPr>
                <w:rFonts w:ascii="Arial" w:cs="Arial" w:eastAsia="Arial" w:hAnsi="Arial"/>
                <w:sz w:val="17"/>
                <w:szCs w:val="17"/>
                <w:b w:val="1"/>
                <w:bCs w:val="1"/>
                <w:color w:val="auto"/>
                <w:w w:val="95"/>
              </w:rPr>
              <w:t>Fair Value</w:t>
            </w:r>
          </w:p>
        </w:tc>
        <w:tc>
          <w:tcPr>
            <w:tcW w:w="0" w:type="dxa"/>
            <w:vAlign w:val="bottom"/>
          </w:tcPr>
          <w:p>
            <w:pPr>
              <w:spacing w:after="0"/>
              <w:rPr>
                <w:sz w:val="1"/>
                <w:szCs w:val="1"/>
                <w:color w:val="auto"/>
              </w:rPr>
            </w:pPr>
          </w:p>
        </w:tc>
      </w:tr>
      <w:tr>
        <w:trPr>
          <w:trHeight w:val="222"/>
        </w:trPr>
        <w:tc>
          <w:tcPr>
            <w:tcW w:w="4800" w:type="dxa"/>
            <w:vAlign w:val="bottom"/>
          </w:tcPr>
          <w:p>
            <w:pPr>
              <w:spacing w:after="0"/>
              <w:rPr>
                <w:sz w:val="19"/>
                <w:szCs w:val="19"/>
                <w:color w:val="auto"/>
              </w:rPr>
            </w:pPr>
          </w:p>
        </w:tc>
        <w:tc>
          <w:tcPr>
            <w:tcW w:w="18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8"/>
              </w:rPr>
              <w:t>Basis</w:t>
            </w:r>
          </w:p>
        </w:tc>
        <w:tc>
          <w:tcPr>
            <w:tcW w:w="140" w:type="dxa"/>
            <w:vAlign w:val="bottom"/>
          </w:tcPr>
          <w:p>
            <w:pPr>
              <w:spacing w:after="0"/>
              <w:rPr>
                <w:sz w:val="19"/>
                <w:szCs w:val="19"/>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1"/>
              </w:rPr>
              <w:t>Losses</w:t>
            </w:r>
          </w:p>
        </w:tc>
        <w:tc>
          <w:tcPr>
            <w:tcW w:w="3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Short-term marketable securities</w:t>
            </w:r>
          </w:p>
        </w:tc>
        <w:tc>
          <w:tcPr>
            <w:tcW w:w="17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00" w:type="dxa"/>
            <w:vAlign w:val="bottom"/>
          </w:tcPr>
          <w:p>
            <w:pPr>
              <w:ind w:left="240"/>
              <w:spacing w:after="0"/>
              <w:rPr>
                <w:sz w:val="20"/>
                <w:szCs w:val="20"/>
                <w:color w:val="auto"/>
              </w:rPr>
            </w:pPr>
            <w:r>
              <w:rPr>
                <w:rFonts w:ascii="Arial" w:cs="Arial" w:eastAsia="Arial" w:hAnsi="Arial"/>
                <w:sz w:val="17"/>
                <w:szCs w:val="17"/>
                <w:color w:val="auto"/>
              </w:rPr>
              <w:t>U.S. Treasury notes</w:t>
            </w:r>
          </w:p>
        </w:tc>
        <w:tc>
          <w:tcPr>
            <w:tcW w:w="1800" w:type="dxa"/>
            <w:vAlign w:val="bottom"/>
            <w:gridSpan w:val="2"/>
          </w:tcPr>
          <w:p>
            <w:pPr>
              <w:ind w:left="20"/>
              <w:spacing w:after="0"/>
              <w:rPr>
                <w:sz w:val="20"/>
                <w:szCs w:val="20"/>
                <w:color w:val="auto"/>
              </w:rPr>
            </w:pPr>
            <w:r>
              <w:rPr>
                <w:rFonts w:ascii="Arial" w:cs="Arial" w:eastAsia="Arial" w:hAnsi="Arial"/>
                <w:sz w:val="17"/>
                <w:szCs w:val="17"/>
                <w:i w:val="1"/>
                <w:iCs w:val="1"/>
                <w:color w:val="auto"/>
              </w:rPr>
              <w:t>Within one year</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188,665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(527)</w:t>
            </w:r>
          </w:p>
        </w:tc>
        <w:tc>
          <w:tcPr>
            <w:tcW w:w="100" w:type="dxa"/>
            <w:vAlign w:val="bottom"/>
          </w:tcPr>
          <w:p>
            <w:pPr>
              <w:spacing w:after="0"/>
              <w:rPr>
                <w:sz w:val="21"/>
                <w:szCs w:val="21"/>
                <w:color w:val="auto"/>
              </w:rPr>
            </w:pP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188,138</w:t>
            </w:r>
          </w:p>
        </w:tc>
        <w:tc>
          <w:tcPr>
            <w:tcW w:w="0" w:type="dxa"/>
            <w:vAlign w:val="bottom"/>
          </w:tcPr>
          <w:p>
            <w:pPr>
              <w:spacing w:after="0"/>
              <w:rPr>
                <w:sz w:val="1"/>
                <w:szCs w:val="1"/>
                <w:color w:val="auto"/>
              </w:rPr>
            </w:pPr>
          </w:p>
        </w:tc>
      </w:tr>
      <w:tr>
        <w:trPr>
          <w:trHeight w:val="248"/>
        </w:trPr>
        <w:tc>
          <w:tcPr>
            <w:tcW w:w="48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U.S. Government-sponsored enterprise securities</w:t>
            </w: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7"/>
                <w:szCs w:val="17"/>
                <w:i w:val="1"/>
                <w:iCs w:val="1"/>
                <w:color w:val="auto"/>
              </w:rPr>
              <w:t>Within one year</w:t>
            </w: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78,375</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(700)</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77,675</w:t>
            </w:r>
          </w:p>
        </w:tc>
        <w:tc>
          <w:tcPr>
            <w:tcW w:w="0" w:type="dxa"/>
            <w:vAlign w:val="bottom"/>
          </w:tcPr>
          <w:p>
            <w:pPr>
              <w:spacing w:after="0"/>
              <w:rPr>
                <w:sz w:val="1"/>
                <w:szCs w:val="1"/>
                <w:color w:val="auto"/>
              </w:rPr>
            </w:pPr>
          </w:p>
        </w:tc>
      </w:tr>
      <w:tr>
        <w:trPr>
          <w:trHeight w:val="242"/>
        </w:trPr>
        <w:tc>
          <w:tcPr>
            <w:tcW w:w="4800" w:type="dxa"/>
            <w:vAlign w:val="bottom"/>
          </w:tcPr>
          <w:p>
            <w:pPr>
              <w:ind w:left="20"/>
              <w:spacing w:after="0"/>
              <w:rPr>
                <w:sz w:val="20"/>
                <w:szCs w:val="20"/>
                <w:color w:val="auto"/>
              </w:rPr>
            </w:pPr>
            <w:r>
              <w:rPr>
                <w:rFonts w:ascii="Arial" w:cs="Arial" w:eastAsia="Arial" w:hAnsi="Arial"/>
                <w:sz w:val="17"/>
                <w:szCs w:val="17"/>
                <w:color w:val="auto"/>
              </w:rPr>
              <w:t>Total short-term marketable securities</w:t>
            </w: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267,040</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(1,227)</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265,813</w:t>
            </w:r>
          </w:p>
        </w:tc>
        <w:tc>
          <w:tcPr>
            <w:tcW w:w="0" w:type="dxa"/>
            <w:vAlign w:val="bottom"/>
          </w:tcPr>
          <w:p>
            <w:pPr>
              <w:spacing w:after="0"/>
              <w:rPr>
                <w:sz w:val="1"/>
                <w:szCs w:val="1"/>
                <w:color w:val="auto"/>
              </w:rPr>
            </w:pP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8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800" w:type="dxa"/>
            <w:vAlign w:val="bottom"/>
          </w:tcPr>
          <w:p>
            <w:pPr>
              <w:ind w:left="20"/>
              <w:spacing w:after="0"/>
              <w:rPr>
                <w:sz w:val="20"/>
                <w:szCs w:val="20"/>
                <w:color w:val="auto"/>
              </w:rPr>
            </w:pPr>
            <w:r>
              <w:rPr>
                <w:rFonts w:ascii="Arial" w:cs="Arial" w:eastAsia="Arial" w:hAnsi="Arial"/>
                <w:sz w:val="17"/>
                <w:szCs w:val="17"/>
                <w:color w:val="auto"/>
              </w:rPr>
              <w:t>Long-term marketable securities</w:t>
            </w: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U.S Treasury notes</w:t>
            </w: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7"/>
                <w:szCs w:val="17"/>
                <w:i w:val="1"/>
                <w:iCs w:val="1"/>
                <w:color w:val="auto"/>
              </w:rPr>
              <w:t>Within two years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11,040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10,968</w:t>
            </w:r>
          </w:p>
        </w:tc>
        <w:tc>
          <w:tcPr>
            <w:tcW w:w="0" w:type="dxa"/>
            <w:vAlign w:val="bottom"/>
          </w:tcPr>
          <w:p>
            <w:pPr>
              <w:spacing w:after="0"/>
              <w:rPr>
                <w:sz w:val="1"/>
                <w:szCs w:val="1"/>
                <w:color w:val="auto"/>
              </w:rPr>
            </w:pPr>
          </w:p>
        </w:tc>
      </w:tr>
      <w:tr>
        <w:trPr>
          <w:trHeight w:val="248"/>
        </w:trPr>
        <w:tc>
          <w:tcPr>
            <w:tcW w:w="480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U.S. Government-sponsored enterprise securities</w:t>
            </w:r>
          </w:p>
        </w:tc>
        <w:tc>
          <w:tcPr>
            <w:tcW w:w="18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i w:val="1"/>
                <w:iCs w:val="1"/>
                <w:color w:val="auto"/>
              </w:rPr>
              <w:t>Within two years</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22,044</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21,756</w:t>
            </w:r>
          </w:p>
        </w:tc>
        <w:tc>
          <w:tcPr>
            <w:tcW w:w="0" w:type="dxa"/>
            <w:vAlign w:val="bottom"/>
          </w:tcPr>
          <w:p>
            <w:pPr>
              <w:spacing w:after="0"/>
              <w:rPr>
                <w:sz w:val="1"/>
                <w:szCs w:val="1"/>
                <w:color w:val="auto"/>
              </w:rPr>
            </w:pPr>
          </w:p>
        </w:tc>
      </w:tr>
      <w:tr>
        <w:trPr>
          <w:trHeight w:val="267"/>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long-term marketable securities</w:t>
            </w:r>
          </w:p>
        </w:tc>
        <w:tc>
          <w:tcPr>
            <w:tcW w:w="1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33,084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32,724</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rFonts w:ascii="Arial" w:cs="Arial" w:eastAsia="Arial" w:hAnsi="Arial"/>
          <w:sz w:val="17"/>
          <w:szCs w:val="17"/>
          <w:u w:val="single" w:color="auto"/>
          <w:color w:val="auto"/>
        </w:rPr>
      </w:pPr>
      <w:hyperlink w:anchor="page1">
        <w:r>
          <w:rPr>
            <w:rFonts w:ascii="Arial" w:cs="Arial" w:eastAsia="Arial" w:hAnsi="Arial"/>
            <w:sz w:val="17"/>
            <w:szCs w:val="17"/>
            <w:u w:val="single" w:color="auto"/>
            <w:color w:val="auto"/>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GEVO,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360" w:type="dxa"/>
            <w:vAlign w:val="bottom"/>
            <w:gridSpan w:val="6"/>
          </w:tcPr>
          <w:p>
            <w:pPr>
              <w:jc w:val="center"/>
              <w:ind w:left="933"/>
              <w:spacing w:after="0"/>
              <w:rPr>
                <w:sz w:val="20"/>
                <w:szCs w:val="20"/>
                <w:color w:val="auto"/>
              </w:rPr>
            </w:pPr>
            <w:r>
              <w:rPr>
                <w:rFonts w:ascii="Arial" w:cs="Arial" w:eastAsia="Arial" w:hAnsi="Arial"/>
                <w:sz w:val="17"/>
                <w:szCs w:val="17"/>
                <w:b w:val="1"/>
                <w:bCs w:val="1"/>
                <w:color w:val="auto"/>
                <w:w w:val="92"/>
              </w:rPr>
              <w:t>Available-for-Sale Securities at</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8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ind w:left="60"/>
              <w:spacing w:after="0"/>
              <w:rPr>
                <w:sz w:val="20"/>
                <w:szCs w:val="20"/>
                <w:color w:val="auto"/>
              </w:rPr>
            </w:pPr>
            <w:r>
              <w:rPr>
                <w:rFonts w:ascii="Arial" w:cs="Arial" w:eastAsia="Arial" w:hAnsi="Arial"/>
                <w:sz w:val="17"/>
                <w:szCs w:val="17"/>
                <w:b w:val="1"/>
                <w:bCs w:val="1"/>
                <w:color w:val="auto"/>
                <w:w w:val="97"/>
              </w:rPr>
              <w:t>December 31, 2021</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4800" w:type="dxa"/>
            <w:vAlign w:val="bottom"/>
          </w:tcPr>
          <w:p>
            <w:pPr>
              <w:spacing w:after="0"/>
              <w:rPr>
                <w:sz w:val="14"/>
                <w:szCs w:val="14"/>
                <w:color w:val="auto"/>
              </w:rPr>
            </w:pPr>
          </w:p>
        </w:tc>
        <w:tc>
          <w:tcPr>
            <w:tcW w:w="1800" w:type="dxa"/>
            <w:vAlign w:val="bottom"/>
            <w:gridSpan w:val="2"/>
            <w:vMerge w:val="restart"/>
          </w:tcPr>
          <w:p>
            <w:pPr>
              <w:ind w:left="520"/>
              <w:spacing w:after="0"/>
              <w:rPr>
                <w:sz w:val="20"/>
                <w:szCs w:val="20"/>
                <w:color w:val="auto"/>
              </w:rPr>
            </w:pPr>
            <w:r>
              <w:rPr>
                <w:rFonts w:ascii="Arial" w:cs="Arial" w:eastAsia="Arial" w:hAnsi="Arial"/>
                <w:sz w:val="17"/>
                <w:szCs w:val="17"/>
                <w:b w:val="1"/>
                <w:bCs w:val="1"/>
                <w:color w:val="auto"/>
              </w:rPr>
              <w:t>Maturity</w:t>
            </w:r>
          </w:p>
        </w:tc>
        <w:tc>
          <w:tcPr>
            <w:tcW w:w="140" w:type="dxa"/>
            <w:vAlign w:val="bottom"/>
          </w:tcPr>
          <w:p>
            <w:pPr>
              <w:spacing w:after="0"/>
              <w:rPr>
                <w:sz w:val="14"/>
                <w:szCs w:val="14"/>
                <w:color w:val="auto"/>
              </w:rPr>
            </w:pPr>
          </w:p>
        </w:tc>
        <w:tc>
          <w:tcPr>
            <w:tcW w:w="1440" w:type="dxa"/>
            <w:vAlign w:val="bottom"/>
            <w:gridSpan w:val="2"/>
          </w:tcPr>
          <w:p>
            <w:pPr>
              <w:jc w:val="center"/>
              <w:ind w:right="220"/>
              <w:spacing w:after="0" w:line="163" w:lineRule="exact"/>
              <w:rPr>
                <w:sz w:val="20"/>
                <w:szCs w:val="20"/>
                <w:color w:val="auto"/>
              </w:rPr>
            </w:pPr>
            <w:r>
              <w:rPr>
                <w:rFonts w:ascii="Arial" w:cs="Arial" w:eastAsia="Arial" w:hAnsi="Arial"/>
                <w:sz w:val="17"/>
                <w:szCs w:val="17"/>
                <w:b w:val="1"/>
                <w:bCs w:val="1"/>
                <w:color w:val="auto"/>
                <w:w w:val="93"/>
              </w:rPr>
              <w:t>Amortized Cost</w:t>
            </w:r>
          </w:p>
        </w:tc>
        <w:tc>
          <w:tcPr>
            <w:tcW w:w="1580" w:type="dxa"/>
            <w:vAlign w:val="bottom"/>
            <w:gridSpan w:val="3"/>
          </w:tcPr>
          <w:p>
            <w:pPr>
              <w:jc w:val="center"/>
              <w:ind w:right="100"/>
              <w:spacing w:after="0" w:line="163" w:lineRule="exact"/>
              <w:rPr>
                <w:sz w:val="20"/>
                <w:szCs w:val="20"/>
                <w:color w:val="auto"/>
              </w:rPr>
            </w:pPr>
            <w:r>
              <w:rPr>
                <w:rFonts w:ascii="Arial" w:cs="Arial" w:eastAsia="Arial" w:hAnsi="Arial"/>
                <w:sz w:val="17"/>
                <w:szCs w:val="17"/>
                <w:b w:val="1"/>
                <w:bCs w:val="1"/>
                <w:color w:val="auto"/>
                <w:w w:val="91"/>
              </w:rPr>
              <w:t>Gross Unrealized</w:t>
            </w:r>
          </w:p>
        </w:tc>
        <w:tc>
          <w:tcPr>
            <w:tcW w:w="340" w:type="dxa"/>
            <w:vAlign w:val="bottom"/>
          </w:tcPr>
          <w:p>
            <w:pPr>
              <w:spacing w:after="0"/>
              <w:rPr>
                <w:sz w:val="14"/>
                <w:szCs w:val="14"/>
                <w:color w:val="auto"/>
              </w:rPr>
            </w:pPr>
          </w:p>
        </w:tc>
        <w:tc>
          <w:tcPr>
            <w:tcW w:w="1140" w:type="dxa"/>
            <w:vAlign w:val="bottom"/>
            <w:vMerge w:val="restart"/>
          </w:tcPr>
          <w:p>
            <w:pPr>
              <w:jc w:val="right"/>
              <w:ind w:right="253"/>
              <w:spacing w:after="0"/>
              <w:rPr>
                <w:sz w:val="20"/>
                <w:szCs w:val="20"/>
                <w:color w:val="auto"/>
              </w:rPr>
            </w:pPr>
            <w:r>
              <w:rPr>
                <w:rFonts w:ascii="Arial" w:cs="Arial" w:eastAsia="Arial" w:hAnsi="Arial"/>
                <w:sz w:val="17"/>
                <w:szCs w:val="17"/>
                <w:b w:val="1"/>
                <w:bCs w:val="1"/>
                <w:color w:val="auto"/>
                <w:w w:val="95"/>
              </w:rPr>
              <w:t>Fair Value</w:t>
            </w:r>
          </w:p>
        </w:tc>
        <w:tc>
          <w:tcPr>
            <w:tcW w:w="0" w:type="dxa"/>
            <w:vAlign w:val="bottom"/>
          </w:tcPr>
          <w:p>
            <w:pPr>
              <w:spacing w:after="0"/>
              <w:rPr>
                <w:sz w:val="1"/>
                <w:szCs w:val="1"/>
                <w:color w:val="auto"/>
              </w:rPr>
            </w:pPr>
          </w:p>
        </w:tc>
      </w:tr>
      <w:tr>
        <w:trPr>
          <w:trHeight w:val="222"/>
        </w:trPr>
        <w:tc>
          <w:tcPr>
            <w:tcW w:w="4800" w:type="dxa"/>
            <w:vAlign w:val="bottom"/>
          </w:tcPr>
          <w:p>
            <w:pPr>
              <w:spacing w:after="0"/>
              <w:rPr>
                <w:sz w:val="19"/>
                <w:szCs w:val="19"/>
                <w:color w:val="auto"/>
              </w:rPr>
            </w:pPr>
          </w:p>
        </w:tc>
        <w:tc>
          <w:tcPr>
            <w:tcW w:w="18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8"/>
              </w:rPr>
              <w:t>Basis</w:t>
            </w:r>
          </w:p>
        </w:tc>
        <w:tc>
          <w:tcPr>
            <w:tcW w:w="300" w:type="dxa"/>
            <w:vAlign w:val="bottom"/>
          </w:tcPr>
          <w:p>
            <w:pPr>
              <w:spacing w:after="0"/>
              <w:rPr>
                <w:sz w:val="19"/>
                <w:szCs w:val="19"/>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7"/>
                <w:szCs w:val="17"/>
                <w:b w:val="1"/>
                <w:bCs w:val="1"/>
                <w:color w:val="auto"/>
                <w:w w:val="81"/>
              </w:rPr>
              <w:t>Losses</w:t>
            </w:r>
          </w:p>
        </w:tc>
        <w:tc>
          <w:tcPr>
            <w:tcW w:w="3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Short-term marketable securities</w:t>
            </w:r>
          </w:p>
        </w:tc>
        <w:tc>
          <w:tcPr>
            <w:tcW w:w="17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00" w:type="dxa"/>
            <w:vAlign w:val="bottom"/>
          </w:tcPr>
          <w:p>
            <w:pPr>
              <w:ind w:left="120"/>
              <w:spacing w:after="0"/>
              <w:rPr>
                <w:sz w:val="20"/>
                <w:szCs w:val="20"/>
                <w:color w:val="auto"/>
              </w:rPr>
            </w:pPr>
            <w:r>
              <w:rPr>
                <w:rFonts w:ascii="Arial" w:cs="Arial" w:eastAsia="Arial" w:hAnsi="Arial"/>
                <w:sz w:val="17"/>
                <w:szCs w:val="17"/>
                <w:color w:val="auto"/>
              </w:rPr>
              <w:t>U.S. Treasury notes</w:t>
            </w:r>
          </w:p>
        </w:tc>
        <w:tc>
          <w:tcPr>
            <w:tcW w:w="1800" w:type="dxa"/>
            <w:vAlign w:val="bottom"/>
            <w:gridSpan w:val="2"/>
          </w:tcPr>
          <w:p>
            <w:pPr>
              <w:ind w:left="20"/>
              <w:spacing w:after="0"/>
              <w:rPr>
                <w:sz w:val="20"/>
                <w:szCs w:val="20"/>
                <w:color w:val="auto"/>
              </w:rPr>
            </w:pPr>
            <w:r>
              <w:rPr>
                <w:rFonts w:ascii="Arial" w:cs="Arial" w:eastAsia="Arial" w:hAnsi="Arial"/>
                <w:sz w:val="17"/>
                <w:szCs w:val="17"/>
                <w:i w:val="1"/>
                <w:iCs w:val="1"/>
                <w:color w:val="auto"/>
              </w:rPr>
              <w:t>Within one year</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226,136</w:t>
            </w:r>
          </w:p>
        </w:tc>
        <w:tc>
          <w:tcPr>
            <w:tcW w:w="100" w:type="dxa"/>
            <w:vAlign w:val="bottom"/>
          </w:tcPr>
          <w:p>
            <w:pPr>
              <w:spacing w:after="0"/>
              <w:rPr>
                <w:sz w:val="21"/>
                <w:szCs w:val="21"/>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(344)</w:t>
            </w:r>
          </w:p>
        </w:tc>
        <w:tc>
          <w:tcPr>
            <w:tcW w:w="100" w:type="dxa"/>
            <w:vAlign w:val="bottom"/>
          </w:tcPr>
          <w:p>
            <w:pPr>
              <w:spacing w:after="0"/>
              <w:rPr>
                <w:sz w:val="21"/>
                <w:szCs w:val="21"/>
                <w:color w:val="auto"/>
              </w:rPr>
            </w:pP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225,792</w:t>
            </w:r>
          </w:p>
        </w:tc>
        <w:tc>
          <w:tcPr>
            <w:tcW w:w="0" w:type="dxa"/>
            <w:vAlign w:val="bottom"/>
          </w:tcPr>
          <w:p>
            <w:pPr>
              <w:spacing w:after="0"/>
              <w:rPr>
                <w:sz w:val="1"/>
                <w:szCs w:val="1"/>
                <w:color w:val="auto"/>
              </w:rPr>
            </w:pPr>
          </w:p>
        </w:tc>
      </w:tr>
      <w:tr>
        <w:trPr>
          <w:trHeight w:val="248"/>
        </w:trPr>
        <w:tc>
          <w:tcPr>
            <w:tcW w:w="48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U.S. Government-sponsored enterprise securities</w:t>
            </w: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7"/>
                <w:szCs w:val="17"/>
                <w:i w:val="1"/>
                <w:iCs w:val="1"/>
                <w:color w:val="auto"/>
              </w:rPr>
              <w:t>Within one year</w:t>
            </w: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49,618</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49,548</w:t>
            </w:r>
          </w:p>
        </w:tc>
        <w:tc>
          <w:tcPr>
            <w:tcW w:w="0" w:type="dxa"/>
            <w:vAlign w:val="bottom"/>
          </w:tcPr>
          <w:p>
            <w:pPr>
              <w:spacing w:after="0"/>
              <w:rPr>
                <w:sz w:val="1"/>
                <w:szCs w:val="1"/>
                <w:color w:val="auto"/>
              </w:rPr>
            </w:pPr>
          </w:p>
        </w:tc>
      </w:tr>
      <w:tr>
        <w:trPr>
          <w:trHeight w:val="242"/>
        </w:trPr>
        <w:tc>
          <w:tcPr>
            <w:tcW w:w="4800" w:type="dxa"/>
            <w:vAlign w:val="bottom"/>
          </w:tcPr>
          <w:p>
            <w:pPr>
              <w:ind w:left="20"/>
              <w:spacing w:after="0"/>
              <w:rPr>
                <w:sz w:val="20"/>
                <w:szCs w:val="20"/>
                <w:color w:val="auto"/>
              </w:rPr>
            </w:pPr>
            <w:r>
              <w:rPr>
                <w:rFonts w:ascii="Arial" w:cs="Arial" w:eastAsia="Arial" w:hAnsi="Arial"/>
                <w:sz w:val="17"/>
                <w:szCs w:val="17"/>
                <w:color w:val="auto"/>
              </w:rPr>
              <w:t>Total short-term marketable securities</w:t>
            </w: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275,754</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(414)</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275,340</w:t>
            </w:r>
          </w:p>
        </w:tc>
        <w:tc>
          <w:tcPr>
            <w:tcW w:w="0" w:type="dxa"/>
            <w:vAlign w:val="bottom"/>
          </w:tcPr>
          <w:p>
            <w:pPr>
              <w:spacing w:after="0"/>
              <w:rPr>
                <w:sz w:val="1"/>
                <w:szCs w:val="1"/>
                <w:color w:val="auto"/>
              </w:rPr>
            </w:pP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8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800" w:type="dxa"/>
            <w:vAlign w:val="bottom"/>
          </w:tcPr>
          <w:p>
            <w:pPr>
              <w:ind w:left="20"/>
              <w:spacing w:after="0"/>
              <w:rPr>
                <w:sz w:val="20"/>
                <w:szCs w:val="20"/>
                <w:color w:val="auto"/>
              </w:rPr>
            </w:pPr>
            <w:r>
              <w:rPr>
                <w:rFonts w:ascii="Arial" w:cs="Arial" w:eastAsia="Arial" w:hAnsi="Arial"/>
                <w:sz w:val="17"/>
                <w:szCs w:val="17"/>
                <w:color w:val="auto"/>
              </w:rPr>
              <w:t>Long-term marketable securities</w:t>
            </w: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U.S Treasury notes</w:t>
            </w: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7"/>
                <w:szCs w:val="17"/>
                <w:i w:val="1"/>
                <w:iCs w:val="1"/>
                <w:color w:val="auto"/>
              </w:rPr>
              <w:t>Within two years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8"/>
        </w:trPr>
        <w:tc>
          <w:tcPr>
            <w:tcW w:w="480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U.S. Government-sponsored enterprise securities</w:t>
            </w:r>
          </w:p>
        </w:tc>
        <w:tc>
          <w:tcPr>
            <w:tcW w:w="18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i w:val="1"/>
                <w:iCs w:val="1"/>
                <w:color w:val="auto"/>
              </w:rPr>
              <w:t>Within two years</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64,596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64,396</w:t>
            </w:r>
          </w:p>
        </w:tc>
        <w:tc>
          <w:tcPr>
            <w:tcW w:w="0" w:type="dxa"/>
            <w:vAlign w:val="bottom"/>
          </w:tcPr>
          <w:p>
            <w:pPr>
              <w:spacing w:after="0"/>
              <w:rPr>
                <w:sz w:val="1"/>
                <w:szCs w:val="1"/>
                <w:color w:val="auto"/>
              </w:rPr>
            </w:pPr>
          </w:p>
        </w:tc>
      </w:tr>
      <w:tr>
        <w:trPr>
          <w:trHeight w:val="267"/>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long-term marketable securities</w:t>
            </w:r>
          </w:p>
        </w:tc>
        <w:tc>
          <w:tcPr>
            <w:tcW w:w="1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64,596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64,396</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ind w:right="340" w:firstLine="470"/>
        <w:spacing w:after="0" w:line="288" w:lineRule="auto"/>
        <w:rPr>
          <w:sz w:val="20"/>
          <w:szCs w:val="20"/>
          <w:color w:val="auto"/>
        </w:rPr>
      </w:pPr>
      <w:r>
        <w:rPr>
          <w:rFonts w:ascii="Arial" w:cs="Arial" w:eastAsia="Arial" w:hAnsi="Arial"/>
          <w:sz w:val="17"/>
          <w:szCs w:val="17"/>
          <w:color w:val="auto"/>
        </w:rPr>
        <w:t>The cost of securities sold is based upon the specific identification method. Interest receivable related to the marketable securities of $1.3 million was included within prepaid expenses and other current assets on the accompanying Consolidated Balance Sheets as of March 31, 2022.</w:t>
      </w:r>
    </w:p>
    <w:p>
      <w:pPr>
        <w:spacing w:after="0" w:line="184" w:lineRule="exact"/>
        <w:rPr>
          <w:sz w:val="20"/>
          <w:szCs w:val="20"/>
          <w:color w:val="auto"/>
        </w:rPr>
      </w:pPr>
    </w:p>
    <w:p>
      <w:pPr>
        <w:ind w:right="140" w:firstLine="470"/>
        <w:spacing w:after="0" w:line="288" w:lineRule="auto"/>
        <w:rPr>
          <w:sz w:val="20"/>
          <w:szCs w:val="20"/>
          <w:color w:val="auto"/>
        </w:rPr>
      </w:pPr>
      <w:r>
        <w:rPr>
          <w:rFonts w:ascii="Arial" w:cs="Arial" w:eastAsia="Arial" w:hAnsi="Arial"/>
          <w:sz w:val="17"/>
          <w:szCs w:val="17"/>
          <w:color w:val="auto"/>
        </w:rPr>
        <w:t>Interest income totaled $1.6 million the three months ended March 31, 2022 (</w:t>
      </w:r>
      <w:r>
        <w:rPr>
          <w:rFonts w:ascii="Arial" w:cs="Arial" w:eastAsia="Arial" w:hAnsi="Arial"/>
          <w:sz w:val="17"/>
          <w:szCs w:val="17"/>
          <w:i w:val="1"/>
          <w:iCs w:val="1"/>
          <w:color w:val="auto"/>
        </w:rPr>
        <w:t>nil</w:t>
      </w:r>
      <w:r>
        <w:rPr>
          <w:rFonts w:ascii="Arial" w:cs="Arial" w:eastAsia="Arial" w:hAnsi="Arial"/>
          <w:sz w:val="17"/>
          <w:szCs w:val="17"/>
          <w:color w:val="auto"/>
        </w:rPr>
        <w:t xml:space="preserve"> for the three months ended March 31, 2021) and is included in "Interest and dividend income" in the Consolidated Statements of Operations.</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Future maturities of the Company's marketable securities are $207.0 million in 2022 and $91.5 million in 2023.</w:t>
      </w:r>
    </w:p>
    <w:p>
      <w:pPr>
        <w:spacing w:after="0" w:line="243" w:lineRule="exact"/>
        <w:rPr>
          <w:sz w:val="20"/>
          <w:szCs w:val="20"/>
          <w:color w:val="auto"/>
        </w:rPr>
      </w:pPr>
    </w:p>
    <w:p>
      <w:pPr>
        <w:ind w:left="320" w:hanging="315"/>
        <w:spacing w:after="0"/>
        <w:tabs>
          <w:tab w:leader="none" w:pos="32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Leases, Right-of-Use Assets and Related Liabilities</w:t>
      </w:r>
    </w:p>
    <w:p>
      <w:pPr>
        <w:spacing w:after="0" w:line="32" w:lineRule="exact"/>
        <w:rPr>
          <w:sz w:val="20"/>
          <w:szCs w:val="20"/>
          <w:color w:val="auto"/>
        </w:rPr>
      </w:pPr>
    </w:p>
    <w:p>
      <w:pPr>
        <w:ind w:right="20" w:firstLine="470"/>
        <w:spacing w:after="0" w:line="256" w:lineRule="auto"/>
        <w:rPr>
          <w:sz w:val="20"/>
          <w:szCs w:val="20"/>
          <w:color w:val="auto"/>
        </w:rPr>
      </w:pPr>
      <w:r>
        <w:rPr>
          <w:rFonts w:ascii="Arial" w:cs="Arial" w:eastAsia="Arial" w:hAnsi="Arial"/>
          <w:sz w:val="17"/>
          <w:szCs w:val="17"/>
          <w:color w:val="auto"/>
        </w:rPr>
        <w:t>The Company is party to an operating lease contract for the Company’s office and research facility in Englewood, Colorado, that expires in January 2029. The lease contains an option to extend the lease which management does not reasonably expect to exercise, so it is not included in the length of the term. The Company also has one production line piece of equipment with an operating lease that expires in 2024. As of March 31, 2022, right-of-use assets under operating leases totaling $2.2 million are included in "Operating right-of use assets," and related lease liabilities totaling $2.3 million ($0.4 million in current and $1.8 million in long-term) are included in the Consolidated Balance Sheets.</w:t>
      </w:r>
    </w:p>
    <w:p>
      <w:pPr>
        <w:spacing w:after="0" w:line="3" w:lineRule="exact"/>
        <w:rPr>
          <w:sz w:val="20"/>
          <w:szCs w:val="20"/>
          <w:color w:val="auto"/>
        </w:rPr>
      </w:pPr>
    </w:p>
    <w:p>
      <w:pPr>
        <w:ind w:right="40" w:firstLine="470"/>
        <w:spacing w:after="0" w:line="276" w:lineRule="auto"/>
        <w:rPr>
          <w:sz w:val="20"/>
          <w:szCs w:val="20"/>
          <w:color w:val="auto"/>
        </w:rPr>
      </w:pPr>
      <w:r>
        <w:rPr>
          <w:rFonts w:ascii="Arial" w:cs="Arial" w:eastAsia="Arial" w:hAnsi="Arial"/>
          <w:sz w:val="16"/>
          <w:szCs w:val="16"/>
          <w:color w:val="auto"/>
        </w:rPr>
        <w:t>The Company also has four finance leases for land under arrangements related to NW Iowa RNG. Under these contracts, the Company leases land from dairy farmers on which it has built three anaerobic digesters, related equipment and pipelines to condition raw biogas from cow manure provided by the farmers. The partially conditioned biogas will be transported from the three digester sites to a central gas upgrade system located at the fourth site that will upgrade the biogas to pipeline quality RNG for sale. These leases expire at various dates between 2031 and 2050</w:t>
      </w:r>
      <w:r>
        <w:rPr>
          <w:rFonts w:ascii="Arial" w:cs="Arial" w:eastAsia="Arial" w:hAnsi="Arial"/>
          <w:sz w:val="16"/>
          <w:szCs w:val="16"/>
          <w:i w:val="1"/>
          <w:iCs w:val="1"/>
          <w:color w:val="auto"/>
        </w:rPr>
        <w:t>.</w:t>
      </w:r>
      <w:r>
        <w:rPr>
          <w:rFonts w:ascii="Arial" w:cs="Arial" w:eastAsia="Arial" w:hAnsi="Arial"/>
          <w:sz w:val="16"/>
          <w:szCs w:val="16"/>
          <w:color w:val="auto"/>
        </w:rPr>
        <w:t xml:space="preserve"> Since the Company adopted the practical expedient, all amounts paid to the lessor under these arrangements for cow manure and non-lease services are classified as lease payments and are included in the calculation of the right-of-use assets and lease liabilities. This results in significantly higher right-of-use assets and lease liabilities than if the Company did </w:t>
      </w:r>
      <w:r>
        <w:rPr>
          <w:rFonts w:ascii="Arial" w:cs="Arial" w:eastAsia="Arial" w:hAnsi="Arial"/>
          <w:sz w:val="16"/>
          <w:szCs w:val="16"/>
          <w:i w:val="1"/>
          <w:iCs w:val="1"/>
          <w:color w:val="auto"/>
        </w:rPr>
        <w:t>not</w:t>
      </w:r>
      <w:r>
        <w:rPr>
          <w:rFonts w:ascii="Arial" w:cs="Arial" w:eastAsia="Arial" w:hAnsi="Arial"/>
          <w:sz w:val="16"/>
          <w:szCs w:val="16"/>
          <w:color w:val="auto"/>
        </w:rPr>
        <w:t xml:space="preserve"> elect this practical expedient. The Company also has one office equipment finance lease, which expires in 2025. As of March 31, 2022</w:t>
      </w:r>
      <w:r>
        <w:rPr>
          <w:rFonts w:ascii="Arial" w:cs="Arial" w:eastAsia="Arial" w:hAnsi="Arial"/>
          <w:sz w:val="16"/>
          <w:szCs w:val="16"/>
          <w:i w:val="1"/>
          <w:iCs w:val="1"/>
          <w:color w:val="auto"/>
        </w:rPr>
        <w:t>,</w:t>
      </w:r>
      <w:r>
        <w:rPr>
          <w:rFonts w:ascii="Arial" w:cs="Arial" w:eastAsia="Arial" w:hAnsi="Arial"/>
          <w:sz w:val="16"/>
          <w:szCs w:val="16"/>
          <w:color w:val="auto"/>
        </w:rPr>
        <w:t xml:space="preserve"> right-of-use assets under finance leases totaling $26.9 million are included in "Finance right-of-use assets," and related lease liabilities totaling $21.4 million ($4.0 million in current and $17.4 million in long-term) are included in the Consolidated Balance Sheets.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rFonts w:ascii="Arial" w:cs="Arial" w:eastAsia="Arial" w:hAnsi="Arial"/>
          <w:sz w:val="17"/>
          <w:szCs w:val="17"/>
          <w:u w:val="single" w:color="auto"/>
          <w:color w:val="auto"/>
        </w:rPr>
      </w:pPr>
      <w:hyperlink w:anchor="page1">
        <w:r>
          <w:rPr>
            <w:rFonts w:ascii="Arial" w:cs="Arial" w:eastAsia="Arial" w:hAnsi="Arial"/>
            <w:sz w:val="17"/>
            <w:szCs w:val="17"/>
            <w:u w:val="single" w:color="auto"/>
            <w:color w:val="auto"/>
          </w:rPr>
          <w:t>Table of Contents</w:t>
        </w:r>
      </w:hyperlink>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GEVO, INC.</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5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following table presents the (a) costs by lease category and (b) other quantitative information relating to the Company’s leases (in thousands):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3320" w:type="dxa"/>
            <w:vAlign w:val="bottom"/>
            <w:tcBorders>
              <w:bottom w:val="single" w:sz="8" w:color="auto"/>
            </w:tcBorders>
            <w:gridSpan w:val="4"/>
          </w:tcPr>
          <w:p>
            <w:pPr>
              <w:jc w:val="right"/>
              <w:ind w:right="113"/>
              <w:spacing w:after="0"/>
              <w:rPr>
                <w:sz w:val="20"/>
                <w:szCs w:val="20"/>
                <w:color w:val="auto"/>
              </w:rPr>
            </w:pPr>
            <w:r>
              <w:rPr>
                <w:rFonts w:ascii="Arial" w:cs="Arial" w:eastAsia="Arial" w:hAnsi="Arial"/>
                <w:sz w:val="17"/>
                <w:szCs w:val="17"/>
                <w:b w:val="1"/>
                <w:bCs w:val="1"/>
                <w:color w:val="auto"/>
              </w:rPr>
              <w:t>Three Months Ended March 31,</w:t>
            </w:r>
          </w:p>
        </w:tc>
        <w:tc>
          <w:tcPr>
            <w:tcW w:w="520" w:type="dxa"/>
            <w:vAlign w:val="bottom"/>
            <w:tcBorders>
              <w:bottom w:val="single" w:sz="8" w:color="auto"/>
            </w:tcBorders>
          </w:tcPr>
          <w:p>
            <w:pPr>
              <w:spacing w:after="0"/>
              <w:rPr>
                <w:sz w:val="20"/>
                <w:szCs w:val="20"/>
                <w:color w:val="auto"/>
              </w:rPr>
            </w:pPr>
          </w:p>
        </w:tc>
      </w:tr>
      <w:tr>
        <w:trPr>
          <w:trHeight w:val="241"/>
        </w:trPr>
        <w:tc>
          <w:tcPr>
            <w:tcW w:w="686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rPr>
              <w:t>2022</w:t>
            </w: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2021</w:t>
            </w:r>
          </w:p>
        </w:tc>
        <w:tc>
          <w:tcPr>
            <w:tcW w:w="520" w:type="dxa"/>
            <w:vAlign w:val="bottom"/>
            <w:tcBorders>
              <w:bottom w:val="single" w:sz="8" w:color="auto"/>
            </w:tcBorders>
          </w:tcPr>
          <w:p>
            <w:pPr>
              <w:spacing w:after="0"/>
              <w:rPr>
                <w:sz w:val="20"/>
                <w:szCs w:val="20"/>
                <w:color w:val="auto"/>
              </w:rPr>
            </w:pPr>
          </w:p>
        </w:tc>
      </w:tr>
      <w:tr>
        <w:trPr>
          <w:trHeight w:val="444"/>
        </w:trPr>
        <w:tc>
          <w:tcPr>
            <w:tcW w:w="6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 Cost</w:t>
            </w:r>
          </w:p>
        </w:tc>
        <w:tc>
          <w:tcPr>
            <w:tcW w:w="12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r>
      <w:tr>
        <w:trPr>
          <w:trHeight w:val="242"/>
        </w:trPr>
        <w:tc>
          <w:tcPr>
            <w:tcW w:w="6860" w:type="dxa"/>
            <w:vAlign w:val="bottom"/>
          </w:tcPr>
          <w:p>
            <w:pPr>
              <w:ind w:left="20"/>
              <w:spacing w:after="0"/>
              <w:rPr>
                <w:sz w:val="20"/>
                <w:szCs w:val="20"/>
                <w:color w:val="auto"/>
              </w:rPr>
            </w:pPr>
            <w:r>
              <w:rPr>
                <w:rFonts w:ascii="Arial" w:cs="Arial" w:eastAsia="Arial" w:hAnsi="Arial"/>
                <w:sz w:val="17"/>
                <w:szCs w:val="17"/>
                <w:color w:val="auto"/>
              </w:rPr>
              <w:t>Finance lease cost:</w:t>
            </w:r>
          </w:p>
        </w:tc>
        <w:tc>
          <w:tcPr>
            <w:tcW w:w="1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55"/>
        </w:trPr>
        <w:tc>
          <w:tcPr>
            <w:tcW w:w="6860" w:type="dxa"/>
            <w:vAlign w:val="bottom"/>
            <w:shd w:val="clear" w:color="auto" w:fill="CCEEFF"/>
          </w:tcPr>
          <w:p>
            <w:pPr>
              <w:ind w:left="500"/>
              <w:spacing w:after="0"/>
              <w:rPr>
                <w:sz w:val="20"/>
                <w:szCs w:val="20"/>
                <w:color w:val="auto"/>
              </w:rPr>
            </w:pPr>
            <w:r>
              <w:rPr>
                <w:rFonts w:ascii="Arial" w:cs="Arial" w:eastAsia="Arial" w:hAnsi="Arial"/>
                <w:sz w:val="17"/>
                <w:szCs w:val="17"/>
                <w:color w:val="auto"/>
              </w:rPr>
              <w:t>Amortization of right-of-use assets (1)</w:t>
            </w:r>
          </w:p>
        </w:tc>
        <w:tc>
          <w:tcPr>
            <w:tcW w:w="1260" w:type="dxa"/>
            <w:vAlign w:val="bottom"/>
            <w:shd w:val="clear" w:color="auto" w:fill="CCEEFF"/>
          </w:tcPr>
          <w:p>
            <w:pPr>
              <w:jc w:val="right"/>
              <w:ind w:right="1053"/>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153"/>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48"/>
        </w:trPr>
        <w:tc>
          <w:tcPr>
            <w:tcW w:w="6860" w:type="dxa"/>
            <w:vAlign w:val="bottom"/>
          </w:tcPr>
          <w:p>
            <w:pPr>
              <w:ind w:left="500"/>
              <w:spacing w:after="0"/>
              <w:rPr>
                <w:sz w:val="20"/>
                <w:szCs w:val="20"/>
                <w:color w:val="auto"/>
              </w:rPr>
            </w:pPr>
            <w:r>
              <w:rPr>
                <w:rFonts w:ascii="Arial" w:cs="Arial" w:eastAsia="Arial" w:hAnsi="Arial"/>
                <w:sz w:val="17"/>
                <w:szCs w:val="17"/>
                <w:color w:val="auto"/>
              </w:rPr>
              <w:t>Interest on lease liabilities (1)</w:t>
            </w:r>
          </w:p>
        </w:tc>
        <w:tc>
          <w:tcPr>
            <w:tcW w:w="1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262</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48"/>
        </w:trPr>
        <w:tc>
          <w:tcPr>
            <w:tcW w:w="68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Operating lease cost</w:t>
            </w:r>
          </w:p>
        </w:tc>
        <w:tc>
          <w:tcPr>
            <w:tcW w:w="12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r>
      <w:tr>
        <w:trPr>
          <w:trHeight w:val="248"/>
        </w:trPr>
        <w:tc>
          <w:tcPr>
            <w:tcW w:w="6860" w:type="dxa"/>
            <w:vAlign w:val="bottom"/>
          </w:tcPr>
          <w:p>
            <w:pPr>
              <w:ind w:left="280"/>
              <w:spacing w:after="0"/>
              <w:rPr>
                <w:sz w:val="20"/>
                <w:szCs w:val="20"/>
                <w:color w:val="auto"/>
              </w:rPr>
            </w:pPr>
            <w:r>
              <w:rPr>
                <w:rFonts w:ascii="Arial" w:cs="Arial" w:eastAsia="Arial" w:hAnsi="Arial"/>
                <w:sz w:val="17"/>
                <w:szCs w:val="17"/>
                <w:color w:val="auto"/>
              </w:rPr>
              <w:t>Short-term lease cost</w:t>
            </w:r>
          </w:p>
        </w:tc>
        <w:tc>
          <w:tcPr>
            <w:tcW w:w="1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379</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132</w:t>
            </w:r>
          </w:p>
        </w:tc>
      </w:tr>
      <w:tr>
        <w:trPr>
          <w:trHeight w:val="248"/>
        </w:trPr>
        <w:tc>
          <w:tcPr>
            <w:tcW w:w="68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Variable lease cost (2)</w:t>
            </w:r>
          </w:p>
        </w:tc>
        <w:tc>
          <w:tcPr>
            <w:tcW w:w="12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100" w:type="dxa"/>
            <w:vAlign w:val="bottom"/>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w:t>
            </w:r>
          </w:p>
        </w:tc>
      </w:tr>
      <w:tr>
        <w:trPr>
          <w:trHeight w:val="215"/>
        </w:trPr>
        <w:tc>
          <w:tcPr>
            <w:tcW w:w="6860" w:type="dxa"/>
            <w:vAlign w:val="bottom"/>
          </w:tcPr>
          <w:p>
            <w:pPr>
              <w:ind w:left="20"/>
              <w:spacing w:after="0"/>
              <w:rPr>
                <w:sz w:val="20"/>
                <w:szCs w:val="20"/>
                <w:color w:val="auto"/>
              </w:rPr>
            </w:pPr>
            <w:r>
              <w:rPr>
                <w:rFonts w:ascii="Arial" w:cs="Arial" w:eastAsia="Arial" w:hAnsi="Arial"/>
                <w:sz w:val="17"/>
                <w:szCs w:val="17"/>
                <w:color w:val="auto"/>
              </w:rPr>
              <w:t>Total lease cost</w:t>
            </w:r>
          </w:p>
        </w:tc>
        <w:tc>
          <w:tcPr>
            <w:tcW w:w="1260" w:type="dxa"/>
            <w:vAlign w:val="bottom"/>
            <w:tcBorders>
              <w:bottom w:val="single" w:sz="8" w:color="auto"/>
            </w:tcBorders>
          </w:tcPr>
          <w:p>
            <w:pPr>
              <w:jc w:val="right"/>
              <w:ind w:right="1053"/>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1,359</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ind w:right="1153"/>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243</w:t>
            </w:r>
          </w:p>
        </w:tc>
      </w:tr>
      <w:tr>
        <w:trPr>
          <w:trHeight w:val="20"/>
        </w:trPr>
        <w:tc>
          <w:tcPr>
            <w:tcW w:w="68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ind w:left="320" w:hanging="315"/>
        <w:spacing w:after="0" w:line="259" w:lineRule="auto"/>
        <w:tabs>
          <w:tab w:leader="none" w:pos="314" w:val="left"/>
        </w:tabs>
        <w:numPr>
          <w:ilvl w:val="0"/>
          <w:numId w:val="8"/>
        </w:numPr>
        <w:rPr>
          <w:rFonts w:ascii="Arial" w:cs="Arial" w:eastAsia="Arial" w:hAnsi="Arial"/>
          <w:sz w:val="17"/>
          <w:szCs w:val="17"/>
          <w:color w:val="auto"/>
        </w:rPr>
      </w:pPr>
      <w:r>
        <w:rPr>
          <w:rFonts w:ascii="Arial" w:cs="Arial" w:eastAsia="Arial" w:hAnsi="Arial"/>
          <w:sz w:val="17"/>
          <w:szCs w:val="17"/>
          <w:color w:val="auto"/>
        </w:rPr>
        <w:t>$0.6 million and $0.4 million of amortization and interest expense for the three months ended March 31, 2022 and 2021, respectively, were capitalized as part of construction in progress, for related finance lease liabilities of $23.0 million and $0.6 million, respectively. The accumulated capitalized amounts of $3.0 million are included in "Property, plant and equipment, net" in the Consolidated Balance Sheets as the related NW Iowa RNG facilities were still under construction on March 31, 2022. Since these leases include approximately 75% fuel supplies, when the RNG facilities reach 60% production (expected in the second or third quarter of 2022), these capitalized amounts will be moved to inventory, and as units are sold they will be expensed through cost of goods sold.</w:t>
      </w:r>
    </w:p>
    <w:p>
      <w:pPr>
        <w:spacing w:after="0" w:line="1" w:lineRule="exact"/>
        <w:rPr>
          <w:rFonts w:ascii="Arial" w:cs="Arial" w:eastAsia="Arial" w:hAnsi="Arial"/>
          <w:sz w:val="17"/>
          <w:szCs w:val="17"/>
          <w:color w:val="auto"/>
        </w:rPr>
      </w:pPr>
    </w:p>
    <w:p>
      <w:pPr>
        <w:jc w:val="both"/>
        <w:ind w:left="320" w:right="160" w:hanging="315"/>
        <w:spacing w:after="0" w:line="265" w:lineRule="auto"/>
        <w:tabs>
          <w:tab w:leader="none" w:pos="314" w:val="left"/>
        </w:tabs>
        <w:numPr>
          <w:ilvl w:val="0"/>
          <w:numId w:val="8"/>
        </w:numPr>
        <w:rPr>
          <w:rFonts w:ascii="Arial" w:cs="Arial" w:eastAsia="Arial" w:hAnsi="Arial"/>
          <w:sz w:val="17"/>
          <w:szCs w:val="17"/>
          <w:color w:val="auto"/>
        </w:rPr>
      </w:pPr>
      <w:r>
        <w:rPr>
          <w:rFonts w:ascii="Arial" w:cs="Arial" w:eastAsia="Arial" w:hAnsi="Arial"/>
          <w:sz w:val="17"/>
          <w:szCs w:val="17"/>
          <w:color w:val="auto"/>
        </w:rPr>
        <w:t>Represents amounts incurred in excess of minimum payments, including payments for common area expenses under our office and research facility lease, and additional amounts due under our NW Iowa RNG leases based on the number of cows maintained by the owners above the minimum required by the contracts of the respective facilities.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3220" w:type="dxa"/>
            <w:vAlign w:val="bottom"/>
            <w:tcBorders>
              <w:bottom w:val="single" w:sz="8" w:color="auto"/>
            </w:tcBorders>
            <w:gridSpan w:val="4"/>
          </w:tcPr>
          <w:p>
            <w:pPr>
              <w:jc w:val="right"/>
              <w:ind w:right="13"/>
              <w:spacing w:after="0"/>
              <w:rPr>
                <w:sz w:val="20"/>
                <w:szCs w:val="20"/>
                <w:color w:val="auto"/>
              </w:rPr>
            </w:pPr>
            <w:r>
              <w:rPr>
                <w:rFonts w:ascii="Arial" w:cs="Arial" w:eastAsia="Arial" w:hAnsi="Arial"/>
                <w:sz w:val="17"/>
                <w:szCs w:val="17"/>
                <w:b w:val="1"/>
                <w:bCs w:val="1"/>
                <w:color w:val="auto"/>
              </w:rPr>
              <w:t>Three Months Ended March 31,</w:t>
            </w:r>
          </w:p>
        </w:tc>
        <w:tc>
          <w:tcPr>
            <w:tcW w:w="620" w:type="dxa"/>
            <w:vAlign w:val="bottom"/>
            <w:tcBorders>
              <w:bottom w:val="single" w:sz="8" w:color="auto"/>
            </w:tcBorders>
          </w:tcPr>
          <w:p>
            <w:pPr>
              <w:spacing w:after="0"/>
              <w:rPr>
                <w:sz w:val="20"/>
                <w:szCs w:val="20"/>
                <w:color w:val="auto"/>
              </w:rPr>
            </w:pPr>
          </w:p>
        </w:tc>
      </w:tr>
      <w:tr>
        <w:trPr>
          <w:trHeight w:val="241"/>
        </w:trPr>
        <w:tc>
          <w:tcPr>
            <w:tcW w:w="686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2022</w:t>
            </w: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rPr>
              <w:t>2021</w:t>
            </w:r>
          </w:p>
        </w:tc>
        <w:tc>
          <w:tcPr>
            <w:tcW w:w="620" w:type="dxa"/>
            <w:vAlign w:val="bottom"/>
            <w:tcBorders>
              <w:bottom w:val="single" w:sz="8" w:color="auto"/>
            </w:tcBorders>
          </w:tcPr>
          <w:p>
            <w:pPr>
              <w:spacing w:after="0"/>
              <w:rPr>
                <w:sz w:val="20"/>
                <w:szCs w:val="20"/>
                <w:color w:val="auto"/>
              </w:rPr>
            </w:pPr>
          </w:p>
        </w:tc>
      </w:tr>
      <w:tr>
        <w:trPr>
          <w:trHeight w:val="235"/>
        </w:trPr>
        <w:tc>
          <w:tcPr>
            <w:tcW w:w="6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Information</w:t>
            </w:r>
          </w:p>
        </w:tc>
        <w:tc>
          <w:tcPr>
            <w:tcW w:w="13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r>
      <w:tr>
        <w:trPr>
          <w:trHeight w:val="242"/>
        </w:trPr>
        <w:tc>
          <w:tcPr>
            <w:tcW w:w="6860" w:type="dxa"/>
            <w:vAlign w:val="bottom"/>
          </w:tcPr>
          <w:p>
            <w:pPr>
              <w:ind w:left="280"/>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1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29"/>
        </w:trPr>
        <w:tc>
          <w:tcPr>
            <w:tcW w:w="68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Operating cash flows from finance leases</w:t>
            </w:r>
          </w:p>
        </w:tc>
        <w:tc>
          <w:tcPr>
            <w:tcW w:w="1300" w:type="dxa"/>
            <w:vAlign w:val="bottom"/>
            <w:shd w:val="clear" w:color="auto" w:fill="CCEEFF"/>
          </w:tcPr>
          <w:p>
            <w:pPr>
              <w:jc w:val="right"/>
              <w:ind w:right="1093"/>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3"/>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6</w:t>
            </w:r>
          </w:p>
        </w:tc>
      </w:tr>
      <w:tr>
        <w:trPr>
          <w:trHeight w:val="222"/>
        </w:trPr>
        <w:tc>
          <w:tcPr>
            <w:tcW w:w="6860" w:type="dxa"/>
            <w:vAlign w:val="bottom"/>
          </w:tcPr>
          <w:p>
            <w:pPr>
              <w:ind w:left="440"/>
              <w:spacing w:after="0"/>
              <w:rPr>
                <w:sz w:val="20"/>
                <w:szCs w:val="20"/>
                <w:color w:val="auto"/>
              </w:rPr>
            </w:pPr>
            <w:r>
              <w:rPr>
                <w:rFonts w:ascii="Arial" w:cs="Arial" w:eastAsia="Arial" w:hAnsi="Arial"/>
                <w:sz w:val="17"/>
                <w:szCs w:val="17"/>
                <w:color w:val="auto"/>
              </w:rPr>
              <w:t>Operating cash flows from operating leases</w:t>
            </w:r>
          </w:p>
        </w:tc>
        <w:tc>
          <w:tcPr>
            <w:tcW w:w="1300" w:type="dxa"/>
            <w:vAlign w:val="bottom"/>
          </w:tcPr>
          <w:p>
            <w:pPr>
              <w:jc w:val="right"/>
              <w:ind w:right="1093"/>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33"/>
              <w:spacing w:after="0"/>
              <w:rPr>
                <w:sz w:val="20"/>
                <w:szCs w:val="20"/>
                <w:color w:val="auto"/>
              </w:rPr>
            </w:pPr>
            <w:r>
              <w:rPr>
                <w:rFonts w:ascii="Arial" w:cs="Arial" w:eastAsia="Arial" w:hAnsi="Arial"/>
                <w:sz w:val="17"/>
                <w:szCs w:val="17"/>
                <w:color w:val="auto"/>
              </w:rPr>
              <w:t>456</w:t>
            </w:r>
          </w:p>
        </w:tc>
        <w:tc>
          <w:tcPr>
            <w:tcW w:w="100" w:type="dxa"/>
            <w:vAlign w:val="bottom"/>
          </w:tcPr>
          <w:p>
            <w:pPr>
              <w:spacing w:after="0"/>
              <w:rPr>
                <w:sz w:val="19"/>
                <w:szCs w:val="19"/>
                <w:color w:val="auto"/>
              </w:rPr>
            </w:pPr>
          </w:p>
        </w:tc>
        <w:tc>
          <w:tcPr>
            <w:tcW w:w="1240" w:type="dxa"/>
            <w:vAlign w:val="bottom"/>
          </w:tcPr>
          <w:p>
            <w:pPr>
              <w:jc w:val="right"/>
              <w:ind w:right="1053"/>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ind w:right="33"/>
              <w:spacing w:after="0"/>
              <w:rPr>
                <w:sz w:val="20"/>
                <w:szCs w:val="20"/>
                <w:color w:val="auto"/>
              </w:rPr>
            </w:pPr>
            <w:r>
              <w:rPr>
                <w:rFonts w:ascii="Arial" w:cs="Arial" w:eastAsia="Arial" w:hAnsi="Arial"/>
                <w:sz w:val="17"/>
                <w:szCs w:val="17"/>
                <w:color w:val="auto"/>
              </w:rPr>
              <w:t>61</w:t>
            </w:r>
          </w:p>
        </w:tc>
      </w:tr>
      <w:tr>
        <w:trPr>
          <w:trHeight w:val="222"/>
        </w:trPr>
        <w:tc>
          <w:tcPr>
            <w:tcW w:w="6860" w:type="dxa"/>
            <w:vAlign w:val="bottom"/>
          </w:tcPr>
          <w:p>
            <w:pPr>
              <w:ind w:left="440"/>
              <w:spacing w:after="0"/>
              <w:rPr>
                <w:sz w:val="20"/>
                <w:szCs w:val="20"/>
                <w:color w:val="auto"/>
              </w:rPr>
            </w:pPr>
            <w:r>
              <w:rPr>
                <w:rFonts w:ascii="Arial" w:cs="Arial" w:eastAsia="Arial" w:hAnsi="Arial"/>
                <w:sz w:val="17"/>
                <w:szCs w:val="17"/>
                <w:color w:val="auto"/>
              </w:rPr>
              <w:t>Finance cash flows from finance leases</w:t>
            </w:r>
          </w:p>
        </w:tc>
        <w:tc>
          <w:tcPr>
            <w:tcW w:w="1300" w:type="dxa"/>
            <w:vAlign w:val="bottom"/>
            <w:shd w:val="clear" w:color="auto" w:fill="CCEEFF"/>
          </w:tcPr>
          <w:p>
            <w:pPr>
              <w:jc w:val="right"/>
              <w:ind w:right="1093"/>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34</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3"/>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7</w:t>
            </w:r>
          </w:p>
        </w:tc>
      </w:tr>
      <w:tr>
        <w:trPr>
          <w:trHeight w:val="222"/>
        </w:trPr>
        <w:tc>
          <w:tcPr>
            <w:tcW w:w="6860" w:type="dxa"/>
            <w:vAlign w:val="bottom"/>
          </w:tcPr>
          <w:p>
            <w:pPr>
              <w:ind w:left="240"/>
              <w:spacing w:after="0"/>
              <w:rPr>
                <w:sz w:val="20"/>
                <w:szCs w:val="20"/>
                <w:color w:val="auto"/>
              </w:rPr>
            </w:pPr>
            <w:r>
              <w:rPr>
                <w:rFonts w:ascii="Arial" w:cs="Arial" w:eastAsia="Arial" w:hAnsi="Arial"/>
                <w:sz w:val="17"/>
                <w:szCs w:val="17"/>
                <w:color w:val="auto"/>
              </w:rPr>
              <w:t>Right-of-use asset obtained in exchange for new finance lease liabilities</w:t>
            </w:r>
          </w:p>
        </w:tc>
        <w:tc>
          <w:tcPr>
            <w:tcW w:w="1300" w:type="dxa"/>
            <w:vAlign w:val="bottom"/>
          </w:tcPr>
          <w:p>
            <w:pPr>
              <w:jc w:val="right"/>
              <w:ind w:right="1093"/>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053"/>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ind w:right="33"/>
              <w:spacing w:after="0"/>
              <w:rPr>
                <w:sz w:val="20"/>
                <w:szCs w:val="20"/>
                <w:color w:val="auto"/>
              </w:rPr>
            </w:pPr>
            <w:r>
              <w:rPr>
                <w:rFonts w:ascii="Arial" w:cs="Arial" w:eastAsia="Arial" w:hAnsi="Arial"/>
                <w:sz w:val="17"/>
                <w:szCs w:val="17"/>
                <w:color w:val="auto"/>
              </w:rPr>
              <w:t>—</w:t>
            </w:r>
          </w:p>
        </w:tc>
      </w:tr>
      <w:tr>
        <w:trPr>
          <w:trHeight w:val="222"/>
        </w:trPr>
        <w:tc>
          <w:tcPr>
            <w:tcW w:w="68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Right-of-use asset obtained in exchange for new operating lease liabilities</w:t>
            </w:r>
          </w:p>
        </w:tc>
        <w:tc>
          <w:tcPr>
            <w:tcW w:w="1300" w:type="dxa"/>
            <w:vAlign w:val="bottom"/>
            <w:shd w:val="clear" w:color="auto" w:fill="CCEEFF"/>
          </w:tcPr>
          <w:p>
            <w:pPr>
              <w:jc w:val="right"/>
              <w:ind w:right="1093"/>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1053"/>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1,562</w:t>
            </w:r>
          </w:p>
        </w:tc>
      </w:tr>
      <w:tr>
        <w:trPr>
          <w:trHeight w:val="222"/>
        </w:trPr>
        <w:tc>
          <w:tcPr>
            <w:tcW w:w="6860" w:type="dxa"/>
            <w:vAlign w:val="bottom"/>
          </w:tcPr>
          <w:p>
            <w:pPr>
              <w:ind w:left="240"/>
              <w:spacing w:after="0"/>
              <w:rPr>
                <w:sz w:val="20"/>
                <w:szCs w:val="20"/>
                <w:color w:val="auto"/>
              </w:rPr>
            </w:pPr>
            <w:r>
              <w:rPr>
                <w:rFonts w:ascii="Arial" w:cs="Arial" w:eastAsia="Arial" w:hAnsi="Arial"/>
                <w:sz w:val="17"/>
                <w:szCs w:val="17"/>
                <w:color w:val="auto"/>
              </w:rPr>
              <w:t>Weighted-average remaining lease term, finance lease (months)</w:t>
            </w:r>
          </w:p>
        </w:tc>
        <w:tc>
          <w:tcPr>
            <w:tcW w:w="1300" w:type="dxa"/>
            <w:vAlign w:val="bottom"/>
          </w:tcPr>
          <w:p>
            <w:pPr>
              <w:spacing w:after="0"/>
              <w:rPr>
                <w:sz w:val="19"/>
                <w:szCs w:val="19"/>
                <w:color w:val="auto"/>
              </w:rPr>
            </w:pPr>
          </w:p>
        </w:tc>
        <w:tc>
          <w:tcPr>
            <w:tcW w:w="580" w:type="dxa"/>
            <w:vAlign w:val="bottom"/>
          </w:tcPr>
          <w:p>
            <w:pPr>
              <w:jc w:val="right"/>
              <w:ind w:right="33"/>
              <w:spacing w:after="0"/>
              <w:rPr>
                <w:sz w:val="20"/>
                <w:szCs w:val="20"/>
                <w:color w:val="auto"/>
              </w:rPr>
            </w:pPr>
            <w:r>
              <w:rPr>
                <w:rFonts w:ascii="Arial" w:cs="Arial" w:eastAsia="Arial" w:hAnsi="Arial"/>
                <w:sz w:val="17"/>
                <w:szCs w:val="17"/>
                <w:color w:val="auto"/>
              </w:rPr>
              <w:t>215</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20" w:type="dxa"/>
            <w:vAlign w:val="bottom"/>
          </w:tcPr>
          <w:p>
            <w:pPr>
              <w:jc w:val="right"/>
              <w:ind w:right="33"/>
              <w:spacing w:after="0"/>
              <w:rPr>
                <w:sz w:val="20"/>
                <w:szCs w:val="20"/>
                <w:color w:val="auto"/>
              </w:rPr>
            </w:pPr>
            <w:r>
              <w:rPr>
                <w:rFonts w:ascii="Arial" w:cs="Arial" w:eastAsia="Arial" w:hAnsi="Arial"/>
                <w:sz w:val="17"/>
                <w:szCs w:val="17"/>
                <w:color w:val="auto"/>
              </w:rPr>
              <w:t>221</w:t>
            </w:r>
          </w:p>
        </w:tc>
      </w:tr>
      <w:tr>
        <w:trPr>
          <w:trHeight w:val="248"/>
        </w:trPr>
        <w:tc>
          <w:tcPr>
            <w:tcW w:w="68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Weighted-average remaining lease term, operating leases (months)</w:t>
            </w:r>
          </w:p>
        </w:tc>
        <w:tc>
          <w:tcPr>
            <w:tcW w:w="13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71</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94</w:t>
            </w:r>
          </w:p>
        </w:tc>
      </w:tr>
      <w:tr>
        <w:trPr>
          <w:trHeight w:val="222"/>
        </w:trPr>
        <w:tc>
          <w:tcPr>
            <w:tcW w:w="6860" w:type="dxa"/>
            <w:vAlign w:val="bottom"/>
          </w:tcPr>
          <w:p>
            <w:pPr>
              <w:ind w:left="240"/>
              <w:spacing w:after="0"/>
              <w:rPr>
                <w:sz w:val="20"/>
                <w:szCs w:val="20"/>
                <w:color w:val="auto"/>
              </w:rPr>
            </w:pPr>
            <w:r>
              <w:rPr>
                <w:rFonts w:ascii="Arial" w:cs="Arial" w:eastAsia="Arial" w:hAnsi="Arial"/>
                <w:sz w:val="17"/>
                <w:szCs w:val="17"/>
                <w:color w:val="auto"/>
              </w:rPr>
              <w:t>Weighted-average discount rate - finance leases (1)</w:t>
            </w:r>
          </w:p>
        </w:tc>
        <w:tc>
          <w:tcPr>
            <w:tcW w:w="1300" w:type="dxa"/>
            <w:vAlign w:val="bottom"/>
          </w:tcPr>
          <w:p>
            <w:pPr>
              <w:spacing w:after="0"/>
              <w:rPr>
                <w:sz w:val="19"/>
                <w:szCs w:val="19"/>
                <w:color w:val="auto"/>
              </w:rPr>
            </w:pPr>
          </w:p>
        </w:tc>
        <w:tc>
          <w:tcPr>
            <w:tcW w:w="580" w:type="dxa"/>
            <w:vAlign w:val="bottom"/>
          </w:tcPr>
          <w:p>
            <w:pPr>
              <w:jc w:val="right"/>
              <w:ind w:right="33"/>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20" w:type="dxa"/>
            <w:vAlign w:val="bottom"/>
          </w:tcPr>
          <w:p>
            <w:pPr>
              <w:jc w:val="right"/>
              <w:ind w:right="33"/>
              <w:spacing w:after="0"/>
              <w:rPr>
                <w:sz w:val="20"/>
                <w:szCs w:val="20"/>
                <w:color w:val="auto"/>
              </w:rPr>
            </w:pPr>
            <w:r>
              <w:rPr>
                <w:rFonts w:ascii="Arial" w:cs="Arial" w:eastAsia="Arial" w:hAnsi="Arial"/>
                <w:sz w:val="17"/>
                <w:szCs w:val="17"/>
                <w:color w:val="auto"/>
              </w:rPr>
              <w:t>13%</w:t>
            </w:r>
          </w:p>
        </w:tc>
      </w:tr>
      <w:tr>
        <w:trPr>
          <w:trHeight w:val="248"/>
        </w:trPr>
        <w:tc>
          <w:tcPr>
            <w:tcW w:w="68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Weighted-average discount rate - operating leases (1)</w:t>
            </w:r>
          </w:p>
        </w:tc>
        <w:tc>
          <w:tcPr>
            <w:tcW w:w="13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5%</w:t>
            </w:r>
          </w:p>
        </w:tc>
      </w:tr>
    </w:tbl>
    <w:p>
      <w:pPr>
        <w:ind w:left="320" w:right="100" w:hanging="315"/>
        <w:spacing w:after="0" w:line="273" w:lineRule="auto"/>
        <w:tabs>
          <w:tab w:leader="none" w:pos="314"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discount rate used for operating and finance leases is based on the Company's implicit borrowing rate ("IBR"). The Company estimated the IBR based on collateralized borrowings for similar terms and payments.</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2" w:name="page13"/>
    <w:bookmarkEnd w:id="12"/>
    <w:p>
      <w:pPr>
        <w:spacing w:after="0"/>
        <w:rPr>
          <w:rFonts w:ascii="Arial" w:cs="Arial" w:eastAsia="Arial" w:hAnsi="Arial"/>
          <w:sz w:val="17"/>
          <w:szCs w:val="17"/>
          <w:u w:val="single" w:color="auto"/>
          <w:color w:val="auto"/>
        </w:rPr>
      </w:pPr>
      <w:hyperlink w:anchor="page1">
        <w:r>
          <w:rPr>
            <w:rFonts w:ascii="Arial" w:cs="Arial" w:eastAsia="Arial" w:hAnsi="Arial"/>
            <w:sz w:val="17"/>
            <w:szCs w:val="17"/>
            <w:u w:val="single" w:color="auto"/>
            <w:color w:val="auto"/>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GEVO,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5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 xml:space="preserve">The table below shows the future minimum payments under non-cancelable financing and operating leases at March 31, 2022 </w:t>
      </w:r>
      <w:r>
        <w:rPr>
          <w:rFonts w:ascii="Arial" w:cs="Arial" w:eastAsia="Arial" w:hAnsi="Arial"/>
          <w:sz w:val="17"/>
          <w:szCs w:val="17"/>
          <w:i w:val="1"/>
          <w:iCs w:val="1"/>
          <w:color w:val="auto"/>
        </w:rPr>
        <w:t>(</w:t>
      </w:r>
      <w:r>
        <w:rPr>
          <w:rFonts w:ascii="Arial" w:cs="Arial" w:eastAsia="Arial" w:hAnsi="Arial"/>
          <w:sz w:val="17"/>
          <w:szCs w:val="17"/>
          <w:color w:val="auto"/>
        </w:rPr>
        <w:t>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860" w:type="dxa"/>
            <w:vAlign w:val="bottom"/>
          </w:tcPr>
          <w:p>
            <w:pPr>
              <w:ind w:left="20"/>
              <w:spacing w:after="0"/>
              <w:rPr>
                <w:sz w:val="20"/>
                <w:szCs w:val="20"/>
                <w:color w:val="auto"/>
              </w:rPr>
            </w:pPr>
            <w:r>
              <w:rPr>
                <w:rFonts w:ascii="Arial" w:cs="Arial" w:eastAsia="Arial" w:hAnsi="Arial"/>
                <w:sz w:val="17"/>
                <w:szCs w:val="17"/>
                <w:b w:val="1"/>
                <w:bCs w:val="1"/>
                <w:color w:val="auto"/>
              </w:rPr>
              <w:t>Year ending December 31,</w:t>
            </w:r>
          </w:p>
        </w:tc>
        <w:tc>
          <w:tcPr>
            <w:tcW w:w="200" w:type="dxa"/>
            <w:vAlign w:val="bottom"/>
          </w:tcPr>
          <w:p>
            <w:pPr>
              <w:spacing w:after="0"/>
              <w:rPr>
                <w:sz w:val="20"/>
                <w:szCs w:val="20"/>
                <w:color w:val="auto"/>
              </w:rPr>
            </w:pPr>
          </w:p>
        </w:tc>
        <w:tc>
          <w:tcPr>
            <w:tcW w:w="1780" w:type="dxa"/>
            <w:vAlign w:val="bottom"/>
            <w:gridSpan w:val="2"/>
          </w:tcPr>
          <w:p>
            <w:pPr>
              <w:ind w:left="80"/>
              <w:spacing w:after="0"/>
              <w:rPr>
                <w:sz w:val="20"/>
                <w:szCs w:val="20"/>
                <w:color w:val="auto"/>
              </w:rPr>
            </w:pPr>
            <w:r>
              <w:rPr>
                <w:rFonts w:ascii="Arial" w:cs="Arial" w:eastAsia="Arial" w:hAnsi="Arial"/>
                <w:sz w:val="17"/>
                <w:szCs w:val="17"/>
                <w:b w:val="1"/>
                <w:bCs w:val="1"/>
                <w:color w:val="auto"/>
              </w:rPr>
              <w:t>Operating Leases</w:t>
            </w:r>
          </w:p>
        </w:tc>
        <w:tc>
          <w:tcPr>
            <w:tcW w:w="240" w:type="dxa"/>
            <w:vAlign w:val="bottom"/>
          </w:tcPr>
          <w:p>
            <w:pPr>
              <w:spacing w:after="0"/>
              <w:rPr>
                <w:sz w:val="20"/>
                <w:szCs w:val="20"/>
                <w:color w:val="auto"/>
              </w:rPr>
            </w:pPr>
          </w:p>
        </w:tc>
        <w:tc>
          <w:tcPr>
            <w:tcW w:w="1620" w:type="dxa"/>
            <w:vAlign w:val="bottom"/>
          </w:tcPr>
          <w:p>
            <w:pPr>
              <w:jc w:val="right"/>
              <w:ind w:right="273"/>
              <w:spacing w:after="0"/>
              <w:rPr>
                <w:sz w:val="20"/>
                <w:szCs w:val="20"/>
                <w:color w:val="auto"/>
              </w:rPr>
            </w:pPr>
            <w:r>
              <w:rPr>
                <w:rFonts w:ascii="Arial" w:cs="Arial" w:eastAsia="Arial" w:hAnsi="Arial"/>
                <w:sz w:val="17"/>
                <w:szCs w:val="17"/>
                <w:b w:val="1"/>
                <w:bCs w:val="1"/>
                <w:color w:val="auto"/>
                <w:w w:val="97"/>
              </w:rPr>
              <w:t>Finance Leases</w:t>
            </w:r>
          </w:p>
        </w:tc>
      </w:tr>
      <w:tr>
        <w:trPr>
          <w:trHeight w:val="228"/>
        </w:trPr>
        <w:tc>
          <w:tcPr>
            <w:tcW w:w="6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2022 (remaining)</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2,204</w:t>
            </w:r>
          </w:p>
        </w:tc>
      </w:tr>
      <w:tr>
        <w:trPr>
          <w:trHeight w:val="248"/>
        </w:trPr>
        <w:tc>
          <w:tcPr>
            <w:tcW w:w="6860" w:type="dxa"/>
            <w:vAlign w:val="bottom"/>
          </w:tcPr>
          <w:p>
            <w:pPr>
              <w:ind w:left="20"/>
              <w:spacing w:after="0"/>
              <w:rPr>
                <w:sz w:val="20"/>
                <w:szCs w:val="20"/>
                <w:color w:val="auto"/>
              </w:rPr>
            </w:pPr>
            <w:r>
              <w:rPr>
                <w:rFonts w:ascii="Arial" w:cs="Arial" w:eastAsia="Arial" w:hAnsi="Arial"/>
                <w:sz w:val="17"/>
                <w:szCs w:val="17"/>
                <w:color w:val="auto"/>
              </w:rPr>
              <w:t>2023</w:t>
            </w:r>
          </w:p>
        </w:tc>
        <w:tc>
          <w:tcPr>
            <w:tcW w:w="2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528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1,713</w:t>
            </w:r>
          </w:p>
        </w:tc>
      </w:tr>
      <w:tr>
        <w:trPr>
          <w:trHeight w:val="248"/>
        </w:trPr>
        <w:tc>
          <w:tcPr>
            <w:tcW w:w="6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20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1,729</w:t>
            </w:r>
          </w:p>
        </w:tc>
      </w:tr>
      <w:tr>
        <w:trPr>
          <w:trHeight w:val="248"/>
        </w:trPr>
        <w:tc>
          <w:tcPr>
            <w:tcW w:w="6860" w:type="dxa"/>
            <w:vAlign w:val="bottom"/>
          </w:tcPr>
          <w:p>
            <w:pPr>
              <w:ind w:left="20"/>
              <w:spacing w:after="0"/>
              <w:rPr>
                <w:sz w:val="20"/>
                <w:szCs w:val="20"/>
                <w:color w:val="auto"/>
              </w:rPr>
            </w:pPr>
            <w:r>
              <w:rPr>
                <w:rFonts w:ascii="Arial" w:cs="Arial" w:eastAsia="Arial" w:hAnsi="Arial"/>
                <w:sz w:val="17"/>
                <w:szCs w:val="17"/>
                <w:color w:val="auto"/>
              </w:rPr>
              <w:t>2025</w:t>
            </w:r>
          </w:p>
        </w:tc>
        <w:tc>
          <w:tcPr>
            <w:tcW w:w="2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315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1,743</w:t>
            </w:r>
          </w:p>
        </w:tc>
      </w:tr>
      <w:tr>
        <w:trPr>
          <w:trHeight w:val="248"/>
        </w:trPr>
        <w:tc>
          <w:tcPr>
            <w:tcW w:w="6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20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1,781</w:t>
            </w:r>
          </w:p>
        </w:tc>
      </w:tr>
      <w:tr>
        <w:trPr>
          <w:trHeight w:val="248"/>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2027 and thereafter</w:t>
            </w:r>
          </w:p>
        </w:tc>
        <w:tc>
          <w:tcPr>
            <w:tcW w:w="2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706</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22,130</w:t>
            </w:r>
          </w:p>
        </w:tc>
      </w:tr>
      <w:tr>
        <w:trPr>
          <w:trHeight w:val="228"/>
        </w:trPr>
        <w:tc>
          <w:tcPr>
            <w:tcW w:w="6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31,300</w:t>
            </w:r>
          </w:p>
        </w:tc>
      </w:tr>
      <w:tr>
        <w:trPr>
          <w:trHeight w:val="248"/>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Amounts representing present value discounts</w:t>
            </w:r>
          </w:p>
        </w:tc>
        <w:tc>
          <w:tcPr>
            <w:tcW w:w="2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371</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9,868</w:t>
            </w:r>
          </w:p>
        </w:tc>
      </w:tr>
      <w:tr>
        <w:trPr>
          <w:trHeight w:val="228"/>
        </w:trPr>
        <w:tc>
          <w:tcPr>
            <w:tcW w:w="6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lease liabilities</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21,432</w:t>
            </w:r>
          </w:p>
        </w:tc>
      </w:tr>
      <w:tr>
        <w:trPr>
          <w:trHeight w:val="248"/>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current portion</w:t>
            </w:r>
          </w:p>
        </w:tc>
        <w:tc>
          <w:tcPr>
            <w:tcW w:w="2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416</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4,029</w:t>
            </w:r>
          </w:p>
        </w:tc>
      </w:tr>
      <w:tr>
        <w:trPr>
          <w:trHeight w:val="24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Long-term portion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17,403</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ind w:left="320" w:hanging="315"/>
        <w:spacing w:after="0"/>
        <w:tabs>
          <w:tab w:leader="none" w:pos="32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Inventories</w:t>
      </w:r>
    </w:p>
    <w:p>
      <w:pPr>
        <w:spacing w:after="0" w:line="3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sets forth the components of the Company’s inventory balances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gridSpan w:val="2"/>
          </w:tcPr>
          <w:p>
            <w:pPr>
              <w:ind w:left="140"/>
              <w:spacing w:after="0"/>
              <w:rPr>
                <w:sz w:val="20"/>
                <w:szCs w:val="20"/>
                <w:color w:val="auto"/>
              </w:rPr>
            </w:pPr>
            <w:r>
              <w:rPr>
                <w:rFonts w:ascii="Arial" w:cs="Arial" w:eastAsia="Arial" w:hAnsi="Arial"/>
                <w:sz w:val="17"/>
                <w:szCs w:val="17"/>
                <w:b w:val="1"/>
                <w:bCs w:val="1"/>
                <w:color w:val="auto"/>
              </w:rPr>
              <w:t>March 31, 2022</w:t>
            </w:r>
          </w:p>
        </w:tc>
        <w:tc>
          <w:tcPr>
            <w:tcW w:w="200" w:type="dxa"/>
            <w:vAlign w:val="bottom"/>
          </w:tcPr>
          <w:p>
            <w:pPr>
              <w:spacing w:after="0"/>
              <w:rPr>
                <w:sz w:val="20"/>
                <w:szCs w:val="20"/>
                <w:color w:val="auto"/>
              </w:rPr>
            </w:pPr>
          </w:p>
        </w:tc>
        <w:tc>
          <w:tcPr>
            <w:tcW w:w="1760" w:type="dxa"/>
            <w:vAlign w:val="bottom"/>
          </w:tcPr>
          <w:p>
            <w:pPr>
              <w:jc w:val="right"/>
              <w:ind w:right="193"/>
              <w:spacing w:after="0"/>
              <w:rPr>
                <w:sz w:val="20"/>
                <w:szCs w:val="20"/>
                <w:color w:val="auto"/>
              </w:rPr>
            </w:pPr>
            <w:r>
              <w:rPr>
                <w:rFonts w:ascii="Arial" w:cs="Arial" w:eastAsia="Arial" w:hAnsi="Arial"/>
                <w:sz w:val="17"/>
                <w:szCs w:val="17"/>
                <w:b w:val="1"/>
                <w:bCs w:val="1"/>
                <w:color w:val="auto"/>
                <w:w w:val="95"/>
              </w:rPr>
              <w:t>December 31, 2021</w:t>
            </w:r>
          </w:p>
        </w:tc>
      </w:tr>
      <w:tr>
        <w:trPr>
          <w:trHeight w:val="248"/>
        </w:trPr>
        <w:tc>
          <w:tcPr>
            <w:tcW w:w="7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Raw materials</w:t>
            </w:r>
          </w:p>
        </w:tc>
        <w:tc>
          <w:tcPr>
            <w:tcW w:w="260" w:type="dxa"/>
            <w:vAlign w:val="bottom"/>
            <w:tcBorders>
              <w:top w:val="single" w:sz="8" w:color="auto"/>
            </w:tcBorders>
            <w:shd w:val="clear" w:color="auto" w:fill="CCEEFF"/>
          </w:tcPr>
          <w:p>
            <w:pPr>
              <w:spacing w:after="0"/>
              <w:rPr>
                <w:sz w:val="21"/>
                <w:szCs w:val="21"/>
                <w:color w:val="auto"/>
              </w:rPr>
            </w:pPr>
          </w:p>
        </w:tc>
        <w:tc>
          <w:tcPr>
            <w:tcW w:w="17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760" w:type="dxa"/>
            <w:vAlign w:val="bottom"/>
            <w:tcBorders>
              <w:top w:val="single" w:sz="8" w:color="auto"/>
            </w:tcBorders>
            <w:shd w:val="clear" w:color="auto" w:fill="CCEEFF"/>
          </w:tcPr>
          <w:p>
            <w:pPr>
              <w:spacing w:after="0"/>
              <w:rPr>
                <w:sz w:val="21"/>
                <w:szCs w:val="21"/>
                <w:color w:val="auto"/>
              </w:rPr>
            </w:pPr>
          </w:p>
        </w:tc>
      </w:tr>
      <w:tr>
        <w:trPr>
          <w:trHeight w:val="242"/>
        </w:trPr>
        <w:tc>
          <w:tcPr>
            <w:tcW w:w="7220" w:type="dxa"/>
            <w:vAlign w:val="bottom"/>
          </w:tcPr>
          <w:p>
            <w:pPr>
              <w:ind w:left="180"/>
              <w:spacing w:after="0"/>
              <w:rPr>
                <w:sz w:val="20"/>
                <w:szCs w:val="20"/>
                <w:color w:val="auto"/>
              </w:rPr>
            </w:pPr>
            <w:r>
              <w:rPr>
                <w:rFonts w:ascii="Arial" w:cs="Arial" w:eastAsia="Arial" w:hAnsi="Arial"/>
                <w:sz w:val="17"/>
                <w:szCs w:val="17"/>
                <w:color w:val="auto"/>
              </w:rPr>
              <w:t>Corn</w:t>
            </w: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1700" w:type="dxa"/>
            <w:vAlign w:val="bottom"/>
          </w:tcPr>
          <w:p>
            <w:pPr>
              <w:jc w:val="right"/>
              <w:spacing w:after="0"/>
              <w:rPr>
                <w:sz w:val="20"/>
                <w:szCs w:val="20"/>
                <w:color w:val="auto"/>
              </w:rPr>
            </w:pPr>
            <w:r>
              <w:rPr>
                <w:rFonts w:ascii="Arial" w:cs="Arial" w:eastAsia="Arial" w:hAnsi="Arial"/>
                <w:sz w:val="17"/>
                <w:szCs w:val="17"/>
                <w:color w:val="auto"/>
              </w:rPr>
              <w:t>223</w:t>
            </w:r>
          </w:p>
        </w:tc>
        <w:tc>
          <w:tcPr>
            <w:tcW w:w="100" w:type="dxa"/>
            <w:vAlign w:val="bottom"/>
          </w:tcPr>
          <w:p>
            <w:pPr>
              <w:spacing w:after="0"/>
              <w:rPr>
                <w:sz w:val="21"/>
                <w:szCs w:val="21"/>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760" w:type="dxa"/>
            <w:vAlign w:val="bottom"/>
          </w:tcPr>
          <w:p>
            <w:pPr>
              <w:jc w:val="right"/>
              <w:spacing w:after="0"/>
              <w:rPr>
                <w:sz w:val="20"/>
                <w:szCs w:val="20"/>
                <w:color w:val="auto"/>
              </w:rPr>
            </w:pPr>
            <w:r>
              <w:rPr>
                <w:rFonts w:ascii="Arial" w:cs="Arial" w:eastAsia="Arial" w:hAnsi="Arial"/>
                <w:sz w:val="17"/>
                <w:szCs w:val="17"/>
                <w:color w:val="auto"/>
              </w:rPr>
              <w:t>301</w:t>
            </w:r>
          </w:p>
        </w:tc>
      </w:tr>
      <w:tr>
        <w:trPr>
          <w:trHeight w:val="255"/>
        </w:trPr>
        <w:tc>
          <w:tcPr>
            <w:tcW w:w="72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Enzymes and other inputs</w:t>
            </w:r>
          </w:p>
        </w:tc>
        <w:tc>
          <w:tcPr>
            <w:tcW w:w="260" w:type="dxa"/>
            <w:vAlign w:val="bottom"/>
            <w:shd w:val="clear" w:color="auto" w:fill="CCEEFF"/>
          </w:tcPr>
          <w:p>
            <w:pPr>
              <w:spacing w:after="0"/>
              <w:rPr>
                <w:sz w:val="22"/>
                <w:szCs w:val="22"/>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w:t>
            </w:r>
          </w:p>
        </w:tc>
      </w:tr>
      <w:tr>
        <w:trPr>
          <w:trHeight w:val="242"/>
        </w:trPr>
        <w:tc>
          <w:tcPr>
            <w:tcW w:w="7220" w:type="dxa"/>
            <w:vAlign w:val="bottom"/>
          </w:tcPr>
          <w:p>
            <w:pPr>
              <w:ind w:left="180"/>
              <w:spacing w:after="0"/>
              <w:rPr>
                <w:sz w:val="20"/>
                <w:szCs w:val="20"/>
                <w:color w:val="auto"/>
              </w:rPr>
            </w:pPr>
            <w:r>
              <w:rPr>
                <w:rFonts w:ascii="Arial" w:cs="Arial" w:eastAsia="Arial" w:hAnsi="Arial"/>
                <w:sz w:val="17"/>
                <w:szCs w:val="17"/>
                <w:color w:val="auto"/>
              </w:rPr>
              <w:t>Nutrients</w:t>
            </w:r>
          </w:p>
        </w:tc>
        <w:tc>
          <w:tcPr>
            <w:tcW w:w="2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55"/>
        </w:trPr>
        <w:tc>
          <w:tcPr>
            <w:tcW w:w="72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Palladium</w:t>
            </w:r>
          </w:p>
        </w:tc>
        <w:tc>
          <w:tcPr>
            <w:tcW w:w="260" w:type="dxa"/>
            <w:vAlign w:val="bottom"/>
            <w:shd w:val="clear" w:color="auto" w:fill="CCEEFF"/>
          </w:tcPr>
          <w:p>
            <w:pPr>
              <w:spacing w:after="0"/>
              <w:rPr>
                <w:sz w:val="22"/>
                <w:szCs w:val="22"/>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w:t>
            </w:r>
          </w:p>
        </w:tc>
      </w:tr>
      <w:tr>
        <w:trPr>
          <w:trHeight w:val="242"/>
        </w:trPr>
        <w:tc>
          <w:tcPr>
            <w:tcW w:w="7220" w:type="dxa"/>
            <w:vAlign w:val="bottom"/>
          </w:tcPr>
          <w:p>
            <w:pPr>
              <w:ind w:left="20"/>
              <w:spacing w:after="0"/>
              <w:rPr>
                <w:sz w:val="20"/>
                <w:szCs w:val="20"/>
                <w:color w:val="auto"/>
              </w:rPr>
            </w:pPr>
            <w:r>
              <w:rPr>
                <w:rFonts w:ascii="Arial" w:cs="Arial" w:eastAsia="Arial" w:hAnsi="Arial"/>
                <w:sz w:val="17"/>
                <w:szCs w:val="17"/>
                <w:color w:val="auto"/>
              </w:rPr>
              <w:t>Finished goods</w:t>
            </w:r>
          </w:p>
        </w:tc>
        <w:tc>
          <w:tcPr>
            <w:tcW w:w="2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55"/>
        </w:trPr>
        <w:tc>
          <w:tcPr>
            <w:tcW w:w="72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SAF, Isooctane and Isooctene</w:t>
            </w:r>
          </w:p>
        </w:tc>
        <w:tc>
          <w:tcPr>
            <w:tcW w:w="260" w:type="dxa"/>
            <w:vAlign w:val="bottom"/>
            <w:shd w:val="clear" w:color="auto" w:fill="CCEEFF"/>
          </w:tcPr>
          <w:p>
            <w:pPr>
              <w:spacing w:after="0"/>
              <w:rPr>
                <w:sz w:val="22"/>
                <w:szCs w:val="22"/>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w:t>
            </w:r>
          </w:p>
        </w:tc>
      </w:tr>
      <w:tr>
        <w:trPr>
          <w:trHeight w:val="242"/>
        </w:trPr>
        <w:tc>
          <w:tcPr>
            <w:tcW w:w="7220" w:type="dxa"/>
            <w:vAlign w:val="bottom"/>
          </w:tcPr>
          <w:p>
            <w:pPr>
              <w:ind w:left="180"/>
              <w:spacing w:after="0"/>
              <w:rPr>
                <w:sz w:val="20"/>
                <w:szCs w:val="20"/>
                <w:color w:val="auto"/>
              </w:rPr>
            </w:pPr>
            <w:r>
              <w:rPr>
                <w:rFonts w:ascii="Arial" w:cs="Arial" w:eastAsia="Arial" w:hAnsi="Arial"/>
                <w:sz w:val="17"/>
                <w:szCs w:val="17"/>
                <w:color w:val="auto"/>
              </w:rPr>
              <w:t>Isobutanol</w:t>
            </w:r>
          </w:p>
        </w:tc>
        <w:tc>
          <w:tcPr>
            <w:tcW w:w="2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181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223</w:t>
            </w:r>
          </w:p>
        </w:tc>
      </w:tr>
      <w:tr>
        <w:trPr>
          <w:trHeight w:val="255"/>
        </w:trPr>
        <w:tc>
          <w:tcPr>
            <w:tcW w:w="72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Ethanol</w:t>
            </w:r>
          </w:p>
        </w:tc>
        <w:tc>
          <w:tcPr>
            <w:tcW w:w="260" w:type="dxa"/>
            <w:vAlign w:val="bottom"/>
            <w:shd w:val="clear" w:color="auto" w:fill="CCEEFF"/>
          </w:tcPr>
          <w:p>
            <w:pPr>
              <w:spacing w:after="0"/>
              <w:rPr>
                <w:sz w:val="22"/>
                <w:szCs w:val="22"/>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w:t>
            </w:r>
          </w:p>
        </w:tc>
      </w:tr>
      <w:tr>
        <w:trPr>
          <w:trHeight w:val="242"/>
        </w:trPr>
        <w:tc>
          <w:tcPr>
            <w:tcW w:w="7220" w:type="dxa"/>
            <w:vAlign w:val="bottom"/>
          </w:tcPr>
          <w:p>
            <w:pPr>
              <w:ind w:left="20"/>
              <w:spacing w:after="0"/>
              <w:rPr>
                <w:sz w:val="20"/>
                <w:szCs w:val="20"/>
                <w:color w:val="auto"/>
              </w:rPr>
            </w:pPr>
            <w:r>
              <w:rPr>
                <w:rFonts w:ascii="Arial" w:cs="Arial" w:eastAsia="Arial" w:hAnsi="Arial"/>
                <w:sz w:val="17"/>
                <w:szCs w:val="17"/>
                <w:color w:val="auto"/>
              </w:rPr>
              <w:t>Work in process</w:t>
            </w:r>
          </w:p>
        </w:tc>
        <w:tc>
          <w:tcPr>
            <w:tcW w:w="2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55"/>
        </w:trPr>
        <w:tc>
          <w:tcPr>
            <w:tcW w:w="72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Agri-Energy</w:t>
            </w:r>
          </w:p>
        </w:tc>
        <w:tc>
          <w:tcPr>
            <w:tcW w:w="260" w:type="dxa"/>
            <w:vAlign w:val="bottom"/>
            <w:shd w:val="clear" w:color="auto" w:fill="CCEEFF"/>
          </w:tcPr>
          <w:p>
            <w:pPr>
              <w:spacing w:after="0"/>
              <w:rPr>
                <w:sz w:val="22"/>
                <w:szCs w:val="22"/>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r>
      <w:tr>
        <w:trPr>
          <w:trHeight w:val="242"/>
        </w:trPr>
        <w:tc>
          <w:tcPr>
            <w:tcW w:w="7220" w:type="dxa"/>
            <w:vAlign w:val="bottom"/>
          </w:tcPr>
          <w:p>
            <w:pPr>
              <w:ind w:left="180"/>
              <w:spacing w:after="0"/>
              <w:rPr>
                <w:sz w:val="20"/>
                <w:szCs w:val="20"/>
                <w:color w:val="auto"/>
              </w:rPr>
            </w:pPr>
            <w:r>
              <w:rPr>
                <w:rFonts w:ascii="Arial" w:cs="Arial" w:eastAsia="Arial" w:hAnsi="Arial"/>
                <w:sz w:val="17"/>
                <w:szCs w:val="17"/>
                <w:color w:val="auto"/>
              </w:rPr>
              <w:t>Gevo</w:t>
            </w:r>
          </w:p>
        </w:tc>
        <w:tc>
          <w:tcPr>
            <w:tcW w:w="2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8"/>
        </w:trPr>
        <w:tc>
          <w:tcPr>
            <w:tcW w:w="7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Spare parts</w:t>
            </w:r>
          </w:p>
        </w:tc>
        <w:tc>
          <w:tcPr>
            <w:tcW w:w="26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1,300</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1,262</w:t>
            </w:r>
          </w:p>
        </w:tc>
      </w:tr>
      <w:tr>
        <w:trPr>
          <w:trHeight w:val="222"/>
        </w:trPr>
        <w:tc>
          <w:tcPr>
            <w:tcW w:w="7220" w:type="dxa"/>
            <w:vAlign w:val="bottom"/>
          </w:tcPr>
          <w:p>
            <w:pPr>
              <w:ind w:left="20"/>
              <w:spacing w:after="0"/>
              <w:rPr>
                <w:sz w:val="20"/>
                <w:szCs w:val="20"/>
                <w:color w:val="auto"/>
              </w:rPr>
            </w:pPr>
            <w:r>
              <w:rPr>
                <w:rFonts w:ascii="Arial" w:cs="Arial" w:eastAsia="Arial" w:hAnsi="Arial"/>
                <w:sz w:val="17"/>
                <w:szCs w:val="17"/>
                <w:color w:val="auto"/>
              </w:rPr>
              <w:t>Total inventories</w:t>
            </w: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2,735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2,751</w:t>
            </w:r>
          </w:p>
        </w:tc>
      </w:tr>
      <w:tr>
        <w:trPr>
          <w:trHeight w:val="20"/>
        </w:trPr>
        <w:tc>
          <w:tcPr>
            <w:tcW w:w="7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ind w:left="480"/>
        <w:spacing w:after="0"/>
        <w:rPr>
          <w:sz w:val="20"/>
          <w:szCs w:val="20"/>
          <w:color w:val="auto"/>
        </w:rPr>
      </w:pPr>
      <w:r>
        <w:rPr>
          <w:rFonts w:ascii="Arial" w:cs="Arial" w:eastAsia="Arial" w:hAnsi="Arial"/>
          <w:sz w:val="17"/>
          <w:szCs w:val="17"/>
          <w:color w:val="auto"/>
        </w:rPr>
        <w:t>Work in process inventory includes unfinished SAF, isooctane and isooctene inventory.</w:t>
      </w:r>
    </w:p>
    <w:p>
      <w:pPr>
        <w:spacing w:after="0" w:line="13" w:lineRule="exact"/>
        <w:rPr>
          <w:sz w:val="20"/>
          <w:szCs w:val="20"/>
          <w:color w:val="auto"/>
        </w:rPr>
      </w:pPr>
    </w:p>
    <w:p>
      <w:pPr>
        <w:ind w:right="200" w:firstLine="470"/>
        <w:spacing w:after="0" w:line="265" w:lineRule="auto"/>
        <w:rPr>
          <w:sz w:val="20"/>
          <w:szCs w:val="20"/>
          <w:color w:val="auto"/>
        </w:rPr>
      </w:pPr>
      <w:r>
        <w:rPr>
          <w:rFonts w:ascii="Arial" w:cs="Arial" w:eastAsia="Arial" w:hAnsi="Arial"/>
          <w:sz w:val="17"/>
          <w:szCs w:val="17"/>
          <w:color w:val="auto"/>
        </w:rPr>
        <w:t>During the three months ended March 31, 2022, the Company adjusted its finished goods and work in process inventory to net realizable value and recorded a $2.9 million loss in cost of goods sold. There were no net realizable losses recorded during the three months ended March 31, 2021, as the Luverne Facility was temporarily shut down due to the COVID-19 pandemic.</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rFonts w:ascii="Arial" w:cs="Arial" w:eastAsia="Arial" w:hAnsi="Arial"/>
          <w:sz w:val="17"/>
          <w:szCs w:val="17"/>
          <w:u w:val="single" w:color="auto"/>
          <w:color w:val="auto"/>
        </w:rPr>
      </w:pPr>
      <w:hyperlink w:anchor="page1">
        <w:r>
          <w:rPr>
            <w:rFonts w:ascii="Arial" w:cs="Arial" w:eastAsia="Arial" w:hAnsi="Arial"/>
            <w:sz w:val="17"/>
            <w:szCs w:val="17"/>
            <w:u w:val="single" w:color="auto"/>
            <w:color w:val="auto"/>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GEVO,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51" w:lineRule="exact"/>
        <w:rPr>
          <w:sz w:val="20"/>
          <w:szCs w:val="20"/>
          <w:color w:val="auto"/>
        </w:rPr>
      </w:pPr>
    </w:p>
    <w:p>
      <w:pPr>
        <w:ind w:left="320" w:hanging="315"/>
        <w:spacing w:after="0"/>
        <w:tabs>
          <w:tab w:leader="none" w:pos="32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Property, Plant and Equipment</w:t>
      </w:r>
    </w:p>
    <w:p>
      <w:pPr>
        <w:spacing w:after="0" w:line="3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sets forth the Company’s property, plant and equipment by classification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p>
        </w:tc>
        <w:tc>
          <w:tcPr>
            <w:tcW w:w="2300" w:type="dxa"/>
            <w:vAlign w:val="bottom"/>
            <w:gridSpan w:val="4"/>
          </w:tcPr>
          <w:p>
            <w:pPr>
              <w:jc w:val="center"/>
              <w:ind w:right="100"/>
              <w:spacing w:after="0"/>
              <w:rPr>
                <w:sz w:val="20"/>
                <w:szCs w:val="20"/>
                <w:color w:val="auto"/>
              </w:rPr>
            </w:pPr>
            <w:r>
              <w:rPr>
                <w:rFonts w:ascii="Arial" w:cs="Arial" w:eastAsia="Arial" w:hAnsi="Arial"/>
                <w:sz w:val="17"/>
                <w:szCs w:val="17"/>
                <w:b w:val="1"/>
                <w:bCs w:val="1"/>
                <w:color w:val="auto"/>
                <w:w w:val="93"/>
              </w:rPr>
              <w:t>Useful Life (in years)</w:t>
            </w:r>
          </w:p>
        </w:tc>
        <w:tc>
          <w:tcPr>
            <w:tcW w:w="160" w:type="dxa"/>
            <w:vAlign w:val="bottom"/>
          </w:tcPr>
          <w:p>
            <w:pPr>
              <w:spacing w:after="0"/>
              <w:rPr>
                <w:sz w:val="20"/>
                <w:szCs w:val="20"/>
                <w:color w:val="auto"/>
              </w:rPr>
            </w:pPr>
          </w:p>
        </w:tc>
        <w:tc>
          <w:tcPr>
            <w:tcW w:w="1560" w:type="dxa"/>
            <w:vAlign w:val="bottom"/>
            <w:gridSpan w:val="2"/>
          </w:tcPr>
          <w:p>
            <w:pPr>
              <w:ind w:left="80"/>
              <w:spacing w:after="0"/>
              <w:rPr>
                <w:sz w:val="20"/>
                <w:szCs w:val="20"/>
                <w:color w:val="auto"/>
              </w:rPr>
            </w:pPr>
            <w:r>
              <w:rPr>
                <w:rFonts w:ascii="Arial" w:cs="Arial" w:eastAsia="Arial" w:hAnsi="Arial"/>
                <w:sz w:val="17"/>
                <w:szCs w:val="17"/>
                <w:b w:val="1"/>
                <w:bCs w:val="1"/>
                <w:color w:val="auto"/>
              </w:rPr>
              <w:t>March 31, 2022</w:t>
            </w:r>
          </w:p>
        </w:tc>
        <w:tc>
          <w:tcPr>
            <w:tcW w:w="100" w:type="dxa"/>
            <w:vAlign w:val="bottom"/>
          </w:tcPr>
          <w:p>
            <w:pPr>
              <w:spacing w:after="0"/>
              <w:rPr>
                <w:sz w:val="20"/>
                <w:szCs w:val="20"/>
                <w:color w:val="auto"/>
              </w:rPr>
            </w:pPr>
          </w:p>
        </w:tc>
        <w:tc>
          <w:tcPr>
            <w:tcW w:w="1520" w:type="dxa"/>
            <w:vAlign w:val="bottom"/>
          </w:tcPr>
          <w:p>
            <w:pPr>
              <w:jc w:val="right"/>
              <w:ind w:right="13"/>
              <w:spacing w:after="0"/>
              <w:rPr>
                <w:sz w:val="20"/>
                <w:szCs w:val="20"/>
                <w:color w:val="auto"/>
              </w:rPr>
            </w:pPr>
            <w:r>
              <w:rPr>
                <w:rFonts w:ascii="Arial" w:cs="Arial" w:eastAsia="Arial" w:hAnsi="Arial"/>
                <w:sz w:val="17"/>
                <w:szCs w:val="17"/>
                <w:b w:val="1"/>
                <w:bCs w:val="1"/>
                <w:color w:val="auto"/>
                <w:w w:val="91"/>
              </w:rPr>
              <w:t>December 31, 2021</w:t>
            </w:r>
          </w:p>
        </w:tc>
      </w:tr>
      <w:tr>
        <w:trPr>
          <w:trHeight w:val="241"/>
        </w:trPr>
        <w:tc>
          <w:tcPr>
            <w:tcW w:w="5560" w:type="dxa"/>
            <w:vAlign w:val="bottom"/>
          </w:tcPr>
          <w:p>
            <w:pPr>
              <w:ind w:left="20"/>
              <w:spacing w:after="0"/>
              <w:rPr>
                <w:sz w:val="20"/>
                <w:szCs w:val="20"/>
                <w:color w:val="auto"/>
              </w:rPr>
            </w:pPr>
            <w:r>
              <w:rPr>
                <w:rFonts w:ascii="Arial" w:cs="Arial" w:eastAsia="Arial" w:hAnsi="Arial"/>
                <w:sz w:val="17"/>
                <w:szCs w:val="17"/>
                <w:color w:val="auto"/>
              </w:rPr>
              <w:t>Luverne Facility retrofit asset</w:t>
            </w:r>
          </w:p>
        </w:tc>
        <w:tc>
          <w:tcPr>
            <w:tcW w:w="86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4"/>
              </w:rPr>
              <w:t>20</w:t>
            </w: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70,820</w:t>
            </w:r>
          </w:p>
        </w:tc>
        <w:tc>
          <w:tcPr>
            <w:tcW w:w="1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70,820</w:t>
            </w:r>
          </w:p>
        </w:tc>
      </w:tr>
      <w:tr>
        <w:trPr>
          <w:trHeight w:val="255"/>
        </w:trPr>
        <w:tc>
          <w:tcPr>
            <w:tcW w:w="5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Plant machinery and equipment</w:t>
            </w:r>
          </w:p>
        </w:tc>
        <w:tc>
          <w:tcPr>
            <w:tcW w:w="860" w:type="dxa"/>
            <w:vAlign w:val="bottom"/>
            <w:shd w:val="clear" w:color="auto" w:fill="CCEEFF"/>
          </w:tcPr>
          <w:p>
            <w:pPr>
              <w:spacing w:after="0"/>
              <w:rPr>
                <w:sz w:val="22"/>
                <w:szCs w:val="22"/>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10</w:t>
            </w: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17,949</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17,949</w:t>
            </w:r>
          </w:p>
        </w:tc>
      </w:tr>
      <w:tr>
        <w:trPr>
          <w:trHeight w:val="242"/>
        </w:trPr>
        <w:tc>
          <w:tcPr>
            <w:tcW w:w="5560" w:type="dxa"/>
            <w:vAlign w:val="bottom"/>
          </w:tcPr>
          <w:p>
            <w:pPr>
              <w:ind w:left="20"/>
              <w:spacing w:after="0"/>
              <w:rPr>
                <w:sz w:val="20"/>
                <w:szCs w:val="20"/>
                <w:color w:val="auto"/>
              </w:rPr>
            </w:pPr>
            <w:r>
              <w:rPr>
                <w:rFonts w:ascii="Arial" w:cs="Arial" w:eastAsia="Arial" w:hAnsi="Arial"/>
                <w:sz w:val="17"/>
                <w:szCs w:val="17"/>
                <w:color w:val="auto"/>
              </w:rPr>
              <w:t>Site improvements</w:t>
            </w:r>
          </w:p>
        </w:tc>
        <w:tc>
          <w:tcPr>
            <w:tcW w:w="860" w:type="dxa"/>
            <w:vAlign w:val="bottom"/>
          </w:tcPr>
          <w:p>
            <w:pPr>
              <w:spacing w:after="0"/>
              <w:rPr>
                <w:sz w:val="21"/>
                <w:szCs w:val="21"/>
                <w:color w:val="auto"/>
              </w:rPr>
            </w:pPr>
          </w:p>
        </w:tc>
        <w:tc>
          <w:tcPr>
            <w:tcW w:w="480" w:type="dxa"/>
            <w:vAlign w:val="bottom"/>
          </w:tcPr>
          <w:p>
            <w:pPr>
              <w:jc w:val="center"/>
              <w:spacing w:after="0"/>
              <w:rPr>
                <w:sz w:val="20"/>
                <w:szCs w:val="20"/>
                <w:color w:val="auto"/>
              </w:rPr>
            </w:pPr>
            <w:r>
              <w:rPr>
                <w:rFonts w:ascii="Arial" w:cs="Arial" w:eastAsia="Arial" w:hAnsi="Arial"/>
                <w:sz w:val="17"/>
                <w:szCs w:val="17"/>
                <w:color w:val="auto"/>
                <w:w w:val="94"/>
              </w:rPr>
              <w:t>10</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7,157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7,157</w:t>
            </w:r>
          </w:p>
        </w:tc>
      </w:tr>
      <w:tr>
        <w:trPr>
          <w:trHeight w:val="255"/>
        </w:trPr>
        <w:tc>
          <w:tcPr>
            <w:tcW w:w="5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Lab equipment, furniture and fixtures and vehicles</w:t>
            </w:r>
          </w:p>
        </w:tc>
        <w:tc>
          <w:tcPr>
            <w:tcW w:w="860" w:type="dxa"/>
            <w:vAlign w:val="bottom"/>
            <w:shd w:val="clear" w:color="auto" w:fill="CCEEFF"/>
          </w:tcPr>
          <w:p>
            <w:pPr>
              <w:spacing w:after="0"/>
              <w:rPr>
                <w:sz w:val="22"/>
                <w:szCs w:val="22"/>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5</w:t>
            </w: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6,813</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6,811</w:t>
            </w:r>
          </w:p>
        </w:tc>
      </w:tr>
      <w:tr>
        <w:trPr>
          <w:trHeight w:val="242"/>
        </w:trPr>
        <w:tc>
          <w:tcPr>
            <w:tcW w:w="5560" w:type="dxa"/>
            <w:vAlign w:val="bottom"/>
          </w:tcPr>
          <w:p>
            <w:pPr>
              <w:ind w:left="20"/>
              <w:spacing w:after="0"/>
              <w:rPr>
                <w:sz w:val="20"/>
                <w:szCs w:val="20"/>
                <w:color w:val="auto"/>
              </w:rPr>
            </w:pPr>
            <w:r>
              <w:rPr>
                <w:rFonts w:ascii="Arial" w:cs="Arial" w:eastAsia="Arial" w:hAnsi="Arial"/>
                <w:sz w:val="17"/>
                <w:szCs w:val="17"/>
                <w:color w:val="auto"/>
              </w:rPr>
              <w:t>Demonstration plant</w:t>
            </w:r>
          </w:p>
        </w:tc>
        <w:tc>
          <w:tcPr>
            <w:tcW w:w="860" w:type="dxa"/>
            <w:vAlign w:val="bottom"/>
          </w:tcPr>
          <w:p>
            <w:pPr>
              <w:spacing w:after="0"/>
              <w:rPr>
                <w:sz w:val="21"/>
                <w:szCs w:val="21"/>
                <w:color w:val="auto"/>
              </w:rPr>
            </w:pPr>
          </w:p>
        </w:tc>
        <w:tc>
          <w:tcPr>
            <w:tcW w:w="480" w:type="dxa"/>
            <w:vAlign w:val="bottom"/>
          </w:tcPr>
          <w:p>
            <w:pPr>
              <w:jc w:val="center"/>
              <w:spacing w:after="0"/>
              <w:rPr>
                <w:sz w:val="20"/>
                <w:szCs w:val="20"/>
                <w:color w:val="auto"/>
              </w:rPr>
            </w:pPr>
            <w:r>
              <w:rPr>
                <w:rFonts w:ascii="Arial" w:cs="Arial" w:eastAsia="Arial" w:hAnsi="Arial"/>
                <w:sz w:val="17"/>
                <w:szCs w:val="17"/>
                <w:color w:val="auto"/>
                <w:w w:val="84"/>
              </w:rPr>
              <w:t>2</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3,597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3,597</w:t>
            </w:r>
          </w:p>
        </w:tc>
      </w:tr>
      <w:tr>
        <w:trPr>
          <w:trHeight w:val="255"/>
        </w:trPr>
        <w:tc>
          <w:tcPr>
            <w:tcW w:w="5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Buildings</w:t>
            </w:r>
          </w:p>
        </w:tc>
        <w:tc>
          <w:tcPr>
            <w:tcW w:w="860" w:type="dxa"/>
            <w:vAlign w:val="bottom"/>
            <w:shd w:val="clear" w:color="auto" w:fill="CCEEFF"/>
          </w:tcPr>
          <w:p>
            <w:pPr>
              <w:spacing w:after="0"/>
              <w:rPr>
                <w:sz w:val="22"/>
                <w:szCs w:val="22"/>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10</w:t>
            </w: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2,543</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2,543</w:t>
            </w:r>
          </w:p>
        </w:tc>
      </w:tr>
      <w:tr>
        <w:trPr>
          <w:trHeight w:val="242"/>
        </w:trPr>
        <w:tc>
          <w:tcPr>
            <w:tcW w:w="5560" w:type="dxa"/>
            <w:vAlign w:val="bottom"/>
          </w:tcPr>
          <w:p>
            <w:pPr>
              <w:ind w:left="20"/>
              <w:spacing w:after="0"/>
              <w:rPr>
                <w:sz w:val="20"/>
                <w:szCs w:val="20"/>
                <w:color w:val="auto"/>
              </w:rPr>
            </w:pPr>
            <w:r>
              <w:rPr>
                <w:rFonts w:ascii="Arial" w:cs="Arial" w:eastAsia="Arial" w:hAnsi="Arial"/>
                <w:sz w:val="17"/>
                <w:szCs w:val="17"/>
                <w:color w:val="auto"/>
              </w:rPr>
              <w:t>Leasehold improvements, pilot plant, land and support equipment</w:t>
            </w:r>
          </w:p>
        </w:tc>
        <w:tc>
          <w:tcPr>
            <w:tcW w:w="860" w:type="dxa"/>
            <w:vAlign w:val="bottom"/>
          </w:tcPr>
          <w:p>
            <w:pPr>
              <w:jc w:val="right"/>
              <w:ind w:right="53"/>
              <w:spacing w:after="0"/>
              <w:rPr>
                <w:sz w:val="20"/>
                <w:szCs w:val="20"/>
                <w:color w:val="auto"/>
              </w:rPr>
            </w:pPr>
            <w:r>
              <w:rPr>
                <w:rFonts w:ascii="Arial" w:cs="Arial" w:eastAsia="Arial" w:hAnsi="Arial"/>
                <w:sz w:val="17"/>
                <w:szCs w:val="17"/>
                <w:color w:val="auto"/>
              </w:rPr>
              <w:t>2</w:t>
            </w:r>
          </w:p>
        </w:tc>
        <w:tc>
          <w:tcPr>
            <w:tcW w:w="480" w:type="dxa"/>
            <w:vAlign w:val="bottom"/>
          </w:tcPr>
          <w:p>
            <w:pPr>
              <w:jc w:val="center"/>
              <w:spacing w:after="0"/>
              <w:rPr>
                <w:sz w:val="20"/>
                <w:szCs w:val="20"/>
                <w:color w:val="auto"/>
              </w:rPr>
            </w:pPr>
            <w:r>
              <w:rPr>
                <w:rFonts w:ascii="Arial" w:cs="Arial" w:eastAsia="Arial" w:hAnsi="Arial"/>
                <w:sz w:val="17"/>
                <w:szCs w:val="17"/>
                <w:i w:val="1"/>
                <w:iCs w:val="1"/>
                <w:color w:val="auto"/>
                <w:w w:val="98"/>
              </w:rPr>
              <w:t>to</w:t>
            </w:r>
          </w:p>
        </w:tc>
        <w:tc>
          <w:tcPr>
            <w:tcW w:w="860" w:type="dxa"/>
            <w:vAlign w:val="bottom"/>
          </w:tcPr>
          <w:p>
            <w:pPr>
              <w:jc w:val="right"/>
              <w:ind w:right="553"/>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2,841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2,802</w:t>
            </w:r>
          </w:p>
        </w:tc>
      </w:tr>
      <w:tr>
        <w:trPr>
          <w:trHeight w:val="255"/>
        </w:trPr>
        <w:tc>
          <w:tcPr>
            <w:tcW w:w="5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Computer, office equipment and software</w:t>
            </w: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3</w:t>
            </w:r>
          </w:p>
        </w:tc>
        <w:tc>
          <w:tcPr>
            <w:tcW w:w="48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98"/>
              </w:rPr>
              <w:t>to</w:t>
            </w:r>
          </w:p>
        </w:tc>
        <w:tc>
          <w:tcPr>
            <w:tcW w:w="860" w:type="dxa"/>
            <w:vAlign w:val="bottom"/>
            <w:shd w:val="clear" w:color="auto" w:fill="CCEEFF"/>
          </w:tcPr>
          <w:p>
            <w:pPr>
              <w:jc w:val="right"/>
              <w:ind w:right="553"/>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2,338</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2,332</w:t>
            </w:r>
          </w:p>
        </w:tc>
      </w:tr>
      <w:tr>
        <w:trPr>
          <w:trHeight w:val="242"/>
        </w:trPr>
        <w:tc>
          <w:tcPr>
            <w:tcW w:w="5560" w:type="dxa"/>
            <w:vAlign w:val="bottom"/>
          </w:tcPr>
          <w:p>
            <w:pPr>
              <w:ind w:left="20"/>
              <w:spacing w:after="0"/>
              <w:rPr>
                <w:sz w:val="20"/>
                <w:szCs w:val="20"/>
                <w:color w:val="auto"/>
              </w:rPr>
            </w:pPr>
            <w:r>
              <w:rPr>
                <w:rFonts w:ascii="Arial" w:cs="Arial" w:eastAsia="Arial" w:hAnsi="Arial"/>
                <w:sz w:val="17"/>
                <w:szCs w:val="17"/>
                <w:color w:val="auto"/>
              </w:rPr>
              <w:t>Construction in progress</w:t>
            </w:r>
          </w:p>
        </w:tc>
        <w:tc>
          <w:tcPr>
            <w:tcW w:w="860" w:type="dxa"/>
            <w:vAlign w:val="bottom"/>
          </w:tcPr>
          <w:p>
            <w:pPr>
              <w:spacing w:after="0"/>
              <w:rPr>
                <w:sz w:val="21"/>
                <w:szCs w:val="21"/>
                <w:color w:val="auto"/>
              </w:rPr>
            </w:pPr>
          </w:p>
        </w:tc>
        <w:tc>
          <w:tcPr>
            <w:tcW w:w="480" w:type="dxa"/>
            <w:vAlign w:val="bottom"/>
          </w:tcPr>
          <w:p>
            <w:pPr>
              <w:jc w:val="center"/>
              <w:spacing w:after="0"/>
              <w:rPr>
                <w:sz w:val="20"/>
                <w:szCs w:val="20"/>
                <w:color w:val="auto"/>
              </w:rPr>
            </w:pPr>
            <w:r>
              <w:rPr>
                <w:rFonts w:ascii="Arial" w:cs="Arial" w:eastAsia="Arial" w:hAnsi="Arial"/>
                <w:sz w:val="17"/>
                <w:szCs w:val="17"/>
                <w:i w:val="1"/>
                <w:iCs w:val="1"/>
                <w:color w:val="auto"/>
                <w:w w:val="93"/>
              </w:rPr>
              <w:t>—</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107,848</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88,989</w:t>
            </w:r>
          </w:p>
        </w:tc>
      </w:tr>
      <w:tr>
        <w:trPr>
          <w:trHeight w:val="241"/>
        </w:trPr>
        <w:tc>
          <w:tcPr>
            <w:tcW w:w="5560" w:type="dxa"/>
            <w:vAlign w:val="bottom"/>
          </w:tcPr>
          <w:p>
            <w:pPr>
              <w:ind w:left="20"/>
              <w:spacing w:after="0"/>
              <w:rPr>
                <w:sz w:val="20"/>
                <w:szCs w:val="20"/>
                <w:color w:val="auto"/>
              </w:rPr>
            </w:pPr>
            <w:r>
              <w:rPr>
                <w:rFonts w:ascii="Arial" w:cs="Arial" w:eastAsia="Arial" w:hAnsi="Arial"/>
                <w:sz w:val="17"/>
                <w:szCs w:val="17"/>
                <w:color w:val="auto"/>
              </w:rPr>
              <w:t>Total property, plant and equipment</w:t>
            </w: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221,906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203,000</w:t>
            </w: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Less accumulated depreciation and amortization</w:t>
            </w: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(65,010)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(63,859)</w:t>
            </w:r>
          </w:p>
        </w:tc>
      </w:tr>
      <w:tr>
        <w:trPr>
          <w:trHeight w:val="273"/>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Property, plant and equipment, net</w:t>
            </w:r>
          </w:p>
        </w:tc>
        <w:tc>
          <w:tcPr>
            <w:tcW w:w="8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156,896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139,141</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ind w:left="480"/>
        <w:spacing w:after="0"/>
        <w:rPr>
          <w:sz w:val="20"/>
          <w:szCs w:val="20"/>
          <w:color w:val="auto"/>
        </w:rPr>
      </w:pPr>
      <w:r>
        <w:rPr>
          <w:rFonts w:ascii="Arial" w:cs="Arial" w:eastAsia="Arial" w:hAnsi="Arial"/>
          <w:sz w:val="16"/>
          <w:szCs w:val="16"/>
          <w:color w:val="auto"/>
        </w:rPr>
        <w:t>The Company recorded depreciation and amortization expense related to property, plant and equipment and intangible assets as follows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220" w:type="dxa"/>
            <w:vAlign w:val="bottom"/>
          </w:tcPr>
          <w:p>
            <w:pPr>
              <w:spacing w:after="0"/>
              <w:rPr>
                <w:sz w:val="19"/>
                <w:szCs w:val="19"/>
                <w:color w:val="auto"/>
              </w:rPr>
            </w:pPr>
          </w:p>
        </w:tc>
        <w:tc>
          <w:tcPr>
            <w:tcW w:w="3380" w:type="dxa"/>
            <w:vAlign w:val="bottom"/>
            <w:tcBorders>
              <w:bottom w:val="single" w:sz="8" w:color="auto"/>
            </w:tcBorders>
            <w:gridSpan w:val="4"/>
          </w:tcPr>
          <w:p>
            <w:pPr>
              <w:jc w:val="right"/>
              <w:ind w:right="93"/>
              <w:spacing w:after="0"/>
              <w:rPr>
                <w:sz w:val="20"/>
                <w:szCs w:val="20"/>
                <w:color w:val="auto"/>
              </w:rPr>
            </w:pPr>
            <w:r>
              <w:rPr>
                <w:rFonts w:ascii="Arial" w:cs="Arial" w:eastAsia="Arial" w:hAnsi="Arial"/>
                <w:sz w:val="17"/>
                <w:szCs w:val="17"/>
                <w:b w:val="1"/>
                <w:bCs w:val="1"/>
                <w:color w:val="auto"/>
              </w:rPr>
              <w:t>Three Months Ended March 31,</w:t>
            </w:r>
          </w:p>
        </w:tc>
        <w:tc>
          <w:tcPr>
            <w:tcW w:w="640" w:type="dxa"/>
            <w:vAlign w:val="bottom"/>
            <w:tcBorders>
              <w:bottom w:val="single" w:sz="8" w:color="auto"/>
            </w:tcBorders>
          </w:tcPr>
          <w:p>
            <w:pPr>
              <w:spacing w:after="0"/>
              <w:rPr>
                <w:sz w:val="19"/>
                <w:szCs w:val="19"/>
                <w:color w:val="auto"/>
              </w:rPr>
            </w:pPr>
          </w:p>
        </w:tc>
      </w:tr>
      <w:tr>
        <w:trPr>
          <w:trHeight w:val="235"/>
        </w:trPr>
        <w:tc>
          <w:tcPr>
            <w:tcW w:w="722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2022</w:t>
            </w: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2021</w:t>
            </w:r>
          </w:p>
        </w:tc>
        <w:tc>
          <w:tcPr>
            <w:tcW w:w="640" w:type="dxa"/>
            <w:vAlign w:val="bottom"/>
            <w:tcBorders>
              <w:bottom w:val="single" w:sz="8" w:color="auto"/>
            </w:tcBorders>
          </w:tcPr>
          <w:p>
            <w:pPr>
              <w:spacing w:after="0"/>
              <w:rPr>
                <w:sz w:val="20"/>
                <w:szCs w:val="20"/>
                <w:color w:val="auto"/>
              </w:rPr>
            </w:pPr>
          </w:p>
        </w:tc>
      </w:tr>
      <w:tr>
        <w:trPr>
          <w:trHeight w:val="209"/>
        </w:trPr>
        <w:tc>
          <w:tcPr>
            <w:tcW w:w="7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w:t>
            </w:r>
          </w:p>
        </w:tc>
        <w:tc>
          <w:tcPr>
            <w:tcW w:w="1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22"/>
        </w:trPr>
        <w:tc>
          <w:tcPr>
            <w:tcW w:w="7220" w:type="dxa"/>
            <w:vAlign w:val="bottom"/>
          </w:tcPr>
          <w:p>
            <w:pPr>
              <w:ind w:left="120"/>
              <w:spacing w:after="0"/>
              <w:rPr>
                <w:sz w:val="20"/>
                <w:szCs w:val="20"/>
                <w:color w:val="auto"/>
              </w:rPr>
            </w:pPr>
            <w:r>
              <w:rPr>
                <w:rFonts w:ascii="Arial" w:cs="Arial" w:eastAsia="Arial" w:hAnsi="Arial"/>
                <w:sz w:val="17"/>
                <w:szCs w:val="17"/>
                <w:color w:val="auto"/>
              </w:rPr>
              <w:t>Cost of goods sold</w:t>
            </w:r>
          </w:p>
        </w:tc>
        <w:tc>
          <w:tcPr>
            <w:tcW w:w="1320" w:type="dxa"/>
            <w:vAlign w:val="bottom"/>
          </w:tcPr>
          <w:p>
            <w:pPr>
              <w:jc w:val="right"/>
              <w:ind w:right="1133"/>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1,086</w:t>
            </w:r>
          </w:p>
        </w:tc>
        <w:tc>
          <w:tcPr>
            <w:tcW w:w="100" w:type="dxa"/>
            <w:vAlign w:val="bottom"/>
          </w:tcPr>
          <w:p>
            <w:pPr>
              <w:spacing w:after="0"/>
              <w:rPr>
                <w:sz w:val="19"/>
                <w:szCs w:val="19"/>
                <w:color w:val="auto"/>
              </w:rPr>
            </w:pPr>
          </w:p>
        </w:tc>
        <w:tc>
          <w:tcPr>
            <w:tcW w:w="1320" w:type="dxa"/>
            <w:vAlign w:val="bottom"/>
          </w:tcPr>
          <w:p>
            <w:pPr>
              <w:jc w:val="right"/>
              <w:ind w:right="1133"/>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1,088</w:t>
            </w:r>
          </w:p>
        </w:tc>
      </w:tr>
      <w:tr>
        <w:trPr>
          <w:trHeight w:val="222"/>
        </w:trPr>
        <w:tc>
          <w:tcPr>
            <w:tcW w:w="72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Operating expenses</w:t>
            </w:r>
          </w:p>
        </w:tc>
        <w:tc>
          <w:tcPr>
            <w:tcW w:w="1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r>
      <w:tr>
        <w:trPr>
          <w:trHeight w:val="222"/>
        </w:trPr>
        <w:tc>
          <w:tcPr>
            <w:tcW w:w="7220" w:type="dxa"/>
            <w:vAlign w:val="bottom"/>
          </w:tcPr>
          <w:p>
            <w:pPr>
              <w:ind w:left="20"/>
              <w:spacing w:after="0"/>
              <w:rPr>
                <w:sz w:val="20"/>
                <w:szCs w:val="20"/>
                <w:color w:val="auto"/>
              </w:rPr>
            </w:pPr>
            <w:r>
              <w:rPr>
                <w:rFonts w:ascii="Arial" w:cs="Arial" w:eastAsia="Arial" w:hAnsi="Arial"/>
                <w:sz w:val="17"/>
                <w:szCs w:val="17"/>
                <w:color w:val="auto"/>
              </w:rPr>
              <w:t>Patent amortization:</w:t>
            </w:r>
          </w:p>
        </w:tc>
        <w:tc>
          <w:tcPr>
            <w:tcW w:w="1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2"/>
        </w:trPr>
        <w:tc>
          <w:tcPr>
            <w:tcW w:w="72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Cost of goods sold</w:t>
            </w:r>
          </w:p>
        </w:tc>
        <w:tc>
          <w:tcPr>
            <w:tcW w:w="1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22"/>
        </w:trPr>
        <w:tc>
          <w:tcPr>
            <w:tcW w:w="722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Operating expenses</w:t>
            </w:r>
          </w:p>
        </w:tc>
        <w:tc>
          <w:tcPr>
            <w:tcW w:w="1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286</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40"/>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depreciation and amortization</w:t>
            </w:r>
          </w:p>
        </w:tc>
        <w:tc>
          <w:tcPr>
            <w:tcW w:w="1320" w:type="dxa"/>
            <w:vAlign w:val="bottom"/>
            <w:tcBorders>
              <w:bottom w:val="single" w:sz="8" w:color="auto"/>
            </w:tcBorders>
            <w:shd w:val="clear" w:color="auto" w:fill="CCEEFF"/>
          </w:tcPr>
          <w:p>
            <w:pPr>
              <w:jc w:val="right"/>
              <w:ind w:right="1133"/>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1,442</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1133"/>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1,149</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327" w:lineRule="exact"/>
        <w:rPr>
          <w:sz w:val="20"/>
          <w:szCs w:val="20"/>
          <w:color w:val="auto"/>
        </w:rPr>
      </w:pPr>
    </w:p>
    <w:p>
      <w:pPr>
        <w:jc w:val="both"/>
        <w:ind w:right="140" w:firstLine="470"/>
        <w:spacing w:after="0" w:line="297" w:lineRule="auto"/>
        <w:rPr>
          <w:sz w:val="20"/>
          <w:szCs w:val="20"/>
          <w:color w:val="auto"/>
        </w:rPr>
      </w:pPr>
      <w:r>
        <w:rPr>
          <w:rFonts w:ascii="Arial" w:cs="Arial" w:eastAsia="Arial" w:hAnsi="Arial"/>
          <w:sz w:val="16"/>
          <w:szCs w:val="16"/>
          <w:color w:val="auto"/>
        </w:rPr>
        <w:t xml:space="preserve">Construction in progress includes $0.6 million for Gevo, $13.1 million for Agri-Energy, $67.4 million for NW Iowa RNG and $26.8 million for the Net-Zero 1 Project at March 31, 2022. Construction in progress includes $0.4 million for Gevo, $9.1 million for Agri-Energy, $56.9 million for NW Iowa RNG and $22.5 million for Net-Zero 1 Project at December 31, 2021. Construction in progress is </w:t>
      </w:r>
      <w:r>
        <w:rPr>
          <w:rFonts w:ascii="Arial" w:cs="Arial" w:eastAsia="Arial" w:hAnsi="Arial"/>
          <w:sz w:val="16"/>
          <w:szCs w:val="16"/>
          <w:i w:val="1"/>
          <w:iCs w:val="1"/>
          <w:color w:val="auto"/>
        </w:rPr>
        <w:t>not</w:t>
      </w:r>
      <w:r>
        <w:rPr>
          <w:rFonts w:ascii="Arial" w:cs="Arial" w:eastAsia="Arial" w:hAnsi="Arial"/>
          <w:sz w:val="16"/>
          <w:szCs w:val="16"/>
          <w:color w:val="auto"/>
        </w:rPr>
        <w:t xml:space="preserve"> subject to depreciation until the assets are placed into service.</w:t>
      </w:r>
    </w:p>
    <w:p>
      <w:pPr>
        <w:spacing w:after="0" w:line="179" w:lineRule="exact"/>
        <w:rPr>
          <w:sz w:val="20"/>
          <w:szCs w:val="20"/>
          <w:color w:val="auto"/>
        </w:rPr>
      </w:pPr>
    </w:p>
    <w:p>
      <w:pPr>
        <w:ind w:right="60" w:firstLine="470"/>
        <w:spacing w:after="0" w:line="272" w:lineRule="auto"/>
        <w:rPr>
          <w:sz w:val="20"/>
          <w:szCs w:val="20"/>
          <w:color w:val="auto"/>
        </w:rPr>
      </w:pPr>
      <w:r>
        <w:rPr>
          <w:rFonts w:ascii="Arial" w:cs="Arial" w:eastAsia="Arial" w:hAnsi="Arial"/>
          <w:sz w:val="17"/>
          <w:szCs w:val="17"/>
          <w:i w:val="1"/>
          <w:iCs w:val="1"/>
          <w:color w:val="auto"/>
        </w:rPr>
        <w:t xml:space="preserve">Borrowing costs. </w:t>
      </w:r>
      <w:r>
        <w:rPr>
          <w:rFonts w:ascii="Arial" w:cs="Arial" w:eastAsia="Arial" w:hAnsi="Arial"/>
          <w:sz w:val="17"/>
          <w:szCs w:val="17"/>
          <w:color w:val="auto"/>
        </w:rPr>
        <w:t>Borrowing costs directly attributable to acquisition and construction of an asset are capitalized until it is completed and ready for its</w:t>
      </w:r>
      <w:r>
        <w:rPr>
          <w:rFonts w:ascii="Arial" w:cs="Arial" w:eastAsia="Arial" w:hAnsi="Arial"/>
          <w:sz w:val="17"/>
          <w:szCs w:val="17"/>
          <w:i w:val="1"/>
          <w:iCs w:val="1"/>
          <w:color w:val="auto"/>
        </w:rPr>
        <w:t xml:space="preserve"> </w:t>
      </w:r>
      <w:r>
        <w:rPr>
          <w:rFonts w:ascii="Arial" w:cs="Arial" w:eastAsia="Arial" w:hAnsi="Arial"/>
          <w:sz w:val="17"/>
          <w:szCs w:val="17"/>
          <w:color w:val="auto"/>
        </w:rPr>
        <w:t>intended use, and thereafter are recognized in profit or loss for the current period. The Company capitalized $0.5 million and nil of interest expense for the three months ended March 31, 2022, and March 31, 2021, respectively.</w:t>
      </w:r>
    </w:p>
    <w:p>
      <w:pPr>
        <w:spacing w:after="0" w:line="192" w:lineRule="exact"/>
        <w:rPr>
          <w:sz w:val="20"/>
          <w:szCs w:val="20"/>
          <w:color w:val="auto"/>
        </w:rPr>
      </w:pPr>
    </w:p>
    <w:p>
      <w:pPr>
        <w:ind w:left="320" w:hanging="315"/>
        <w:spacing w:after="0"/>
        <w:tabs>
          <w:tab w:leader="none" w:pos="320"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Intangible Assets</w:t>
      </w:r>
    </w:p>
    <w:p>
      <w:pPr>
        <w:spacing w:after="0" w:line="255" w:lineRule="exact"/>
        <w:rPr>
          <w:sz w:val="20"/>
          <w:szCs w:val="20"/>
          <w:color w:val="auto"/>
        </w:rPr>
      </w:pPr>
    </w:p>
    <w:p>
      <w:pPr>
        <w:ind w:right="20" w:firstLine="470"/>
        <w:spacing w:after="0" w:line="288" w:lineRule="auto"/>
        <w:rPr>
          <w:sz w:val="20"/>
          <w:szCs w:val="20"/>
          <w:color w:val="auto"/>
        </w:rPr>
      </w:pPr>
      <w:r>
        <w:rPr>
          <w:rFonts w:ascii="Arial" w:cs="Arial" w:eastAsia="Arial" w:hAnsi="Arial"/>
          <w:sz w:val="17"/>
          <w:szCs w:val="17"/>
          <w:color w:val="auto"/>
        </w:rPr>
        <w:t>Intangible assets consist of patents, which management evaluates to determine whether they (i) support current products; (ii) support planned research and development, or (iii) prevent others from competing with Gevo's products.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rFonts w:ascii="Arial" w:cs="Arial" w:eastAsia="Arial" w:hAnsi="Arial"/>
          <w:sz w:val="17"/>
          <w:szCs w:val="17"/>
          <w:u w:val="single" w:color="auto"/>
          <w:color w:val="auto"/>
        </w:rPr>
      </w:pPr>
      <w:hyperlink w:anchor="page1">
        <w:r>
          <w:rPr>
            <w:rFonts w:ascii="Arial" w:cs="Arial" w:eastAsia="Arial" w:hAnsi="Arial"/>
            <w:sz w:val="17"/>
            <w:szCs w:val="17"/>
            <w:u w:val="single" w:color="auto"/>
            <w:color w:val="auto"/>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GEVO,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640" w:type="dxa"/>
            <w:vAlign w:val="bottom"/>
            <w:gridSpan w:val="10"/>
          </w:tcPr>
          <w:p>
            <w:pPr>
              <w:ind w:left="480"/>
              <w:spacing w:after="0"/>
              <w:rPr>
                <w:sz w:val="20"/>
                <w:szCs w:val="20"/>
                <w:color w:val="auto"/>
              </w:rPr>
            </w:pPr>
            <w:r>
              <w:rPr>
                <w:rFonts w:ascii="Arial" w:cs="Arial" w:eastAsia="Arial" w:hAnsi="Arial"/>
                <w:sz w:val="17"/>
                <w:szCs w:val="17"/>
                <w:color w:val="auto"/>
              </w:rPr>
              <w:t>The following table sets forth the Company’s identifiable intangible assets by classification (in thousands):</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68"/>
        </w:trPr>
        <w:tc>
          <w:tcPr>
            <w:tcW w:w="3120" w:type="dxa"/>
            <w:vAlign w:val="bottom"/>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480" w:type="dxa"/>
            <w:vAlign w:val="bottom"/>
            <w:tcBorders>
              <w:bottom w:val="single" w:sz="8" w:color="auto"/>
            </w:tcBorders>
            <w:gridSpan w:val="6"/>
          </w:tcPr>
          <w:p>
            <w:pPr>
              <w:jc w:val="right"/>
              <w:ind w:right="793"/>
              <w:spacing w:after="0"/>
              <w:rPr>
                <w:sz w:val="20"/>
                <w:szCs w:val="20"/>
                <w:color w:val="auto"/>
              </w:rPr>
            </w:pPr>
            <w:r>
              <w:rPr>
                <w:rFonts w:ascii="Arial" w:cs="Arial" w:eastAsia="Arial" w:hAnsi="Arial"/>
                <w:sz w:val="17"/>
                <w:szCs w:val="17"/>
                <w:b w:val="1"/>
                <w:bCs w:val="1"/>
                <w:color w:val="auto"/>
              </w:rPr>
              <w:t>March 31, 2022</w:t>
            </w:r>
          </w:p>
        </w:tc>
        <w:tc>
          <w:tcPr>
            <w:tcW w:w="5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r>
      <w:tr>
        <w:trPr>
          <w:trHeight w:val="204"/>
        </w:trPr>
        <w:tc>
          <w:tcPr>
            <w:tcW w:w="3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center"/>
              <w:ind w:left="393"/>
              <w:spacing w:after="0"/>
              <w:rPr>
                <w:sz w:val="20"/>
                <w:szCs w:val="20"/>
                <w:color w:val="auto"/>
              </w:rPr>
            </w:pPr>
            <w:r>
              <w:rPr>
                <w:rFonts w:ascii="Arial" w:cs="Arial" w:eastAsia="Arial" w:hAnsi="Arial"/>
                <w:sz w:val="17"/>
                <w:szCs w:val="17"/>
                <w:b w:val="1"/>
                <w:bCs w:val="1"/>
                <w:color w:val="auto"/>
                <w:w w:val="93"/>
              </w:rPr>
              <w:t>Accumulated</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60" w:type="dxa"/>
            <w:vAlign w:val="bottom"/>
            <w:gridSpan w:val="3"/>
          </w:tcPr>
          <w:p>
            <w:pPr>
              <w:jc w:val="center"/>
              <w:spacing w:after="0"/>
              <w:rPr>
                <w:sz w:val="20"/>
                <w:szCs w:val="20"/>
                <w:color w:val="auto"/>
              </w:rPr>
            </w:pPr>
            <w:r>
              <w:rPr>
                <w:rFonts w:ascii="Arial" w:cs="Arial" w:eastAsia="Arial" w:hAnsi="Arial"/>
                <w:sz w:val="17"/>
                <w:szCs w:val="17"/>
                <w:b w:val="1"/>
                <w:bCs w:val="1"/>
                <w:color w:val="auto"/>
                <w:w w:val="96"/>
              </w:rPr>
              <w:t>Identifiable Intangible</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60" w:type="dxa"/>
            <w:vAlign w:val="bottom"/>
            <w:gridSpan w:val="3"/>
          </w:tcPr>
          <w:p>
            <w:pPr>
              <w:ind w:left="40"/>
              <w:spacing w:after="0"/>
              <w:rPr>
                <w:sz w:val="20"/>
                <w:szCs w:val="20"/>
                <w:color w:val="auto"/>
              </w:rPr>
            </w:pPr>
            <w:r>
              <w:rPr>
                <w:rFonts w:ascii="Arial" w:cs="Arial" w:eastAsia="Arial" w:hAnsi="Arial"/>
                <w:sz w:val="17"/>
                <w:szCs w:val="17"/>
                <w:b w:val="1"/>
                <w:bCs w:val="1"/>
                <w:color w:val="auto"/>
                <w:w w:val="92"/>
              </w:rPr>
              <w:t>Weighted-Average Useful</w:t>
            </w:r>
          </w:p>
        </w:tc>
      </w:tr>
      <w:tr>
        <w:trPr>
          <w:trHeight w:val="234"/>
        </w:trPr>
        <w:tc>
          <w:tcPr>
            <w:tcW w:w="3120" w:type="dxa"/>
            <w:vAlign w:val="bottom"/>
          </w:tcPr>
          <w:p>
            <w:pPr>
              <w:spacing w:after="0"/>
              <w:rPr>
                <w:sz w:val="20"/>
                <w:szCs w:val="20"/>
                <w:color w:val="auto"/>
              </w:rPr>
            </w:pPr>
          </w:p>
        </w:tc>
        <w:tc>
          <w:tcPr>
            <w:tcW w:w="204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w w:val="96"/>
              </w:rPr>
              <w:t>Gross Carrying Amount</w:t>
            </w:r>
          </w:p>
        </w:tc>
        <w:tc>
          <w:tcPr>
            <w:tcW w:w="1480" w:type="dxa"/>
            <w:vAlign w:val="bottom"/>
          </w:tcPr>
          <w:p>
            <w:pPr>
              <w:jc w:val="center"/>
              <w:ind w:left="393"/>
              <w:spacing w:after="0"/>
              <w:rPr>
                <w:sz w:val="20"/>
                <w:szCs w:val="20"/>
                <w:color w:val="auto"/>
              </w:rPr>
            </w:pPr>
            <w:r>
              <w:rPr>
                <w:rFonts w:ascii="Arial" w:cs="Arial" w:eastAsia="Arial" w:hAnsi="Arial"/>
                <w:sz w:val="17"/>
                <w:szCs w:val="17"/>
                <w:b w:val="1"/>
                <w:bCs w:val="1"/>
                <w:color w:val="auto"/>
                <w:w w:val="96"/>
              </w:rPr>
              <w:t>Amortization</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jc w:val="center"/>
              <w:ind w:left="453"/>
              <w:spacing w:after="0"/>
              <w:rPr>
                <w:sz w:val="20"/>
                <w:szCs w:val="20"/>
                <w:color w:val="auto"/>
              </w:rPr>
            </w:pPr>
            <w:r>
              <w:rPr>
                <w:rFonts w:ascii="Arial" w:cs="Arial" w:eastAsia="Arial" w:hAnsi="Arial"/>
                <w:sz w:val="17"/>
                <w:szCs w:val="17"/>
                <w:b w:val="1"/>
                <w:bCs w:val="1"/>
                <w:color w:val="auto"/>
                <w:w w:val="86"/>
              </w:rPr>
              <w:t>Assets, Net</w:t>
            </w: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gridSpan w:val="2"/>
          </w:tcPr>
          <w:p>
            <w:pPr>
              <w:jc w:val="right"/>
              <w:ind w:right="540"/>
              <w:spacing w:after="0"/>
              <w:rPr>
                <w:sz w:val="20"/>
                <w:szCs w:val="20"/>
                <w:color w:val="auto"/>
              </w:rPr>
            </w:pPr>
            <w:r>
              <w:rPr>
                <w:rFonts w:ascii="Arial" w:cs="Arial" w:eastAsia="Arial" w:hAnsi="Arial"/>
                <w:sz w:val="17"/>
                <w:szCs w:val="17"/>
                <w:b w:val="1"/>
                <w:bCs w:val="1"/>
                <w:color w:val="auto"/>
              </w:rPr>
              <w:t>Life (Years)</w:t>
            </w:r>
          </w:p>
        </w:tc>
      </w:tr>
      <w:tr>
        <w:trPr>
          <w:trHeight w:val="248"/>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Finite-lived intangible assets:</w:t>
            </w:r>
          </w:p>
        </w:tc>
        <w:tc>
          <w:tcPr>
            <w:tcW w:w="80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auto"/>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420" w:type="dxa"/>
            <w:vAlign w:val="bottom"/>
            <w:tcBorders>
              <w:top w:val="single" w:sz="8" w:color="auto"/>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62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r>
      <w:tr>
        <w:trPr>
          <w:trHeight w:val="242"/>
        </w:trPr>
        <w:tc>
          <w:tcPr>
            <w:tcW w:w="3120" w:type="dxa"/>
            <w:vAlign w:val="bottom"/>
          </w:tcPr>
          <w:p>
            <w:pPr>
              <w:ind w:left="180"/>
              <w:spacing w:after="0"/>
              <w:rPr>
                <w:sz w:val="20"/>
                <w:szCs w:val="20"/>
                <w:color w:val="auto"/>
              </w:rPr>
            </w:pPr>
            <w:r>
              <w:rPr>
                <w:rFonts w:ascii="Arial" w:cs="Arial" w:eastAsia="Arial" w:hAnsi="Arial"/>
                <w:sz w:val="17"/>
                <w:szCs w:val="17"/>
                <w:color w:val="auto"/>
              </w:rPr>
              <w:t>Patents</w:t>
            </w:r>
          </w:p>
        </w:tc>
        <w:tc>
          <w:tcPr>
            <w:tcW w:w="800" w:type="dxa"/>
            <w:vAlign w:val="bottom"/>
          </w:tcPr>
          <w:p>
            <w:pPr>
              <w:jc w:val="right"/>
              <w:ind w:right="613"/>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4,580</w:t>
            </w:r>
          </w:p>
        </w:tc>
        <w:tc>
          <w:tcPr>
            <w:tcW w:w="100" w:type="dxa"/>
            <w:vAlign w:val="bottom"/>
          </w:tcPr>
          <w:p>
            <w:pPr>
              <w:spacing w:after="0"/>
              <w:rPr>
                <w:sz w:val="21"/>
                <w:szCs w:val="21"/>
                <w:color w:val="auto"/>
              </w:rPr>
            </w:pPr>
          </w:p>
        </w:tc>
        <w:tc>
          <w:tcPr>
            <w:tcW w:w="1480" w:type="dxa"/>
            <w:vAlign w:val="bottom"/>
          </w:tcPr>
          <w:p>
            <w:pPr>
              <w:jc w:val="right"/>
              <w:ind w:right="1273"/>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(516)</w:t>
            </w:r>
          </w:p>
        </w:tc>
        <w:tc>
          <w:tcPr>
            <w:tcW w:w="20" w:type="dxa"/>
            <w:vAlign w:val="bottom"/>
          </w:tcPr>
          <w:p>
            <w:pPr>
              <w:spacing w:after="0"/>
              <w:rPr>
                <w:sz w:val="21"/>
                <w:szCs w:val="21"/>
                <w:color w:val="auto"/>
              </w:rPr>
            </w:pPr>
          </w:p>
        </w:tc>
        <w:tc>
          <w:tcPr>
            <w:tcW w:w="1520" w:type="dxa"/>
            <w:vAlign w:val="bottom"/>
            <w:gridSpan w:val="3"/>
          </w:tcPr>
          <w:p>
            <w:pPr>
              <w:jc w:val="right"/>
              <w:ind w:right="1233"/>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4,064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7"/>
                <w:szCs w:val="17"/>
                <w:color w:val="auto"/>
              </w:rPr>
              <w:t>7.3</w:t>
            </w:r>
          </w:p>
        </w:tc>
      </w:tr>
      <w:tr>
        <w:trPr>
          <w:trHeight w:val="248"/>
        </w:trPr>
        <w:tc>
          <w:tcPr>
            <w:tcW w:w="31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Defensive assets</w:t>
            </w:r>
          </w:p>
        </w:tc>
        <w:tc>
          <w:tcPr>
            <w:tcW w:w="8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4,900</w:t>
            </w:r>
          </w:p>
        </w:tc>
        <w:tc>
          <w:tcPr>
            <w:tcW w:w="100" w:type="dxa"/>
            <w:vAlign w:val="bottom"/>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(308)</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4,592</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8.4</w:t>
            </w:r>
          </w:p>
        </w:tc>
      </w:tr>
      <w:tr>
        <w:trPr>
          <w:trHeight w:val="248"/>
        </w:trPr>
        <w:tc>
          <w:tcPr>
            <w:tcW w:w="3120" w:type="dxa"/>
            <w:vAlign w:val="bottom"/>
          </w:tcPr>
          <w:p>
            <w:pPr>
              <w:ind w:left="20"/>
              <w:spacing w:after="0"/>
              <w:rPr>
                <w:sz w:val="20"/>
                <w:szCs w:val="20"/>
                <w:color w:val="auto"/>
              </w:rPr>
            </w:pPr>
            <w:r>
              <w:rPr>
                <w:rFonts w:ascii="Arial" w:cs="Arial" w:eastAsia="Arial" w:hAnsi="Arial"/>
                <w:sz w:val="17"/>
                <w:szCs w:val="17"/>
                <w:color w:val="auto"/>
              </w:rPr>
              <w:t>Identifiable intangible assets</w:t>
            </w:r>
          </w:p>
        </w:tc>
        <w:tc>
          <w:tcPr>
            <w:tcW w:w="80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9,480</w:t>
            </w:r>
          </w:p>
        </w:tc>
        <w:tc>
          <w:tcPr>
            <w:tcW w:w="100" w:type="dxa"/>
            <w:vAlign w:val="bottom"/>
          </w:tcPr>
          <w:p>
            <w:pPr>
              <w:spacing w:after="0"/>
              <w:rPr>
                <w:sz w:val="21"/>
                <w:szCs w:val="21"/>
                <w:color w:val="auto"/>
              </w:rPr>
            </w:pPr>
          </w:p>
        </w:tc>
        <w:tc>
          <w:tcPr>
            <w:tcW w:w="1480" w:type="dxa"/>
            <w:vAlign w:val="bottom"/>
            <w:tcBorders>
              <w:bottom w:val="single" w:sz="8" w:color="auto"/>
            </w:tcBorders>
          </w:tcPr>
          <w:p>
            <w:pPr>
              <w:jc w:val="right"/>
              <w:ind w:right="1273"/>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(824)</w:t>
            </w:r>
          </w:p>
        </w:tc>
        <w:tc>
          <w:tcPr>
            <w:tcW w:w="20" w:type="dxa"/>
            <w:vAlign w:val="bottom"/>
            <w:tcBorders>
              <w:bottom w:val="single" w:sz="8" w:color="auto"/>
            </w:tcBorders>
          </w:tcPr>
          <w:p>
            <w:pPr>
              <w:spacing w:after="0"/>
              <w:rPr>
                <w:sz w:val="21"/>
                <w:szCs w:val="21"/>
                <w:color w:val="auto"/>
              </w:rPr>
            </w:pPr>
          </w:p>
        </w:tc>
        <w:tc>
          <w:tcPr>
            <w:tcW w:w="100" w:type="dxa"/>
            <w:vAlign w:val="bottom"/>
            <w:gridSpan w:val="2"/>
          </w:tcPr>
          <w:p>
            <w:pPr>
              <w:spacing w:after="0"/>
              <w:rPr>
                <w:sz w:val="21"/>
                <w:szCs w:val="21"/>
                <w:color w:val="auto"/>
              </w:rPr>
            </w:pPr>
          </w:p>
        </w:tc>
        <w:tc>
          <w:tcPr>
            <w:tcW w:w="1420" w:type="dxa"/>
            <w:vAlign w:val="bottom"/>
            <w:tcBorders>
              <w:bottom w:val="single" w:sz="8" w:color="auto"/>
            </w:tcBorders>
          </w:tcPr>
          <w:p>
            <w:pPr>
              <w:jc w:val="right"/>
              <w:ind w:right="1233"/>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8,656</w:t>
            </w:r>
          </w:p>
        </w:tc>
        <w:tc>
          <w:tcPr>
            <w:tcW w:w="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7"/>
                <w:szCs w:val="17"/>
                <w:color w:val="auto"/>
              </w:rPr>
              <w:t>7.9</w:t>
            </w:r>
          </w:p>
        </w:tc>
      </w:tr>
      <w:tr>
        <w:trPr>
          <w:trHeight w:val="20"/>
        </w:trPr>
        <w:tc>
          <w:tcPr>
            <w:tcW w:w="3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0"/>
        </w:trPr>
        <w:tc>
          <w:tcPr>
            <w:tcW w:w="3120" w:type="dxa"/>
            <w:vAlign w:val="bottom"/>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80" w:type="dxa"/>
            <w:vAlign w:val="bottom"/>
            <w:tcBorders>
              <w:bottom w:val="single" w:sz="8" w:color="auto"/>
            </w:tcBorders>
            <w:gridSpan w:val="6"/>
          </w:tcPr>
          <w:p>
            <w:pPr>
              <w:jc w:val="right"/>
              <w:ind w:right="693"/>
              <w:spacing w:after="0"/>
              <w:rPr>
                <w:sz w:val="20"/>
                <w:szCs w:val="20"/>
                <w:color w:val="auto"/>
              </w:rPr>
            </w:pPr>
            <w:r>
              <w:rPr>
                <w:rFonts w:ascii="Arial" w:cs="Arial" w:eastAsia="Arial" w:hAnsi="Arial"/>
                <w:sz w:val="17"/>
                <w:szCs w:val="17"/>
                <w:b w:val="1"/>
                <w:bCs w:val="1"/>
                <w:color w:val="auto"/>
              </w:rPr>
              <w:t>December 31, 2021</w:t>
            </w:r>
          </w:p>
        </w:tc>
        <w:tc>
          <w:tcPr>
            <w:tcW w:w="5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r>
      <w:tr>
        <w:trPr>
          <w:trHeight w:val="204"/>
        </w:trPr>
        <w:tc>
          <w:tcPr>
            <w:tcW w:w="3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center"/>
              <w:ind w:left="373"/>
              <w:spacing w:after="0"/>
              <w:rPr>
                <w:sz w:val="20"/>
                <w:szCs w:val="20"/>
                <w:color w:val="auto"/>
              </w:rPr>
            </w:pPr>
            <w:r>
              <w:rPr>
                <w:rFonts w:ascii="Arial" w:cs="Arial" w:eastAsia="Arial" w:hAnsi="Arial"/>
                <w:sz w:val="17"/>
                <w:szCs w:val="17"/>
                <w:b w:val="1"/>
                <w:bCs w:val="1"/>
                <w:color w:val="auto"/>
                <w:w w:val="91"/>
              </w:rPr>
              <w:t>Accumulated</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60" w:type="dxa"/>
            <w:vAlign w:val="bottom"/>
            <w:gridSpan w:val="3"/>
          </w:tcPr>
          <w:p>
            <w:pPr>
              <w:ind w:left="120"/>
              <w:spacing w:after="0"/>
              <w:rPr>
                <w:sz w:val="20"/>
                <w:szCs w:val="20"/>
                <w:color w:val="auto"/>
              </w:rPr>
            </w:pPr>
            <w:r>
              <w:rPr>
                <w:rFonts w:ascii="Arial" w:cs="Arial" w:eastAsia="Arial" w:hAnsi="Arial"/>
                <w:sz w:val="17"/>
                <w:szCs w:val="17"/>
                <w:b w:val="1"/>
                <w:bCs w:val="1"/>
                <w:color w:val="auto"/>
              </w:rPr>
              <w:t>Identifiable Intangible</w:t>
            </w:r>
          </w:p>
        </w:tc>
        <w:tc>
          <w:tcPr>
            <w:tcW w:w="60" w:type="dxa"/>
            <w:vAlign w:val="bottom"/>
          </w:tcPr>
          <w:p>
            <w:pPr>
              <w:spacing w:after="0"/>
              <w:rPr>
                <w:sz w:val="17"/>
                <w:szCs w:val="17"/>
                <w:color w:val="auto"/>
              </w:rPr>
            </w:pPr>
          </w:p>
        </w:tc>
        <w:tc>
          <w:tcPr>
            <w:tcW w:w="2000" w:type="dxa"/>
            <w:vAlign w:val="bottom"/>
            <w:gridSpan w:val="4"/>
          </w:tcPr>
          <w:p>
            <w:pPr>
              <w:jc w:val="right"/>
              <w:ind w:right="80"/>
              <w:spacing w:after="0"/>
              <w:rPr>
                <w:sz w:val="20"/>
                <w:szCs w:val="20"/>
                <w:color w:val="auto"/>
              </w:rPr>
            </w:pPr>
            <w:r>
              <w:rPr>
                <w:rFonts w:ascii="Arial" w:cs="Arial" w:eastAsia="Arial" w:hAnsi="Arial"/>
                <w:sz w:val="17"/>
                <w:szCs w:val="17"/>
                <w:b w:val="1"/>
                <w:bCs w:val="1"/>
                <w:color w:val="auto"/>
                <w:w w:val="92"/>
              </w:rPr>
              <w:t>Weighted-Average Useful</w:t>
            </w:r>
          </w:p>
        </w:tc>
      </w:tr>
      <w:tr>
        <w:trPr>
          <w:trHeight w:val="234"/>
        </w:trPr>
        <w:tc>
          <w:tcPr>
            <w:tcW w:w="3120" w:type="dxa"/>
            <w:vAlign w:val="bottom"/>
          </w:tcPr>
          <w:p>
            <w:pPr>
              <w:spacing w:after="0"/>
              <w:rPr>
                <w:sz w:val="20"/>
                <w:szCs w:val="20"/>
                <w:color w:val="auto"/>
              </w:rPr>
            </w:pPr>
          </w:p>
        </w:tc>
        <w:tc>
          <w:tcPr>
            <w:tcW w:w="204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w w:val="96"/>
              </w:rPr>
              <w:t>Gross Carrying Amount</w:t>
            </w:r>
          </w:p>
        </w:tc>
        <w:tc>
          <w:tcPr>
            <w:tcW w:w="1480" w:type="dxa"/>
            <w:vAlign w:val="bottom"/>
          </w:tcPr>
          <w:p>
            <w:pPr>
              <w:jc w:val="center"/>
              <w:ind w:left="353"/>
              <w:spacing w:after="0"/>
              <w:rPr>
                <w:sz w:val="20"/>
                <w:szCs w:val="20"/>
                <w:color w:val="auto"/>
              </w:rPr>
            </w:pPr>
            <w:r>
              <w:rPr>
                <w:rFonts w:ascii="Arial" w:cs="Arial" w:eastAsia="Arial" w:hAnsi="Arial"/>
                <w:sz w:val="17"/>
                <w:szCs w:val="17"/>
                <w:b w:val="1"/>
                <w:bCs w:val="1"/>
                <w:color w:val="auto"/>
                <w:w w:val="96"/>
              </w:rPr>
              <w:t>Amortization</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7"/>
                <w:szCs w:val="17"/>
                <w:b w:val="1"/>
                <w:bCs w:val="1"/>
                <w:color w:val="auto"/>
              </w:rPr>
              <w:t>Assets, Net</w:t>
            </w: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gridSpan w:val="2"/>
          </w:tcPr>
          <w:p>
            <w:pPr>
              <w:jc w:val="right"/>
              <w:ind w:right="580"/>
              <w:spacing w:after="0"/>
              <w:rPr>
                <w:sz w:val="20"/>
                <w:szCs w:val="20"/>
                <w:color w:val="auto"/>
              </w:rPr>
            </w:pPr>
            <w:r>
              <w:rPr>
                <w:rFonts w:ascii="Arial" w:cs="Arial" w:eastAsia="Arial" w:hAnsi="Arial"/>
                <w:sz w:val="17"/>
                <w:szCs w:val="17"/>
                <w:b w:val="1"/>
                <w:bCs w:val="1"/>
                <w:color w:val="auto"/>
              </w:rPr>
              <w:t>Life (Years)</w:t>
            </w:r>
          </w:p>
        </w:tc>
      </w:tr>
      <w:tr>
        <w:trPr>
          <w:trHeight w:val="235"/>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Finite-lived intangible assets:</w:t>
            </w:r>
          </w:p>
        </w:tc>
        <w:tc>
          <w:tcPr>
            <w:tcW w:w="80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80" w:type="dxa"/>
            <w:vAlign w:val="bottom"/>
            <w:tcBorders>
              <w:top w:val="single" w:sz="8" w:color="auto"/>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420" w:type="dxa"/>
            <w:vAlign w:val="bottom"/>
            <w:tcBorders>
              <w:top w:val="single" w:sz="8" w:color="auto"/>
            </w:tcBorders>
            <w:shd w:val="clear" w:color="auto" w:fill="CCEEFF"/>
          </w:tcPr>
          <w:p>
            <w:pPr>
              <w:spacing w:after="0"/>
              <w:rPr>
                <w:sz w:val="20"/>
                <w:szCs w:val="20"/>
                <w:color w:val="auto"/>
              </w:rPr>
            </w:pPr>
          </w:p>
        </w:tc>
        <w:tc>
          <w:tcPr>
            <w:tcW w:w="52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1620" w:type="dxa"/>
            <w:vAlign w:val="bottom"/>
            <w:tcBorders>
              <w:top w:val="single" w:sz="8" w:color="auto"/>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42"/>
        </w:trPr>
        <w:tc>
          <w:tcPr>
            <w:tcW w:w="3120" w:type="dxa"/>
            <w:vAlign w:val="bottom"/>
          </w:tcPr>
          <w:p>
            <w:pPr>
              <w:ind w:left="180"/>
              <w:spacing w:after="0"/>
              <w:rPr>
                <w:sz w:val="20"/>
                <w:szCs w:val="20"/>
                <w:color w:val="auto"/>
              </w:rPr>
            </w:pPr>
            <w:r>
              <w:rPr>
                <w:rFonts w:ascii="Arial" w:cs="Arial" w:eastAsia="Arial" w:hAnsi="Arial"/>
                <w:sz w:val="17"/>
                <w:szCs w:val="17"/>
                <w:color w:val="auto"/>
              </w:rPr>
              <w:t>Patents</w:t>
            </w:r>
          </w:p>
        </w:tc>
        <w:tc>
          <w:tcPr>
            <w:tcW w:w="800" w:type="dxa"/>
            <w:vAlign w:val="bottom"/>
          </w:tcPr>
          <w:p>
            <w:pPr>
              <w:jc w:val="right"/>
              <w:ind w:right="613"/>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4,575</w:t>
            </w:r>
          </w:p>
        </w:tc>
        <w:tc>
          <w:tcPr>
            <w:tcW w:w="100" w:type="dxa"/>
            <w:vAlign w:val="bottom"/>
          </w:tcPr>
          <w:p>
            <w:pPr>
              <w:spacing w:after="0"/>
              <w:rPr>
                <w:sz w:val="21"/>
                <w:szCs w:val="21"/>
                <w:color w:val="auto"/>
              </w:rPr>
            </w:pPr>
          </w:p>
        </w:tc>
        <w:tc>
          <w:tcPr>
            <w:tcW w:w="1480" w:type="dxa"/>
            <w:vAlign w:val="bottom"/>
          </w:tcPr>
          <w:p>
            <w:pPr>
              <w:jc w:val="right"/>
              <w:ind w:right="1293"/>
              <w:spacing w:after="0"/>
              <w:rPr>
                <w:sz w:val="20"/>
                <w:szCs w:val="20"/>
                <w:color w:val="auto"/>
              </w:rPr>
            </w:pPr>
            <w:r>
              <w:rPr>
                <w:rFonts w:ascii="Arial" w:cs="Arial" w:eastAsia="Arial" w:hAnsi="Arial"/>
                <w:sz w:val="17"/>
                <w:szCs w:val="17"/>
                <w:color w:val="auto"/>
                <w:w w:val="84"/>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(368)</w:t>
            </w:r>
          </w:p>
        </w:tc>
        <w:tc>
          <w:tcPr>
            <w:tcW w:w="20" w:type="dxa"/>
            <w:vAlign w:val="bottom"/>
          </w:tcPr>
          <w:p>
            <w:pPr>
              <w:spacing w:after="0"/>
              <w:rPr>
                <w:sz w:val="21"/>
                <w:szCs w:val="21"/>
                <w:color w:val="auto"/>
              </w:rPr>
            </w:pPr>
          </w:p>
        </w:tc>
        <w:tc>
          <w:tcPr>
            <w:tcW w:w="1520" w:type="dxa"/>
            <w:vAlign w:val="bottom"/>
            <w:gridSpan w:val="3"/>
          </w:tcPr>
          <w:p>
            <w:pPr>
              <w:jc w:val="right"/>
              <w:ind w:right="1253"/>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98"/>
              </w:rPr>
              <w:t>4,207</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7.3</w:t>
            </w:r>
          </w:p>
        </w:tc>
        <w:tc>
          <w:tcPr>
            <w:tcW w:w="40" w:type="dxa"/>
            <w:vAlign w:val="bottom"/>
          </w:tcPr>
          <w:p>
            <w:pPr>
              <w:spacing w:after="0"/>
              <w:rPr>
                <w:sz w:val="21"/>
                <w:szCs w:val="21"/>
                <w:color w:val="auto"/>
              </w:rPr>
            </w:pPr>
          </w:p>
        </w:tc>
      </w:tr>
      <w:tr>
        <w:trPr>
          <w:trHeight w:val="248"/>
        </w:trPr>
        <w:tc>
          <w:tcPr>
            <w:tcW w:w="31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Defensive assets</w:t>
            </w:r>
          </w:p>
        </w:tc>
        <w:tc>
          <w:tcPr>
            <w:tcW w:w="8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4,895</w:t>
            </w:r>
          </w:p>
        </w:tc>
        <w:tc>
          <w:tcPr>
            <w:tcW w:w="100" w:type="dxa"/>
            <w:vAlign w:val="bottom"/>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4,731</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40" w:type="dxa"/>
            <w:vAlign w:val="bottom"/>
          </w:tcPr>
          <w:p>
            <w:pPr>
              <w:spacing w:after="0"/>
              <w:rPr>
                <w:sz w:val="21"/>
                <w:szCs w:val="21"/>
                <w:color w:val="auto"/>
              </w:rPr>
            </w:pPr>
          </w:p>
        </w:tc>
      </w:tr>
      <w:tr>
        <w:trPr>
          <w:trHeight w:val="248"/>
        </w:trPr>
        <w:tc>
          <w:tcPr>
            <w:tcW w:w="3120" w:type="dxa"/>
            <w:vAlign w:val="bottom"/>
          </w:tcPr>
          <w:p>
            <w:pPr>
              <w:ind w:left="20"/>
              <w:spacing w:after="0"/>
              <w:rPr>
                <w:sz w:val="20"/>
                <w:szCs w:val="20"/>
                <w:color w:val="auto"/>
              </w:rPr>
            </w:pPr>
            <w:r>
              <w:rPr>
                <w:rFonts w:ascii="Arial" w:cs="Arial" w:eastAsia="Arial" w:hAnsi="Arial"/>
                <w:sz w:val="17"/>
                <w:szCs w:val="17"/>
                <w:color w:val="auto"/>
              </w:rPr>
              <w:t>Identifiable intangible assets</w:t>
            </w:r>
          </w:p>
        </w:tc>
        <w:tc>
          <w:tcPr>
            <w:tcW w:w="80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9,470</w:t>
            </w:r>
          </w:p>
        </w:tc>
        <w:tc>
          <w:tcPr>
            <w:tcW w:w="100" w:type="dxa"/>
            <w:vAlign w:val="bottom"/>
          </w:tcPr>
          <w:p>
            <w:pPr>
              <w:spacing w:after="0"/>
              <w:rPr>
                <w:sz w:val="21"/>
                <w:szCs w:val="21"/>
                <w:color w:val="auto"/>
              </w:rPr>
            </w:pPr>
          </w:p>
        </w:tc>
        <w:tc>
          <w:tcPr>
            <w:tcW w:w="1480" w:type="dxa"/>
            <w:vAlign w:val="bottom"/>
            <w:tcBorders>
              <w:bottom w:val="single" w:sz="8" w:color="auto"/>
            </w:tcBorders>
          </w:tcPr>
          <w:p>
            <w:pPr>
              <w:jc w:val="right"/>
              <w:ind w:right="1293"/>
              <w:spacing w:after="0"/>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Borders>
              <w:bottom w:val="single" w:sz="8" w:color="auto"/>
            </w:tcBorders>
            <w:gridSpan w:val="2"/>
          </w:tcPr>
          <w:p>
            <w:pPr>
              <w:jc w:val="right"/>
              <w:ind w:right="1253"/>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8,938</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7.9</w:t>
            </w:r>
          </w:p>
        </w:tc>
        <w:tc>
          <w:tcPr>
            <w:tcW w:w="40" w:type="dxa"/>
            <w:vAlign w:val="bottom"/>
          </w:tcPr>
          <w:p>
            <w:pPr>
              <w:spacing w:after="0"/>
              <w:rPr>
                <w:sz w:val="21"/>
                <w:szCs w:val="21"/>
                <w:color w:val="auto"/>
              </w:rPr>
            </w:pPr>
          </w:p>
        </w:tc>
      </w:tr>
      <w:tr>
        <w:trPr>
          <w:trHeight w:val="20"/>
        </w:trPr>
        <w:tc>
          <w:tcPr>
            <w:tcW w:w="3120" w:type="dxa"/>
            <w:vAlign w:val="bottom"/>
          </w:tcPr>
          <w:p>
            <w:pPr>
              <w:spacing w:after="0" w:line="20" w:lineRule="exact"/>
              <w:rPr>
                <w:sz w:val="1"/>
                <w:szCs w:val="1"/>
                <w:color w:val="auto"/>
              </w:rPr>
            </w:pPr>
          </w:p>
        </w:tc>
        <w:tc>
          <w:tcPr>
            <w:tcW w:w="19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3"/>
        </w:trPr>
        <w:tc>
          <w:tcPr>
            <w:tcW w:w="7100" w:type="dxa"/>
            <w:vAlign w:val="bottom"/>
            <w:gridSpan w:val="6"/>
          </w:tcPr>
          <w:p>
            <w:pPr>
              <w:spacing w:after="0"/>
              <w:rPr>
                <w:sz w:val="20"/>
                <w:szCs w:val="20"/>
                <w:color w:val="auto"/>
              </w:rPr>
            </w:pPr>
            <w:r>
              <w:rPr>
                <w:rFonts w:ascii="Arial" w:cs="Arial" w:eastAsia="Arial" w:hAnsi="Arial"/>
                <w:sz w:val="17"/>
                <w:szCs w:val="17"/>
                <w:color w:val="auto"/>
                <w:w w:val="93"/>
              </w:rPr>
              <w:t>The following table details the estimated amortization of identifiable intangible assets as of March 31,</w:t>
            </w:r>
          </w:p>
        </w:tc>
        <w:tc>
          <w:tcPr>
            <w:tcW w:w="100" w:type="dxa"/>
            <w:vAlign w:val="bottom"/>
            <w:gridSpan w:val="2"/>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w w:val="89"/>
              </w:rPr>
              <w:t xml:space="preserve">2022 </w:t>
            </w:r>
            <w:r>
              <w:rPr>
                <w:rFonts w:ascii="Arial" w:cs="Arial" w:eastAsia="Arial" w:hAnsi="Arial"/>
                <w:sz w:val="17"/>
                <w:szCs w:val="17"/>
                <w:i w:val="1"/>
                <w:iCs w:val="1"/>
                <w:color w:val="auto"/>
                <w:w w:val="89"/>
              </w:rPr>
              <w:t>(</w:t>
            </w:r>
            <w:r>
              <w:rPr>
                <w:rFonts w:ascii="Arial" w:cs="Arial" w:eastAsia="Arial" w:hAnsi="Arial"/>
                <w:sz w:val="17"/>
                <w:szCs w:val="17"/>
                <w:color w:val="auto"/>
                <w:w w:val="89"/>
              </w:rPr>
              <w:t>in thousands):</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56"/>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Year ending December 31,</w:t>
            </w:r>
          </w:p>
        </w:tc>
        <w:tc>
          <w:tcPr>
            <w:tcW w:w="80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center"/>
              <w:ind w:left="373"/>
              <w:spacing w:after="0"/>
              <w:rPr>
                <w:sz w:val="20"/>
                <w:szCs w:val="20"/>
                <w:color w:val="auto"/>
              </w:rPr>
            </w:pPr>
            <w:r>
              <w:rPr>
                <w:rFonts w:ascii="Arial" w:cs="Arial" w:eastAsia="Arial" w:hAnsi="Arial"/>
                <w:sz w:val="17"/>
                <w:szCs w:val="17"/>
                <w:b w:val="1"/>
                <w:bCs w:val="1"/>
                <w:color w:val="auto"/>
                <w:w w:val="87"/>
              </w:rPr>
              <w:t>Patents</w:t>
            </w:r>
          </w:p>
        </w:tc>
        <w:tc>
          <w:tcPr>
            <w:tcW w:w="4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96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88"/>
              </w:rPr>
              <w:t>Defensive Assets</w:t>
            </w: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2"/>
          </w:tcPr>
          <w:p>
            <w:pPr>
              <w:jc w:val="right"/>
              <w:ind w:right="780"/>
              <w:spacing w:after="0"/>
              <w:rPr>
                <w:sz w:val="20"/>
                <w:szCs w:val="20"/>
                <w:color w:val="auto"/>
              </w:rPr>
            </w:pPr>
            <w:r>
              <w:rPr>
                <w:rFonts w:ascii="Arial" w:cs="Arial" w:eastAsia="Arial" w:hAnsi="Arial"/>
                <w:sz w:val="17"/>
                <w:szCs w:val="17"/>
                <w:b w:val="1"/>
                <w:bCs w:val="1"/>
                <w:color w:val="auto"/>
              </w:rPr>
              <w:t>Total</w:t>
            </w:r>
          </w:p>
        </w:tc>
      </w:tr>
      <w:tr>
        <w:trPr>
          <w:trHeight w:val="222"/>
        </w:trPr>
        <w:tc>
          <w:tcPr>
            <w:tcW w:w="3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2022 (remaining)</w:t>
            </w:r>
          </w:p>
        </w:tc>
        <w:tc>
          <w:tcPr>
            <w:tcW w:w="8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293"/>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w:t>
            </w:r>
          </w:p>
        </w:tc>
        <w:tc>
          <w:tcPr>
            <w:tcW w:w="2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1233"/>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442</w:t>
            </w:r>
          </w:p>
        </w:tc>
        <w:tc>
          <w:tcPr>
            <w:tcW w:w="20" w:type="dxa"/>
            <w:vAlign w:val="bottom"/>
            <w:shd w:val="clear" w:color="auto" w:fill="CCEEFF"/>
          </w:tcPr>
          <w:p>
            <w:pPr>
              <w:spacing w:after="0"/>
              <w:rPr>
                <w:sz w:val="19"/>
                <w:szCs w:val="19"/>
                <w:color w:val="auto"/>
              </w:rPr>
            </w:pPr>
          </w:p>
        </w:tc>
        <w:tc>
          <w:tcPr>
            <w:tcW w:w="40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894</w:t>
            </w:r>
          </w:p>
        </w:tc>
        <w:tc>
          <w:tcPr>
            <w:tcW w:w="40" w:type="dxa"/>
            <w:vAlign w:val="bottom"/>
            <w:shd w:val="clear" w:color="auto" w:fill="CCEEFF"/>
          </w:tcPr>
          <w:p>
            <w:pPr>
              <w:spacing w:after="0"/>
              <w:rPr>
                <w:sz w:val="19"/>
                <w:szCs w:val="19"/>
                <w:color w:val="auto"/>
              </w:rPr>
            </w:pPr>
          </w:p>
        </w:tc>
      </w:tr>
      <w:tr>
        <w:trPr>
          <w:trHeight w:val="222"/>
        </w:trPr>
        <w:tc>
          <w:tcPr>
            <w:tcW w:w="3120" w:type="dxa"/>
            <w:vAlign w:val="bottom"/>
          </w:tcPr>
          <w:p>
            <w:pPr>
              <w:ind w:left="20"/>
              <w:spacing w:after="0"/>
              <w:rPr>
                <w:sz w:val="20"/>
                <w:szCs w:val="20"/>
                <w:color w:val="auto"/>
              </w:rPr>
            </w:pPr>
            <w:r>
              <w:rPr>
                <w:rFonts w:ascii="Arial" w:cs="Arial" w:eastAsia="Arial" w:hAnsi="Arial"/>
                <w:sz w:val="17"/>
                <w:szCs w:val="17"/>
                <w:color w:val="auto"/>
              </w:rPr>
              <w:t>2023</w:t>
            </w:r>
          </w:p>
        </w:tc>
        <w:tc>
          <w:tcPr>
            <w:tcW w:w="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599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586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1,185</w:t>
            </w:r>
          </w:p>
        </w:tc>
        <w:tc>
          <w:tcPr>
            <w:tcW w:w="40" w:type="dxa"/>
            <w:vAlign w:val="bottom"/>
          </w:tcPr>
          <w:p>
            <w:pPr>
              <w:spacing w:after="0"/>
              <w:rPr>
                <w:sz w:val="19"/>
                <w:szCs w:val="19"/>
                <w:color w:val="auto"/>
              </w:rPr>
            </w:pPr>
          </w:p>
        </w:tc>
      </w:tr>
      <w:tr>
        <w:trPr>
          <w:trHeight w:val="222"/>
        </w:trPr>
        <w:tc>
          <w:tcPr>
            <w:tcW w:w="3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8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1,189</w:t>
            </w:r>
          </w:p>
        </w:tc>
        <w:tc>
          <w:tcPr>
            <w:tcW w:w="40" w:type="dxa"/>
            <w:vAlign w:val="bottom"/>
            <w:shd w:val="clear" w:color="auto" w:fill="CCEEFF"/>
          </w:tcPr>
          <w:p>
            <w:pPr>
              <w:spacing w:after="0"/>
              <w:rPr>
                <w:sz w:val="19"/>
                <w:szCs w:val="19"/>
                <w:color w:val="auto"/>
              </w:rPr>
            </w:pPr>
          </w:p>
        </w:tc>
      </w:tr>
      <w:tr>
        <w:trPr>
          <w:trHeight w:val="222"/>
        </w:trPr>
        <w:tc>
          <w:tcPr>
            <w:tcW w:w="3120" w:type="dxa"/>
            <w:vAlign w:val="bottom"/>
          </w:tcPr>
          <w:p>
            <w:pPr>
              <w:ind w:left="20"/>
              <w:spacing w:after="0"/>
              <w:rPr>
                <w:sz w:val="20"/>
                <w:szCs w:val="20"/>
                <w:color w:val="auto"/>
              </w:rPr>
            </w:pPr>
            <w:r>
              <w:rPr>
                <w:rFonts w:ascii="Arial" w:cs="Arial" w:eastAsia="Arial" w:hAnsi="Arial"/>
                <w:sz w:val="17"/>
                <w:szCs w:val="17"/>
                <w:color w:val="auto"/>
              </w:rPr>
              <w:t>2025</w:t>
            </w:r>
          </w:p>
        </w:tc>
        <w:tc>
          <w:tcPr>
            <w:tcW w:w="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599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586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1,185</w:t>
            </w:r>
          </w:p>
        </w:tc>
        <w:tc>
          <w:tcPr>
            <w:tcW w:w="40" w:type="dxa"/>
            <w:vAlign w:val="bottom"/>
          </w:tcPr>
          <w:p>
            <w:pPr>
              <w:spacing w:after="0"/>
              <w:rPr>
                <w:sz w:val="19"/>
                <w:szCs w:val="19"/>
                <w:color w:val="auto"/>
              </w:rPr>
            </w:pPr>
          </w:p>
        </w:tc>
      </w:tr>
      <w:tr>
        <w:trPr>
          <w:trHeight w:val="222"/>
        </w:trPr>
        <w:tc>
          <w:tcPr>
            <w:tcW w:w="3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8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1,171</w:t>
            </w:r>
          </w:p>
        </w:tc>
        <w:tc>
          <w:tcPr>
            <w:tcW w:w="40" w:type="dxa"/>
            <w:vAlign w:val="bottom"/>
            <w:shd w:val="clear" w:color="auto" w:fill="CCEEFF"/>
          </w:tcPr>
          <w:p>
            <w:pPr>
              <w:spacing w:after="0"/>
              <w:rPr>
                <w:sz w:val="19"/>
                <w:szCs w:val="19"/>
                <w:color w:val="auto"/>
              </w:rPr>
            </w:pPr>
          </w:p>
        </w:tc>
      </w:tr>
      <w:tr>
        <w:trPr>
          <w:trHeight w:val="222"/>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2027 and thereafter</w:t>
            </w:r>
          </w:p>
        </w:tc>
        <w:tc>
          <w:tcPr>
            <w:tcW w:w="8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1,228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1,804</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3,032</w:t>
            </w:r>
          </w:p>
        </w:tc>
        <w:tc>
          <w:tcPr>
            <w:tcW w:w="40" w:type="dxa"/>
            <w:vAlign w:val="bottom"/>
            <w:tcBorders>
              <w:bottom w:val="single" w:sz="8" w:color="auto"/>
            </w:tcBorders>
          </w:tcPr>
          <w:p>
            <w:pPr>
              <w:spacing w:after="0"/>
              <w:rPr>
                <w:sz w:val="19"/>
                <w:szCs w:val="19"/>
                <w:color w:val="auto"/>
              </w:rPr>
            </w:pPr>
          </w:p>
        </w:tc>
      </w:tr>
      <w:tr>
        <w:trPr>
          <w:trHeight w:val="235"/>
        </w:trPr>
        <w:tc>
          <w:tcPr>
            <w:tcW w:w="3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8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1293"/>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4,064</w:t>
            </w:r>
          </w:p>
        </w:tc>
        <w:tc>
          <w:tcPr>
            <w:tcW w:w="20" w:type="dxa"/>
            <w:vAlign w:val="bottom"/>
            <w:shd w:val="clear" w:color="auto" w:fill="CCEEFF"/>
          </w:tcPr>
          <w:p>
            <w:pPr>
              <w:spacing w:after="0"/>
              <w:rPr>
                <w:sz w:val="20"/>
                <w:szCs w:val="20"/>
                <w:color w:val="auto"/>
              </w:rPr>
            </w:pPr>
          </w:p>
        </w:tc>
        <w:tc>
          <w:tcPr>
            <w:tcW w:w="1520" w:type="dxa"/>
            <w:vAlign w:val="bottom"/>
            <w:gridSpan w:val="3"/>
            <w:shd w:val="clear" w:color="auto" w:fill="CCEEFF"/>
          </w:tcPr>
          <w:p>
            <w:pPr>
              <w:jc w:val="right"/>
              <w:ind w:right="1233"/>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4,592</w:t>
            </w:r>
          </w:p>
        </w:tc>
        <w:tc>
          <w:tcPr>
            <w:tcW w:w="20" w:type="dxa"/>
            <w:vAlign w:val="bottom"/>
            <w:shd w:val="clear" w:color="auto" w:fill="CCEEFF"/>
          </w:tcPr>
          <w:p>
            <w:pPr>
              <w:spacing w:after="0"/>
              <w:rPr>
                <w:sz w:val="20"/>
                <w:szCs w:val="20"/>
                <w:color w:val="auto"/>
              </w:rPr>
            </w:pPr>
          </w:p>
        </w:tc>
        <w:tc>
          <w:tcPr>
            <w:tcW w:w="40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8,656</w:t>
            </w:r>
          </w:p>
        </w:tc>
        <w:tc>
          <w:tcPr>
            <w:tcW w:w="40" w:type="dxa"/>
            <w:vAlign w:val="bottom"/>
            <w:shd w:val="clear" w:color="auto" w:fill="CCEEFF"/>
          </w:tcPr>
          <w:p>
            <w:pPr>
              <w:spacing w:after="0"/>
              <w:rPr>
                <w:sz w:val="20"/>
                <w:szCs w:val="20"/>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r>
    </w:tbl>
    <w:p>
      <w:pPr>
        <w:spacing w:after="0" w:line="327" w:lineRule="exact"/>
        <w:rPr>
          <w:sz w:val="20"/>
          <w:szCs w:val="20"/>
          <w:color w:val="auto"/>
        </w:rPr>
      </w:pPr>
    </w:p>
    <w:p>
      <w:pPr>
        <w:spacing w:after="0"/>
        <w:rPr>
          <w:sz w:val="20"/>
          <w:szCs w:val="20"/>
          <w:color w:val="auto"/>
        </w:rPr>
      </w:pPr>
      <w:r>
        <w:rPr>
          <w:rFonts w:ascii="Arial" w:cs="Arial" w:eastAsia="Arial" w:hAnsi="Arial"/>
          <w:sz w:val="17"/>
          <w:szCs w:val="17"/>
          <w:color w:val="auto"/>
        </w:rPr>
        <w:t>See Note 8 for the amortization of intangible assets for the three months ended March 31, 2022 and March 31, 2021</w:t>
      </w:r>
      <w:r>
        <w:rPr>
          <w:rFonts w:ascii="Arial" w:cs="Arial" w:eastAsia="Arial" w:hAnsi="Arial"/>
          <w:sz w:val="17"/>
          <w:szCs w:val="17"/>
          <w:i w:val="1"/>
          <w:iCs w:val="1"/>
          <w:color w:val="auto"/>
        </w:rPr>
        <w:t>.</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Warrants</w:t>
      </w:r>
    </w:p>
    <w:p>
      <w:pPr>
        <w:spacing w:after="0" w:line="25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On February 17, 2022, the Series K warrants expired with 7,126 unexercised warrants.</w:t>
      </w:r>
    </w:p>
    <w:p>
      <w:pPr>
        <w:spacing w:after="0" w:line="2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sets forth information pertaining to shares issued upon the exercise of warrants: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3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vMerge w:val="restart"/>
          </w:tcPr>
          <w:p>
            <w:pPr>
              <w:jc w:val="center"/>
              <w:spacing w:after="0"/>
              <w:rPr>
                <w:sz w:val="20"/>
                <w:szCs w:val="20"/>
                <w:color w:val="auto"/>
              </w:rPr>
            </w:pPr>
            <w:r>
              <w:rPr>
                <w:rFonts w:ascii="Arial" w:cs="Arial" w:eastAsia="Arial" w:hAnsi="Arial"/>
                <w:sz w:val="17"/>
                <w:szCs w:val="17"/>
                <w:b w:val="1"/>
                <w:bCs w:val="1"/>
                <w:color w:val="auto"/>
                <w:w w:val="90"/>
              </w:rPr>
              <w:t>Exercise Price as</w:t>
            </w:r>
          </w:p>
        </w:tc>
        <w:tc>
          <w:tcPr>
            <w:tcW w:w="1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7"/>
                <w:szCs w:val="17"/>
                <w:b w:val="1"/>
                <w:bCs w:val="1"/>
                <w:color w:val="auto"/>
                <w:w w:val="88"/>
              </w:rPr>
              <w:t>Shares</w:t>
            </w: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7"/>
                <w:szCs w:val="17"/>
                <w:b w:val="1"/>
                <w:bCs w:val="1"/>
                <w:color w:val="auto"/>
                <w:w w:val="88"/>
              </w:rPr>
              <w:t>Shares Issued</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7"/>
                <w:szCs w:val="17"/>
                <w:b w:val="1"/>
                <w:bCs w:val="1"/>
                <w:color w:val="auto"/>
                <w:w w:val="91"/>
              </w:rPr>
              <w:t>Shares Underlying</w:t>
            </w:r>
          </w:p>
        </w:tc>
        <w:tc>
          <w:tcPr>
            <w:tcW w:w="0" w:type="dxa"/>
            <w:vAlign w:val="bottom"/>
          </w:tcPr>
          <w:p>
            <w:pPr>
              <w:spacing w:after="0"/>
              <w:rPr>
                <w:sz w:val="1"/>
                <w:szCs w:val="1"/>
                <w:color w:val="auto"/>
              </w:rPr>
            </w:pPr>
          </w:p>
        </w:tc>
      </w:tr>
      <w:tr>
        <w:trPr>
          <w:trHeight w:val="170"/>
        </w:trPr>
        <w:tc>
          <w:tcPr>
            <w:tcW w:w="2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center"/>
              <w:spacing w:after="0" w:line="170" w:lineRule="exact"/>
              <w:rPr>
                <w:sz w:val="20"/>
                <w:szCs w:val="20"/>
                <w:color w:val="auto"/>
              </w:rPr>
            </w:pPr>
            <w:r>
              <w:rPr>
                <w:rFonts w:ascii="Arial" w:cs="Arial" w:eastAsia="Arial" w:hAnsi="Arial"/>
                <w:sz w:val="17"/>
                <w:szCs w:val="17"/>
                <w:b w:val="1"/>
                <w:bCs w:val="1"/>
                <w:color w:val="auto"/>
                <w:w w:val="94"/>
              </w:rPr>
              <w:t>Underlying</w:t>
            </w:r>
          </w:p>
        </w:tc>
        <w:tc>
          <w:tcPr>
            <w:tcW w:w="100" w:type="dxa"/>
            <w:vAlign w:val="bottom"/>
          </w:tcPr>
          <w:p>
            <w:pPr>
              <w:spacing w:after="0"/>
              <w:rPr>
                <w:sz w:val="14"/>
                <w:szCs w:val="14"/>
                <w:color w:val="auto"/>
              </w:rPr>
            </w:pPr>
          </w:p>
        </w:tc>
        <w:tc>
          <w:tcPr>
            <w:tcW w:w="1360" w:type="dxa"/>
            <w:vAlign w:val="bottom"/>
          </w:tcPr>
          <w:p>
            <w:pPr>
              <w:jc w:val="center"/>
              <w:spacing w:after="0" w:line="170" w:lineRule="exact"/>
              <w:rPr>
                <w:sz w:val="20"/>
                <w:szCs w:val="20"/>
                <w:color w:val="auto"/>
              </w:rPr>
            </w:pPr>
            <w:r>
              <w:rPr>
                <w:rFonts w:ascii="Arial" w:cs="Arial" w:eastAsia="Arial" w:hAnsi="Arial"/>
                <w:sz w:val="17"/>
                <w:szCs w:val="17"/>
                <w:b w:val="1"/>
                <w:bCs w:val="1"/>
                <w:color w:val="auto"/>
                <w:w w:val="97"/>
              </w:rPr>
              <w:t>upon Warrant</w:t>
            </w:r>
          </w:p>
        </w:tc>
        <w:tc>
          <w:tcPr>
            <w:tcW w:w="100" w:type="dxa"/>
            <w:vAlign w:val="bottom"/>
          </w:tcPr>
          <w:p>
            <w:pPr>
              <w:spacing w:after="0"/>
              <w:rPr>
                <w:sz w:val="14"/>
                <w:szCs w:val="14"/>
                <w:color w:val="auto"/>
              </w:rPr>
            </w:pPr>
          </w:p>
        </w:tc>
        <w:tc>
          <w:tcPr>
            <w:tcW w:w="1460" w:type="dxa"/>
            <w:vAlign w:val="bottom"/>
          </w:tcPr>
          <w:p>
            <w:pPr>
              <w:jc w:val="center"/>
              <w:spacing w:after="0" w:line="170" w:lineRule="exact"/>
              <w:rPr>
                <w:sz w:val="20"/>
                <w:szCs w:val="20"/>
                <w:color w:val="auto"/>
              </w:rPr>
            </w:pPr>
            <w:r>
              <w:rPr>
                <w:rFonts w:ascii="Arial" w:cs="Arial" w:eastAsia="Arial" w:hAnsi="Arial"/>
                <w:sz w:val="17"/>
                <w:szCs w:val="17"/>
                <w:b w:val="1"/>
                <w:bCs w:val="1"/>
                <w:color w:val="auto"/>
                <w:w w:val="94"/>
              </w:rPr>
              <w:t>Warrants</w:t>
            </w:r>
          </w:p>
        </w:tc>
        <w:tc>
          <w:tcPr>
            <w:tcW w:w="0" w:type="dxa"/>
            <w:vAlign w:val="bottom"/>
          </w:tcPr>
          <w:p>
            <w:pPr>
              <w:spacing w:after="0"/>
              <w:rPr>
                <w:sz w:val="1"/>
                <w:szCs w:val="1"/>
                <w:color w:val="auto"/>
              </w:rPr>
            </w:pPr>
          </w:p>
        </w:tc>
      </w:tr>
      <w:tr>
        <w:trPr>
          <w:trHeight w:val="170"/>
        </w:trPr>
        <w:tc>
          <w:tcPr>
            <w:tcW w:w="2320" w:type="dxa"/>
            <w:vAlign w:val="bottom"/>
          </w:tcPr>
          <w:p>
            <w:pPr>
              <w:spacing w:after="0"/>
              <w:rPr>
                <w:sz w:val="14"/>
                <w:szCs w:val="14"/>
                <w:color w:val="auto"/>
              </w:rPr>
            </w:pPr>
          </w:p>
        </w:tc>
        <w:tc>
          <w:tcPr>
            <w:tcW w:w="1580" w:type="dxa"/>
            <w:vAlign w:val="bottom"/>
            <w:vMerge w:val="restart"/>
          </w:tcPr>
          <w:p>
            <w:pPr>
              <w:jc w:val="center"/>
              <w:ind w:left="153"/>
              <w:spacing w:after="0"/>
              <w:rPr>
                <w:sz w:val="20"/>
                <w:szCs w:val="20"/>
                <w:color w:val="auto"/>
              </w:rPr>
            </w:pPr>
            <w:r>
              <w:rPr>
                <w:rFonts w:ascii="Arial" w:cs="Arial" w:eastAsia="Arial" w:hAnsi="Arial"/>
                <w:sz w:val="17"/>
                <w:szCs w:val="17"/>
                <w:b w:val="1"/>
                <w:bCs w:val="1"/>
                <w:color w:val="auto"/>
                <w:w w:val="89"/>
              </w:rPr>
              <w:t>Issuance Date</w:t>
            </w:r>
          </w:p>
        </w:tc>
        <w:tc>
          <w:tcPr>
            <w:tcW w:w="10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99"/>
              </w:rPr>
              <w:t>Expiration Date</w:t>
            </w:r>
          </w:p>
        </w:tc>
        <w:tc>
          <w:tcPr>
            <w:tcW w:w="100" w:type="dxa"/>
            <w:vAlign w:val="bottom"/>
          </w:tcPr>
          <w:p>
            <w:pPr>
              <w:spacing w:after="0"/>
              <w:rPr>
                <w:sz w:val="14"/>
                <w:szCs w:val="14"/>
                <w:color w:val="auto"/>
              </w:rPr>
            </w:pPr>
          </w:p>
        </w:tc>
        <w:tc>
          <w:tcPr>
            <w:tcW w:w="1340" w:type="dxa"/>
            <w:vAlign w:val="bottom"/>
            <w:gridSpan w:val="2"/>
          </w:tcPr>
          <w:p>
            <w:pPr>
              <w:jc w:val="center"/>
              <w:spacing w:after="0" w:line="170" w:lineRule="exact"/>
              <w:rPr>
                <w:sz w:val="20"/>
                <w:szCs w:val="20"/>
                <w:color w:val="auto"/>
              </w:rPr>
            </w:pPr>
            <w:r>
              <w:rPr>
                <w:rFonts w:ascii="Arial" w:cs="Arial" w:eastAsia="Arial" w:hAnsi="Arial"/>
                <w:sz w:val="17"/>
                <w:szCs w:val="17"/>
                <w:b w:val="1"/>
                <w:bCs w:val="1"/>
                <w:color w:val="auto"/>
                <w:w w:val="94"/>
              </w:rPr>
              <w:t>of March 31,</w:t>
            </w:r>
          </w:p>
        </w:tc>
        <w:tc>
          <w:tcPr>
            <w:tcW w:w="100" w:type="dxa"/>
            <w:vAlign w:val="bottom"/>
          </w:tcPr>
          <w:p>
            <w:pPr>
              <w:spacing w:after="0"/>
              <w:rPr>
                <w:sz w:val="14"/>
                <w:szCs w:val="14"/>
                <w:color w:val="auto"/>
              </w:rPr>
            </w:pPr>
          </w:p>
        </w:tc>
        <w:tc>
          <w:tcPr>
            <w:tcW w:w="1340" w:type="dxa"/>
            <w:vAlign w:val="bottom"/>
          </w:tcPr>
          <w:p>
            <w:pPr>
              <w:jc w:val="center"/>
              <w:spacing w:after="0" w:line="170" w:lineRule="exact"/>
              <w:rPr>
                <w:sz w:val="20"/>
                <w:szCs w:val="20"/>
                <w:color w:val="auto"/>
              </w:rPr>
            </w:pPr>
            <w:r>
              <w:rPr>
                <w:rFonts w:ascii="Arial" w:cs="Arial" w:eastAsia="Arial" w:hAnsi="Arial"/>
                <w:sz w:val="17"/>
                <w:szCs w:val="17"/>
                <w:b w:val="1"/>
                <w:bCs w:val="1"/>
                <w:color w:val="auto"/>
                <w:w w:val="94"/>
              </w:rPr>
              <w:t>Warrants on</w:t>
            </w:r>
          </w:p>
        </w:tc>
        <w:tc>
          <w:tcPr>
            <w:tcW w:w="100" w:type="dxa"/>
            <w:vAlign w:val="bottom"/>
          </w:tcPr>
          <w:p>
            <w:pPr>
              <w:spacing w:after="0"/>
              <w:rPr>
                <w:sz w:val="14"/>
                <w:szCs w:val="14"/>
                <w:color w:val="auto"/>
              </w:rPr>
            </w:pPr>
          </w:p>
        </w:tc>
        <w:tc>
          <w:tcPr>
            <w:tcW w:w="1360" w:type="dxa"/>
            <w:vAlign w:val="bottom"/>
          </w:tcPr>
          <w:p>
            <w:pPr>
              <w:jc w:val="center"/>
              <w:spacing w:after="0" w:line="170" w:lineRule="exact"/>
              <w:rPr>
                <w:sz w:val="20"/>
                <w:szCs w:val="20"/>
                <w:color w:val="auto"/>
              </w:rPr>
            </w:pPr>
            <w:r>
              <w:rPr>
                <w:rFonts w:ascii="Arial" w:cs="Arial" w:eastAsia="Arial" w:hAnsi="Arial"/>
                <w:sz w:val="17"/>
                <w:szCs w:val="17"/>
                <w:b w:val="1"/>
                <w:bCs w:val="1"/>
                <w:color w:val="auto"/>
                <w:w w:val="87"/>
              </w:rPr>
              <w:t>Exercises as of</w:t>
            </w:r>
          </w:p>
        </w:tc>
        <w:tc>
          <w:tcPr>
            <w:tcW w:w="100" w:type="dxa"/>
            <w:vAlign w:val="bottom"/>
          </w:tcPr>
          <w:p>
            <w:pPr>
              <w:spacing w:after="0"/>
              <w:rPr>
                <w:sz w:val="14"/>
                <w:szCs w:val="14"/>
                <w:color w:val="auto"/>
              </w:rPr>
            </w:pPr>
          </w:p>
        </w:tc>
        <w:tc>
          <w:tcPr>
            <w:tcW w:w="1460" w:type="dxa"/>
            <w:vAlign w:val="bottom"/>
          </w:tcPr>
          <w:p>
            <w:pPr>
              <w:jc w:val="center"/>
              <w:spacing w:after="0" w:line="170" w:lineRule="exact"/>
              <w:rPr>
                <w:sz w:val="20"/>
                <w:szCs w:val="20"/>
                <w:color w:val="auto"/>
              </w:rPr>
            </w:pPr>
            <w:r>
              <w:rPr>
                <w:rFonts w:ascii="Arial" w:cs="Arial" w:eastAsia="Arial" w:hAnsi="Arial"/>
                <w:sz w:val="17"/>
                <w:szCs w:val="17"/>
                <w:b w:val="1"/>
                <w:bCs w:val="1"/>
                <w:color w:val="auto"/>
                <w:w w:val="89"/>
              </w:rPr>
              <w:t>Outstanding as of</w:t>
            </w:r>
          </w:p>
        </w:tc>
        <w:tc>
          <w:tcPr>
            <w:tcW w:w="0" w:type="dxa"/>
            <w:vAlign w:val="bottom"/>
          </w:tcPr>
          <w:p>
            <w:pPr>
              <w:spacing w:after="0"/>
              <w:rPr>
                <w:sz w:val="1"/>
                <w:szCs w:val="1"/>
                <w:color w:val="auto"/>
              </w:rPr>
            </w:pPr>
          </w:p>
        </w:tc>
      </w:tr>
      <w:tr>
        <w:trPr>
          <w:trHeight w:val="222"/>
        </w:trPr>
        <w:tc>
          <w:tcPr>
            <w:tcW w:w="2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293"/>
              <w:spacing w:after="0"/>
              <w:rPr>
                <w:sz w:val="20"/>
                <w:szCs w:val="20"/>
                <w:color w:val="auto"/>
              </w:rPr>
            </w:pPr>
            <w:r>
              <w:rPr>
                <w:rFonts w:ascii="Arial" w:cs="Arial" w:eastAsia="Arial" w:hAnsi="Arial"/>
                <w:sz w:val="17"/>
                <w:szCs w:val="17"/>
                <w:b w:val="1"/>
                <w:bCs w:val="1"/>
                <w:color w:val="auto"/>
                <w:w w:val="89"/>
              </w:rPr>
              <w:t>2022</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Issuance Date</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5"/>
              </w:rPr>
              <w:t>March 31, 2022</w:t>
            </w: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March 31, 2022</w:t>
            </w:r>
          </w:p>
        </w:tc>
        <w:tc>
          <w:tcPr>
            <w:tcW w:w="0" w:type="dxa"/>
            <w:vAlign w:val="bottom"/>
          </w:tcPr>
          <w:p>
            <w:pPr>
              <w:spacing w:after="0"/>
              <w:rPr>
                <w:sz w:val="1"/>
                <w:szCs w:val="1"/>
                <w:color w:val="auto"/>
              </w:rPr>
            </w:pPr>
          </w:p>
        </w:tc>
      </w:tr>
      <w:tr>
        <w:trPr>
          <w:trHeight w:val="241"/>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Series 2020-A Warrants (1)</w:t>
            </w:r>
          </w:p>
        </w:tc>
        <w:tc>
          <w:tcPr>
            <w:tcW w:w="158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7"/>
                <w:szCs w:val="17"/>
                <w:color w:val="auto"/>
              </w:rPr>
              <w:t>7/6/2020</w:t>
            </w:r>
          </w:p>
        </w:tc>
        <w:tc>
          <w:tcPr>
            <w:tcW w:w="100" w:type="dxa"/>
            <w:vAlign w:val="bottom"/>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7/6/2025</w:t>
            </w:r>
          </w:p>
        </w:tc>
        <w:tc>
          <w:tcPr>
            <w:tcW w:w="100" w:type="dxa"/>
            <w:vAlign w:val="bottom"/>
          </w:tcPr>
          <w:p>
            <w:pPr>
              <w:spacing w:after="0"/>
              <w:rPr>
                <w:sz w:val="20"/>
                <w:szCs w:val="20"/>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0.60</w:t>
            </w:r>
          </w:p>
        </w:tc>
        <w:tc>
          <w:tcPr>
            <w:tcW w:w="100" w:type="dxa"/>
            <w:vAlign w:val="bottom"/>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30,000,000</w:t>
            </w:r>
          </w:p>
        </w:tc>
        <w:tc>
          <w:tcPr>
            <w:tcW w:w="100" w:type="dxa"/>
            <w:vAlign w:val="bottom"/>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29,914,069</w:t>
            </w:r>
          </w:p>
        </w:tc>
        <w:tc>
          <w:tcPr>
            <w:tcW w:w="100" w:type="dxa"/>
            <w:vAlign w:val="bottom"/>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85,931</w:t>
            </w:r>
          </w:p>
        </w:tc>
        <w:tc>
          <w:tcPr>
            <w:tcW w:w="0" w:type="dxa"/>
            <w:vAlign w:val="bottom"/>
          </w:tcPr>
          <w:p>
            <w:pPr>
              <w:spacing w:after="0"/>
              <w:rPr>
                <w:sz w:val="1"/>
                <w:szCs w:val="1"/>
                <w:color w:val="auto"/>
              </w:rPr>
            </w:pPr>
          </w:p>
        </w:tc>
      </w:tr>
      <w:tr>
        <w:trPr>
          <w:trHeight w:val="20"/>
        </w:trPr>
        <w:tc>
          <w:tcPr>
            <w:tcW w:w="232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340" w:type="dxa"/>
            <w:vAlign w:val="bottom"/>
            <w:gridSpan w:val="4"/>
            <w:vMerge w:val="restart"/>
          </w:tcPr>
          <w:p>
            <w:pPr>
              <w:spacing w:after="0"/>
              <w:rPr>
                <w:sz w:val="20"/>
                <w:szCs w:val="20"/>
                <w:color w:val="auto"/>
              </w:rPr>
            </w:pPr>
            <w:r>
              <w:rPr>
                <w:rFonts w:ascii="Arial" w:cs="Arial" w:eastAsia="Arial" w:hAnsi="Arial"/>
                <w:sz w:val="17"/>
                <w:szCs w:val="17"/>
                <w:color w:val="auto"/>
              </w:rPr>
              <w:t>(1) The Series 2020-A Warrants are equity-classified warrants.</w:t>
            </w: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340" w:type="dxa"/>
            <w:vAlign w:val="bottom"/>
            <w:gridSpan w:val="4"/>
            <w:vMerge w:val="continue"/>
          </w:tcPr>
          <w:p>
            <w:pPr>
              <w:spacing w:after="0"/>
              <w:rPr>
                <w:sz w:val="15"/>
                <w:szCs w:val="15"/>
                <w:color w:val="auto"/>
              </w:rPr>
            </w:pPr>
          </w:p>
        </w:tc>
        <w:tc>
          <w:tcPr>
            <w:tcW w:w="480" w:type="dxa"/>
            <w:vAlign w:val="bottom"/>
            <w:gridSpan w:val="2"/>
            <w:vMerge w:val="restart"/>
          </w:tcPr>
          <w:p>
            <w:pPr>
              <w:jc w:val="right"/>
              <w:ind w:right="13"/>
              <w:spacing w:after="0"/>
              <w:rPr>
                <w:sz w:val="20"/>
                <w:szCs w:val="20"/>
                <w:color w:val="auto"/>
              </w:rPr>
            </w:pPr>
            <w:r>
              <w:rPr>
                <w:rFonts w:ascii="Arial" w:cs="Arial" w:eastAsia="Arial" w:hAnsi="Arial"/>
                <w:sz w:val="17"/>
                <w:szCs w:val="17"/>
                <w:color w:val="auto"/>
              </w:rPr>
              <w:t>15</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97"/>
        </w:trPr>
        <w:tc>
          <w:tcPr>
            <w:tcW w:w="2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8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32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rFonts w:ascii="Arial" w:cs="Arial" w:eastAsia="Arial" w:hAnsi="Arial"/>
          <w:sz w:val="17"/>
          <w:szCs w:val="17"/>
          <w:u w:val="single" w:color="auto"/>
          <w:color w:val="auto"/>
        </w:rPr>
      </w:pPr>
      <w:hyperlink w:anchor="page1">
        <w:r>
          <w:rPr>
            <w:rFonts w:ascii="Arial" w:cs="Arial" w:eastAsia="Arial" w:hAnsi="Arial"/>
            <w:sz w:val="17"/>
            <w:szCs w:val="17"/>
            <w:u w:val="single" w:color="auto"/>
            <w:color w:val="auto"/>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GEVO,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57" w:lineRule="exact"/>
        <w:rPr>
          <w:sz w:val="20"/>
          <w:szCs w:val="20"/>
          <w:color w:val="auto"/>
        </w:rPr>
      </w:pPr>
    </w:p>
    <w:p>
      <w:pPr>
        <w:ind w:left="480"/>
        <w:spacing w:after="0"/>
        <w:rPr>
          <w:sz w:val="20"/>
          <w:szCs w:val="20"/>
          <w:color w:val="auto"/>
        </w:rPr>
      </w:pPr>
      <w:r>
        <w:rPr>
          <w:rFonts w:ascii="Arial" w:cs="Arial" w:eastAsia="Arial" w:hAnsi="Arial"/>
          <w:sz w:val="15"/>
          <w:szCs w:val="15"/>
          <w:color w:val="auto"/>
        </w:rPr>
        <w:t>During the three months ended March 31, 2022</w:t>
      </w:r>
      <w:r>
        <w:rPr>
          <w:rFonts w:ascii="Arial" w:cs="Arial" w:eastAsia="Arial" w:hAnsi="Arial"/>
          <w:sz w:val="15"/>
          <w:szCs w:val="15"/>
          <w:i w:val="1"/>
          <w:iCs w:val="1"/>
          <w:color w:val="auto"/>
        </w:rPr>
        <w:t>,</w:t>
      </w:r>
      <w:r>
        <w:rPr>
          <w:rFonts w:ascii="Arial" w:cs="Arial" w:eastAsia="Arial" w:hAnsi="Arial"/>
          <w:sz w:val="15"/>
          <w:szCs w:val="15"/>
          <w:color w:val="auto"/>
        </w:rPr>
        <w:t xml:space="preserve"> common stock was issued as a result of the exercise of warrants as shown below (dollars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1"/>
              </w:rPr>
              <w:t>Common Stock Issued</w:t>
            </w:r>
          </w:p>
        </w:tc>
        <w:tc>
          <w:tcPr>
            <w:tcW w:w="200" w:type="dxa"/>
            <w:vAlign w:val="bottom"/>
          </w:tcPr>
          <w:p>
            <w:pPr>
              <w:spacing w:after="0"/>
              <w:rPr>
                <w:sz w:val="20"/>
                <w:szCs w:val="20"/>
                <w:color w:val="auto"/>
              </w:rPr>
            </w:pPr>
          </w:p>
        </w:tc>
        <w:tc>
          <w:tcPr>
            <w:tcW w:w="1760" w:type="dxa"/>
            <w:vAlign w:val="bottom"/>
          </w:tcPr>
          <w:p>
            <w:pPr>
              <w:jc w:val="right"/>
              <w:ind w:right="553"/>
              <w:spacing w:after="0"/>
              <w:rPr>
                <w:sz w:val="20"/>
                <w:szCs w:val="20"/>
                <w:color w:val="auto"/>
              </w:rPr>
            </w:pPr>
            <w:r>
              <w:rPr>
                <w:rFonts w:ascii="Arial" w:cs="Arial" w:eastAsia="Arial" w:hAnsi="Arial"/>
                <w:sz w:val="17"/>
                <w:szCs w:val="17"/>
                <w:b w:val="1"/>
                <w:bCs w:val="1"/>
                <w:color w:val="auto"/>
              </w:rPr>
              <w:t>Proceeds</w:t>
            </w:r>
          </w:p>
        </w:tc>
        <w:tc>
          <w:tcPr>
            <w:tcW w:w="0" w:type="dxa"/>
            <w:vAlign w:val="bottom"/>
          </w:tcPr>
          <w:p>
            <w:pPr>
              <w:spacing w:after="0"/>
              <w:rPr>
                <w:sz w:val="1"/>
                <w:szCs w:val="1"/>
                <w:color w:val="auto"/>
              </w:rPr>
            </w:pPr>
          </w:p>
        </w:tc>
      </w:tr>
      <w:tr>
        <w:trPr>
          <w:trHeight w:val="273"/>
        </w:trPr>
        <w:tc>
          <w:tcPr>
            <w:tcW w:w="7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Series 2020-A Warrants</w:t>
            </w:r>
          </w:p>
        </w:tc>
        <w:tc>
          <w:tcPr>
            <w:tcW w:w="120" w:type="dxa"/>
            <w:vAlign w:val="bottom"/>
            <w:tcBorders>
              <w:top w:val="single" w:sz="8" w:color="auto"/>
              <w:bottom w:val="single" w:sz="8" w:color="auto"/>
            </w:tcBorders>
            <w:shd w:val="clear" w:color="auto" w:fill="CCEEFF"/>
          </w:tcPr>
          <w:p>
            <w:pPr>
              <w:spacing w:after="0"/>
              <w:rPr>
                <w:sz w:val="23"/>
                <w:szCs w:val="23"/>
                <w:color w:val="auto"/>
              </w:rPr>
            </w:pP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4,677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b w:val="1"/>
                <w:bCs w:val="1"/>
                <w:color w:val="auto"/>
              </w:rPr>
              <w:t>11. Accounts Payable and Accrued Liabilities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72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9280" w:type="dxa"/>
            <w:vAlign w:val="bottom"/>
            <w:gridSpan w:val="4"/>
          </w:tcPr>
          <w:p>
            <w:pPr>
              <w:ind w:left="480"/>
              <w:spacing w:after="0"/>
              <w:rPr>
                <w:sz w:val="20"/>
                <w:szCs w:val="20"/>
                <w:color w:val="auto"/>
              </w:rPr>
            </w:pPr>
            <w:r>
              <w:rPr>
                <w:rFonts w:ascii="Arial" w:cs="Arial" w:eastAsia="Arial" w:hAnsi="Arial"/>
                <w:sz w:val="17"/>
                <w:szCs w:val="17"/>
                <w:color w:val="auto"/>
                <w:w w:val="97"/>
              </w:rPr>
              <w:t>The following table sets forth the components of the Company's accounts payable and accrued liabilities (in thousands):</w:t>
            </w: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7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5"/>
              </w:rPr>
              <w:t>March 31, 2022</w:t>
            </w:r>
          </w:p>
        </w:tc>
        <w:tc>
          <w:tcPr>
            <w:tcW w:w="200" w:type="dxa"/>
            <w:vAlign w:val="bottom"/>
          </w:tcPr>
          <w:p>
            <w:pPr>
              <w:spacing w:after="0"/>
              <w:rPr>
                <w:sz w:val="23"/>
                <w:szCs w:val="23"/>
                <w:color w:val="auto"/>
              </w:rPr>
            </w:pPr>
          </w:p>
        </w:tc>
        <w:tc>
          <w:tcPr>
            <w:tcW w:w="1760" w:type="dxa"/>
            <w:vAlign w:val="bottom"/>
          </w:tcPr>
          <w:p>
            <w:pPr>
              <w:jc w:val="right"/>
              <w:ind w:right="193"/>
              <w:spacing w:after="0"/>
              <w:rPr>
                <w:sz w:val="20"/>
                <w:szCs w:val="20"/>
                <w:color w:val="auto"/>
              </w:rPr>
            </w:pPr>
            <w:r>
              <w:rPr>
                <w:rFonts w:ascii="Arial" w:cs="Arial" w:eastAsia="Arial" w:hAnsi="Arial"/>
                <w:sz w:val="17"/>
                <w:szCs w:val="17"/>
                <w:b w:val="1"/>
                <w:bCs w:val="1"/>
                <w:color w:val="auto"/>
                <w:w w:val="95"/>
              </w:rPr>
              <w:t>December 31, 2021</w:t>
            </w:r>
          </w:p>
        </w:tc>
        <w:tc>
          <w:tcPr>
            <w:tcW w:w="0" w:type="dxa"/>
            <w:vAlign w:val="bottom"/>
          </w:tcPr>
          <w:p>
            <w:pPr>
              <w:spacing w:after="0"/>
              <w:rPr>
                <w:sz w:val="1"/>
                <w:szCs w:val="1"/>
                <w:color w:val="auto"/>
              </w:rPr>
            </w:pPr>
          </w:p>
        </w:tc>
      </w:tr>
      <w:tr>
        <w:trPr>
          <w:trHeight w:val="248"/>
        </w:trPr>
        <w:tc>
          <w:tcPr>
            <w:tcW w:w="7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Accounts payable - trade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1,399</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4,868</w:t>
            </w:r>
          </w:p>
        </w:tc>
        <w:tc>
          <w:tcPr>
            <w:tcW w:w="0" w:type="dxa"/>
            <w:vAlign w:val="bottom"/>
          </w:tcPr>
          <w:p>
            <w:pPr>
              <w:spacing w:after="0"/>
              <w:rPr>
                <w:sz w:val="1"/>
                <w:szCs w:val="1"/>
                <w:color w:val="auto"/>
              </w:rPr>
            </w:pPr>
          </w:p>
        </w:tc>
      </w:tr>
      <w:tr>
        <w:trPr>
          <w:trHeight w:val="242"/>
        </w:trPr>
        <w:tc>
          <w:tcPr>
            <w:tcW w:w="7220" w:type="dxa"/>
            <w:vAlign w:val="bottom"/>
          </w:tcPr>
          <w:p>
            <w:pPr>
              <w:ind w:left="20"/>
              <w:spacing w:after="0"/>
              <w:rPr>
                <w:sz w:val="20"/>
                <w:szCs w:val="20"/>
                <w:color w:val="auto"/>
              </w:rPr>
            </w:pPr>
            <w:r>
              <w:rPr>
                <w:rFonts w:ascii="Arial" w:cs="Arial" w:eastAsia="Arial" w:hAnsi="Arial"/>
                <w:sz w:val="17"/>
                <w:szCs w:val="17"/>
                <w:color w:val="auto"/>
              </w:rPr>
              <w:t>NW Iowa RNG accrued project costs</w:t>
            </w:r>
          </w:p>
        </w:tc>
        <w:tc>
          <w:tcPr>
            <w:tcW w:w="1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2,902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11,000</w:t>
            </w:r>
          </w:p>
        </w:tc>
        <w:tc>
          <w:tcPr>
            <w:tcW w:w="0" w:type="dxa"/>
            <w:vAlign w:val="bottom"/>
          </w:tcPr>
          <w:p>
            <w:pPr>
              <w:spacing w:after="0"/>
              <w:rPr>
                <w:sz w:val="1"/>
                <w:szCs w:val="1"/>
                <w:color w:val="auto"/>
              </w:rPr>
            </w:pPr>
          </w:p>
        </w:tc>
      </w:tr>
      <w:tr>
        <w:trPr>
          <w:trHeight w:val="255"/>
        </w:trPr>
        <w:tc>
          <w:tcPr>
            <w:tcW w:w="7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employee compensation</w:t>
            </w:r>
          </w:p>
        </w:tc>
        <w:tc>
          <w:tcPr>
            <w:tcW w:w="120" w:type="dxa"/>
            <w:vAlign w:val="bottom"/>
            <w:shd w:val="clear" w:color="auto" w:fill="CCEEFF"/>
          </w:tcPr>
          <w:p>
            <w:pPr>
              <w:spacing w:after="0"/>
              <w:rPr>
                <w:sz w:val="22"/>
                <w:szCs w:val="22"/>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4,678</w:t>
            </w:r>
          </w:p>
        </w:tc>
        <w:tc>
          <w:tcPr>
            <w:tcW w:w="0" w:type="dxa"/>
            <w:vAlign w:val="bottom"/>
          </w:tcPr>
          <w:p>
            <w:pPr>
              <w:spacing w:after="0"/>
              <w:rPr>
                <w:sz w:val="1"/>
                <w:szCs w:val="1"/>
                <w:color w:val="auto"/>
              </w:rPr>
            </w:pPr>
          </w:p>
        </w:tc>
      </w:tr>
      <w:tr>
        <w:trPr>
          <w:trHeight w:val="242"/>
        </w:trPr>
        <w:tc>
          <w:tcPr>
            <w:tcW w:w="7220" w:type="dxa"/>
            <w:vAlign w:val="bottom"/>
          </w:tcPr>
          <w:p>
            <w:pPr>
              <w:ind w:left="20"/>
              <w:spacing w:after="0"/>
              <w:rPr>
                <w:sz w:val="20"/>
                <w:szCs w:val="20"/>
                <w:color w:val="auto"/>
              </w:rPr>
            </w:pPr>
            <w:r>
              <w:rPr>
                <w:rFonts w:ascii="Arial" w:cs="Arial" w:eastAsia="Arial" w:hAnsi="Arial"/>
                <w:sz w:val="17"/>
                <w:szCs w:val="17"/>
                <w:color w:val="auto"/>
              </w:rPr>
              <w:t>Net-Zero 1 accrued project costs</w:t>
            </w:r>
          </w:p>
        </w:tc>
        <w:tc>
          <w:tcPr>
            <w:tcW w:w="1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2,778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5,010</w:t>
            </w:r>
          </w:p>
        </w:tc>
        <w:tc>
          <w:tcPr>
            <w:tcW w:w="0" w:type="dxa"/>
            <w:vAlign w:val="bottom"/>
          </w:tcPr>
          <w:p>
            <w:pPr>
              <w:spacing w:after="0"/>
              <w:rPr>
                <w:sz w:val="1"/>
                <w:szCs w:val="1"/>
                <w:color w:val="auto"/>
              </w:rPr>
            </w:pPr>
          </w:p>
        </w:tc>
      </w:tr>
      <w:tr>
        <w:trPr>
          <w:trHeight w:val="248"/>
        </w:trPr>
        <w:tc>
          <w:tcPr>
            <w:tcW w:w="7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accrued liabilities</w:t>
            </w:r>
          </w:p>
        </w:tc>
        <w:tc>
          <w:tcPr>
            <w:tcW w:w="120" w:type="dxa"/>
            <w:vAlign w:val="bottom"/>
            <w:tcBorders>
              <w:bottom w:val="single" w:sz="8" w:color="auto"/>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3,037</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2,732</w:t>
            </w:r>
          </w:p>
        </w:tc>
        <w:tc>
          <w:tcPr>
            <w:tcW w:w="0" w:type="dxa"/>
            <w:vAlign w:val="bottom"/>
          </w:tcPr>
          <w:p>
            <w:pPr>
              <w:spacing w:after="0"/>
              <w:rPr>
                <w:sz w:val="1"/>
                <w:szCs w:val="1"/>
                <w:color w:val="auto"/>
              </w:rPr>
            </w:pPr>
          </w:p>
        </w:tc>
      </w:tr>
      <w:tr>
        <w:trPr>
          <w:trHeight w:val="248"/>
        </w:trPr>
        <w:tc>
          <w:tcPr>
            <w:tcW w:w="7220" w:type="dxa"/>
            <w:vAlign w:val="bottom"/>
          </w:tcPr>
          <w:p>
            <w:pPr>
              <w:ind w:left="20"/>
              <w:spacing w:after="0"/>
              <w:rPr>
                <w:sz w:val="20"/>
                <w:szCs w:val="20"/>
                <w:color w:val="auto"/>
              </w:rPr>
            </w:pPr>
            <w:r>
              <w:rPr>
                <w:rFonts w:ascii="Arial" w:cs="Arial" w:eastAsia="Arial" w:hAnsi="Arial"/>
                <w:sz w:val="17"/>
                <w:szCs w:val="17"/>
                <w:color w:val="auto"/>
              </w:rPr>
              <w:t>Total accounts payable and accrued liabilities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13,410</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28,288</w:t>
            </w: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Debt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2021 Bond Issuance</w:t>
      </w:r>
    </w:p>
    <w:p>
      <w:pPr>
        <w:spacing w:after="0" w:line="237" w:lineRule="exact"/>
        <w:rPr>
          <w:sz w:val="20"/>
          <w:szCs w:val="20"/>
          <w:color w:val="auto"/>
        </w:rPr>
      </w:pPr>
    </w:p>
    <w:p>
      <w:pPr>
        <w:ind w:right="40" w:firstLine="470"/>
        <w:spacing w:after="0" w:line="259" w:lineRule="auto"/>
        <w:rPr>
          <w:sz w:val="20"/>
          <w:szCs w:val="20"/>
          <w:color w:val="auto"/>
        </w:rPr>
      </w:pPr>
      <w:r>
        <w:rPr>
          <w:rFonts w:ascii="Arial" w:cs="Arial" w:eastAsia="Arial" w:hAnsi="Arial"/>
          <w:sz w:val="17"/>
          <w:szCs w:val="17"/>
          <w:color w:val="auto"/>
        </w:rPr>
        <w:t>On April 15, 2021, on behalf of Gevo NW Iowa RNG, LLC, the Iowa Finance Authority ("the "Authority") issued $68,155,000 of its non-recourse Solid Waste Facility Revenue Bonds (Gevo NW Iowa RNG, LLC Renewable Natural Gas Project), Series 2021 (Green Bonds) (the "2021 Bonds") for NW Iowa RNG. The bond proceeds are being used as a source of construction financing alongside equity from the Company. The bonds were issued under a Trust Indenture dated as of April 1, 2021 (the "Indenture") between the Authority and Citibank, N.A. as trustee (the "Trustee"). The 2021 Bonds mature April 1, 2042. They initially bear interest at 1.50% per annum during the Initial Term Rate Period, (as defined in the Indenture) payable semi-annually on January 1 and July 1 of each year. The bonds are supported by a $71.2 million irrevocable direct pay letter of credit (the "Letter of Credit"), which expires April 4, 2024 (unless terminated earlier), and was issued by Citibank, N.A. The Trustee will draw sufficient amounts on the Letter of Credit to pay the principal and interest until the first mandatory tender date of April 1, 2024. The bonds are callable and re-marketable on or after October 1, 2022. If the bonds have not been called and re-marketed by the first mandatory tender date the Trustee may draw on the Letter of Credit to repay the bonds in their entirety at the purchase price. Gevo deposited $71.2 million with Citibank, N.A. as restricted cash to secure any amounts drawn under the Letter of Credit. As of March 31, 2022, no amounts have been drawn under the Letter of Credit.</w:t>
      </w:r>
    </w:p>
    <w:p>
      <w:pPr>
        <w:spacing w:after="0" w:line="215" w:lineRule="exact"/>
        <w:rPr>
          <w:sz w:val="20"/>
          <w:szCs w:val="20"/>
          <w:color w:val="auto"/>
        </w:rPr>
      </w:pPr>
    </w:p>
    <w:p>
      <w:pPr>
        <w:ind w:right="80" w:firstLine="470"/>
        <w:spacing w:after="0" w:line="272" w:lineRule="auto"/>
        <w:rPr>
          <w:sz w:val="20"/>
          <w:szCs w:val="20"/>
          <w:color w:val="auto"/>
        </w:rPr>
      </w:pPr>
      <w:r>
        <w:rPr>
          <w:rFonts w:ascii="Arial" w:cs="Arial" w:eastAsia="Arial" w:hAnsi="Arial"/>
          <w:sz w:val="17"/>
          <w:szCs w:val="17"/>
          <w:color w:val="auto"/>
        </w:rPr>
        <w:t>Gevo anticipates re-marketing the 2021 Bonds in the fall of 2022 under revised terms that will include a long-term maturity date and be non-recourse to Gevo. Upon a successful remarketing, Gevo anticipates that the Letter of Credit, the associated reimbursement agreement and the associated pledge of cash will be terminated, with a concurrent release of the restricted cash securing the Letter of Credit.</w:t>
      </w:r>
    </w:p>
    <w:p>
      <w:pPr>
        <w:spacing w:after="0" w:line="198" w:lineRule="exact"/>
        <w:rPr>
          <w:sz w:val="20"/>
          <w:szCs w:val="20"/>
          <w:color w:val="auto"/>
        </w:rPr>
      </w:pPr>
    </w:p>
    <w:p>
      <w:pPr>
        <w:ind w:right="60" w:firstLine="470"/>
        <w:spacing w:after="0" w:line="272" w:lineRule="auto"/>
        <w:rPr>
          <w:sz w:val="20"/>
          <w:szCs w:val="20"/>
          <w:color w:val="auto"/>
        </w:rPr>
      </w:pPr>
      <w:r>
        <w:rPr>
          <w:rFonts w:ascii="Arial" w:cs="Arial" w:eastAsia="Arial" w:hAnsi="Arial"/>
          <w:sz w:val="17"/>
          <w:szCs w:val="17"/>
          <w:color w:val="auto"/>
        </w:rPr>
        <w:t>The 2021 Bonds were issued at a premium of $0.8 million, and debt issuance costs were $3.0 million. The bond debt is classified as long-term debt and is presented net of the premium and issuance costs, which are being amortized over the life of the bonds using the interest method. As of March 31, 2022, the premium balance, and debt issuance cost net of amortization were $0.6 million and $2.1 million, respectively.</w:t>
      </w:r>
    </w:p>
    <w:p>
      <w:pPr>
        <w:spacing w:after="0" w:line="198" w:lineRule="exact"/>
        <w:rPr>
          <w:sz w:val="20"/>
          <w:szCs w:val="20"/>
          <w:color w:val="auto"/>
        </w:rPr>
      </w:pPr>
    </w:p>
    <w:p>
      <w:pPr>
        <w:jc w:val="both"/>
        <w:ind w:right="40" w:firstLine="470"/>
        <w:spacing w:after="0" w:line="272" w:lineRule="auto"/>
        <w:rPr>
          <w:sz w:val="20"/>
          <w:szCs w:val="20"/>
          <w:color w:val="auto"/>
        </w:rPr>
      </w:pPr>
      <w:r>
        <w:rPr>
          <w:rFonts w:ascii="Arial" w:cs="Arial" w:eastAsia="Arial" w:hAnsi="Arial"/>
          <w:sz w:val="17"/>
          <w:szCs w:val="17"/>
          <w:i w:val="1"/>
          <w:iCs w:val="1"/>
          <w:color w:val="auto"/>
        </w:rPr>
        <w:t>Restricted cash and cash equivalents</w:t>
      </w:r>
      <w:r>
        <w:rPr>
          <w:rFonts w:ascii="Arial" w:cs="Arial" w:eastAsia="Arial" w:hAnsi="Arial"/>
          <w:sz w:val="17"/>
          <w:szCs w:val="17"/>
          <w:color w:val="auto"/>
        </w:rPr>
        <w:t>. The Company’s restricted cash and restricted cash equivalents consists of unused proceeds from the issuance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2021 Bonds, and are restricted for the purpose of constructing NW Iowa RNG projects as well as amounts pledged and assigned to Citibank, N.A. in its capacity as provider of the Letter of Credit as collateral for the reimbursement obligations of Gevo.</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rFonts w:ascii="Arial" w:cs="Arial" w:eastAsia="Arial" w:hAnsi="Arial"/>
          <w:sz w:val="17"/>
          <w:szCs w:val="17"/>
          <w:u w:val="single" w:color="auto"/>
          <w:color w:val="auto"/>
        </w:rPr>
      </w:pPr>
      <w:hyperlink w:anchor="page1">
        <w:r>
          <w:rPr>
            <w:rFonts w:ascii="Arial" w:cs="Arial" w:eastAsia="Arial" w:hAnsi="Arial"/>
            <w:sz w:val="17"/>
            <w:szCs w:val="17"/>
            <w:u w:val="single" w:color="auto"/>
            <w:color w:val="auto"/>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GEVO,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57" w:lineRule="exact"/>
        <w:rPr>
          <w:sz w:val="20"/>
          <w:szCs w:val="20"/>
          <w:color w:val="auto"/>
        </w:rPr>
      </w:pPr>
    </w:p>
    <w:p>
      <w:pPr>
        <w:ind w:right="80" w:firstLine="470"/>
        <w:spacing w:after="0" w:line="288" w:lineRule="auto"/>
        <w:rPr>
          <w:sz w:val="20"/>
          <w:szCs w:val="20"/>
          <w:color w:val="auto"/>
        </w:rPr>
      </w:pPr>
      <w:r>
        <w:rPr>
          <w:rFonts w:ascii="Arial" w:cs="Arial" w:eastAsia="Arial" w:hAnsi="Arial"/>
          <w:sz w:val="16"/>
          <w:szCs w:val="16"/>
          <w:color w:val="auto"/>
        </w:rPr>
        <w:t>The proceeds from issuance of the 2021 Bonds are maintained by the Trustee under the Indenture and are released to the Company only to pay costs of the construction of NW Iowa RNG. The Company has used $53.0 million for the project. As of March 31, 2022, unused bond proceeds of $15.2 million are included in restricted cash classified as current since the proceeds will be distributed within 12 months. We expect all construction invoices will be received and paid, and the remaining unused bond proceeds will be released to reimburse Gevo by the end of the second quarter of 2022.</w:t>
      </w:r>
    </w:p>
    <w:p>
      <w:pPr>
        <w:spacing w:after="0" w:line="188" w:lineRule="exact"/>
        <w:rPr>
          <w:sz w:val="20"/>
          <w:szCs w:val="20"/>
          <w:color w:val="auto"/>
        </w:rPr>
      </w:pPr>
    </w:p>
    <w:p>
      <w:pPr>
        <w:ind w:right="100" w:firstLine="470"/>
        <w:spacing w:after="0" w:line="288" w:lineRule="auto"/>
        <w:rPr>
          <w:sz w:val="20"/>
          <w:szCs w:val="20"/>
          <w:color w:val="auto"/>
        </w:rPr>
      </w:pPr>
      <w:r>
        <w:rPr>
          <w:rFonts w:ascii="Arial" w:cs="Arial" w:eastAsia="Arial" w:hAnsi="Arial"/>
          <w:sz w:val="17"/>
          <w:szCs w:val="17"/>
          <w:color w:val="auto"/>
        </w:rPr>
        <w:t>As of March 31, 2022</w:t>
      </w:r>
      <w:r>
        <w:rPr>
          <w:rFonts w:ascii="Arial" w:cs="Arial" w:eastAsia="Arial" w:hAnsi="Arial"/>
          <w:sz w:val="17"/>
          <w:szCs w:val="17"/>
          <w:i w:val="1"/>
          <w:iCs w:val="1"/>
          <w:color w:val="auto"/>
        </w:rPr>
        <w:t>,</w:t>
      </w:r>
      <w:r>
        <w:rPr>
          <w:rFonts w:ascii="Arial" w:cs="Arial" w:eastAsia="Arial" w:hAnsi="Arial"/>
          <w:sz w:val="17"/>
          <w:szCs w:val="17"/>
          <w:color w:val="auto"/>
        </w:rPr>
        <w:t xml:space="preserve"> $71.2 million is held in restricted cash as collateral for the Letter of Credit. The Company is entitled to receive interest income on the restricted cash.</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restricted cash held by the Trustee is made up of the following (in thousands). Numbers are stated since inception and as of March 31, 2022:</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March 31, 2022</w:t>
            </w:r>
          </w:p>
        </w:tc>
      </w:tr>
      <w:tr>
        <w:trPr>
          <w:trHeight w:val="222"/>
        </w:trPr>
        <w:tc>
          <w:tcPr>
            <w:tcW w:w="9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Bond proceeds</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68,995</w:t>
            </w:r>
          </w:p>
        </w:tc>
      </w:tr>
      <w:tr>
        <w:trPr>
          <w:trHeight w:val="222"/>
        </w:trPr>
        <w:tc>
          <w:tcPr>
            <w:tcW w:w="9280" w:type="dxa"/>
            <w:vAlign w:val="bottom"/>
          </w:tcPr>
          <w:p>
            <w:pPr>
              <w:ind w:left="20"/>
              <w:spacing w:after="0"/>
              <w:rPr>
                <w:sz w:val="20"/>
                <w:szCs w:val="20"/>
                <w:color w:val="auto"/>
              </w:rPr>
            </w:pPr>
            <w:r>
              <w:rPr>
                <w:rFonts w:ascii="Arial" w:cs="Arial" w:eastAsia="Arial" w:hAnsi="Arial"/>
                <w:sz w:val="17"/>
                <w:szCs w:val="17"/>
                <w:color w:val="auto"/>
              </w:rPr>
              <w:t>Disbursement of funds</w:t>
            </w: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(53,085)</w:t>
            </w:r>
          </w:p>
        </w:tc>
      </w:tr>
      <w:tr>
        <w:trPr>
          <w:trHeight w:val="222"/>
        </w:trPr>
        <w:tc>
          <w:tcPr>
            <w:tcW w:w="9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paid on bonds</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(727)</w:t>
            </w:r>
          </w:p>
        </w:tc>
      </w:tr>
      <w:tr>
        <w:trPr>
          <w:trHeight w:val="222"/>
        </w:trPr>
        <w:tc>
          <w:tcPr>
            <w:tcW w:w="9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Interest income</w:t>
            </w: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r>
      <w:tr>
        <w:trPr>
          <w:trHeight w:val="215"/>
        </w:trPr>
        <w:tc>
          <w:tcPr>
            <w:tcW w:w="9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restricted cash held by Trustee</w:t>
            </w:r>
          </w:p>
        </w:tc>
        <w:tc>
          <w:tcPr>
            <w:tcW w:w="2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15,194</w:t>
            </w:r>
          </w:p>
        </w:tc>
      </w:tr>
      <w:tr>
        <w:trPr>
          <w:trHeight w:val="222"/>
        </w:trPr>
        <w:tc>
          <w:tcPr>
            <w:tcW w:w="9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restricted cash for collateral</w:t>
            </w: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71,260</w:t>
            </w:r>
          </w:p>
        </w:tc>
      </w:tr>
      <w:tr>
        <w:trPr>
          <w:trHeight w:val="215"/>
        </w:trPr>
        <w:tc>
          <w:tcPr>
            <w:tcW w:w="9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restricted cash and restricted cash equivalents</w:t>
            </w:r>
          </w:p>
        </w:tc>
        <w:tc>
          <w:tcPr>
            <w:tcW w:w="2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86,454</w:t>
            </w:r>
          </w:p>
        </w:tc>
      </w:tr>
      <w:tr>
        <w:trPr>
          <w:trHeight w:val="222"/>
        </w:trPr>
        <w:tc>
          <w:tcPr>
            <w:tcW w:w="9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Current portion</w:t>
            </w: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(16,216)</w:t>
            </w:r>
          </w:p>
        </w:tc>
      </w:tr>
      <w:tr>
        <w:trPr>
          <w:trHeight w:val="240"/>
        </w:trPr>
        <w:tc>
          <w:tcPr>
            <w:tcW w:w="9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restricted cash held by Trustee</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70,238</w:t>
            </w:r>
          </w:p>
        </w:tc>
      </w:tr>
      <w:tr>
        <w:trPr>
          <w:trHeight w:val="20"/>
        </w:trPr>
        <w:tc>
          <w:tcPr>
            <w:tcW w:w="9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Loans Payable - Other</w:t>
      </w:r>
    </w:p>
    <w:p>
      <w:pPr>
        <w:spacing w:after="0" w:line="3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equipment loans are secured by the related equipment.</w:t>
      </w:r>
    </w:p>
    <w:p>
      <w:pPr>
        <w:spacing w:after="0" w:line="237" w:lineRule="exact"/>
        <w:rPr>
          <w:sz w:val="20"/>
          <w:szCs w:val="20"/>
          <w:color w:val="auto"/>
        </w:rPr>
      </w:pPr>
    </w:p>
    <w:p>
      <w:pPr>
        <w:ind w:right="120" w:firstLine="470"/>
        <w:spacing w:after="0" w:line="272" w:lineRule="auto"/>
        <w:rPr>
          <w:sz w:val="20"/>
          <w:szCs w:val="20"/>
          <w:color w:val="auto"/>
        </w:rPr>
      </w:pPr>
      <w:r>
        <w:rPr>
          <w:rFonts w:ascii="Arial" w:cs="Arial" w:eastAsia="Arial" w:hAnsi="Arial"/>
          <w:sz w:val="17"/>
          <w:szCs w:val="17"/>
          <w:color w:val="auto"/>
        </w:rPr>
        <w:t>In April 2020, the Company and Agri-Energy each entered into a loan agreement with Live Oak Banking Company, pursuant to which the Company and Agri-Energy obtained loans from the Small Business Administration's Paycheck Protection Program (“SBA PPP”) totaling $1.0 million in the aggregate (the "SBA Loans").</w:t>
      </w:r>
    </w:p>
    <w:p>
      <w:pPr>
        <w:spacing w:after="0" w:line="198" w:lineRule="exact"/>
        <w:rPr>
          <w:sz w:val="20"/>
          <w:szCs w:val="20"/>
          <w:color w:val="auto"/>
        </w:rPr>
      </w:pPr>
    </w:p>
    <w:p>
      <w:pPr>
        <w:ind w:right="220" w:firstLine="470"/>
        <w:spacing w:after="0" w:line="272" w:lineRule="auto"/>
        <w:rPr>
          <w:sz w:val="20"/>
          <w:szCs w:val="20"/>
          <w:color w:val="auto"/>
        </w:rPr>
      </w:pPr>
      <w:r>
        <w:rPr>
          <w:rFonts w:ascii="Arial" w:cs="Arial" w:eastAsia="Arial" w:hAnsi="Arial"/>
          <w:sz w:val="17"/>
          <w:szCs w:val="17"/>
          <w:color w:val="auto"/>
        </w:rPr>
        <w:t>On April 15, 2021, the Small Business Administration forgave the entire balance of $0.5 million of the Company's and $0.1 million of Agri-Energy's loans and accrued interest obtained through the SBA PPP. The remaining SBA Loan for Agri-Energy totals $0.3 million, bears interest at 1.0% and matures in April 2025. Monthly payments of $8,230, including interest, began on June 5, 2021, and are payable through April 2025.</w:t>
      </w:r>
    </w:p>
    <w:p>
      <w:pPr>
        <w:spacing w:after="0" w:line="19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summary of the 2021 Bonds and Loans payable - other are as follows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64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95"/>
              </w:rPr>
              <w:t>Interest Rate</w:t>
            </w:r>
          </w:p>
        </w:tc>
        <w:tc>
          <w:tcPr>
            <w:tcW w:w="100" w:type="dxa"/>
            <w:vAlign w:val="bottom"/>
            <w:tcBorders>
              <w:bottom w:val="single" w:sz="8" w:color="CCEEFF"/>
            </w:tcBorders>
          </w:tcPr>
          <w:p>
            <w:pPr>
              <w:spacing w:after="0"/>
              <w:rPr>
                <w:sz w:val="20"/>
                <w:szCs w:val="20"/>
                <w:color w:val="auto"/>
              </w:rPr>
            </w:pPr>
          </w:p>
        </w:tc>
        <w:tc>
          <w:tcPr>
            <w:tcW w:w="360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rPr>
              <w:t>Maturity Date</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w w:val="99"/>
              </w:rPr>
              <w:t>March 31, 2022</w:t>
            </w:r>
          </w:p>
        </w:tc>
        <w:tc>
          <w:tcPr>
            <w:tcW w:w="10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7"/>
                <w:szCs w:val="17"/>
                <w:b w:val="1"/>
                <w:bCs w:val="1"/>
                <w:color w:val="auto"/>
                <w:w w:val="97"/>
              </w:rPr>
              <w:t>December 31, 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2021 Bonds</w:t>
            </w:r>
          </w:p>
        </w:tc>
        <w:tc>
          <w:tcPr>
            <w:tcW w:w="460" w:type="dxa"/>
            <w:vAlign w:val="bottom"/>
            <w:shd w:val="clear" w:color="auto" w:fill="CCEEFF"/>
          </w:tcPr>
          <w:p>
            <w:pPr>
              <w:spacing w:after="0"/>
              <w:rPr>
                <w:sz w:val="21"/>
                <w:szCs w:val="21"/>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1.5%</w:t>
            </w: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380" w:type="dxa"/>
            <w:vAlign w:val="bottom"/>
            <w:gridSpan w:val="3"/>
            <w:shd w:val="clear" w:color="auto" w:fill="CCEEFF"/>
          </w:tcPr>
          <w:p>
            <w:pPr>
              <w:jc w:val="center"/>
              <w:ind w:right="1440"/>
              <w:spacing w:after="0"/>
              <w:rPr>
                <w:sz w:val="20"/>
                <w:szCs w:val="20"/>
                <w:color w:val="auto"/>
              </w:rPr>
            </w:pPr>
            <w:r>
              <w:rPr>
                <w:rFonts w:ascii="Arial" w:cs="Arial" w:eastAsia="Arial" w:hAnsi="Arial"/>
                <w:sz w:val="17"/>
                <w:szCs w:val="17"/>
                <w:color w:val="auto"/>
                <w:w w:val="91"/>
              </w:rPr>
              <w:t>January 2042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66,669</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9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66,486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640" w:type="dxa"/>
            <w:vAlign w:val="bottom"/>
          </w:tcPr>
          <w:p>
            <w:pPr>
              <w:ind w:left="20"/>
              <w:spacing w:after="0"/>
              <w:rPr>
                <w:sz w:val="20"/>
                <w:szCs w:val="20"/>
                <w:color w:val="auto"/>
              </w:rPr>
            </w:pPr>
            <w:r>
              <w:rPr>
                <w:rFonts w:ascii="Arial" w:cs="Arial" w:eastAsia="Arial" w:hAnsi="Arial"/>
                <w:sz w:val="17"/>
                <w:szCs w:val="17"/>
                <w:color w:val="auto"/>
              </w:rPr>
              <w:t>SBA Loans</w:t>
            </w:r>
          </w:p>
        </w:tc>
        <w:tc>
          <w:tcPr>
            <w:tcW w:w="460" w:type="dxa"/>
            <w:vAlign w:val="bottom"/>
          </w:tcPr>
          <w:p>
            <w:pPr>
              <w:spacing w:after="0"/>
              <w:rPr>
                <w:sz w:val="21"/>
                <w:szCs w:val="21"/>
                <w:color w:val="auto"/>
              </w:rPr>
            </w:pPr>
          </w:p>
        </w:tc>
        <w:tc>
          <w:tcPr>
            <w:tcW w:w="540" w:type="dxa"/>
            <w:vAlign w:val="bottom"/>
          </w:tcPr>
          <w:p>
            <w:pPr>
              <w:jc w:val="center"/>
              <w:spacing w:after="0"/>
              <w:rPr>
                <w:sz w:val="20"/>
                <w:szCs w:val="20"/>
                <w:color w:val="auto"/>
              </w:rPr>
            </w:pPr>
            <w:r>
              <w:rPr>
                <w:rFonts w:ascii="Arial" w:cs="Arial" w:eastAsia="Arial" w:hAnsi="Arial"/>
                <w:sz w:val="17"/>
                <w:szCs w:val="17"/>
                <w:color w:val="auto"/>
                <w:w w:val="97"/>
              </w:rPr>
              <w:t>1.0%</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auto"/>
                <w:w w:val="99"/>
              </w:rPr>
              <w:t>April 2025</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296</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Equipment</w:t>
            </w:r>
          </w:p>
        </w:tc>
        <w:tc>
          <w:tcPr>
            <w:tcW w:w="4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4%</w:t>
            </w:r>
          </w:p>
        </w:tc>
        <w:tc>
          <w:tcPr>
            <w:tcW w:w="5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to</w:t>
            </w:r>
          </w:p>
        </w:tc>
        <w:tc>
          <w:tcPr>
            <w:tcW w:w="4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ind w:left="300"/>
              <w:spacing w:after="0"/>
              <w:rPr>
                <w:sz w:val="20"/>
                <w:szCs w:val="20"/>
                <w:color w:val="auto"/>
              </w:rPr>
            </w:pPr>
            <w:r>
              <w:rPr>
                <w:rFonts w:ascii="Arial" w:cs="Arial" w:eastAsia="Arial" w:hAnsi="Arial"/>
                <w:sz w:val="17"/>
                <w:szCs w:val="17"/>
                <w:color w:val="auto"/>
                <w:w w:val="90"/>
              </w:rPr>
              <w:t>February 2022</w:t>
            </w: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to</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December 2024</w:t>
            </w:r>
          </w:p>
        </w:tc>
        <w:tc>
          <w:tcPr>
            <w:tcW w:w="16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0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640" w:type="dxa"/>
            <w:vAlign w:val="bottom"/>
          </w:tcPr>
          <w:p>
            <w:pPr>
              <w:ind w:left="20"/>
              <w:spacing w:after="0"/>
              <w:rPr>
                <w:sz w:val="20"/>
                <w:szCs w:val="20"/>
                <w:color w:val="auto"/>
              </w:rPr>
            </w:pPr>
            <w:r>
              <w:rPr>
                <w:rFonts w:ascii="Arial" w:cs="Arial" w:eastAsia="Arial" w:hAnsi="Arial"/>
                <w:sz w:val="17"/>
                <w:szCs w:val="17"/>
                <w:color w:val="auto"/>
              </w:rPr>
              <w:t>Total loans payable - other</w:t>
            </w: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67,035</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66,962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current portion</w:t>
            </w:r>
          </w:p>
        </w:tc>
        <w:tc>
          <w:tcPr>
            <w:tcW w:w="4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1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640" w:type="dxa"/>
            <w:vAlign w:val="bottom"/>
          </w:tcPr>
          <w:p>
            <w:pPr>
              <w:ind w:left="20"/>
              <w:spacing w:after="0"/>
              <w:rPr>
                <w:sz w:val="20"/>
                <w:szCs w:val="20"/>
                <w:color w:val="auto"/>
              </w:rPr>
            </w:pPr>
            <w:r>
              <w:rPr>
                <w:rFonts w:ascii="Arial" w:cs="Arial" w:eastAsia="Arial" w:hAnsi="Arial"/>
                <w:sz w:val="17"/>
                <w:szCs w:val="17"/>
                <w:color w:val="auto"/>
              </w:rPr>
              <w:t>Long-term portion</w:t>
            </w: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66,946</w:t>
            </w:r>
          </w:p>
        </w:tc>
        <w:tc>
          <w:tcPr>
            <w:tcW w:w="100" w:type="dxa"/>
            <w:vAlign w:val="bottom"/>
          </w:tcPr>
          <w:p>
            <w:pPr>
              <w:spacing w:after="0"/>
              <w:rPr>
                <w:sz w:val="21"/>
                <w:szCs w:val="21"/>
                <w:color w:val="auto"/>
              </w:rPr>
            </w:pPr>
          </w:p>
        </w:tc>
        <w:tc>
          <w:tcPr>
            <w:tcW w:w="600" w:type="dxa"/>
            <w:vAlign w:val="bottom"/>
            <w:tcBorders>
              <w:bottom w:val="single" w:sz="8" w:color="auto"/>
            </w:tcBorders>
          </w:tcPr>
          <w:p>
            <w:pPr>
              <w:jc w:val="right"/>
              <w:ind w:right="39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66,804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vMerge w:val="restart"/>
          </w:tcPr>
          <w:p>
            <w:pPr>
              <w:jc w:val="right"/>
              <w:ind w:right="593"/>
              <w:spacing w:after="0"/>
              <w:rPr>
                <w:sz w:val="20"/>
                <w:szCs w:val="20"/>
                <w:color w:val="auto"/>
              </w:rPr>
            </w:pPr>
            <w:r>
              <w:rPr>
                <w:rFonts w:ascii="Arial" w:cs="Arial" w:eastAsia="Arial" w:hAnsi="Arial"/>
                <w:sz w:val="17"/>
                <w:szCs w:val="17"/>
                <w:color w:val="auto"/>
                <w:w w:val="94"/>
              </w:rPr>
              <w:t>17</w:t>
            </w: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9"/>
        </w:trPr>
        <w:tc>
          <w:tcPr>
            <w:tcW w:w="2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64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rFonts w:ascii="Arial" w:cs="Arial" w:eastAsia="Arial" w:hAnsi="Arial"/>
          <w:sz w:val="17"/>
          <w:szCs w:val="17"/>
          <w:color w:val="auto"/>
        </w:rPr>
      </w:pPr>
      <w:hyperlink w:anchor="page1">
        <w:r>
          <w:rPr>
            <w:rFonts w:ascii="Arial" w:cs="Arial" w:eastAsia="Arial" w:hAnsi="Arial"/>
            <w:sz w:val="17"/>
            <w:szCs w:val="17"/>
            <w:color w:val="auto"/>
          </w:rPr>
          <w:t>Table of Contents</w:t>
        </w:r>
      </w:hyperlink>
    </w:p>
    <w:tbl>
      <w:tblPr>
        <w:tblLayout w:type="fixed"/>
        <w:tblInd w:w="0" w:type="dxa"/>
        <w:tblCellMar>
          <w:top w:w="0" w:type="dxa"/>
          <w:left w:w="0" w:type="dxa"/>
          <w:bottom w:w="0" w:type="dxa"/>
          <w:right w:w="0" w:type="dxa"/>
        </w:tblCellMar>
      </w:tblPr>
      <w:tr>
        <w:trPr>
          <w:trHeight w:val="184"/>
        </w:trPr>
        <w:tc>
          <w:tcPr>
            <w:tcW w:w="1240" w:type="dxa"/>
            <w:vAlign w:val="bottom"/>
            <w:tcBorders>
              <w:top w:val="single" w:sz="8" w:color="auto"/>
            </w:tcBorders>
          </w:tcPr>
          <w:p>
            <w:pPr>
              <w:spacing w:after="0"/>
              <w:rPr>
                <w:sz w:val="15"/>
                <w:szCs w:val="15"/>
                <w:color w:val="auto"/>
              </w:rPr>
            </w:pPr>
          </w:p>
        </w:tc>
        <w:tc>
          <w:tcPr>
            <w:tcW w:w="5980" w:type="dxa"/>
            <w:vAlign w:val="bottom"/>
          </w:tcPr>
          <w:p>
            <w:pPr>
              <w:jc w:val="center"/>
              <w:ind w:left="2693"/>
              <w:spacing w:after="0" w:line="184" w:lineRule="exact"/>
              <w:rPr>
                <w:sz w:val="20"/>
                <w:szCs w:val="20"/>
                <w:color w:val="auto"/>
              </w:rPr>
            </w:pPr>
            <w:r>
              <w:rPr>
                <w:rFonts w:ascii="Arial" w:cs="Arial" w:eastAsia="Arial" w:hAnsi="Arial"/>
                <w:sz w:val="17"/>
                <w:szCs w:val="17"/>
                <w:b w:val="1"/>
                <w:bCs w:val="1"/>
                <w:color w:val="auto"/>
              </w:rPr>
              <w:t>GEVO, INC.</w:t>
            </w:r>
          </w:p>
        </w:tc>
        <w:tc>
          <w:tcPr>
            <w:tcW w:w="2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6240" w:type="dxa"/>
            <w:vAlign w:val="bottom"/>
            <w:gridSpan w:val="2"/>
          </w:tcPr>
          <w:p>
            <w:pPr>
              <w:jc w:val="center"/>
              <w:ind w:left="2433"/>
              <w:spacing w:after="0"/>
              <w:rPr>
                <w:sz w:val="20"/>
                <w:szCs w:val="20"/>
                <w:color w:val="auto"/>
              </w:rPr>
            </w:pPr>
            <w:r>
              <w:rPr>
                <w:rFonts w:ascii="Arial" w:cs="Arial" w:eastAsia="Arial" w:hAnsi="Arial"/>
                <w:sz w:val="17"/>
                <w:szCs w:val="17"/>
                <w:b w:val="1"/>
                <w:bCs w:val="1"/>
                <w:color w:val="auto"/>
                <w:w w:val="91"/>
              </w:rPr>
              <w:t>Notes to Consolidated Financial Statements</w:t>
            </w: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240" w:type="dxa"/>
            <w:vAlign w:val="bottom"/>
          </w:tcPr>
          <w:p>
            <w:pPr>
              <w:spacing w:after="0"/>
              <w:rPr>
                <w:sz w:val="19"/>
                <w:szCs w:val="19"/>
                <w:color w:val="auto"/>
              </w:rPr>
            </w:pPr>
          </w:p>
        </w:tc>
        <w:tc>
          <w:tcPr>
            <w:tcW w:w="5980" w:type="dxa"/>
            <w:vAlign w:val="bottom"/>
          </w:tcPr>
          <w:p>
            <w:pPr>
              <w:jc w:val="center"/>
              <w:ind w:left="2693"/>
              <w:spacing w:after="0"/>
              <w:rPr>
                <w:sz w:val="20"/>
                <w:szCs w:val="20"/>
                <w:color w:val="auto"/>
              </w:rPr>
            </w:pPr>
            <w:r>
              <w:rPr>
                <w:rFonts w:ascii="Arial" w:cs="Arial" w:eastAsia="Arial" w:hAnsi="Arial"/>
                <w:sz w:val="17"/>
                <w:szCs w:val="17"/>
                <w:b w:val="1"/>
                <w:bCs w:val="1"/>
                <w:color w:val="auto"/>
                <w:w w:val="95"/>
              </w:rPr>
              <w:t>(unaudited)</w:t>
            </w:r>
          </w:p>
        </w:tc>
        <w:tc>
          <w:tcPr>
            <w:tcW w:w="2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6"/>
        </w:trPr>
        <w:tc>
          <w:tcPr>
            <w:tcW w:w="7220" w:type="dxa"/>
            <w:vAlign w:val="bottom"/>
            <w:gridSpan w:val="2"/>
          </w:tcPr>
          <w:p>
            <w:pPr>
              <w:ind w:left="480"/>
              <w:spacing w:after="0"/>
              <w:rPr>
                <w:sz w:val="20"/>
                <w:szCs w:val="20"/>
                <w:color w:val="auto"/>
              </w:rPr>
            </w:pPr>
            <w:r>
              <w:rPr>
                <w:rFonts w:ascii="Arial" w:cs="Arial" w:eastAsia="Arial" w:hAnsi="Arial"/>
                <w:sz w:val="17"/>
                <w:szCs w:val="17"/>
                <w:color w:val="auto"/>
                <w:w w:val="99"/>
              </w:rPr>
              <w:t>Future principal payments for the Company's long-term debt are as follows (in thousands):</w:t>
            </w: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7220" w:type="dxa"/>
            <w:vAlign w:val="bottom"/>
            <w:gridSpan w:val="2"/>
          </w:tcPr>
          <w:p>
            <w:pPr>
              <w:ind w:left="20"/>
              <w:spacing w:after="0"/>
              <w:rPr>
                <w:sz w:val="20"/>
                <w:szCs w:val="20"/>
                <w:color w:val="auto"/>
              </w:rPr>
            </w:pPr>
            <w:r>
              <w:rPr>
                <w:rFonts w:ascii="Arial" w:cs="Arial" w:eastAsia="Arial" w:hAnsi="Arial"/>
                <w:sz w:val="17"/>
                <w:szCs w:val="17"/>
                <w:b w:val="1"/>
                <w:bCs w:val="1"/>
                <w:color w:val="auto"/>
              </w:rPr>
              <w:t>Year Ending December 31,</w:t>
            </w:r>
          </w:p>
        </w:tc>
        <w:tc>
          <w:tcPr>
            <w:tcW w:w="2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7220" w:type="dxa"/>
            <w:vAlign w:val="bottom"/>
            <w:gridSpan w:val="2"/>
          </w:tcPr>
          <w:p>
            <w:pPr>
              <w:ind w:left="20"/>
              <w:spacing w:after="0"/>
              <w:rPr>
                <w:sz w:val="20"/>
                <w:szCs w:val="20"/>
                <w:color w:val="auto"/>
              </w:rPr>
            </w:pPr>
            <w:r>
              <w:rPr>
                <w:rFonts w:ascii="Arial" w:cs="Arial" w:eastAsia="Arial" w:hAnsi="Arial"/>
                <w:sz w:val="17"/>
                <w:szCs w:val="17"/>
                <w:color w:val="auto"/>
              </w:rPr>
              <w:t>2022 (remaining)</w:t>
            </w:r>
          </w:p>
        </w:tc>
        <w:tc>
          <w:tcPr>
            <w:tcW w:w="2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760" w:type="dxa"/>
            <w:vAlign w:val="bottom"/>
          </w:tcPr>
          <w:p>
            <w:pPr>
              <w:jc w:val="right"/>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55"/>
        </w:trPr>
        <w:tc>
          <w:tcPr>
            <w:tcW w:w="1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59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w:t>
            </w:r>
          </w:p>
        </w:tc>
        <w:tc>
          <w:tcPr>
            <w:tcW w:w="0" w:type="dxa"/>
            <w:vAlign w:val="bottom"/>
          </w:tcPr>
          <w:p>
            <w:pPr>
              <w:spacing w:after="0"/>
              <w:rPr>
                <w:sz w:val="1"/>
                <w:szCs w:val="1"/>
                <w:color w:val="auto"/>
              </w:rPr>
            </w:pPr>
          </w:p>
        </w:tc>
      </w:tr>
      <w:tr>
        <w:trPr>
          <w:trHeight w:val="242"/>
        </w:trPr>
        <w:tc>
          <w:tcPr>
            <w:tcW w:w="1240" w:type="dxa"/>
            <w:vAlign w:val="bottom"/>
          </w:tcPr>
          <w:p>
            <w:pPr>
              <w:ind w:left="20"/>
              <w:spacing w:after="0"/>
              <w:rPr>
                <w:sz w:val="20"/>
                <w:szCs w:val="20"/>
                <w:color w:val="auto"/>
              </w:rPr>
            </w:pPr>
            <w:r>
              <w:rPr>
                <w:rFonts w:ascii="Arial" w:cs="Arial" w:eastAsia="Arial" w:hAnsi="Arial"/>
                <w:sz w:val="17"/>
                <w:szCs w:val="17"/>
                <w:color w:val="auto"/>
              </w:rPr>
              <w:t>2024</w:t>
            </w:r>
          </w:p>
        </w:tc>
        <w:tc>
          <w:tcPr>
            <w:tcW w:w="5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66,799</w:t>
            </w:r>
          </w:p>
        </w:tc>
        <w:tc>
          <w:tcPr>
            <w:tcW w:w="0" w:type="dxa"/>
            <w:vAlign w:val="bottom"/>
          </w:tcPr>
          <w:p>
            <w:pPr>
              <w:spacing w:after="0"/>
              <w:rPr>
                <w:sz w:val="1"/>
                <w:szCs w:val="1"/>
                <w:color w:val="auto"/>
              </w:rPr>
            </w:pPr>
          </w:p>
        </w:tc>
      </w:tr>
      <w:tr>
        <w:trPr>
          <w:trHeight w:val="255"/>
        </w:trPr>
        <w:tc>
          <w:tcPr>
            <w:tcW w:w="1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59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42"/>
        </w:trPr>
        <w:tc>
          <w:tcPr>
            <w:tcW w:w="1240" w:type="dxa"/>
            <w:vAlign w:val="bottom"/>
          </w:tcPr>
          <w:p>
            <w:pPr>
              <w:ind w:left="20"/>
              <w:spacing w:after="0"/>
              <w:rPr>
                <w:sz w:val="20"/>
                <w:szCs w:val="20"/>
                <w:color w:val="auto"/>
              </w:rPr>
            </w:pPr>
            <w:r>
              <w:rPr>
                <w:rFonts w:ascii="Arial" w:cs="Arial" w:eastAsia="Arial" w:hAnsi="Arial"/>
                <w:sz w:val="17"/>
                <w:szCs w:val="17"/>
                <w:color w:val="auto"/>
              </w:rPr>
              <w:t>2026</w:t>
            </w:r>
          </w:p>
        </w:tc>
        <w:tc>
          <w:tcPr>
            <w:tcW w:w="5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1"/>
        </w:trPr>
        <w:tc>
          <w:tcPr>
            <w:tcW w:w="124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67,035</w:t>
            </w:r>
          </w:p>
        </w:tc>
        <w:tc>
          <w:tcPr>
            <w:tcW w:w="0" w:type="dxa"/>
            <w:vAlign w:val="bottom"/>
          </w:tcPr>
          <w:p>
            <w:pPr>
              <w:spacing w:after="0"/>
              <w:rPr>
                <w:sz w:val="1"/>
                <w:szCs w:val="1"/>
                <w:color w:val="auto"/>
              </w:rPr>
            </w:pPr>
          </w:p>
        </w:tc>
      </w:tr>
      <w:tr>
        <w:trPr>
          <w:trHeight w:val="26"/>
        </w:trPr>
        <w:tc>
          <w:tcPr>
            <w:tcW w:w="72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13. Deposits and Other Assets</w:t>
            </w: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722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4"/>
        </w:trPr>
        <w:tc>
          <w:tcPr>
            <w:tcW w:w="7220" w:type="dxa"/>
            <w:vAlign w:val="bottom"/>
            <w:gridSpan w:val="2"/>
          </w:tcPr>
          <w:p>
            <w:pPr>
              <w:ind w:left="780"/>
              <w:spacing w:after="0"/>
              <w:rPr>
                <w:sz w:val="20"/>
                <w:szCs w:val="20"/>
                <w:color w:val="auto"/>
              </w:rPr>
            </w:pPr>
            <w:r>
              <w:rPr>
                <w:rFonts w:ascii="Arial" w:cs="Arial" w:eastAsia="Arial" w:hAnsi="Arial"/>
                <w:sz w:val="17"/>
                <w:szCs w:val="17"/>
                <w:color w:val="auto"/>
              </w:rPr>
              <w:t>Deposits and other assets include the following:</w:t>
            </w: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4"/>
        </w:trPr>
        <w:tc>
          <w:tcPr>
            <w:tcW w:w="124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gridSpan w:val="2"/>
          </w:tcPr>
          <w:p>
            <w:pPr>
              <w:ind w:left="140"/>
              <w:spacing w:after="0"/>
              <w:rPr>
                <w:sz w:val="20"/>
                <w:szCs w:val="20"/>
                <w:color w:val="auto"/>
              </w:rPr>
            </w:pPr>
            <w:r>
              <w:rPr>
                <w:rFonts w:ascii="Arial" w:cs="Arial" w:eastAsia="Arial" w:hAnsi="Arial"/>
                <w:sz w:val="17"/>
                <w:szCs w:val="17"/>
                <w:b w:val="1"/>
                <w:bCs w:val="1"/>
                <w:color w:val="auto"/>
              </w:rPr>
              <w:t>March 31, 2022</w:t>
            </w:r>
          </w:p>
        </w:tc>
        <w:tc>
          <w:tcPr>
            <w:tcW w:w="200" w:type="dxa"/>
            <w:vAlign w:val="bottom"/>
          </w:tcPr>
          <w:p>
            <w:pPr>
              <w:spacing w:after="0"/>
              <w:rPr>
                <w:sz w:val="24"/>
                <w:szCs w:val="24"/>
                <w:color w:val="auto"/>
              </w:rPr>
            </w:pPr>
          </w:p>
        </w:tc>
        <w:tc>
          <w:tcPr>
            <w:tcW w:w="1760" w:type="dxa"/>
            <w:vAlign w:val="bottom"/>
          </w:tcPr>
          <w:p>
            <w:pPr>
              <w:jc w:val="right"/>
              <w:ind w:right="193"/>
              <w:spacing w:after="0"/>
              <w:rPr>
                <w:sz w:val="20"/>
                <w:szCs w:val="20"/>
                <w:color w:val="auto"/>
              </w:rPr>
            </w:pPr>
            <w:r>
              <w:rPr>
                <w:rFonts w:ascii="Arial" w:cs="Arial" w:eastAsia="Arial" w:hAnsi="Arial"/>
                <w:sz w:val="17"/>
                <w:szCs w:val="17"/>
                <w:b w:val="1"/>
                <w:bCs w:val="1"/>
                <w:color w:val="auto"/>
                <w:w w:val="95"/>
              </w:rPr>
              <w:t>December 31, 2021</w:t>
            </w:r>
          </w:p>
        </w:tc>
        <w:tc>
          <w:tcPr>
            <w:tcW w:w="0" w:type="dxa"/>
            <w:vAlign w:val="bottom"/>
          </w:tcPr>
          <w:p>
            <w:pPr>
              <w:spacing w:after="0"/>
              <w:rPr>
                <w:sz w:val="1"/>
                <w:szCs w:val="1"/>
                <w:color w:val="auto"/>
              </w:rPr>
            </w:pPr>
          </w:p>
        </w:tc>
      </w:tr>
      <w:tr>
        <w:trPr>
          <w:trHeight w:val="215"/>
        </w:trPr>
        <w:tc>
          <w:tcPr>
            <w:tcW w:w="72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Deposits (1)</w:t>
            </w: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831</w:t>
            </w:r>
          </w:p>
        </w:tc>
        <w:tc>
          <w:tcPr>
            <w:tcW w:w="0" w:type="dxa"/>
            <w:vAlign w:val="bottom"/>
          </w:tcPr>
          <w:p>
            <w:pPr>
              <w:spacing w:after="0"/>
              <w:rPr>
                <w:sz w:val="1"/>
                <w:szCs w:val="1"/>
                <w:color w:val="auto"/>
              </w:rPr>
            </w:pPr>
          </w:p>
        </w:tc>
      </w:tr>
      <w:tr>
        <w:trPr>
          <w:trHeight w:val="222"/>
        </w:trPr>
        <w:tc>
          <w:tcPr>
            <w:tcW w:w="7220" w:type="dxa"/>
            <w:vAlign w:val="bottom"/>
            <w:gridSpan w:val="2"/>
          </w:tcPr>
          <w:p>
            <w:pPr>
              <w:ind w:left="20"/>
              <w:spacing w:after="0"/>
              <w:rPr>
                <w:sz w:val="20"/>
                <w:szCs w:val="20"/>
                <w:color w:val="auto"/>
              </w:rPr>
            </w:pPr>
            <w:r>
              <w:rPr>
                <w:rFonts w:ascii="Arial" w:cs="Arial" w:eastAsia="Arial" w:hAnsi="Arial"/>
                <w:sz w:val="17"/>
                <w:szCs w:val="17"/>
                <w:color w:val="auto"/>
              </w:rPr>
              <w:t>Investment in Juhl (2)</w:t>
            </w: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1,500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1,500</w:t>
            </w:r>
          </w:p>
        </w:tc>
        <w:tc>
          <w:tcPr>
            <w:tcW w:w="0" w:type="dxa"/>
            <w:vAlign w:val="bottom"/>
          </w:tcPr>
          <w:p>
            <w:pPr>
              <w:spacing w:after="0"/>
              <w:rPr>
                <w:sz w:val="1"/>
                <w:szCs w:val="1"/>
                <w:color w:val="auto"/>
              </w:rPr>
            </w:pPr>
          </w:p>
        </w:tc>
      </w:tr>
      <w:tr>
        <w:trPr>
          <w:trHeight w:val="222"/>
        </w:trPr>
        <w:tc>
          <w:tcPr>
            <w:tcW w:w="7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Exclusivity fees (3)</w:t>
            </w:r>
          </w:p>
        </w:tc>
        <w:tc>
          <w:tcPr>
            <w:tcW w:w="2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3,250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7220" w:type="dxa"/>
            <w:vAlign w:val="bottom"/>
            <w:gridSpan w:val="2"/>
          </w:tcPr>
          <w:p>
            <w:pPr>
              <w:ind w:left="20"/>
              <w:spacing w:after="0"/>
              <w:rPr>
                <w:sz w:val="20"/>
                <w:szCs w:val="20"/>
                <w:color w:val="auto"/>
              </w:rPr>
            </w:pPr>
            <w:r>
              <w:rPr>
                <w:rFonts w:ascii="Arial" w:cs="Arial" w:eastAsia="Arial" w:hAnsi="Arial"/>
                <w:sz w:val="17"/>
                <w:szCs w:val="17"/>
                <w:color w:val="auto"/>
              </w:rPr>
              <w:t>Total Deposits and Other Assets</w:t>
            </w: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5,631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2,331</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7" w:lineRule="exact"/>
        <w:rPr>
          <w:sz w:val="20"/>
          <w:szCs w:val="20"/>
          <w:color w:val="auto"/>
        </w:rPr>
      </w:pPr>
    </w:p>
    <w:p>
      <w:pPr>
        <w:ind w:left="260" w:hanging="255"/>
        <w:spacing w:after="0"/>
        <w:tabs>
          <w:tab w:leader="none" w:pos="2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Deposits for legal services and for product for Net-Zero 1.</w:t>
      </w:r>
    </w:p>
    <w:p>
      <w:pPr>
        <w:spacing w:after="0" w:line="25" w:lineRule="exact"/>
        <w:rPr>
          <w:rFonts w:ascii="Arial" w:cs="Arial" w:eastAsia="Arial" w:hAnsi="Arial"/>
          <w:sz w:val="17"/>
          <w:szCs w:val="17"/>
          <w:color w:val="auto"/>
        </w:rPr>
      </w:pPr>
    </w:p>
    <w:p>
      <w:pPr>
        <w:ind w:left="260" w:hanging="255"/>
        <w:spacing w:after="0"/>
        <w:tabs>
          <w:tab w:leader="none" w:pos="2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Investment in Juhl's future wind farms.</w:t>
      </w:r>
    </w:p>
    <w:p>
      <w:pPr>
        <w:spacing w:after="0" w:line="13" w:lineRule="exact"/>
        <w:rPr>
          <w:rFonts w:ascii="Arial" w:cs="Arial" w:eastAsia="Arial" w:hAnsi="Arial"/>
          <w:sz w:val="17"/>
          <w:szCs w:val="17"/>
          <w:color w:val="auto"/>
        </w:rPr>
      </w:pPr>
    </w:p>
    <w:p>
      <w:pPr>
        <w:ind w:left="320" w:right="240" w:hanging="315"/>
        <w:spacing w:after="0" w:line="273" w:lineRule="auto"/>
        <w:tabs>
          <w:tab w:leader="none" w:pos="253" w:val="left"/>
        </w:tabs>
        <w:numPr>
          <w:ilvl w:val="0"/>
          <w:numId w:val="13"/>
        </w:numPr>
        <w:rPr>
          <w:rFonts w:ascii="Arial" w:cs="Arial" w:eastAsia="Arial" w:hAnsi="Arial"/>
          <w:sz w:val="17"/>
          <w:szCs w:val="17"/>
          <w:color w:val="auto"/>
        </w:rPr>
      </w:pPr>
      <w:r>
        <w:rPr>
          <w:rFonts w:ascii="Arial" w:cs="Arial" w:eastAsia="Arial" w:hAnsi="Arial"/>
          <w:sz w:val="17"/>
          <w:szCs w:val="17"/>
          <w:color w:val="auto"/>
        </w:rPr>
        <w:t>Axens North America, Inc. ("Axens") will provide certain alcohol-to-SAF services exclusively to the Company which may be offset against future license fees.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Stock-Based Compensation</w:t>
      </w:r>
    </w:p>
    <w:p>
      <w:pPr>
        <w:spacing w:after="0" w:line="32" w:lineRule="exact"/>
        <w:rPr>
          <w:sz w:val="20"/>
          <w:szCs w:val="20"/>
          <w:color w:val="auto"/>
        </w:rPr>
      </w:pPr>
    </w:p>
    <w:p>
      <w:pPr>
        <w:ind w:right="280" w:firstLine="470"/>
        <w:spacing w:after="0" w:line="273" w:lineRule="auto"/>
        <w:rPr>
          <w:sz w:val="20"/>
          <w:szCs w:val="20"/>
          <w:color w:val="auto"/>
        </w:rPr>
      </w:pPr>
      <w:r>
        <w:rPr>
          <w:rFonts w:ascii="Arial" w:cs="Arial" w:eastAsia="Arial" w:hAnsi="Arial"/>
          <w:sz w:val="17"/>
          <w:szCs w:val="17"/>
          <w:i w:val="1"/>
          <w:iCs w:val="1"/>
          <w:color w:val="auto"/>
        </w:rPr>
        <w:t>Equity incentive plans</w:t>
      </w:r>
      <w:r>
        <w:rPr>
          <w:rFonts w:ascii="Arial" w:cs="Arial" w:eastAsia="Arial" w:hAnsi="Arial"/>
          <w:sz w:val="17"/>
          <w:szCs w:val="17"/>
          <w:color w:val="auto"/>
        </w:rPr>
        <w:t>. In February 2011, the Company’s stockholders approved the Gevo, Inc. 2010 Stock Incentive Plan (as amended and restated to</w:t>
      </w:r>
      <w:r>
        <w:rPr>
          <w:rFonts w:ascii="Arial" w:cs="Arial" w:eastAsia="Arial" w:hAnsi="Arial"/>
          <w:sz w:val="17"/>
          <w:szCs w:val="17"/>
          <w:i w:val="1"/>
          <w:iCs w:val="1"/>
          <w:color w:val="auto"/>
        </w:rPr>
        <w:t xml:space="preserve"> </w:t>
      </w:r>
      <w:r>
        <w:rPr>
          <w:rFonts w:ascii="Arial" w:cs="Arial" w:eastAsia="Arial" w:hAnsi="Arial"/>
          <w:sz w:val="17"/>
          <w:szCs w:val="17"/>
          <w:color w:val="auto"/>
        </w:rPr>
        <w:t>date, the "2010 Plan"), and the Employee Stock Purchase Plan (the "ESPP").</w:t>
      </w:r>
    </w:p>
    <w:p>
      <w:pPr>
        <w:spacing w:after="0" w:line="197" w:lineRule="exact"/>
        <w:rPr>
          <w:sz w:val="20"/>
          <w:szCs w:val="20"/>
          <w:color w:val="auto"/>
        </w:rPr>
      </w:pPr>
    </w:p>
    <w:p>
      <w:pPr>
        <w:jc w:val="both"/>
        <w:ind w:right="120" w:firstLine="470"/>
        <w:spacing w:after="0" w:line="260" w:lineRule="auto"/>
        <w:rPr>
          <w:sz w:val="20"/>
          <w:szCs w:val="20"/>
          <w:color w:val="auto"/>
        </w:rPr>
      </w:pPr>
      <w:r>
        <w:rPr>
          <w:rFonts w:ascii="Arial" w:cs="Arial" w:eastAsia="Arial" w:hAnsi="Arial"/>
          <w:sz w:val="17"/>
          <w:szCs w:val="17"/>
          <w:color w:val="auto"/>
        </w:rPr>
        <w:t>The 2010 Plan provided for the grant of non-qualified stock options, incentive stock options, stock appreciation rights, restricted stock awards, restricted stock units and other equity awards to employees and directors of the Company. On June 9, 2021, with approval of stockholders at the 2021 Annual Meeting of Stockholders, the 2010 Plan was amended and restated, which increased the number of shares of common stock reserved for issuance under the 2010 Plan to a total of 22,980,074. At March 31, 2022, 7,717,026 shares remained available for awards under the 2010 Plan.</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Restricted common stock and non-qualified stock option activity during the three months ended March 31, 2022, consisted of the following:</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00" w:type="dxa"/>
            <w:vAlign w:val="bottom"/>
          </w:tcPr>
          <w:p>
            <w:pPr>
              <w:spacing w:after="0"/>
              <w:rPr>
                <w:sz w:val="17"/>
                <w:szCs w:val="17"/>
                <w:color w:val="auto"/>
              </w:rPr>
            </w:pPr>
          </w:p>
        </w:tc>
        <w:tc>
          <w:tcPr>
            <w:tcW w:w="2280" w:type="dxa"/>
            <w:vAlign w:val="bottom"/>
            <w:gridSpan w:val="2"/>
          </w:tcPr>
          <w:p>
            <w:pPr>
              <w:jc w:val="center"/>
              <w:ind w:right="440"/>
              <w:spacing w:after="0"/>
              <w:rPr>
                <w:sz w:val="20"/>
                <w:szCs w:val="20"/>
                <w:color w:val="auto"/>
              </w:rPr>
            </w:pPr>
            <w:r>
              <w:rPr>
                <w:rFonts w:ascii="Arial" w:cs="Arial" w:eastAsia="Arial" w:hAnsi="Arial"/>
                <w:sz w:val="17"/>
                <w:szCs w:val="17"/>
                <w:b w:val="1"/>
                <w:bCs w:val="1"/>
                <w:color w:val="auto"/>
                <w:w w:val="95"/>
              </w:rPr>
              <w:t>Total Number of</w:t>
            </w: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196"/>
        </w:trPr>
        <w:tc>
          <w:tcPr>
            <w:tcW w:w="5200" w:type="dxa"/>
            <w:vAlign w:val="bottom"/>
          </w:tcPr>
          <w:p>
            <w:pPr>
              <w:spacing w:after="0"/>
              <w:rPr>
                <w:sz w:val="17"/>
                <w:szCs w:val="17"/>
                <w:color w:val="auto"/>
              </w:rPr>
            </w:pPr>
          </w:p>
        </w:tc>
        <w:tc>
          <w:tcPr>
            <w:tcW w:w="2280" w:type="dxa"/>
            <w:vAlign w:val="bottom"/>
            <w:gridSpan w:val="2"/>
          </w:tcPr>
          <w:p>
            <w:pPr>
              <w:jc w:val="center"/>
              <w:ind w:right="460"/>
              <w:spacing w:after="0"/>
              <w:rPr>
                <w:sz w:val="20"/>
                <w:szCs w:val="20"/>
                <w:color w:val="auto"/>
              </w:rPr>
            </w:pPr>
            <w:r>
              <w:rPr>
                <w:rFonts w:ascii="Arial" w:cs="Arial" w:eastAsia="Arial" w:hAnsi="Arial"/>
                <w:sz w:val="17"/>
                <w:szCs w:val="17"/>
                <w:b w:val="1"/>
                <w:bCs w:val="1"/>
                <w:color w:val="auto"/>
                <w:w w:val="89"/>
              </w:rPr>
              <w:t>Restricted Shares</w:t>
            </w:r>
          </w:p>
        </w:tc>
        <w:tc>
          <w:tcPr>
            <w:tcW w:w="1820" w:type="dxa"/>
            <w:vAlign w:val="bottom"/>
          </w:tcPr>
          <w:p>
            <w:pPr>
              <w:jc w:val="center"/>
              <w:spacing w:after="0"/>
              <w:rPr>
                <w:sz w:val="20"/>
                <w:szCs w:val="20"/>
                <w:color w:val="auto"/>
              </w:rPr>
            </w:pPr>
            <w:r>
              <w:rPr>
                <w:rFonts w:ascii="Arial" w:cs="Arial" w:eastAsia="Arial" w:hAnsi="Arial"/>
                <w:sz w:val="17"/>
                <w:szCs w:val="17"/>
                <w:b w:val="1"/>
                <w:bCs w:val="1"/>
                <w:color w:val="auto"/>
                <w:w w:val="94"/>
              </w:rPr>
              <w:t>Total Number of Non-</w:t>
            </w: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196"/>
        </w:trPr>
        <w:tc>
          <w:tcPr>
            <w:tcW w:w="5200" w:type="dxa"/>
            <w:vAlign w:val="bottom"/>
          </w:tcPr>
          <w:p>
            <w:pPr>
              <w:spacing w:after="0"/>
              <w:rPr>
                <w:sz w:val="17"/>
                <w:szCs w:val="17"/>
                <w:color w:val="auto"/>
              </w:rPr>
            </w:pPr>
          </w:p>
        </w:tc>
        <w:tc>
          <w:tcPr>
            <w:tcW w:w="2280" w:type="dxa"/>
            <w:vAlign w:val="bottom"/>
            <w:gridSpan w:val="2"/>
          </w:tcPr>
          <w:p>
            <w:pPr>
              <w:jc w:val="center"/>
              <w:ind w:right="440"/>
              <w:spacing w:after="0"/>
              <w:rPr>
                <w:sz w:val="20"/>
                <w:szCs w:val="20"/>
                <w:color w:val="auto"/>
              </w:rPr>
            </w:pPr>
            <w:r>
              <w:rPr>
                <w:rFonts w:ascii="Arial" w:cs="Arial" w:eastAsia="Arial" w:hAnsi="Arial"/>
                <w:sz w:val="17"/>
                <w:szCs w:val="17"/>
                <w:b w:val="1"/>
                <w:bCs w:val="1"/>
                <w:color w:val="auto"/>
                <w:w w:val="89"/>
              </w:rPr>
              <w:t>Issued</w:t>
            </w:r>
          </w:p>
        </w:tc>
        <w:tc>
          <w:tcPr>
            <w:tcW w:w="1820" w:type="dxa"/>
            <w:vAlign w:val="bottom"/>
          </w:tcPr>
          <w:p>
            <w:pPr>
              <w:jc w:val="center"/>
              <w:spacing w:after="0"/>
              <w:rPr>
                <w:sz w:val="20"/>
                <w:szCs w:val="20"/>
                <w:color w:val="auto"/>
              </w:rPr>
            </w:pPr>
            <w:r>
              <w:rPr>
                <w:rFonts w:ascii="Arial" w:cs="Arial" w:eastAsia="Arial" w:hAnsi="Arial"/>
                <w:sz w:val="17"/>
                <w:szCs w:val="17"/>
                <w:b w:val="1"/>
                <w:bCs w:val="1"/>
                <w:color w:val="auto"/>
                <w:w w:val="91"/>
              </w:rPr>
              <w:t>qualified Stock Options</w:t>
            </w: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34"/>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Period</w:t>
            </w:r>
          </w:p>
        </w:tc>
        <w:tc>
          <w:tcPr>
            <w:tcW w:w="1820" w:type="dxa"/>
            <w:vAlign w:val="bottom"/>
            <w:tcBorders>
              <w:bottom w:val="single" w:sz="8" w:color="auto"/>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5"/>
              </w:rPr>
              <w:t>Granted</w:t>
            </w:r>
          </w:p>
        </w:tc>
        <w:tc>
          <w:tcPr>
            <w:tcW w:w="100" w:type="dxa"/>
            <w:vAlign w:val="bottom"/>
            <w:tcBorders>
              <w:bottom w:val="single" w:sz="8" w:color="CCEEFF"/>
            </w:tcBorders>
          </w:tcPr>
          <w:p>
            <w:pPr>
              <w:spacing w:after="0"/>
              <w:rPr>
                <w:sz w:val="20"/>
                <w:szCs w:val="20"/>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Vesting Periods Years</w:t>
            </w:r>
          </w:p>
        </w:tc>
      </w:tr>
      <w:tr>
        <w:trPr>
          <w:trHeight w:val="241"/>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January 1, 2022 to March 31, 2022</w:t>
            </w:r>
          </w:p>
        </w:tc>
        <w:tc>
          <w:tcPr>
            <w:tcW w:w="2280" w:type="dxa"/>
            <w:vAlign w:val="bottom"/>
            <w:gridSpan w:val="2"/>
            <w:shd w:val="clear" w:color="auto" w:fill="CCEEFF"/>
          </w:tcPr>
          <w:p>
            <w:pPr>
              <w:ind w:left="1120"/>
              <w:spacing w:after="0"/>
              <w:rPr>
                <w:sz w:val="20"/>
                <w:szCs w:val="20"/>
                <w:color w:val="auto"/>
              </w:rPr>
            </w:pPr>
            <w:r>
              <w:rPr>
                <w:rFonts w:ascii="Arial" w:cs="Arial" w:eastAsia="Arial" w:hAnsi="Arial"/>
                <w:sz w:val="17"/>
                <w:szCs w:val="17"/>
                <w:color w:val="auto"/>
              </w:rPr>
              <w:t>(340,502) (1)</w:t>
            </w:r>
          </w:p>
        </w:tc>
        <w:tc>
          <w:tcPr>
            <w:tcW w:w="1820" w:type="dxa"/>
            <w:vAlign w:val="bottom"/>
            <w:shd w:val="clear" w:color="auto" w:fill="CCEEFF"/>
          </w:tcPr>
          <w:p>
            <w:pPr>
              <w:ind w:left="15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98"/>
              </w:rPr>
              <w:t>N/A</w:t>
            </w:r>
          </w:p>
        </w:tc>
      </w:tr>
      <w:tr>
        <w:trPr>
          <w:trHeight w:val="248"/>
        </w:trPr>
        <w:tc>
          <w:tcPr>
            <w:tcW w:w="5200" w:type="dxa"/>
            <w:vAlign w:val="bottom"/>
          </w:tcPr>
          <w:p>
            <w:pPr>
              <w:ind w:left="20"/>
              <w:spacing w:after="0"/>
              <w:rPr>
                <w:sz w:val="20"/>
                <w:szCs w:val="20"/>
                <w:color w:val="auto"/>
              </w:rPr>
            </w:pPr>
            <w:r>
              <w:rPr>
                <w:rFonts w:ascii="Arial" w:cs="Arial" w:eastAsia="Arial" w:hAnsi="Arial"/>
                <w:sz w:val="17"/>
                <w:szCs w:val="17"/>
                <w:color w:val="auto"/>
              </w:rPr>
              <w:t>Total</w:t>
            </w:r>
          </w:p>
        </w:tc>
        <w:tc>
          <w:tcPr>
            <w:tcW w:w="1820" w:type="dxa"/>
            <w:vAlign w:val="bottom"/>
            <w:tcBorders>
              <w:top w:val="single" w:sz="8" w:color="auto"/>
              <w:bottom w:val="single" w:sz="8" w:color="auto"/>
            </w:tcBorders>
          </w:tcPr>
          <w:p>
            <w:pPr>
              <w:ind w:left="1120"/>
              <w:spacing w:after="0"/>
              <w:rPr>
                <w:sz w:val="20"/>
                <w:szCs w:val="20"/>
                <w:color w:val="auto"/>
              </w:rPr>
            </w:pPr>
            <w:r>
              <w:rPr>
                <w:rFonts w:ascii="Arial" w:cs="Arial" w:eastAsia="Arial" w:hAnsi="Arial"/>
                <w:sz w:val="17"/>
                <w:szCs w:val="17"/>
                <w:color w:val="auto"/>
                <w:w w:val="93"/>
              </w:rPr>
              <w:t>(340,502)</w:t>
            </w:r>
          </w:p>
        </w:tc>
        <w:tc>
          <w:tcPr>
            <w:tcW w:w="460" w:type="dxa"/>
            <w:vAlign w:val="bottom"/>
          </w:tcPr>
          <w:p>
            <w:pPr>
              <w:spacing w:after="0"/>
              <w:rPr>
                <w:sz w:val="21"/>
                <w:szCs w:val="21"/>
                <w:color w:val="auto"/>
              </w:rPr>
            </w:pPr>
          </w:p>
        </w:tc>
        <w:tc>
          <w:tcPr>
            <w:tcW w:w="1820" w:type="dxa"/>
            <w:vAlign w:val="bottom"/>
            <w:tcBorders>
              <w:top w:val="single" w:sz="8" w:color="auto"/>
              <w:bottom w:val="single" w:sz="8" w:color="auto"/>
            </w:tcBorders>
          </w:tcPr>
          <w:p>
            <w:pPr>
              <w:ind w:left="15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0"/>
        </w:trPr>
        <w:tc>
          <w:tcPr>
            <w:tcW w:w="52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bl>
    <w:p>
      <w:pPr>
        <w:ind w:left="320"/>
        <w:spacing w:after="0"/>
        <w:rPr>
          <w:sz w:val="20"/>
          <w:szCs w:val="20"/>
          <w:color w:val="auto"/>
        </w:rPr>
      </w:pPr>
      <w:r>
        <w:rPr>
          <w:rFonts w:ascii="Arial" w:cs="Arial" w:eastAsia="Arial" w:hAnsi="Arial"/>
          <w:sz w:val="17"/>
          <w:szCs w:val="17"/>
          <w:color w:val="auto"/>
        </w:rPr>
        <w:t>(1) Includes shares of common stock cancelled related to the unvested restricted stock awards.</w:t>
      </w:r>
    </w:p>
    <w:p>
      <w:pPr>
        <w:spacing w:after="0" w:line="13" w:lineRule="exact"/>
        <w:rPr>
          <w:sz w:val="20"/>
          <w:szCs w:val="20"/>
          <w:color w:val="auto"/>
        </w:rPr>
      </w:pPr>
    </w:p>
    <w:p>
      <w:pPr>
        <w:ind w:right="260" w:firstLine="470"/>
        <w:spacing w:after="0" w:line="265" w:lineRule="auto"/>
        <w:rPr>
          <w:sz w:val="20"/>
          <w:szCs w:val="20"/>
          <w:color w:val="auto"/>
        </w:rPr>
      </w:pPr>
      <w:r>
        <w:rPr>
          <w:rFonts w:ascii="Arial" w:cs="Arial" w:eastAsia="Arial" w:hAnsi="Arial"/>
          <w:sz w:val="17"/>
          <w:szCs w:val="17"/>
          <w:i w:val="1"/>
          <w:iCs w:val="1"/>
          <w:color w:val="auto"/>
        </w:rPr>
        <w:t>ESPP</w:t>
      </w:r>
      <w:r>
        <w:rPr>
          <w:rFonts w:ascii="Arial" w:cs="Arial" w:eastAsia="Arial" w:hAnsi="Arial"/>
          <w:sz w:val="17"/>
          <w:szCs w:val="17"/>
          <w:color w:val="auto"/>
        </w:rPr>
        <w:t>. The offering periods for the ESPP are from January 1 to June 30 and from July 1 to December 31 of each calendar year. The Company has</w:t>
      </w:r>
      <w:r>
        <w:rPr>
          <w:rFonts w:ascii="Arial" w:cs="Arial" w:eastAsia="Arial" w:hAnsi="Arial"/>
          <w:sz w:val="17"/>
          <w:szCs w:val="17"/>
          <w:i w:val="1"/>
          <w:iCs w:val="1"/>
          <w:color w:val="auto"/>
        </w:rPr>
        <w:t xml:space="preserve"> </w:t>
      </w:r>
      <w:r>
        <w:rPr>
          <w:rFonts w:ascii="Arial" w:cs="Arial" w:eastAsia="Arial" w:hAnsi="Arial"/>
          <w:sz w:val="17"/>
          <w:szCs w:val="17"/>
          <w:color w:val="auto"/>
        </w:rPr>
        <w:t>reserved 190 shares of common stock for issuance under the ESPP, of which 190 shares as of March 31, 2022, are available for future issuance. The purchase price of the common stock under the ESPP is 85% of</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 w:name="page19"/>
    <w:bookmarkEnd w:id="18"/>
    <w:p>
      <w:pPr>
        <w:spacing w:after="0"/>
        <w:rPr>
          <w:rFonts w:ascii="Arial" w:cs="Arial" w:eastAsia="Arial" w:hAnsi="Arial"/>
          <w:sz w:val="17"/>
          <w:szCs w:val="17"/>
          <w:u w:val="single" w:color="auto"/>
          <w:color w:val="auto"/>
        </w:rPr>
      </w:pPr>
      <w:hyperlink w:anchor="page1">
        <w:r>
          <w:rPr>
            <w:rFonts w:ascii="Arial" w:cs="Arial" w:eastAsia="Arial" w:hAnsi="Arial"/>
            <w:sz w:val="17"/>
            <w:szCs w:val="17"/>
            <w:u w:val="single" w:color="auto"/>
            <w:color w:val="auto"/>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GEVO,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57" w:lineRule="exact"/>
        <w:rPr>
          <w:sz w:val="20"/>
          <w:szCs w:val="20"/>
          <w:color w:val="auto"/>
        </w:rPr>
      </w:pPr>
    </w:p>
    <w:p>
      <w:pPr>
        <w:ind w:right="260"/>
        <w:spacing w:after="0" w:line="288" w:lineRule="auto"/>
        <w:rPr>
          <w:sz w:val="20"/>
          <w:szCs w:val="20"/>
          <w:color w:val="auto"/>
        </w:rPr>
      </w:pPr>
      <w:r>
        <w:rPr>
          <w:rFonts w:ascii="Arial" w:cs="Arial" w:eastAsia="Arial" w:hAnsi="Arial"/>
          <w:sz w:val="17"/>
          <w:szCs w:val="17"/>
          <w:color w:val="auto"/>
        </w:rPr>
        <w:t xml:space="preserve">the lower of the fair market value of a share of common stock on the first or last day of the purchase period. There were </w:t>
      </w:r>
      <w:r>
        <w:rPr>
          <w:rFonts w:ascii="Arial" w:cs="Arial" w:eastAsia="Arial" w:hAnsi="Arial"/>
          <w:sz w:val="17"/>
          <w:szCs w:val="17"/>
          <w:i w:val="1"/>
          <w:iCs w:val="1"/>
          <w:color w:val="auto"/>
        </w:rPr>
        <w:t>no</w:t>
      </w:r>
      <w:r>
        <w:rPr>
          <w:rFonts w:ascii="Arial" w:cs="Arial" w:eastAsia="Arial" w:hAnsi="Arial"/>
          <w:sz w:val="17"/>
          <w:szCs w:val="17"/>
          <w:color w:val="auto"/>
        </w:rPr>
        <w:t xml:space="preserve"> purchases of common stock under the ESPP during the three months ended March 31, 2022 or 2021</w:t>
      </w:r>
      <w:r>
        <w:rPr>
          <w:rFonts w:ascii="Arial" w:cs="Arial" w:eastAsia="Arial" w:hAnsi="Arial"/>
          <w:sz w:val="17"/>
          <w:szCs w:val="17"/>
          <w:i w:val="1"/>
          <w:iCs w:val="1"/>
          <w:color w:val="auto"/>
        </w:rPr>
        <w:t>.</w:t>
      </w:r>
    </w:p>
    <w:p>
      <w:pPr>
        <w:spacing w:after="0" w:line="184" w:lineRule="exact"/>
        <w:rPr>
          <w:sz w:val="20"/>
          <w:szCs w:val="20"/>
          <w:color w:val="auto"/>
        </w:rPr>
      </w:pPr>
    </w:p>
    <w:p>
      <w:pPr>
        <w:ind w:right="20" w:firstLine="470"/>
        <w:spacing w:after="0" w:line="264" w:lineRule="auto"/>
        <w:rPr>
          <w:sz w:val="20"/>
          <w:szCs w:val="20"/>
          <w:color w:val="auto"/>
        </w:rPr>
      </w:pPr>
      <w:r>
        <w:rPr>
          <w:rFonts w:ascii="Arial" w:cs="Arial" w:eastAsia="Arial" w:hAnsi="Arial"/>
          <w:sz w:val="17"/>
          <w:szCs w:val="17"/>
          <w:i w:val="1"/>
          <w:iCs w:val="1"/>
          <w:color w:val="auto"/>
        </w:rPr>
        <w:t>Stock-based compensation expense</w:t>
      </w:r>
      <w:r>
        <w:rPr>
          <w:rFonts w:ascii="Arial" w:cs="Arial" w:eastAsia="Arial" w:hAnsi="Arial"/>
          <w:sz w:val="17"/>
          <w:szCs w:val="17"/>
          <w:color w:val="auto"/>
        </w:rPr>
        <w:t>. The Company records stock-based compensation expense during the requisite service period for share-based payment</w:t>
      </w:r>
      <w:r>
        <w:rPr>
          <w:rFonts w:ascii="Arial" w:cs="Arial" w:eastAsia="Arial" w:hAnsi="Arial"/>
          <w:sz w:val="17"/>
          <w:szCs w:val="17"/>
          <w:i w:val="1"/>
          <w:iCs w:val="1"/>
          <w:color w:val="auto"/>
        </w:rPr>
        <w:t xml:space="preserve"> </w:t>
      </w:r>
      <w:r>
        <w:rPr>
          <w:rFonts w:ascii="Arial" w:cs="Arial" w:eastAsia="Arial" w:hAnsi="Arial"/>
          <w:sz w:val="17"/>
          <w:szCs w:val="17"/>
          <w:color w:val="auto"/>
        </w:rPr>
        <w:t>awards granted to employees and non-employees.</w:t>
      </w:r>
    </w:p>
    <w:p>
      <w:pPr>
        <w:ind w:firstLine="470"/>
        <w:spacing w:after="0" w:line="256" w:lineRule="auto"/>
        <w:rPr>
          <w:sz w:val="20"/>
          <w:szCs w:val="20"/>
          <w:color w:val="auto"/>
        </w:rPr>
      </w:pPr>
      <w:r>
        <w:rPr>
          <w:rFonts w:ascii="Arial" w:cs="Arial" w:eastAsia="Arial" w:hAnsi="Arial"/>
          <w:sz w:val="17"/>
          <w:szCs w:val="17"/>
          <w:color w:val="auto"/>
        </w:rPr>
        <w:t>Our stock-based compensation is classified as either an equity award or a liability award in accordance with generally accepted accounting principles. The fair value of an equity-classified award is determined at the grant date and is amortized on a straight-line basis over the vesting life of the award. The fair-value of a liability-classified award is determined on a quarterly basis through the final vesting date and is amortized based on the current fair value of the award and the percentage of vesting period incurred to date.</w:t>
      </w:r>
    </w:p>
    <w:p>
      <w:pPr>
        <w:spacing w:after="0" w:line="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sets forth the Company’s stock-based compensation expense for the periods indicated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3460" w:type="dxa"/>
            <w:vAlign w:val="bottom"/>
            <w:tcBorders>
              <w:bottom w:val="single" w:sz="8" w:color="auto"/>
            </w:tcBorders>
            <w:gridSpan w:val="4"/>
          </w:tcPr>
          <w:p>
            <w:pPr>
              <w:jc w:val="right"/>
              <w:ind w:right="173"/>
              <w:spacing w:after="0"/>
              <w:rPr>
                <w:sz w:val="20"/>
                <w:szCs w:val="20"/>
                <w:color w:val="auto"/>
              </w:rPr>
            </w:pPr>
            <w:r>
              <w:rPr>
                <w:rFonts w:ascii="Arial" w:cs="Arial" w:eastAsia="Arial" w:hAnsi="Arial"/>
                <w:sz w:val="17"/>
                <w:szCs w:val="17"/>
                <w:b w:val="1"/>
                <w:bCs w:val="1"/>
                <w:color w:val="auto"/>
              </w:rPr>
              <w:t>Three Months Ended March 31,</w:t>
            </w:r>
          </w:p>
        </w:tc>
        <w:tc>
          <w:tcPr>
            <w:tcW w:w="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460" w:type="dxa"/>
            <w:vAlign w:val="bottom"/>
            <w:gridSpan w:val="2"/>
          </w:tcPr>
          <w:p>
            <w:pPr>
              <w:jc w:val="right"/>
              <w:ind w:right="73"/>
              <w:spacing w:after="0"/>
              <w:rPr>
                <w:sz w:val="20"/>
                <w:szCs w:val="20"/>
                <w:color w:val="auto"/>
              </w:rPr>
            </w:pPr>
            <w:r>
              <w:rPr>
                <w:rFonts w:ascii="Arial" w:cs="Arial" w:eastAsia="Arial" w:hAnsi="Arial"/>
                <w:sz w:val="17"/>
                <w:szCs w:val="17"/>
                <w:b w:val="1"/>
                <w:bCs w:val="1"/>
                <w:color w:val="auto"/>
              </w:rPr>
              <w:t>2022</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ind w:right="153"/>
              <w:spacing w:after="0"/>
              <w:rPr>
                <w:sz w:val="20"/>
                <w:szCs w:val="20"/>
                <w:color w:val="auto"/>
              </w:rPr>
            </w:pPr>
            <w:r>
              <w:rPr>
                <w:rFonts w:ascii="Arial" w:cs="Arial" w:eastAsia="Arial" w:hAnsi="Arial"/>
                <w:sz w:val="17"/>
                <w:szCs w:val="17"/>
                <w:b w:val="1"/>
                <w:bCs w:val="1"/>
                <w:color w:val="auto"/>
              </w:rPr>
              <w:t>2021</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780" w:type="dxa"/>
            <w:vAlign w:val="bottom"/>
            <w:tcBorders>
              <w:top w:val="single" w:sz="8" w:color="CCEEFF"/>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w w:val="94"/>
              </w:rPr>
              <w:t>Equity Classified Awards</w:t>
            </w:r>
          </w:p>
        </w:tc>
        <w:tc>
          <w:tcPr>
            <w:tcW w:w="22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3140" w:type="dxa"/>
            <w:vAlign w:val="bottom"/>
            <w:tcBorders>
              <w:top w:val="single" w:sz="8" w:color="CCEEFF"/>
              <w:bottom w:val="single" w:sz="8" w:color="CCEEFF"/>
            </w:tcBorders>
            <w:shd w:val="clear" w:color="auto" w:fill="CCEEFF"/>
          </w:tcPr>
          <w:p>
            <w:pPr>
              <w:spacing w:after="0"/>
              <w:rPr>
                <w:sz w:val="18"/>
                <w:szCs w:val="18"/>
                <w:color w:val="auto"/>
              </w:rPr>
            </w:pPr>
          </w:p>
        </w:tc>
        <w:tc>
          <w:tcPr>
            <w:tcW w:w="1320" w:type="dxa"/>
            <w:vAlign w:val="bottom"/>
            <w:tcBorders>
              <w:top w:val="single" w:sz="8" w:color="auto"/>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0" w:type="dxa"/>
            <w:vAlign w:val="bottom"/>
            <w:tcBorders>
              <w:top w:val="single" w:sz="8" w:color="auto"/>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060" w:type="dxa"/>
            <w:vAlign w:val="bottom"/>
            <w:gridSpan w:val="3"/>
          </w:tcPr>
          <w:p>
            <w:pPr>
              <w:spacing w:after="0"/>
              <w:rPr>
                <w:sz w:val="20"/>
                <w:szCs w:val="20"/>
                <w:color w:val="auto"/>
              </w:rPr>
            </w:pPr>
            <w:r>
              <w:rPr>
                <w:rFonts w:ascii="Arial" w:cs="Arial" w:eastAsia="Arial" w:hAnsi="Arial"/>
                <w:sz w:val="17"/>
                <w:szCs w:val="17"/>
                <w:color w:val="auto"/>
              </w:rPr>
              <w:t>Stock options</w:t>
            </w:r>
          </w:p>
        </w:tc>
        <w:tc>
          <w:tcPr>
            <w:tcW w:w="3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0" w:type="dxa"/>
            <w:vAlign w:val="bottom"/>
            <w:shd w:val="clear" w:color="auto" w:fill="CCEEFF"/>
          </w:tcPr>
          <w:p>
            <w:pPr>
              <w:spacing w:after="0"/>
              <w:rPr>
                <w:sz w:val="22"/>
                <w:szCs w:val="22"/>
                <w:color w:val="auto"/>
              </w:rPr>
            </w:pPr>
          </w:p>
        </w:tc>
        <w:tc>
          <w:tcPr>
            <w:tcW w:w="40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Cost of goods sold</w:t>
            </w:r>
          </w:p>
        </w:tc>
        <w:tc>
          <w:tcPr>
            <w:tcW w:w="4460" w:type="dxa"/>
            <w:vAlign w:val="bottom"/>
            <w:gridSpan w:val="2"/>
            <w:shd w:val="clear" w:color="auto" w:fill="CCEEFF"/>
          </w:tcPr>
          <w:p>
            <w:pPr>
              <w:jc w:val="right"/>
              <w:ind w:right="1133"/>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213"/>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060" w:type="dxa"/>
            <w:vAlign w:val="bottom"/>
            <w:gridSpan w:val="3"/>
          </w:tcPr>
          <w:p>
            <w:pPr>
              <w:ind w:left="160"/>
              <w:spacing w:after="0"/>
              <w:rPr>
                <w:sz w:val="20"/>
                <w:szCs w:val="20"/>
                <w:color w:val="auto"/>
              </w:rPr>
            </w:pPr>
            <w:r>
              <w:rPr>
                <w:rFonts w:ascii="Arial" w:cs="Arial" w:eastAsia="Arial" w:hAnsi="Arial"/>
                <w:sz w:val="17"/>
                <w:szCs w:val="17"/>
                <w:color w:val="auto"/>
              </w:rPr>
              <w:t>Research and development</w:t>
            </w:r>
          </w:p>
        </w:tc>
        <w:tc>
          <w:tcPr>
            <w:tcW w:w="3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51</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5"/>
        </w:trPr>
        <w:tc>
          <w:tcPr>
            <w:tcW w:w="20" w:type="dxa"/>
            <w:vAlign w:val="bottom"/>
            <w:shd w:val="clear" w:color="auto" w:fill="CCEEFF"/>
          </w:tcPr>
          <w:p>
            <w:pPr>
              <w:spacing w:after="0"/>
              <w:rPr>
                <w:sz w:val="22"/>
                <w:szCs w:val="22"/>
                <w:color w:val="auto"/>
              </w:rPr>
            </w:pPr>
          </w:p>
        </w:tc>
        <w:tc>
          <w:tcPr>
            <w:tcW w:w="40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Selling, general and administrative</w:t>
            </w:r>
          </w:p>
        </w:tc>
        <w:tc>
          <w:tcPr>
            <w:tcW w:w="3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1,444</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060" w:type="dxa"/>
            <w:vAlign w:val="bottom"/>
            <w:gridSpan w:val="3"/>
          </w:tcPr>
          <w:p>
            <w:pPr>
              <w:ind w:left="160"/>
              <w:spacing w:after="0"/>
              <w:rPr>
                <w:sz w:val="20"/>
                <w:szCs w:val="20"/>
                <w:color w:val="auto"/>
              </w:rPr>
            </w:pPr>
            <w:r>
              <w:rPr>
                <w:rFonts w:ascii="Arial" w:cs="Arial" w:eastAsia="Arial" w:hAnsi="Arial"/>
                <w:sz w:val="17"/>
                <w:szCs w:val="17"/>
                <w:color w:val="auto"/>
              </w:rPr>
              <w:t>Preliminary stage projects</w:t>
            </w:r>
          </w:p>
        </w:tc>
        <w:tc>
          <w:tcPr>
            <w:tcW w:w="3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0" w:type="dxa"/>
            <w:vAlign w:val="bottom"/>
            <w:shd w:val="clear" w:color="auto" w:fill="CCEEFF"/>
          </w:tcPr>
          <w:p>
            <w:pPr>
              <w:spacing w:after="0"/>
              <w:rPr>
                <w:sz w:val="22"/>
                <w:szCs w:val="22"/>
                <w:color w:val="auto"/>
              </w:rPr>
            </w:pPr>
          </w:p>
        </w:tc>
        <w:tc>
          <w:tcPr>
            <w:tcW w:w="40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Other</w:t>
            </w:r>
          </w:p>
        </w:tc>
        <w:tc>
          <w:tcPr>
            <w:tcW w:w="3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0" w:type="dxa"/>
            <w:vAlign w:val="bottom"/>
            <w:shd w:val="clear" w:color="auto" w:fill="CCEEFF"/>
          </w:tcPr>
          <w:p>
            <w:pPr>
              <w:spacing w:after="0"/>
              <w:rPr>
                <w:sz w:val="21"/>
                <w:szCs w:val="21"/>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Restricted stock</w:t>
            </w:r>
          </w:p>
        </w:tc>
        <w:tc>
          <w:tcPr>
            <w:tcW w:w="3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060" w:type="dxa"/>
            <w:vAlign w:val="bottom"/>
            <w:gridSpan w:val="3"/>
          </w:tcPr>
          <w:p>
            <w:pPr>
              <w:ind w:left="160"/>
              <w:spacing w:after="0"/>
              <w:rPr>
                <w:sz w:val="20"/>
                <w:szCs w:val="20"/>
                <w:color w:val="auto"/>
              </w:rPr>
            </w:pPr>
            <w:r>
              <w:rPr>
                <w:rFonts w:ascii="Arial" w:cs="Arial" w:eastAsia="Arial" w:hAnsi="Arial"/>
                <w:sz w:val="17"/>
                <w:szCs w:val="17"/>
                <w:color w:val="auto"/>
              </w:rPr>
              <w:t>Cost of goods sold</w:t>
            </w:r>
          </w:p>
        </w:tc>
        <w:tc>
          <w:tcPr>
            <w:tcW w:w="3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108</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5"/>
        </w:trPr>
        <w:tc>
          <w:tcPr>
            <w:tcW w:w="20" w:type="dxa"/>
            <w:vAlign w:val="bottom"/>
            <w:shd w:val="clear" w:color="auto" w:fill="CCEEFF"/>
          </w:tcPr>
          <w:p>
            <w:pPr>
              <w:spacing w:after="0"/>
              <w:rPr>
                <w:sz w:val="22"/>
                <w:szCs w:val="22"/>
                <w:color w:val="auto"/>
              </w:rPr>
            </w:pPr>
          </w:p>
        </w:tc>
        <w:tc>
          <w:tcPr>
            <w:tcW w:w="40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Research and development</w:t>
            </w:r>
          </w:p>
        </w:tc>
        <w:tc>
          <w:tcPr>
            <w:tcW w:w="3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060" w:type="dxa"/>
            <w:vAlign w:val="bottom"/>
            <w:gridSpan w:val="3"/>
          </w:tcPr>
          <w:p>
            <w:pPr>
              <w:ind w:left="160"/>
              <w:spacing w:after="0"/>
              <w:rPr>
                <w:sz w:val="20"/>
                <w:szCs w:val="20"/>
                <w:color w:val="auto"/>
              </w:rPr>
            </w:pPr>
            <w:r>
              <w:rPr>
                <w:rFonts w:ascii="Arial" w:cs="Arial" w:eastAsia="Arial" w:hAnsi="Arial"/>
                <w:sz w:val="17"/>
                <w:szCs w:val="17"/>
                <w:color w:val="auto"/>
              </w:rPr>
              <w:t>Selling, general and administrative</w:t>
            </w:r>
          </w:p>
        </w:tc>
        <w:tc>
          <w:tcPr>
            <w:tcW w:w="3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2,050</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437</w:t>
            </w:r>
          </w:p>
        </w:tc>
        <w:tc>
          <w:tcPr>
            <w:tcW w:w="0" w:type="dxa"/>
            <w:vAlign w:val="bottom"/>
          </w:tcPr>
          <w:p>
            <w:pPr>
              <w:spacing w:after="0"/>
              <w:rPr>
                <w:sz w:val="1"/>
                <w:szCs w:val="1"/>
                <w:color w:val="auto"/>
              </w:rPr>
            </w:pPr>
          </w:p>
        </w:tc>
      </w:tr>
      <w:tr>
        <w:trPr>
          <w:trHeight w:val="255"/>
        </w:trPr>
        <w:tc>
          <w:tcPr>
            <w:tcW w:w="20" w:type="dxa"/>
            <w:vAlign w:val="bottom"/>
            <w:shd w:val="clear" w:color="auto" w:fill="CCEEFF"/>
          </w:tcPr>
          <w:p>
            <w:pPr>
              <w:spacing w:after="0"/>
              <w:rPr>
                <w:sz w:val="22"/>
                <w:szCs w:val="22"/>
                <w:color w:val="auto"/>
              </w:rPr>
            </w:pPr>
          </w:p>
        </w:tc>
        <w:tc>
          <w:tcPr>
            <w:tcW w:w="40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Preliminary stage projects</w:t>
            </w:r>
          </w:p>
        </w:tc>
        <w:tc>
          <w:tcPr>
            <w:tcW w:w="3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0" w:type="dxa"/>
            <w:vAlign w:val="bottom"/>
            <w:tcBorders>
              <w:bottom w:val="single" w:sz="8" w:color="CCEEFF"/>
            </w:tcBorders>
          </w:tcPr>
          <w:p>
            <w:pPr>
              <w:spacing w:after="0"/>
              <w:rPr>
                <w:sz w:val="21"/>
                <w:szCs w:val="21"/>
                <w:color w:val="auto"/>
              </w:rPr>
            </w:pPr>
          </w:p>
        </w:tc>
        <w:tc>
          <w:tcPr>
            <w:tcW w:w="4060" w:type="dxa"/>
            <w:vAlign w:val="bottom"/>
            <w:tcBorders>
              <w:bottom w:val="single" w:sz="8" w:color="CCEEFF"/>
            </w:tcBorders>
            <w:gridSpan w:val="3"/>
          </w:tcPr>
          <w:p>
            <w:pPr>
              <w:ind w:left="160"/>
              <w:spacing w:after="0"/>
              <w:rPr>
                <w:sz w:val="20"/>
                <w:szCs w:val="20"/>
                <w:color w:val="auto"/>
              </w:rPr>
            </w:pPr>
            <w:r>
              <w:rPr>
                <w:rFonts w:ascii="Arial" w:cs="Arial" w:eastAsia="Arial" w:hAnsi="Arial"/>
                <w:sz w:val="17"/>
                <w:szCs w:val="17"/>
                <w:color w:val="auto"/>
              </w:rPr>
              <w:t>Other</w:t>
            </w:r>
          </w:p>
        </w:tc>
        <w:tc>
          <w:tcPr>
            <w:tcW w:w="314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w:t>
            </w:r>
          </w:p>
        </w:tc>
        <w:tc>
          <w:tcPr>
            <w:tcW w:w="100" w:type="dxa"/>
            <w:vAlign w:val="bottom"/>
            <w:tcBorders>
              <w:bottom w:val="single" w:sz="8" w:color="CCEEFF"/>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shd w:val="clear" w:color="auto" w:fill="CCEEFF"/>
          </w:tcPr>
          <w:p>
            <w:pPr>
              <w:spacing w:after="0"/>
              <w:rPr>
                <w:sz w:val="20"/>
                <w:szCs w:val="20"/>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 equity classified awards</w:t>
            </w:r>
          </w:p>
        </w:tc>
        <w:tc>
          <w:tcPr>
            <w:tcW w:w="3140" w:type="dxa"/>
            <w:vAlign w:val="bottom"/>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4,044</w:t>
            </w:r>
          </w:p>
        </w:tc>
        <w:tc>
          <w:tcPr>
            <w:tcW w:w="100" w:type="dxa"/>
            <w:vAlign w:val="bottom"/>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562</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w w:val="96"/>
              </w:rPr>
              <w:t>Liability Classified Awards</w:t>
            </w:r>
          </w:p>
        </w:tc>
        <w:tc>
          <w:tcPr>
            <w:tcW w:w="2140" w:type="dxa"/>
            <w:vAlign w:val="bottom"/>
            <w:tcBorders>
              <w:bottom w:val="single" w:sz="8" w:color="CCEEFF"/>
            </w:tcBorders>
            <w:shd w:val="clear" w:color="auto" w:fill="CCEEFF"/>
          </w:tcPr>
          <w:p>
            <w:pPr>
              <w:spacing w:after="0"/>
              <w:rPr>
                <w:sz w:val="19"/>
                <w:szCs w:val="19"/>
                <w:color w:val="auto"/>
              </w:rPr>
            </w:pPr>
          </w:p>
        </w:tc>
        <w:tc>
          <w:tcPr>
            <w:tcW w:w="3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060" w:type="dxa"/>
            <w:vAlign w:val="bottom"/>
            <w:gridSpan w:val="3"/>
          </w:tcPr>
          <w:p>
            <w:pPr>
              <w:spacing w:after="0"/>
              <w:rPr>
                <w:sz w:val="20"/>
                <w:szCs w:val="20"/>
                <w:color w:val="auto"/>
              </w:rPr>
            </w:pPr>
            <w:r>
              <w:rPr>
                <w:rFonts w:ascii="Arial" w:cs="Arial" w:eastAsia="Arial" w:hAnsi="Arial"/>
                <w:sz w:val="17"/>
                <w:szCs w:val="17"/>
                <w:color w:val="auto"/>
              </w:rPr>
              <w:t>Restricted stock</w:t>
            </w:r>
          </w:p>
        </w:tc>
        <w:tc>
          <w:tcPr>
            <w:tcW w:w="3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0" w:type="dxa"/>
            <w:vAlign w:val="bottom"/>
            <w:shd w:val="clear" w:color="auto" w:fill="CCEEFF"/>
          </w:tcPr>
          <w:p>
            <w:pPr>
              <w:spacing w:after="0"/>
              <w:rPr>
                <w:sz w:val="22"/>
                <w:szCs w:val="22"/>
                <w:color w:val="auto"/>
              </w:rPr>
            </w:pPr>
          </w:p>
        </w:tc>
        <w:tc>
          <w:tcPr>
            <w:tcW w:w="40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Selling, general and administrative</w:t>
            </w:r>
          </w:p>
        </w:tc>
        <w:tc>
          <w:tcPr>
            <w:tcW w:w="3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0" w:type="dxa"/>
            <w:vAlign w:val="bottom"/>
            <w:shd w:val="clear" w:color="auto" w:fill="CCEEFF"/>
          </w:tcPr>
          <w:p>
            <w:pPr>
              <w:spacing w:after="0"/>
              <w:rPr>
                <w:sz w:val="21"/>
                <w:szCs w:val="21"/>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Stock appreciation rights</w:t>
            </w:r>
          </w:p>
        </w:tc>
        <w:tc>
          <w:tcPr>
            <w:tcW w:w="3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060" w:type="dxa"/>
            <w:vAlign w:val="bottom"/>
            <w:gridSpan w:val="3"/>
          </w:tcPr>
          <w:p>
            <w:pPr>
              <w:ind w:left="160"/>
              <w:spacing w:after="0"/>
              <w:rPr>
                <w:sz w:val="20"/>
                <w:szCs w:val="20"/>
                <w:color w:val="auto"/>
              </w:rPr>
            </w:pPr>
            <w:r>
              <w:rPr>
                <w:rFonts w:ascii="Arial" w:cs="Arial" w:eastAsia="Arial" w:hAnsi="Arial"/>
                <w:sz w:val="17"/>
                <w:szCs w:val="17"/>
                <w:color w:val="auto"/>
              </w:rPr>
              <w:t>Research and development</w:t>
            </w:r>
          </w:p>
        </w:tc>
        <w:tc>
          <w:tcPr>
            <w:tcW w:w="3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348</w:t>
            </w:r>
          </w:p>
        </w:tc>
        <w:tc>
          <w:tcPr>
            <w:tcW w:w="0" w:type="dxa"/>
            <w:vAlign w:val="bottom"/>
          </w:tcPr>
          <w:p>
            <w:pPr>
              <w:spacing w:after="0"/>
              <w:rPr>
                <w:sz w:val="1"/>
                <w:szCs w:val="1"/>
                <w:color w:val="auto"/>
              </w:rPr>
            </w:pPr>
          </w:p>
        </w:tc>
      </w:tr>
      <w:tr>
        <w:trPr>
          <w:trHeight w:val="248"/>
        </w:trPr>
        <w:tc>
          <w:tcPr>
            <w:tcW w:w="20" w:type="dxa"/>
            <w:vAlign w:val="bottom"/>
            <w:shd w:val="clear" w:color="auto" w:fill="CCEEFF"/>
          </w:tcPr>
          <w:p>
            <w:pPr>
              <w:spacing w:after="0"/>
              <w:rPr>
                <w:sz w:val="21"/>
                <w:szCs w:val="21"/>
                <w:color w:val="auto"/>
              </w:rPr>
            </w:pPr>
          </w:p>
        </w:tc>
        <w:tc>
          <w:tcPr>
            <w:tcW w:w="40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Selling, general and administrative</w:t>
            </w:r>
          </w:p>
        </w:tc>
        <w:tc>
          <w:tcPr>
            <w:tcW w:w="3140" w:type="dxa"/>
            <w:vAlign w:val="bottom"/>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tcPr>
          <w:p>
            <w:pPr>
              <w:spacing w:after="0"/>
              <w:rPr>
                <w:sz w:val="20"/>
                <w:szCs w:val="20"/>
                <w:color w:val="auto"/>
              </w:rPr>
            </w:pPr>
          </w:p>
        </w:tc>
        <w:tc>
          <w:tcPr>
            <w:tcW w:w="4060" w:type="dxa"/>
            <w:vAlign w:val="bottom"/>
            <w:tcBorders>
              <w:bottom w:val="single" w:sz="8" w:color="CCEEFF"/>
            </w:tcBorders>
            <w:gridSpan w:val="3"/>
          </w:tcPr>
          <w:p>
            <w:pPr>
              <w:spacing w:after="0"/>
              <w:rPr>
                <w:sz w:val="20"/>
                <w:szCs w:val="20"/>
                <w:color w:val="auto"/>
              </w:rPr>
            </w:pPr>
            <w:r>
              <w:rPr>
                <w:rFonts w:ascii="Arial" w:cs="Arial" w:eastAsia="Arial" w:hAnsi="Arial"/>
                <w:sz w:val="17"/>
                <w:szCs w:val="17"/>
                <w:color w:val="auto"/>
              </w:rPr>
              <w:t>Total liability classified awards</w:t>
            </w:r>
          </w:p>
        </w:tc>
        <w:tc>
          <w:tcPr>
            <w:tcW w:w="314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214</w:t>
            </w:r>
          </w:p>
        </w:tc>
        <w:tc>
          <w:tcPr>
            <w:tcW w:w="10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363</w:t>
            </w:r>
          </w:p>
        </w:tc>
        <w:tc>
          <w:tcPr>
            <w:tcW w:w="0" w:type="dxa"/>
            <w:vAlign w:val="bottom"/>
          </w:tcPr>
          <w:p>
            <w:pPr>
              <w:spacing w:after="0"/>
              <w:rPr>
                <w:sz w:val="1"/>
                <w:szCs w:val="1"/>
                <w:color w:val="auto"/>
              </w:rPr>
            </w:pPr>
          </w:p>
        </w:tc>
      </w:tr>
      <w:tr>
        <w:trPr>
          <w:trHeight w:val="261"/>
        </w:trPr>
        <w:tc>
          <w:tcPr>
            <w:tcW w:w="20" w:type="dxa"/>
            <w:vAlign w:val="bottom"/>
            <w:shd w:val="clear" w:color="auto" w:fill="CCEEFF"/>
          </w:tcPr>
          <w:p>
            <w:pPr>
              <w:spacing w:after="0"/>
              <w:rPr>
                <w:sz w:val="22"/>
                <w:szCs w:val="22"/>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 stock-based compensation</w:t>
            </w:r>
          </w:p>
        </w:tc>
        <w:tc>
          <w:tcPr>
            <w:tcW w:w="4460" w:type="dxa"/>
            <w:vAlign w:val="bottom"/>
            <w:gridSpan w:val="2"/>
            <w:shd w:val="clear" w:color="auto" w:fill="CCEEFF"/>
          </w:tcPr>
          <w:p>
            <w:pPr>
              <w:jc w:val="right"/>
              <w:ind w:right="1133"/>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4,258</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213"/>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bottom w:val="single" w:sz="8" w:color="CCEEFF"/>
            </w:tcBorders>
            <w:vMerge w:val="restart"/>
          </w:tcPr>
          <w:p>
            <w:pPr>
              <w:jc w:val="right"/>
              <w:ind w:right="1413"/>
              <w:spacing w:after="0"/>
              <w:rPr>
                <w:sz w:val="20"/>
                <w:szCs w:val="20"/>
                <w:color w:val="auto"/>
              </w:rPr>
            </w:pPr>
            <w:r>
              <w:rPr>
                <w:rFonts w:ascii="Arial" w:cs="Arial" w:eastAsia="Arial" w:hAnsi="Arial"/>
                <w:sz w:val="17"/>
                <w:szCs w:val="17"/>
                <w:color w:val="auto"/>
              </w:rPr>
              <w:t>19</w:t>
            </w: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6"/>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9A9A9A"/>
            </w:tcBorders>
          </w:tcPr>
          <w:p>
            <w:pPr>
              <w:spacing w:after="0"/>
              <w:rPr>
                <w:sz w:val="8"/>
                <w:szCs w:val="8"/>
                <w:color w:val="auto"/>
              </w:rPr>
            </w:pPr>
          </w:p>
        </w:tc>
        <w:tc>
          <w:tcPr>
            <w:tcW w:w="17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140" w:type="dxa"/>
            <w:vAlign w:val="bottom"/>
            <w:tcBorders>
              <w:bottom w:val="single" w:sz="8" w:color="9A9A9A"/>
            </w:tcBorders>
          </w:tcPr>
          <w:p>
            <w:pPr>
              <w:spacing w:after="0"/>
              <w:rPr>
                <w:sz w:val="8"/>
                <w:szCs w:val="8"/>
                <w:color w:val="auto"/>
              </w:rPr>
            </w:pPr>
          </w:p>
        </w:tc>
        <w:tc>
          <w:tcPr>
            <w:tcW w:w="314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rFonts w:ascii="Arial" w:cs="Arial" w:eastAsia="Arial" w:hAnsi="Arial"/>
          <w:sz w:val="17"/>
          <w:szCs w:val="17"/>
          <w:u w:val="single" w:color="auto"/>
          <w:color w:val="auto"/>
        </w:rPr>
      </w:pPr>
      <w:hyperlink w:anchor="page1">
        <w:r>
          <w:rPr>
            <w:rFonts w:ascii="Arial" w:cs="Arial" w:eastAsia="Arial" w:hAnsi="Arial"/>
            <w:sz w:val="17"/>
            <w:szCs w:val="17"/>
            <w:u w:val="single" w:color="auto"/>
            <w:color w:val="auto"/>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GEVO,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57" w:lineRule="exact"/>
        <w:rPr>
          <w:sz w:val="20"/>
          <w:szCs w:val="20"/>
          <w:color w:val="auto"/>
        </w:rPr>
      </w:pPr>
    </w:p>
    <w:p>
      <w:pPr>
        <w:ind w:right="20" w:firstLine="470"/>
        <w:spacing w:after="0" w:line="285" w:lineRule="auto"/>
        <w:rPr>
          <w:sz w:val="20"/>
          <w:szCs w:val="20"/>
          <w:color w:val="auto"/>
        </w:rPr>
      </w:pPr>
      <w:r>
        <w:rPr>
          <w:rFonts w:ascii="Arial" w:cs="Arial" w:eastAsia="Arial" w:hAnsi="Arial"/>
          <w:sz w:val="17"/>
          <w:szCs w:val="17"/>
          <w:i w:val="1"/>
          <w:iCs w:val="1"/>
          <w:color w:val="auto"/>
        </w:rPr>
        <w:t>Stock option award activity</w:t>
      </w:r>
      <w:r>
        <w:rPr>
          <w:rFonts w:ascii="Arial" w:cs="Arial" w:eastAsia="Arial" w:hAnsi="Arial"/>
          <w:sz w:val="17"/>
          <w:szCs w:val="17"/>
          <w:color w:val="auto"/>
        </w:rPr>
        <w:t>. Stock option activity under the Company’s stock incentive plans and changes during the three months ended March 31, 2022,</w:t>
      </w:r>
      <w:r>
        <w:rPr>
          <w:rFonts w:ascii="Arial" w:cs="Arial" w:eastAsia="Arial" w:hAnsi="Arial"/>
          <w:sz w:val="17"/>
          <w:szCs w:val="17"/>
          <w:i w:val="1"/>
          <w:iCs w:val="1"/>
          <w:color w:val="auto"/>
        </w:rPr>
        <w:t xml:space="preserve"> </w:t>
      </w:r>
      <w:r>
        <w:rPr>
          <w:rFonts w:ascii="Arial" w:cs="Arial" w:eastAsia="Arial" w:hAnsi="Arial"/>
          <w:sz w:val="17"/>
          <w:szCs w:val="17"/>
          <w:color w:val="auto"/>
        </w:rPr>
        <w:t>were as follows:</w:t>
      </w:r>
    </w:p>
    <w:tbl>
      <w:tblPr>
        <w:tblLayout w:type="fixed"/>
        <w:tblInd w:w="0" w:type="dxa"/>
        <w:tblCellMar>
          <w:top w:w="0" w:type="dxa"/>
          <w:left w:w="0" w:type="dxa"/>
          <w:bottom w:w="0" w:type="dxa"/>
          <w:right w:w="0" w:type="dxa"/>
        </w:tblCellMar>
      </w:tblPr>
      <w:tr>
        <w:trPr>
          <w:trHeight w:val="196"/>
        </w:trPr>
        <w:tc>
          <w:tcPr>
            <w:tcW w:w="36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2"/>
              </w:rPr>
              <w:t>Weighted-Average</w:t>
            </w:r>
          </w:p>
        </w:tc>
        <w:tc>
          <w:tcPr>
            <w:tcW w:w="14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196"/>
        </w:trPr>
        <w:tc>
          <w:tcPr>
            <w:tcW w:w="36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2"/>
          </w:tcPr>
          <w:p>
            <w:pPr>
              <w:ind w:left="40"/>
              <w:spacing w:after="0"/>
              <w:rPr>
                <w:sz w:val="20"/>
                <w:szCs w:val="20"/>
                <w:color w:val="auto"/>
              </w:rPr>
            </w:pPr>
            <w:r>
              <w:rPr>
                <w:rFonts w:ascii="Arial" w:cs="Arial" w:eastAsia="Arial" w:hAnsi="Arial"/>
                <w:sz w:val="17"/>
                <w:szCs w:val="17"/>
                <w:b w:val="1"/>
                <w:bCs w:val="1"/>
                <w:color w:val="auto"/>
              </w:rPr>
              <w:t>Weighted-Average</w:t>
            </w:r>
          </w:p>
        </w:tc>
        <w:tc>
          <w:tcPr>
            <w:tcW w:w="208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4"/>
              </w:rPr>
              <w:t>Remaining Contractual</w:t>
            </w:r>
          </w:p>
        </w:tc>
        <w:tc>
          <w:tcPr>
            <w:tcW w:w="140" w:type="dxa"/>
            <w:vAlign w:val="bottom"/>
          </w:tcPr>
          <w:p>
            <w:pPr>
              <w:spacing w:after="0"/>
              <w:rPr>
                <w:sz w:val="17"/>
                <w:szCs w:val="17"/>
                <w:color w:val="auto"/>
              </w:rPr>
            </w:pPr>
          </w:p>
        </w:tc>
        <w:tc>
          <w:tcPr>
            <w:tcW w:w="1640" w:type="dxa"/>
            <w:vAlign w:val="bottom"/>
          </w:tcPr>
          <w:p>
            <w:pPr>
              <w:jc w:val="center"/>
              <w:ind w:right="33"/>
              <w:spacing w:after="0"/>
              <w:rPr>
                <w:sz w:val="20"/>
                <w:szCs w:val="20"/>
                <w:color w:val="auto"/>
              </w:rPr>
            </w:pPr>
            <w:r>
              <w:rPr>
                <w:rFonts w:ascii="Arial" w:cs="Arial" w:eastAsia="Arial" w:hAnsi="Arial"/>
                <w:sz w:val="17"/>
                <w:szCs w:val="17"/>
                <w:b w:val="1"/>
                <w:bCs w:val="1"/>
                <w:color w:val="auto"/>
                <w:w w:val="92"/>
              </w:rPr>
              <w:t>Aggregate Intrinsic</w:t>
            </w:r>
          </w:p>
        </w:tc>
      </w:tr>
      <w:tr>
        <w:trPr>
          <w:trHeight w:val="234"/>
        </w:trPr>
        <w:tc>
          <w:tcPr>
            <w:tcW w:w="3660" w:type="dxa"/>
            <w:vAlign w:val="bottom"/>
          </w:tcPr>
          <w:p>
            <w:pPr>
              <w:spacing w:after="0"/>
              <w:rPr>
                <w:sz w:val="20"/>
                <w:szCs w:val="20"/>
                <w:color w:val="auto"/>
              </w:rPr>
            </w:pPr>
          </w:p>
        </w:tc>
        <w:tc>
          <w:tcPr>
            <w:tcW w:w="17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Number of Options</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w w:val="95"/>
              </w:rPr>
              <w:t>Exercise Price (1)</w:t>
            </w:r>
          </w:p>
        </w:tc>
        <w:tc>
          <w:tcPr>
            <w:tcW w:w="100" w:type="dxa"/>
            <w:vAlign w:val="bottom"/>
          </w:tcPr>
          <w:p>
            <w:pPr>
              <w:spacing w:after="0"/>
              <w:rPr>
                <w:sz w:val="20"/>
                <w:szCs w:val="20"/>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Term (years)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ind w:right="53"/>
              <w:spacing w:after="0"/>
              <w:rPr>
                <w:sz w:val="20"/>
                <w:szCs w:val="20"/>
                <w:color w:val="auto"/>
              </w:rPr>
            </w:pPr>
            <w:r>
              <w:rPr>
                <w:rFonts w:ascii="Arial" w:cs="Arial" w:eastAsia="Arial" w:hAnsi="Arial"/>
                <w:sz w:val="17"/>
                <w:szCs w:val="17"/>
                <w:b w:val="1"/>
                <w:bCs w:val="1"/>
                <w:color w:val="auto"/>
                <w:w w:val="92"/>
              </w:rPr>
              <w:t>Value</w:t>
            </w:r>
          </w:p>
        </w:tc>
      </w:tr>
      <w:tr>
        <w:trPr>
          <w:trHeight w:val="241"/>
        </w:trPr>
        <w:tc>
          <w:tcPr>
            <w:tcW w:w="3660" w:type="dxa"/>
            <w:vAlign w:val="bottom"/>
          </w:tcPr>
          <w:p>
            <w:pPr>
              <w:ind w:left="20"/>
              <w:spacing w:after="0"/>
              <w:rPr>
                <w:sz w:val="20"/>
                <w:szCs w:val="20"/>
                <w:color w:val="auto"/>
              </w:rPr>
            </w:pPr>
            <w:r>
              <w:rPr>
                <w:rFonts w:ascii="Arial" w:cs="Arial" w:eastAsia="Arial" w:hAnsi="Arial"/>
                <w:sz w:val="17"/>
                <w:szCs w:val="17"/>
                <w:color w:val="auto"/>
              </w:rPr>
              <w:t>Options outstanding at December 31, 2021</w:t>
            </w:r>
          </w:p>
        </w:tc>
        <w:tc>
          <w:tcPr>
            <w:tcW w:w="1760" w:type="dxa"/>
            <w:vAlign w:val="bottom"/>
          </w:tcPr>
          <w:p>
            <w:pPr>
              <w:jc w:val="right"/>
              <w:spacing w:after="0"/>
              <w:rPr>
                <w:sz w:val="20"/>
                <w:szCs w:val="20"/>
                <w:color w:val="auto"/>
              </w:rPr>
            </w:pPr>
            <w:r>
              <w:rPr>
                <w:rFonts w:ascii="Arial" w:cs="Arial" w:eastAsia="Arial" w:hAnsi="Arial"/>
                <w:sz w:val="17"/>
                <w:szCs w:val="17"/>
                <w:color w:val="auto"/>
              </w:rPr>
              <w:t>4,739,940</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5.14</w:t>
            </w:r>
          </w:p>
        </w:tc>
        <w:tc>
          <w:tcPr>
            <w:tcW w:w="1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9.6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640" w:type="dxa"/>
            <w:vAlign w:val="bottom"/>
          </w:tcPr>
          <w:p>
            <w:pPr>
              <w:ind w:left="1400"/>
              <w:spacing w:after="0"/>
              <w:rPr>
                <w:sz w:val="20"/>
                <w:szCs w:val="20"/>
                <w:color w:val="auto"/>
              </w:rPr>
            </w:pPr>
            <w:r>
              <w:rPr>
                <w:rFonts w:ascii="Arial" w:cs="Arial" w:eastAsia="Arial" w:hAnsi="Arial"/>
                <w:sz w:val="17"/>
                <w:szCs w:val="17"/>
                <w:color w:val="auto"/>
              </w:rPr>
              <w:t>—</w:t>
            </w:r>
          </w:p>
        </w:tc>
      </w:tr>
      <w:tr>
        <w:trPr>
          <w:trHeight w:val="255"/>
        </w:trPr>
        <w:tc>
          <w:tcPr>
            <w:tcW w:w="3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Granted</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r>
      <w:tr>
        <w:trPr>
          <w:trHeight w:val="242"/>
        </w:trPr>
        <w:tc>
          <w:tcPr>
            <w:tcW w:w="3660" w:type="dxa"/>
            <w:vAlign w:val="bottom"/>
          </w:tcPr>
          <w:p>
            <w:pPr>
              <w:ind w:left="20"/>
              <w:spacing w:after="0"/>
              <w:rPr>
                <w:sz w:val="20"/>
                <w:szCs w:val="20"/>
                <w:color w:val="auto"/>
              </w:rPr>
            </w:pPr>
            <w:r>
              <w:rPr>
                <w:rFonts w:ascii="Arial" w:cs="Arial" w:eastAsia="Arial" w:hAnsi="Arial"/>
                <w:sz w:val="17"/>
                <w:szCs w:val="17"/>
                <w:color w:val="auto"/>
              </w:rPr>
              <w:t>Canceled or forfeited</w:t>
            </w:r>
          </w:p>
        </w:tc>
        <w:tc>
          <w:tcPr>
            <w:tcW w:w="1760" w:type="dxa"/>
            <w:vAlign w:val="bottom"/>
          </w:tcPr>
          <w:p>
            <w:pPr>
              <w:jc w:val="right"/>
              <w:spacing w:after="0"/>
              <w:rPr>
                <w:sz w:val="20"/>
                <w:szCs w:val="20"/>
                <w:color w:val="auto"/>
              </w:rPr>
            </w:pPr>
            <w:r>
              <w:rPr>
                <w:rFonts w:ascii="Arial" w:cs="Arial" w:eastAsia="Arial" w:hAnsi="Arial"/>
                <w:sz w:val="17"/>
                <w:szCs w:val="17"/>
                <w:color w:val="auto"/>
              </w:rPr>
              <w:t>(174,187)</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5.63</w:t>
            </w:r>
          </w:p>
        </w:tc>
        <w:tc>
          <w:tcPr>
            <w:tcW w:w="1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48"/>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Exercised</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73"/>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Options outstanding at March 31, 2022</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4,565,753</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5.12</w:t>
            </w:r>
          </w:p>
        </w:tc>
        <w:tc>
          <w:tcPr>
            <w:tcW w:w="10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4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7"/>
                <w:szCs w:val="17"/>
                <w:color w:val="auto"/>
              </w:rPr>
              <w:t>—</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r>
      <w:tr>
        <w:trPr>
          <w:trHeight w:val="208"/>
        </w:trPr>
        <w:tc>
          <w:tcPr>
            <w:tcW w:w="36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54"/>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Options exercisable at March 31, 2022</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1,520</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427.69</w:t>
            </w:r>
          </w:p>
        </w:tc>
        <w:tc>
          <w:tcPr>
            <w:tcW w:w="10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4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7"/>
                <w:szCs w:val="17"/>
                <w:color w:val="auto"/>
              </w:rPr>
              <w:t>—</w:t>
            </w:r>
          </w:p>
        </w:tc>
      </w:tr>
    </w:tbl>
    <w:p>
      <w:pPr>
        <w:ind w:left="140"/>
        <w:spacing w:after="0"/>
        <w:rPr>
          <w:sz w:val="20"/>
          <w:szCs w:val="20"/>
          <w:color w:val="auto"/>
        </w:rPr>
      </w:pPr>
      <w:r>
        <w:rPr>
          <w:rFonts w:ascii="Arial" w:cs="Arial" w:eastAsia="Arial" w:hAnsi="Arial"/>
          <w:sz w:val="16"/>
          <w:szCs w:val="16"/>
          <w:color w:val="auto"/>
        </w:rPr>
        <w:t>(1) Exercise price of options outstanding range from $4 to $99,300 as of March 31, 2022</w:t>
      </w:r>
      <w:r>
        <w:rPr>
          <w:rFonts w:ascii="Arial" w:cs="Arial" w:eastAsia="Arial" w:hAnsi="Arial"/>
          <w:sz w:val="16"/>
          <w:szCs w:val="16"/>
          <w:i w:val="1"/>
          <w:iCs w:val="1"/>
          <w:color w:val="auto"/>
        </w:rPr>
        <w:t>.</w:t>
      </w:r>
      <w:r>
        <w:rPr>
          <w:rFonts w:ascii="Arial" w:cs="Arial" w:eastAsia="Arial" w:hAnsi="Arial"/>
          <w:sz w:val="16"/>
          <w:szCs w:val="16"/>
          <w:color w:val="auto"/>
        </w:rPr>
        <w:t xml:space="preserve"> The higher range is related to historical stock reverse splits.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-107950</wp:posOffset>
            </wp:positionV>
            <wp:extent cx="112014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228" w:lineRule="exact"/>
        <w:rPr>
          <w:sz w:val="20"/>
          <w:szCs w:val="20"/>
          <w:color w:val="auto"/>
        </w:rPr>
      </w:pPr>
    </w:p>
    <w:p>
      <w:pPr>
        <w:ind w:right="440" w:firstLine="470"/>
        <w:spacing w:after="0" w:line="261" w:lineRule="auto"/>
        <w:rPr>
          <w:sz w:val="20"/>
          <w:szCs w:val="20"/>
          <w:color w:val="auto"/>
        </w:rPr>
      </w:pPr>
      <w:r>
        <w:rPr>
          <w:rFonts w:ascii="Arial" w:cs="Arial" w:eastAsia="Arial" w:hAnsi="Arial"/>
          <w:sz w:val="17"/>
          <w:szCs w:val="17"/>
          <w:i w:val="1"/>
          <w:iCs w:val="1"/>
          <w:color w:val="auto"/>
        </w:rPr>
        <w:t xml:space="preserve">No </w:t>
      </w:r>
      <w:r>
        <w:rPr>
          <w:rFonts w:ascii="Arial" w:cs="Arial" w:eastAsia="Arial" w:hAnsi="Arial"/>
          <w:sz w:val="17"/>
          <w:szCs w:val="17"/>
          <w:color w:val="auto"/>
        </w:rPr>
        <w:t>stock options vested during the three months ended March 31, 2022</w:t>
      </w:r>
      <w:r>
        <w:rPr>
          <w:rFonts w:ascii="Arial" w:cs="Arial" w:eastAsia="Arial" w:hAnsi="Arial"/>
          <w:sz w:val="17"/>
          <w:szCs w:val="17"/>
          <w:i w:val="1"/>
          <w:iCs w:val="1"/>
          <w:color w:val="auto"/>
        </w:rPr>
        <w:t xml:space="preserve">. </w:t>
      </w:r>
      <w:r>
        <w:rPr>
          <w:rFonts w:ascii="Arial" w:cs="Arial" w:eastAsia="Arial" w:hAnsi="Arial"/>
          <w:sz w:val="17"/>
          <w:szCs w:val="17"/>
          <w:color w:val="auto"/>
        </w:rPr>
        <w:t>As of March 31, 2022</w:t>
      </w:r>
      <w:r>
        <w:rPr>
          <w:rFonts w:ascii="Arial" w:cs="Arial" w:eastAsia="Arial" w:hAnsi="Arial"/>
          <w:sz w:val="17"/>
          <w:szCs w:val="17"/>
          <w:i w:val="1"/>
          <w:iCs w:val="1"/>
          <w:color w:val="auto"/>
        </w:rPr>
        <w:t xml:space="preserve">, </w:t>
      </w:r>
      <w:r>
        <w:rPr>
          <w:rFonts w:ascii="Arial" w:cs="Arial" w:eastAsia="Arial" w:hAnsi="Arial"/>
          <w:sz w:val="17"/>
          <w:szCs w:val="17"/>
          <w:color w:val="auto"/>
        </w:rPr>
        <w:t>the total unrecognized compensation expense, net of</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estimated forfeitures, relating to stock options was $16.6 million, which is expected to be recognized over the remaining weighted-average period of approximately 3.6 years.</w:t>
      </w:r>
    </w:p>
    <w:p>
      <w:pPr>
        <w:spacing w:after="0" w:line="2"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Restricted stock</w:t>
      </w:r>
      <w:r>
        <w:rPr>
          <w:rFonts w:ascii="Arial" w:cs="Arial" w:eastAsia="Arial" w:hAnsi="Arial"/>
          <w:sz w:val="17"/>
          <w:szCs w:val="17"/>
          <w:color w:val="auto"/>
        </w:rPr>
        <w:t>. Non-vested restricted stock awards and the changes during the three months ended</w:t>
      </w:r>
      <w:r>
        <w:rPr>
          <w:rFonts w:ascii="Arial" w:cs="Arial" w:eastAsia="Arial" w:hAnsi="Arial"/>
          <w:sz w:val="17"/>
          <w:szCs w:val="17"/>
          <w:i w:val="1"/>
          <w:iCs w:val="1"/>
          <w:color w:val="auto"/>
        </w:rPr>
        <w:t xml:space="preserve"> March 31, 2022, </w:t>
      </w:r>
      <w:r>
        <w:rPr>
          <w:rFonts w:ascii="Arial" w:cs="Arial" w:eastAsia="Arial" w:hAnsi="Arial"/>
          <w:sz w:val="17"/>
          <w:szCs w:val="17"/>
          <w:color w:val="auto"/>
        </w:rPr>
        <w:t>were as follows:</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20"/>
        <w:spacing w:after="0"/>
        <w:rPr>
          <w:sz w:val="20"/>
          <w:szCs w:val="20"/>
          <w:color w:val="auto"/>
        </w:rPr>
      </w:pPr>
      <w:r>
        <w:rPr>
          <w:rFonts w:ascii="Arial" w:cs="Arial" w:eastAsia="Arial" w:hAnsi="Arial"/>
          <w:sz w:val="15"/>
          <w:szCs w:val="15"/>
          <w:color w:val="auto"/>
        </w:rPr>
        <w:t>Outstanding at December 31, 2021</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Granted</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7"/>
          <w:szCs w:val="17"/>
          <w:color w:val="auto"/>
        </w:rPr>
        <w:t>Exercised</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7"/>
          <w:szCs w:val="17"/>
          <w:color w:val="auto"/>
        </w:rPr>
        <w:t>Canceled or forfeited</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7"/>
          <w:szCs w:val="17"/>
          <w:color w:val="auto"/>
        </w:rPr>
        <w:t>Vested</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7"/>
          <w:szCs w:val="17"/>
          <w:color w:val="auto"/>
        </w:rPr>
        <w:t>Non-vested at March 31, 2022</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jc w:val="right"/>
              <w:ind w:right="213"/>
              <w:spacing w:after="0"/>
              <w:rPr>
                <w:sz w:val="20"/>
                <w:szCs w:val="20"/>
                <w:color w:val="auto"/>
              </w:rPr>
            </w:pPr>
            <w:r>
              <w:rPr>
                <w:rFonts w:ascii="Arial" w:cs="Arial" w:eastAsia="Arial" w:hAnsi="Arial"/>
                <w:sz w:val="17"/>
                <w:szCs w:val="17"/>
                <w:b w:val="1"/>
                <w:bCs w:val="1"/>
                <w:color w:val="auto"/>
              </w:rPr>
              <w:t>Weighted-Average</w:t>
            </w:r>
          </w:p>
        </w:tc>
      </w:tr>
      <w:tr>
        <w:trPr>
          <w:trHeight w:val="234"/>
        </w:trPr>
        <w:tc>
          <w:tcPr>
            <w:tcW w:w="2060" w:type="dxa"/>
            <w:vAlign w:val="bottom"/>
            <w:gridSpan w:val="2"/>
          </w:tcPr>
          <w:p>
            <w:pPr>
              <w:ind w:left="300"/>
              <w:spacing w:after="0"/>
              <w:rPr>
                <w:sz w:val="20"/>
                <w:szCs w:val="20"/>
                <w:color w:val="auto"/>
              </w:rPr>
            </w:pPr>
            <w:r>
              <w:rPr>
                <w:rFonts w:ascii="Arial" w:cs="Arial" w:eastAsia="Arial" w:hAnsi="Arial"/>
                <w:sz w:val="17"/>
                <w:szCs w:val="17"/>
                <w:b w:val="1"/>
                <w:bCs w:val="1"/>
                <w:color w:val="auto"/>
              </w:rPr>
              <w:t>Number of Shares</w:t>
            </w:r>
          </w:p>
        </w:tc>
        <w:tc>
          <w:tcPr>
            <w:tcW w:w="120" w:type="dxa"/>
            <w:vAlign w:val="bottom"/>
          </w:tcPr>
          <w:p>
            <w:pPr>
              <w:spacing w:after="0"/>
              <w:rPr>
                <w:sz w:val="20"/>
                <w:szCs w:val="20"/>
                <w:color w:val="auto"/>
              </w:rPr>
            </w:pPr>
          </w:p>
        </w:tc>
        <w:tc>
          <w:tcPr>
            <w:tcW w:w="1840" w:type="dxa"/>
            <w:vAlign w:val="bottom"/>
          </w:tcPr>
          <w:p>
            <w:pPr>
              <w:jc w:val="right"/>
              <w:ind w:right="53"/>
              <w:spacing w:after="0"/>
              <w:rPr>
                <w:sz w:val="20"/>
                <w:szCs w:val="20"/>
                <w:color w:val="auto"/>
              </w:rPr>
            </w:pPr>
            <w:r>
              <w:rPr>
                <w:rFonts w:ascii="Arial" w:cs="Arial" w:eastAsia="Arial" w:hAnsi="Arial"/>
                <w:sz w:val="17"/>
                <w:szCs w:val="17"/>
                <w:b w:val="1"/>
                <w:bCs w:val="1"/>
                <w:color w:val="auto"/>
                <w:w w:val="96"/>
              </w:rPr>
              <w:t>Grant-Date Fair Value</w:t>
            </w:r>
          </w:p>
        </w:tc>
      </w:tr>
      <w:tr>
        <w:trPr>
          <w:trHeight w:val="235"/>
        </w:trPr>
        <w:tc>
          <w:tcPr>
            <w:tcW w:w="1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7,094,785</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3.93</w:t>
            </w:r>
          </w:p>
        </w:tc>
      </w:tr>
      <w:tr>
        <w:trPr>
          <w:trHeight w:val="248"/>
        </w:trPr>
        <w:tc>
          <w:tcPr>
            <w:tcW w:w="20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8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8"/>
        </w:trPr>
        <w:tc>
          <w:tcPr>
            <w:tcW w:w="1960" w:type="dxa"/>
            <w:vAlign w:val="bottom"/>
          </w:tcPr>
          <w:p>
            <w:pPr>
              <w:jc w:val="right"/>
              <w:spacing w:after="0"/>
              <w:rPr>
                <w:sz w:val="20"/>
                <w:szCs w:val="20"/>
                <w:color w:val="auto"/>
              </w:rPr>
            </w:pPr>
            <w:r>
              <w:rPr>
                <w:rFonts w:ascii="Arial" w:cs="Arial" w:eastAsia="Arial" w:hAnsi="Arial"/>
                <w:sz w:val="17"/>
                <w:szCs w:val="17"/>
                <w:color w:val="auto"/>
              </w:rPr>
              <w:t>(165,870)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840" w:type="dxa"/>
            <w:vAlign w:val="bottom"/>
          </w:tcPr>
          <w:p>
            <w:pPr>
              <w:jc w:val="right"/>
              <w:spacing w:after="0"/>
              <w:rPr>
                <w:sz w:val="20"/>
                <w:szCs w:val="20"/>
                <w:color w:val="auto"/>
              </w:rPr>
            </w:pPr>
            <w:r>
              <w:rPr>
                <w:rFonts w:ascii="Arial" w:cs="Arial" w:eastAsia="Arial" w:hAnsi="Arial"/>
                <w:sz w:val="17"/>
                <w:szCs w:val="17"/>
                <w:color w:val="auto"/>
              </w:rPr>
              <w:t>1.09</w:t>
            </w:r>
          </w:p>
        </w:tc>
      </w:tr>
      <w:tr>
        <w:trPr>
          <w:trHeight w:val="248"/>
        </w:trPr>
        <w:tc>
          <w:tcPr>
            <w:tcW w:w="1960" w:type="dxa"/>
            <w:vAlign w:val="bottom"/>
          </w:tcPr>
          <w:p>
            <w:pPr>
              <w:jc w:val="right"/>
              <w:spacing w:after="0"/>
              <w:rPr>
                <w:sz w:val="20"/>
                <w:szCs w:val="20"/>
                <w:color w:val="auto"/>
              </w:rPr>
            </w:pPr>
            <w:r>
              <w:rPr>
                <w:rFonts w:ascii="Arial" w:cs="Arial" w:eastAsia="Arial" w:hAnsi="Arial"/>
                <w:sz w:val="17"/>
                <w:szCs w:val="17"/>
                <w:color w:val="auto"/>
              </w:rPr>
              <w:t>(174,268)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840" w:type="dxa"/>
            <w:vAlign w:val="bottom"/>
          </w:tcPr>
          <w:p>
            <w:pPr>
              <w:jc w:val="right"/>
              <w:spacing w:after="0"/>
              <w:rPr>
                <w:sz w:val="20"/>
                <w:szCs w:val="20"/>
                <w:color w:val="auto"/>
              </w:rPr>
            </w:pPr>
            <w:r>
              <w:rPr>
                <w:rFonts w:ascii="Arial" w:cs="Arial" w:eastAsia="Arial" w:hAnsi="Arial"/>
                <w:sz w:val="17"/>
                <w:szCs w:val="17"/>
                <w:color w:val="auto"/>
              </w:rPr>
              <w:t>4.53</w:t>
            </w:r>
          </w:p>
        </w:tc>
      </w:tr>
      <w:tr>
        <w:trPr>
          <w:trHeight w:val="255"/>
        </w:trPr>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(364)</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2.30</w:t>
            </w:r>
          </w:p>
        </w:tc>
      </w:tr>
      <w:tr>
        <w:trPr>
          <w:trHeight w:val="235"/>
        </w:trPr>
        <w:tc>
          <w:tcPr>
            <w:tcW w:w="1960" w:type="dxa"/>
            <w:vAlign w:val="bottom"/>
          </w:tcPr>
          <w:p>
            <w:pPr>
              <w:jc w:val="right"/>
              <w:spacing w:after="0"/>
              <w:rPr>
                <w:sz w:val="20"/>
                <w:szCs w:val="20"/>
                <w:color w:val="auto"/>
              </w:rPr>
            </w:pPr>
            <w:r>
              <w:rPr>
                <w:rFonts w:ascii="Arial" w:cs="Arial" w:eastAsia="Arial" w:hAnsi="Arial"/>
                <w:sz w:val="17"/>
                <w:szCs w:val="17"/>
                <w:color w:val="auto"/>
              </w:rPr>
              <w:t>6,754,283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840" w:type="dxa"/>
            <w:vAlign w:val="bottom"/>
          </w:tcPr>
          <w:p>
            <w:pPr>
              <w:jc w:val="right"/>
              <w:spacing w:after="0"/>
              <w:rPr>
                <w:sz w:val="20"/>
                <w:szCs w:val="20"/>
                <w:color w:val="auto"/>
              </w:rPr>
            </w:pPr>
            <w:r>
              <w:rPr>
                <w:rFonts w:ascii="Arial" w:cs="Arial" w:eastAsia="Arial" w:hAnsi="Arial"/>
                <w:sz w:val="17"/>
                <w:szCs w:val="17"/>
                <w:color w:val="auto"/>
              </w:rPr>
              <w:t>4.01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-4580890</wp:posOffset>
            </wp:positionH>
            <wp:positionV relativeFrom="paragraph">
              <wp:posOffset>-953770</wp:posOffset>
            </wp:positionV>
            <wp:extent cx="7136765" cy="165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765" cy="165735"/>
                    </a:xfrm>
                    <a:prstGeom prst="rect">
                      <a:avLst/>
                    </a:prstGeom>
                    <a:noFill/>
                  </pic:spPr>
                </pic:pic>
              </a:graphicData>
            </a:graphic>
          </wp:anchor>
        </w:drawing>
        <w:drawing>
          <wp:anchor simplePos="0" relativeHeight="251657728" behindDoc="1" locked="0" layoutInCell="0" allowOverlap="1">
            <wp:simplePos x="0" y="0"/>
            <wp:positionH relativeFrom="column">
              <wp:posOffset>-4580890</wp:posOffset>
            </wp:positionH>
            <wp:positionV relativeFrom="paragraph">
              <wp:posOffset>-629920</wp:posOffset>
            </wp:positionV>
            <wp:extent cx="7136765" cy="1574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765" cy="157480"/>
                    </a:xfrm>
                    <a:prstGeom prst="rect">
                      <a:avLst/>
                    </a:prstGeom>
                    <a:noFill/>
                  </pic:spPr>
                </pic:pic>
              </a:graphicData>
            </a:graphic>
          </wp:anchor>
        </w:drawing>
        <w:drawing>
          <wp:anchor simplePos="0" relativeHeight="251657728" behindDoc="1" locked="0" layoutInCell="0" allowOverlap="1">
            <wp:simplePos x="0" y="0"/>
            <wp:positionH relativeFrom="column">
              <wp:posOffset>-4580890</wp:posOffset>
            </wp:positionH>
            <wp:positionV relativeFrom="paragraph">
              <wp:posOffset>-314325</wp:posOffset>
            </wp:positionV>
            <wp:extent cx="7136765" cy="1574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765" cy="15748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8255</wp:posOffset>
            </wp:positionV>
            <wp:extent cx="2555875" cy="330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55875" cy="33020"/>
                    </a:xfrm>
                    <a:prstGeom prst="rect">
                      <a:avLst/>
                    </a:prstGeom>
                    <a:noFill/>
                  </pic:spPr>
                </pic:pic>
              </a:graphicData>
            </a:graphic>
          </wp:anchor>
        </w:drawing>
      </w:r>
    </w:p>
    <w:p>
      <w:pPr>
        <w:spacing w:after="0" w:line="53" w:lineRule="exact"/>
        <w:rPr>
          <w:sz w:val="20"/>
          <w:szCs w:val="20"/>
          <w:color w:val="auto"/>
        </w:rPr>
      </w:pPr>
    </w:p>
    <w:p>
      <w:pPr>
        <w:sectPr>
          <w:pgSz w:w="11900" w:h="16838" w:orient="portrait"/>
          <w:cols w:equalWidth="0" w:num="2">
            <w:col w:w="6500" w:space="720"/>
            <w:col w:w="4020"/>
          </w:cols>
          <w:pgMar w:left="320" w:top="127" w:right="339" w:bottom="1440" w:gutter="0" w:footer="0" w:header="0"/>
          <w:type w:val="continuous"/>
        </w:sectPr>
      </w:pPr>
    </w:p>
    <w:p>
      <w:pPr>
        <w:ind w:right="80" w:firstLine="470"/>
        <w:spacing w:after="0" w:line="267" w:lineRule="auto"/>
        <w:rPr>
          <w:sz w:val="20"/>
          <w:szCs w:val="20"/>
          <w:color w:val="auto"/>
        </w:rPr>
      </w:pPr>
      <w:r>
        <w:rPr>
          <w:rFonts w:ascii="Arial" w:cs="Arial" w:eastAsia="Arial" w:hAnsi="Arial"/>
          <w:sz w:val="17"/>
          <w:szCs w:val="17"/>
          <w:color w:val="auto"/>
        </w:rPr>
        <w:t>The total fair value of restricted stock that vested during the three months ended March 31, 2022, was nil. As of March 31, 2022</w:t>
      </w:r>
      <w:r>
        <w:rPr>
          <w:rFonts w:ascii="Arial" w:cs="Arial" w:eastAsia="Arial" w:hAnsi="Arial"/>
          <w:sz w:val="17"/>
          <w:szCs w:val="17"/>
          <w:i w:val="1"/>
          <w:iCs w:val="1"/>
          <w:color w:val="auto"/>
        </w:rPr>
        <w:t>,</w:t>
      </w:r>
      <w:r>
        <w:rPr>
          <w:rFonts w:ascii="Arial" w:cs="Arial" w:eastAsia="Arial" w:hAnsi="Arial"/>
          <w:sz w:val="17"/>
          <w:szCs w:val="17"/>
          <w:color w:val="auto"/>
        </w:rPr>
        <w:t xml:space="preserve"> the total unrecognized compensation expense, net of estimated forfeitures, relating to restricted stock awards was $19.4 million, which is expected to be recognized over the remaining weighted-average period of approximately 2.9 years. As of March 31, 2022</w:t>
      </w:r>
      <w:r>
        <w:rPr>
          <w:rFonts w:ascii="Arial" w:cs="Arial" w:eastAsia="Arial" w:hAnsi="Arial"/>
          <w:sz w:val="17"/>
          <w:szCs w:val="17"/>
          <w:i w:val="1"/>
          <w:iCs w:val="1"/>
          <w:color w:val="auto"/>
        </w:rPr>
        <w:t>,</w:t>
      </w:r>
      <w:r>
        <w:rPr>
          <w:rFonts w:ascii="Arial" w:cs="Arial" w:eastAsia="Arial" w:hAnsi="Arial"/>
          <w:sz w:val="17"/>
          <w:szCs w:val="17"/>
          <w:color w:val="auto"/>
        </w:rPr>
        <w:t xml:space="preserve"> we had recorded a liability of $1.0 million for earned and unvested liability-classified restricted stock awards based on the fair value of our common stock as of March 31, 2022</w:t>
      </w:r>
      <w:r>
        <w:rPr>
          <w:rFonts w:ascii="Arial" w:cs="Arial" w:eastAsia="Arial" w:hAnsi="Arial"/>
          <w:sz w:val="17"/>
          <w:szCs w:val="17"/>
          <w:i w:val="1"/>
          <w:iCs w:val="1"/>
          <w:color w:val="auto"/>
        </w:rPr>
        <w:t>.</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Income Taxes</w:t>
      </w:r>
    </w:p>
    <w:p>
      <w:pPr>
        <w:spacing w:after="0" w:line="242" w:lineRule="exact"/>
        <w:rPr>
          <w:sz w:val="20"/>
          <w:szCs w:val="20"/>
          <w:color w:val="auto"/>
        </w:rPr>
      </w:pPr>
    </w:p>
    <w:p>
      <w:pPr>
        <w:ind w:right="200" w:firstLine="470"/>
        <w:spacing w:after="0" w:line="256" w:lineRule="auto"/>
        <w:rPr>
          <w:sz w:val="20"/>
          <w:szCs w:val="20"/>
          <w:color w:val="auto"/>
        </w:rPr>
      </w:pPr>
      <w:r>
        <w:rPr>
          <w:rFonts w:ascii="Arial" w:cs="Arial" w:eastAsia="Arial" w:hAnsi="Arial"/>
          <w:sz w:val="17"/>
          <w:szCs w:val="17"/>
          <w:color w:val="auto"/>
        </w:rPr>
        <w:t>The Company has incurred operating losses since inception, therefore no provision for income taxes was recorded and all related deferred tax assets are fully reserved for. We continue to assess the impact of a deferred tax asset as it relates to income taxes.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Commitments and Contingencies</w:t>
      </w:r>
    </w:p>
    <w:p>
      <w:pPr>
        <w:spacing w:after="0" w:line="32" w:lineRule="exact"/>
        <w:rPr>
          <w:sz w:val="20"/>
          <w:szCs w:val="20"/>
          <w:color w:val="auto"/>
        </w:rPr>
      </w:pPr>
    </w:p>
    <w:p>
      <w:pPr>
        <w:ind w:right="480" w:firstLine="470"/>
        <w:spacing w:after="0" w:line="273" w:lineRule="auto"/>
        <w:rPr>
          <w:sz w:val="20"/>
          <w:szCs w:val="20"/>
          <w:color w:val="auto"/>
        </w:rPr>
      </w:pPr>
      <w:r>
        <w:rPr>
          <w:rFonts w:ascii="Arial" w:cs="Arial" w:eastAsia="Arial" w:hAnsi="Arial"/>
          <w:sz w:val="17"/>
          <w:szCs w:val="17"/>
          <w:i w:val="1"/>
          <w:iCs w:val="1"/>
          <w:color w:val="auto"/>
        </w:rPr>
        <w:t>Legal matters</w:t>
      </w:r>
      <w:r>
        <w:rPr>
          <w:rFonts w:ascii="Arial" w:cs="Arial" w:eastAsia="Arial" w:hAnsi="Arial"/>
          <w:sz w:val="17"/>
          <w:szCs w:val="17"/>
          <w:color w:val="auto"/>
        </w:rPr>
        <w:t>. From time to time, the Company has been, and</w:t>
      </w:r>
      <w:r>
        <w:rPr>
          <w:rFonts w:ascii="Arial" w:cs="Arial" w:eastAsia="Arial" w:hAnsi="Arial"/>
          <w:sz w:val="17"/>
          <w:szCs w:val="17"/>
          <w:i w:val="1"/>
          <w:iCs w:val="1"/>
          <w:color w:val="auto"/>
        </w:rPr>
        <w:t xml:space="preserve"> may </w:t>
      </w:r>
      <w:r>
        <w:rPr>
          <w:rFonts w:ascii="Arial" w:cs="Arial" w:eastAsia="Arial" w:hAnsi="Arial"/>
          <w:sz w:val="17"/>
          <w:szCs w:val="17"/>
          <w:color w:val="auto"/>
        </w:rPr>
        <w:t>again become, involved in legal proceedings arising in the ordinary course of its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business. The Company is </w:t>
      </w:r>
      <w:r>
        <w:rPr>
          <w:rFonts w:ascii="Arial" w:cs="Arial" w:eastAsia="Arial" w:hAnsi="Arial"/>
          <w:sz w:val="17"/>
          <w:szCs w:val="17"/>
          <w:i w:val="1"/>
          <w:iCs w:val="1"/>
          <w:color w:val="auto"/>
        </w:rPr>
        <w:t>not</w:t>
      </w:r>
      <w:r>
        <w:rPr>
          <w:rFonts w:ascii="Arial" w:cs="Arial" w:eastAsia="Arial" w:hAnsi="Arial"/>
          <w:sz w:val="17"/>
          <w:szCs w:val="17"/>
          <w:color w:val="auto"/>
        </w:rPr>
        <w:t xml:space="preserve"> presently a party to any litigation and is </w:t>
      </w:r>
      <w:r>
        <w:rPr>
          <w:rFonts w:ascii="Arial" w:cs="Arial" w:eastAsia="Arial" w:hAnsi="Arial"/>
          <w:sz w:val="17"/>
          <w:szCs w:val="17"/>
          <w:i w:val="1"/>
          <w:iCs w:val="1"/>
          <w:color w:val="auto"/>
        </w:rPr>
        <w:t>not</w:t>
      </w:r>
      <w:r>
        <w:rPr>
          <w:rFonts w:ascii="Arial" w:cs="Arial" w:eastAsia="Arial" w:hAnsi="Arial"/>
          <w:sz w:val="17"/>
          <w:szCs w:val="17"/>
          <w:color w:val="auto"/>
        </w:rPr>
        <w:t xml:space="preserve"> aware of any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20" w:name="page21"/>
    <w:bookmarkEnd w:id="20"/>
    <w:p>
      <w:pPr>
        <w:spacing w:after="0"/>
        <w:rPr>
          <w:rFonts w:ascii="Arial" w:cs="Arial" w:eastAsia="Arial" w:hAnsi="Arial"/>
          <w:sz w:val="17"/>
          <w:szCs w:val="17"/>
          <w:u w:val="single" w:color="auto"/>
          <w:color w:val="auto"/>
        </w:rPr>
      </w:pPr>
      <w:hyperlink w:anchor="page1">
        <w:r>
          <w:rPr>
            <w:rFonts w:ascii="Arial" w:cs="Arial" w:eastAsia="Arial" w:hAnsi="Arial"/>
            <w:sz w:val="17"/>
            <w:szCs w:val="17"/>
            <w:u w:val="single" w:color="auto"/>
            <w:color w:val="auto"/>
          </w:rPr>
          <w:t>Table of Contents</w:t>
        </w:r>
      </w:hyperlink>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GEVO, INC.</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57"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pending or threatened litigation against the Company that it believes could have a material adverse effect on its business, operating results, financial condition or cash flows.</w:t>
      </w:r>
    </w:p>
    <w:p>
      <w:pPr>
        <w:ind w:right="320" w:firstLine="470"/>
        <w:spacing w:after="0" w:line="256" w:lineRule="auto"/>
        <w:rPr>
          <w:sz w:val="20"/>
          <w:szCs w:val="20"/>
          <w:color w:val="auto"/>
        </w:rPr>
      </w:pPr>
      <w:r>
        <w:rPr>
          <w:rFonts w:ascii="Arial" w:cs="Arial" w:eastAsia="Arial" w:hAnsi="Arial"/>
          <w:sz w:val="17"/>
          <w:szCs w:val="17"/>
          <w:i w:val="1"/>
          <w:iCs w:val="1"/>
          <w:color w:val="auto"/>
        </w:rPr>
        <w:t>Indemnifications</w:t>
      </w:r>
      <w:r>
        <w:rPr>
          <w:rFonts w:ascii="Arial" w:cs="Arial" w:eastAsia="Arial" w:hAnsi="Arial"/>
          <w:sz w:val="17"/>
          <w:szCs w:val="17"/>
          <w:color w:val="auto"/>
        </w:rPr>
        <w:t>. In the ordinary course of its business, the Company makes certain indemnities under which it</w:t>
      </w:r>
      <w:r>
        <w:rPr>
          <w:rFonts w:ascii="Arial" w:cs="Arial" w:eastAsia="Arial" w:hAnsi="Arial"/>
          <w:sz w:val="17"/>
          <w:szCs w:val="17"/>
          <w:i w:val="1"/>
          <w:iCs w:val="1"/>
          <w:color w:val="auto"/>
        </w:rPr>
        <w:t xml:space="preserve"> may </w:t>
      </w:r>
      <w:r>
        <w:rPr>
          <w:rFonts w:ascii="Arial" w:cs="Arial" w:eastAsia="Arial" w:hAnsi="Arial"/>
          <w:sz w:val="17"/>
          <w:szCs w:val="17"/>
          <w:color w:val="auto"/>
        </w:rPr>
        <w:t>be required to make payments in</w:t>
      </w:r>
      <w:r>
        <w:rPr>
          <w:rFonts w:ascii="Arial" w:cs="Arial" w:eastAsia="Arial" w:hAnsi="Arial"/>
          <w:sz w:val="17"/>
          <w:szCs w:val="17"/>
          <w:i w:val="1"/>
          <w:iCs w:val="1"/>
          <w:color w:val="auto"/>
        </w:rPr>
        <w:t xml:space="preserve"> </w:t>
      </w:r>
      <w:r>
        <w:rPr>
          <w:rFonts w:ascii="Arial" w:cs="Arial" w:eastAsia="Arial" w:hAnsi="Arial"/>
          <w:sz w:val="17"/>
          <w:szCs w:val="17"/>
          <w:color w:val="auto"/>
        </w:rPr>
        <w:t>relation to certain transactions. As of March 31, 2022</w:t>
      </w:r>
      <w:r>
        <w:rPr>
          <w:rFonts w:ascii="Arial" w:cs="Arial" w:eastAsia="Arial" w:hAnsi="Arial"/>
          <w:sz w:val="17"/>
          <w:szCs w:val="17"/>
          <w:i w:val="1"/>
          <w:iCs w:val="1"/>
          <w:color w:val="auto"/>
        </w:rPr>
        <w:t>,</w:t>
      </w:r>
      <w:r>
        <w:rPr>
          <w:rFonts w:ascii="Arial" w:cs="Arial" w:eastAsia="Arial" w:hAnsi="Arial"/>
          <w:sz w:val="17"/>
          <w:szCs w:val="17"/>
          <w:color w:val="auto"/>
        </w:rPr>
        <w:t xml:space="preserve"> the Company did </w:t>
      </w:r>
      <w:r>
        <w:rPr>
          <w:rFonts w:ascii="Arial" w:cs="Arial" w:eastAsia="Arial" w:hAnsi="Arial"/>
          <w:sz w:val="17"/>
          <w:szCs w:val="17"/>
          <w:i w:val="1"/>
          <w:iCs w:val="1"/>
          <w:color w:val="auto"/>
        </w:rPr>
        <w:t>not</w:t>
      </w:r>
      <w:r>
        <w:rPr>
          <w:rFonts w:ascii="Arial" w:cs="Arial" w:eastAsia="Arial" w:hAnsi="Arial"/>
          <w:sz w:val="17"/>
          <w:szCs w:val="17"/>
          <w:color w:val="auto"/>
        </w:rPr>
        <w:t xml:space="preserve"> have any liabilities associated with indemnities.</w:t>
      </w:r>
    </w:p>
    <w:p>
      <w:pPr>
        <w:spacing w:after="0" w:line="1" w:lineRule="exact"/>
        <w:rPr>
          <w:sz w:val="20"/>
          <w:szCs w:val="20"/>
          <w:color w:val="auto"/>
        </w:rPr>
      </w:pPr>
    </w:p>
    <w:p>
      <w:pPr>
        <w:ind w:right="80" w:firstLine="470"/>
        <w:spacing w:after="0" w:line="290" w:lineRule="auto"/>
        <w:rPr>
          <w:sz w:val="20"/>
          <w:szCs w:val="20"/>
          <w:color w:val="auto"/>
        </w:rPr>
      </w:pPr>
      <w:r>
        <w:rPr>
          <w:rFonts w:ascii="Arial" w:cs="Arial" w:eastAsia="Arial" w:hAnsi="Arial"/>
          <w:sz w:val="15"/>
          <w:szCs w:val="15"/>
          <w:color w:val="auto"/>
        </w:rPr>
        <w:t xml:space="preserve">In addition, the Company, as permitted under Delaware law and in accordance with its amended and restated certificate of incorporation and second amended and restated bylaws, in each case, as amended to date, indemnifies its officers and directors for certain events or occurrences, subject to certain limits, while the officer or director is or was serving at the Company’s request in such capacity. The duration of these indemnifications, commitments, and guarantees varies and, in certain cases, is indefinite. The maximum amount of potential future indemnification is unlimited; however, the Company has a director and officer insurance policy that </w:t>
      </w:r>
      <w:r>
        <w:rPr>
          <w:rFonts w:ascii="Arial" w:cs="Arial" w:eastAsia="Arial" w:hAnsi="Arial"/>
          <w:sz w:val="15"/>
          <w:szCs w:val="15"/>
          <w:i w:val="1"/>
          <w:iCs w:val="1"/>
          <w:color w:val="auto"/>
        </w:rPr>
        <w:t>may</w:t>
      </w:r>
      <w:r>
        <w:rPr>
          <w:rFonts w:ascii="Arial" w:cs="Arial" w:eastAsia="Arial" w:hAnsi="Arial"/>
          <w:sz w:val="15"/>
          <w:szCs w:val="15"/>
          <w:color w:val="auto"/>
        </w:rPr>
        <w:t xml:space="preserve"> enable it to recover a portion of any future amounts paid. The Company accrues for losses for any known contingent liability, including those that </w:t>
      </w:r>
      <w:r>
        <w:rPr>
          <w:rFonts w:ascii="Arial" w:cs="Arial" w:eastAsia="Arial" w:hAnsi="Arial"/>
          <w:sz w:val="15"/>
          <w:szCs w:val="15"/>
          <w:i w:val="1"/>
          <w:iCs w:val="1"/>
          <w:color w:val="auto"/>
        </w:rPr>
        <w:t>may</w:t>
      </w:r>
      <w:r>
        <w:rPr>
          <w:rFonts w:ascii="Arial" w:cs="Arial" w:eastAsia="Arial" w:hAnsi="Arial"/>
          <w:sz w:val="15"/>
          <w:szCs w:val="15"/>
          <w:color w:val="auto"/>
        </w:rPr>
        <w:t xml:space="preserve"> arise from indemnification provisions, when future payment is probable. </w:t>
      </w:r>
      <w:r>
        <w:rPr>
          <w:rFonts w:ascii="Arial" w:cs="Arial" w:eastAsia="Arial" w:hAnsi="Arial"/>
          <w:sz w:val="15"/>
          <w:szCs w:val="15"/>
          <w:i w:val="1"/>
          <w:iCs w:val="1"/>
          <w:color w:val="auto"/>
        </w:rPr>
        <w:t>No</w:t>
      </w:r>
      <w:r>
        <w:rPr>
          <w:rFonts w:ascii="Arial" w:cs="Arial" w:eastAsia="Arial" w:hAnsi="Arial"/>
          <w:sz w:val="15"/>
          <w:szCs w:val="15"/>
          <w:color w:val="auto"/>
        </w:rPr>
        <w:t xml:space="preserve"> such losses have been recorded to date.</w:t>
      </w:r>
    </w:p>
    <w:p>
      <w:pPr>
        <w:spacing w:after="0" w:line="4" w:lineRule="exact"/>
        <w:rPr>
          <w:sz w:val="20"/>
          <w:szCs w:val="20"/>
          <w:color w:val="auto"/>
        </w:rPr>
      </w:pPr>
    </w:p>
    <w:p>
      <w:pPr>
        <w:ind w:right="120" w:firstLine="470"/>
        <w:spacing w:after="0" w:line="260" w:lineRule="auto"/>
        <w:rPr>
          <w:sz w:val="20"/>
          <w:szCs w:val="20"/>
          <w:color w:val="auto"/>
        </w:rPr>
      </w:pPr>
      <w:r>
        <w:rPr>
          <w:rFonts w:ascii="Arial" w:cs="Arial" w:eastAsia="Arial" w:hAnsi="Arial"/>
          <w:sz w:val="17"/>
          <w:szCs w:val="17"/>
          <w:i w:val="1"/>
          <w:iCs w:val="1"/>
          <w:color w:val="auto"/>
        </w:rPr>
        <w:t>Environmental liabilities</w:t>
      </w:r>
      <w:r>
        <w:rPr>
          <w:rFonts w:ascii="Arial" w:cs="Arial" w:eastAsia="Arial" w:hAnsi="Arial"/>
          <w:sz w:val="17"/>
          <w:szCs w:val="17"/>
          <w:color w:val="auto"/>
        </w:rPr>
        <w:t>. The Company’s operations are subject to environmental laws and regulations adopted by various governmental authorities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jurisdictions in which it operates. These laws require the Company to investigate and remediate the effects of the release or disposal of materials at its locations. Accordingly, the Company has adopted policies, practices and procedures in the areas of pollution control, occupational health and the production, handling, storage and use of hazardous materials to prevent material environmental or other damage, and to limit the financial liability which could result from such events. Environmental liabilities are recorded when the Company’s liability is probable, and the costs can be reasonably estimated. </w:t>
      </w:r>
      <w:r>
        <w:rPr>
          <w:rFonts w:ascii="Arial" w:cs="Arial" w:eastAsia="Arial" w:hAnsi="Arial"/>
          <w:sz w:val="17"/>
          <w:szCs w:val="17"/>
          <w:i w:val="1"/>
          <w:iCs w:val="1"/>
          <w:color w:val="auto"/>
        </w:rPr>
        <w:t>No</w:t>
      </w:r>
      <w:r>
        <w:rPr>
          <w:rFonts w:ascii="Arial" w:cs="Arial" w:eastAsia="Arial" w:hAnsi="Arial"/>
          <w:sz w:val="17"/>
          <w:szCs w:val="17"/>
          <w:color w:val="auto"/>
        </w:rPr>
        <w:t xml:space="preserve"> environmental liabilities have been recorded as of March 31, 2022.</w:t>
      </w:r>
    </w:p>
    <w:p>
      <w:pPr>
        <w:spacing w:after="0" w:line="207" w:lineRule="exact"/>
        <w:rPr>
          <w:sz w:val="20"/>
          <w:szCs w:val="20"/>
          <w:color w:val="auto"/>
        </w:rPr>
      </w:pPr>
    </w:p>
    <w:p>
      <w:pPr>
        <w:ind w:right="40" w:firstLine="470"/>
        <w:spacing w:after="0" w:line="272" w:lineRule="auto"/>
        <w:rPr>
          <w:sz w:val="20"/>
          <w:szCs w:val="20"/>
          <w:color w:val="auto"/>
        </w:rPr>
      </w:pPr>
      <w:r>
        <w:rPr>
          <w:rFonts w:ascii="Arial" w:cs="Arial" w:eastAsia="Arial" w:hAnsi="Arial"/>
          <w:sz w:val="17"/>
          <w:szCs w:val="17"/>
          <w:color w:val="auto"/>
        </w:rPr>
        <w:t>In February 2022, an incident occurred at one of the anaerobic digesters that is part of NW Iowa RNG that resulted in the accidental discharge of a mixture of water and manure into the environment. We promptly notified the Iowa Department of Natural Resources (the "DNR") and began mitigation work to minimize the impact of the discharge. The DNR has issued a notice of violation in connection with the discharge.</w:t>
      </w:r>
    </w:p>
    <w:p>
      <w:pPr>
        <w:spacing w:after="0" w:line="198" w:lineRule="exact"/>
        <w:rPr>
          <w:sz w:val="20"/>
          <w:szCs w:val="20"/>
          <w:color w:val="auto"/>
        </w:rPr>
      </w:pPr>
    </w:p>
    <w:p>
      <w:pPr>
        <w:ind w:firstLine="470"/>
        <w:spacing w:after="0" w:line="321" w:lineRule="auto"/>
        <w:rPr>
          <w:sz w:val="20"/>
          <w:szCs w:val="20"/>
          <w:color w:val="auto"/>
        </w:rPr>
      </w:pPr>
      <w:r>
        <w:rPr>
          <w:rFonts w:ascii="Arial" w:cs="Arial" w:eastAsia="Arial" w:hAnsi="Arial"/>
          <w:sz w:val="16"/>
          <w:szCs w:val="16"/>
          <w:color w:val="auto"/>
        </w:rPr>
        <w:t>In April 2022, two separate incidents occurred at two of the anaerobic digesters that are part of NW Iowa RNG that resulted in the accidental discharge of very small amounts of water and manure into the environment. The DNR has issued notices of violation in connection with the two discharges.</w:t>
      </w:r>
    </w:p>
    <w:p>
      <w:pPr>
        <w:spacing w:after="0" w:line="161" w:lineRule="exact"/>
        <w:rPr>
          <w:sz w:val="20"/>
          <w:szCs w:val="20"/>
          <w:color w:val="auto"/>
        </w:rPr>
      </w:pPr>
    </w:p>
    <w:p>
      <w:pPr>
        <w:ind w:right="420" w:firstLine="470"/>
        <w:spacing w:after="0" w:line="358" w:lineRule="auto"/>
        <w:rPr>
          <w:sz w:val="20"/>
          <w:szCs w:val="20"/>
          <w:color w:val="auto"/>
        </w:rPr>
      </w:pPr>
      <w:r>
        <w:rPr>
          <w:rFonts w:ascii="Arial" w:cs="Arial" w:eastAsia="Arial" w:hAnsi="Arial"/>
          <w:sz w:val="15"/>
          <w:szCs w:val="15"/>
          <w:color w:val="auto"/>
        </w:rPr>
        <w:t>There is a possibility that the DNR will initiate an enforcement action with respect to the discharges described above that could result in a monetary sanction being levied against Gevo for the accidental discharges. We do not believe that any such monetary sanctions would be material to the Company.</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Fair Value Measurements</w:t>
      </w:r>
    </w:p>
    <w:p>
      <w:pPr>
        <w:spacing w:after="0" w:line="32" w:lineRule="exact"/>
        <w:rPr>
          <w:sz w:val="20"/>
          <w:szCs w:val="20"/>
          <w:color w:val="auto"/>
        </w:rPr>
      </w:pPr>
    </w:p>
    <w:p>
      <w:pPr>
        <w:ind w:right="120" w:firstLine="470"/>
        <w:spacing w:after="0" w:line="256" w:lineRule="auto"/>
        <w:rPr>
          <w:sz w:val="20"/>
          <w:szCs w:val="20"/>
          <w:color w:val="auto"/>
        </w:rPr>
      </w:pPr>
      <w:r>
        <w:rPr>
          <w:rFonts w:ascii="Arial" w:cs="Arial" w:eastAsia="Arial" w:hAnsi="Arial"/>
          <w:sz w:val="17"/>
          <w:szCs w:val="17"/>
          <w:color w:val="auto"/>
        </w:rPr>
        <w:t>Accounting standards define fair value, outline a framework for measuring fair value, and detail the required disclosures about fair value measurements. Under these standards, fair value is defined as the price that would be received to sell an asset or paid to transfer a liability in an orderly transaction between market participants at the measurement date in the principal or most advantageous market. Standards establish a hierarchy in determining the fair market value of an asset or liability. The fair value hierarchy has three levels of inputs, both observable and unobservable. Standards require the utilization of the highest possible level of input to determine fair value.</w:t>
      </w:r>
    </w:p>
    <w:p>
      <w:pPr>
        <w:spacing w:after="0" w:line="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Level 1 – inputs include quoted market prices in an active market for identical assets or liabilities.</w:t>
      </w:r>
    </w:p>
    <w:p>
      <w:pPr>
        <w:spacing w:after="0" w:line="14" w:lineRule="exact"/>
        <w:rPr>
          <w:sz w:val="20"/>
          <w:szCs w:val="20"/>
          <w:color w:val="auto"/>
        </w:rPr>
      </w:pPr>
    </w:p>
    <w:p>
      <w:pPr>
        <w:ind w:right="420" w:firstLine="470"/>
        <w:spacing w:after="0" w:line="272" w:lineRule="auto"/>
        <w:rPr>
          <w:sz w:val="20"/>
          <w:szCs w:val="20"/>
          <w:color w:val="auto"/>
        </w:rPr>
      </w:pPr>
      <w:r>
        <w:rPr>
          <w:rFonts w:ascii="Arial" w:cs="Arial" w:eastAsia="Arial" w:hAnsi="Arial"/>
          <w:sz w:val="16"/>
          <w:szCs w:val="16"/>
          <w:color w:val="auto"/>
        </w:rPr>
        <w:t>Level 2 – inputs are market data, other than Level 1, that are observable either directly or indirectly. Level 2 inputs include quoted market prices for similar assets or liabilities, quoted market prices in an inactive market, and other observable information that can be corroborated by market data.</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Level 3 – inputs are unobservable and corroborated by little or no market data.</w:t>
      </w: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21" w:name="page22"/>
    <w:bookmarkEnd w:id="21"/>
    <w:p>
      <w:pPr>
        <w:spacing w:after="0"/>
        <w:rPr>
          <w:rFonts w:ascii="Arial" w:cs="Arial" w:eastAsia="Arial" w:hAnsi="Arial"/>
          <w:sz w:val="17"/>
          <w:szCs w:val="17"/>
          <w:u w:val="single" w:color="auto"/>
          <w:color w:val="auto"/>
        </w:rPr>
      </w:pPr>
      <w:hyperlink w:anchor="page1">
        <w:r>
          <w:rPr>
            <w:rFonts w:ascii="Arial" w:cs="Arial" w:eastAsia="Arial" w:hAnsi="Arial"/>
            <w:sz w:val="17"/>
            <w:szCs w:val="17"/>
            <w:u w:val="single" w:color="auto"/>
            <w:color w:val="auto"/>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GEVO,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57" w:lineRule="exact"/>
        <w:rPr>
          <w:sz w:val="20"/>
          <w:szCs w:val="20"/>
          <w:color w:val="auto"/>
        </w:rPr>
      </w:pPr>
    </w:p>
    <w:p>
      <w:pPr>
        <w:ind w:right="860" w:firstLine="470"/>
        <w:spacing w:after="0" w:line="288" w:lineRule="auto"/>
        <w:rPr>
          <w:sz w:val="20"/>
          <w:szCs w:val="20"/>
          <w:color w:val="auto"/>
        </w:rPr>
      </w:pPr>
      <w:r>
        <w:rPr>
          <w:rFonts w:ascii="Arial" w:cs="Arial" w:eastAsia="Arial" w:hAnsi="Arial"/>
          <w:sz w:val="17"/>
          <w:szCs w:val="17"/>
          <w:color w:val="auto"/>
        </w:rPr>
        <w:t>The carrying value and fair value, by fair value hierarchy, of the Company's financial instruments at March 31, 2022, and December 31, 2021, respectively, are as follows (in thousands):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360" w:type="dxa"/>
            <w:vAlign w:val="bottom"/>
            <w:tcBorders>
              <w:bottom w:val="single" w:sz="8" w:color="auto"/>
            </w:tcBorders>
            <w:gridSpan w:val="9"/>
          </w:tcPr>
          <w:p>
            <w:pPr>
              <w:jc w:val="center"/>
              <w:ind w:right="53"/>
              <w:spacing w:after="0"/>
              <w:rPr>
                <w:sz w:val="20"/>
                <w:szCs w:val="20"/>
                <w:color w:val="auto"/>
              </w:rPr>
            </w:pPr>
            <w:r>
              <w:rPr>
                <w:rFonts w:ascii="Arial" w:cs="Arial" w:eastAsia="Arial" w:hAnsi="Arial"/>
                <w:sz w:val="17"/>
                <w:szCs w:val="17"/>
                <w:b w:val="1"/>
                <w:bCs w:val="1"/>
                <w:color w:val="auto"/>
                <w:w w:val="94"/>
              </w:rPr>
              <w:t>Fair Value Measurements at March 31, 2022</w:t>
            </w:r>
          </w:p>
        </w:tc>
        <w:tc>
          <w:tcPr>
            <w:tcW w:w="0" w:type="dxa"/>
            <w:vAlign w:val="bottom"/>
          </w:tcPr>
          <w:p>
            <w:pPr>
              <w:spacing w:after="0"/>
              <w:rPr>
                <w:sz w:val="1"/>
                <w:szCs w:val="1"/>
                <w:color w:val="auto"/>
              </w:rPr>
            </w:pPr>
          </w:p>
        </w:tc>
      </w:tr>
      <w:tr>
        <w:trPr>
          <w:trHeight w:val="197"/>
        </w:trPr>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3"/>
          </w:tcPr>
          <w:p>
            <w:pPr>
              <w:jc w:val="center"/>
              <w:ind w:right="200"/>
              <w:spacing w:after="0"/>
              <w:rPr>
                <w:sz w:val="20"/>
                <w:szCs w:val="20"/>
                <w:color w:val="auto"/>
              </w:rPr>
            </w:pPr>
            <w:r>
              <w:rPr>
                <w:rFonts w:ascii="Arial" w:cs="Arial" w:eastAsia="Arial" w:hAnsi="Arial"/>
                <w:sz w:val="17"/>
                <w:szCs w:val="17"/>
                <w:b w:val="1"/>
                <w:bCs w:val="1"/>
                <w:color w:val="auto"/>
                <w:w w:val="91"/>
              </w:rPr>
              <w:t>Quoted Prices in</w:t>
            </w: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vMerge w:val="restart"/>
          </w:tcPr>
          <w:p>
            <w:pPr>
              <w:jc w:val="center"/>
              <w:ind w:right="133"/>
              <w:spacing w:after="0"/>
              <w:rPr>
                <w:sz w:val="20"/>
                <w:szCs w:val="20"/>
                <w:color w:val="auto"/>
              </w:rPr>
            </w:pPr>
            <w:r>
              <w:rPr>
                <w:rFonts w:ascii="Arial" w:cs="Arial" w:eastAsia="Arial" w:hAnsi="Arial"/>
                <w:sz w:val="17"/>
                <w:szCs w:val="17"/>
                <w:b w:val="1"/>
                <w:bCs w:val="1"/>
                <w:color w:val="auto"/>
                <w:w w:val="91"/>
              </w:rPr>
              <w:t>Significant</w:t>
            </w:r>
          </w:p>
        </w:tc>
        <w:tc>
          <w:tcPr>
            <w:tcW w:w="0" w:type="dxa"/>
            <w:vAlign w:val="bottom"/>
          </w:tcPr>
          <w:p>
            <w:pPr>
              <w:spacing w:after="0"/>
              <w:rPr>
                <w:sz w:val="1"/>
                <w:szCs w:val="1"/>
                <w:color w:val="auto"/>
              </w:rPr>
            </w:pPr>
          </w:p>
        </w:tc>
      </w:tr>
      <w:tr>
        <w:trPr>
          <w:trHeight w:val="71"/>
        </w:trPr>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98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5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60" w:type="dxa"/>
            <w:vAlign w:val="bottom"/>
            <w:gridSpan w:val="3"/>
            <w:vMerge w:val="restart"/>
          </w:tcPr>
          <w:p>
            <w:pPr>
              <w:jc w:val="center"/>
              <w:ind w:right="200"/>
              <w:spacing w:after="0"/>
              <w:rPr>
                <w:sz w:val="20"/>
                <w:szCs w:val="20"/>
                <w:color w:val="auto"/>
              </w:rPr>
            </w:pPr>
            <w:r>
              <w:rPr>
                <w:rFonts w:ascii="Arial" w:cs="Arial" w:eastAsia="Arial" w:hAnsi="Arial"/>
                <w:sz w:val="17"/>
                <w:szCs w:val="17"/>
                <w:b w:val="1"/>
                <w:bCs w:val="1"/>
                <w:color w:val="auto"/>
                <w:w w:val="94"/>
              </w:rPr>
              <w:t>Active Markets for</w:t>
            </w:r>
          </w:p>
        </w:tc>
        <w:tc>
          <w:tcPr>
            <w:tcW w:w="1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5"/>
        </w:trPr>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6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1760" w:type="dxa"/>
            <w:vAlign w:val="bottom"/>
            <w:gridSpan w:val="3"/>
            <w:vMerge w:val="restart"/>
          </w:tcPr>
          <w:p>
            <w:pPr>
              <w:jc w:val="center"/>
              <w:ind w:right="240"/>
              <w:spacing w:after="0" w:line="170" w:lineRule="exact"/>
              <w:rPr>
                <w:sz w:val="20"/>
                <w:szCs w:val="20"/>
                <w:color w:val="auto"/>
              </w:rPr>
            </w:pPr>
            <w:r>
              <w:rPr>
                <w:rFonts w:ascii="Arial" w:cs="Arial" w:eastAsia="Arial" w:hAnsi="Arial"/>
                <w:sz w:val="17"/>
                <w:szCs w:val="17"/>
                <w:b w:val="1"/>
                <w:bCs w:val="1"/>
                <w:color w:val="auto"/>
                <w:w w:val="93"/>
              </w:rPr>
              <w:t>Significant Other</w:t>
            </w:r>
          </w:p>
        </w:tc>
        <w:tc>
          <w:tcPr>
            <w:tcW w:w="220" w:type="dxa"/>
            <w:vAlign w:val="bottom"/>
          </w:tcPr>
          <w:p>
            <w:pPr>
              <w:spacing w:after="0"/>
              <w:rPr>
                <w:sz w:val="10"/>
                <w:szCs w:val="10"/>
                <w:color w:val="auto"/>
              </w:rPr>
            </w:pPr>
          </w:p>
        </w:tc>
        <w:tc>
          <w:tcPr>
            <w:tcW w:w="1460" w:type="dxa"/>
            <w:vAlign w:val="bottom"/>
            <w:vMerge w:val="restart"/>
          </w:tcPr>
          <w:p>
            <w:pPr>
              <w:jc w:val="center"/>
              <w:ind w:right="133"/>
              <w:spacing w:after="0" w:line="170" w:lineRule="exact"/>
              <w:rPr>
                <w:sz w:val="20"/>
                <w:szCs w:val="20"/>
                <w:color w:val="auto"/>
              </w:rPr>
            </w:pPr>
            <w:r>
              <w:rPr>
                <w:rFonts w:ascii="Arial" w:cs="Arial" w:eastAsia="Arial" w:hAnsi="Arial"/>
                <w:sz w:val="17"/>
                <w:szCs w:val="17"/>
                <w:b w:val="1"/>
                <w:bCs w:val="1"/>
                <w:color w:val="auto"/>
                <w:w w:val="92"/>
              </w:rPr>
              <w:t>Unobservable</w:t>
            </w:r>
          </w:p>
        </w:tc>
        <w:tc>
          <w:tcPr>
            <w:tcW w:w="0" w:type="dxa"/>
            <w:vAlign w:val="bottom"/>
          </w:tcPr>
          <w:p>
            <w:pPr>
              <w:spacing w:after="0"/>
              <w:rPr>
                <w:sz w:val="1"/>
                <w:szCs w:val="1"/>
                <w:color w:val="auto"/>
              </w:rPr>
            </w:pPr>
          </w:p>
        </w:tc>
      </w:tr>
      <w:tr>
        <w:trPr>
          <w:trHeight w:val="45"/>
        </w:trPr>
        <w:tc>
          <w:tcPr>
            <w:tcW w:w="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980" w:type="dxa"/>
            <w:vAlign w:val="bottom"/>
          </w:tcPr>
          <w:p>
            <w:pPr>
              <w:spacing w:after="0"/>
              <w:rPr>
                <w:sz w:val="3"/>
                <w:szCs w:val="3"/>
                <w:color w:val="auto"/>
              </w:rPr>
            </w:pPr>
          </w:p>
        </w:tc>
        <w:tc>
          <w:tcPr>
            <w:tcW w:w="60" w:type="dxa"/>
            <w:vAlign w:val="bottom"/>
          </w:tcPr>
          <w:p>
            <w:pPr>
              <w:spacing w:after="0"/>
              <w:rPr>
                <w:sz w:val="3"/>
                <w:szCs w:val="3"/>
                <w:color w:val="auto"/>
              </w:rPr>
            </w:pPr>
          </w:p>
        </w:tc>
        <w:tc>
          <w:tcPr>
            <w:tcW w:w="1940" w:type="dxa"/>
            <w:vAlign w:val="bottom"/>
            <w:gridSpan w:val="3"/>
            <w:vMerge w:val="restart"/>
          </w:tcPr>
          <w:p>
            <w:pPr>
              <w:ind w:left="80"/>
              <w:spacing w:after="0"/>
              <w:rPr>
                <w:sz w:val="20"/>
                <w:szCs w:val="20"/>
                <w:color w:val="auto"/>
              </w:rPr>
            </w:pPr>
            <w:r>
              <w:rPr>
                <w:rFonts w:ascii="Arial" w:cs="Arial" w:eastAsia="Arial" w:hAnsi="Arial"/>
                <w:sz w:val="17"/>
                <w:szCs w:val="17"/>
                <w:b w:val="1"/>
                <w:bCs w:val="1"/>
                <w:color w:val="auto"/>
                <w:w w:val="99"/>
              </w:rPr>
              <w:t>Fair Value at March 31,</w:t>
            </w: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60" w:type="dxa"/>
            <w:vAlign w:val="bottom"/>
            <w:gridSpan w:val="3"/>
            <w:vMerge w:val="restart"/>
          </w:tcPr>
          <w:p>
            <w:pPr>
              <w:jc w:val="center"/>
              <w:ind w:right="200"/>
              <w:spacing w:after="0"/>
              <w:rPr>
                <w:sz w:val="20"/>
                <w:szCs w:val="20"/>
                <w:color w:val="auto"/>
              </w:rPr>
            </w:pPr>
            <w:r>
              <w:rPr>
                <w:rFonts w:ascii="Arial" w:cs="Arial" w:eastAsia="Arial" w:hAnsi="Arial"/>
                <w:sz w:val="17"/>
                <w:szCs w:val="17"/>
                <w:b w:val="1"/>
                <w:bCs w:val="1"/>
                <w:color w:val="auto"/>
                <w:w w:val="89"/>
              </w:rPr>
              <w:t>Identical Assets</w:t>
            </w:r>
          </w:p>
        </w:tc>
        <w:tc>
          <w:tcPr>
            <w:tcW w:w="160" w:type="dxa"/>
            <w:vAlign w:val="bottom"/>
          </w:tcPr>
          <w:p>
            <w:pPr>
              <w:spacing w:after="0"/>
              <w:rPr>
                <w:sz w:val="3"/>
                <w:szCs w:val="3"/>
                <w:color w:val="auto"/>
              </w:rPr>
            </w:pPr>
          </w:p>
        </w:tc>
        <w:tc>
          <w:tcPr>
            <w:tcW w:w="1760" w:type="dxa"/>
            <w:vAlign w:val="bottom"/>
            <w:gridSpan w:val="3"/>
            <w:vMerge w:val="continue"/>
          </w:tcPr>
          <w:p>
            <w:pPr>
              <w:spacing w:after="0"/>
              <w:rPr>
                <w:sz w:val="3"/>
                <w:szCs w:val="3"/>
                <w:color w:val="auto"/>
              </w:rPr>
            </w:pPr>
          </w:p>
        </w:tc>
        <w:tc>
          <w:tcPr>
            <w:tcW w:w="220" w:type="dxa"/>
            <w:vAlign w:val="bottom"/>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3"/>
          </w:tcPr>
          <w:p>
            <w:pPr>
              <w:jc w:val="center"/>
              <w:ind w:right="260"/>
              <w:spacing w:after="0" w:line="170" w:lineRule="exact"/>
              <w:rPr>
                <w:sz w:val="20"/>
                <w:szCs w:val="20"/>
                <w:color w:val="auto"/>
              </w:rPr>
            </w:pPr>
            <w:r>
              <w:rPr>
                <w:rFonts w:ascii="Arial" w:cs="Arial" w:eastAsia="Arial" w:hAnsi="Arial"/>
                <w:sz w:val="17"/>
                <w:szCs w:val="17"/>
                <w:b w:val="1"/>
                <w:bCs w:val="1"/>
                <w:color w:val="auto"/>
                <w:w w:val="93"/>
              </w:rPr>
              <w:t>Observable Inputs</w:t>
            </w:r>
          </w:p>
        </w:tc>
        <w:tc>
          <w:tcPr>
            <w:tcW w:w="220" w:type="dxa"/>
            <w:vAlign w:val="bottom"/>
          </w:tcPr>
          <w:p>
            <w:pPr>
              <w:spacing w:after="0"/>
              <w:rPr>
                <w:sz w:val="14"/>
                <w:szCs w:val="14"/>
                <w:color w:val="auto"/>
              </w:rPr>
            </w:pPr>
          </w:p>
        </w:tc>
        <w:tc>
          <w:tcPr>
            <w:tcW w:w="1460" w:type="dxa"/>
            <w:vAlign w:val="bottom"/>
          </w:tcPr>
          <w:p>
            <w:pPr>
              <w:jc w:val="center"/>
              <w:ind w:right="133"/>
              <w:spacing w:after="0" w:line="170" w:lineRule="exact"/>
              <w:rPr>
                <w:sz w:val="20"/>
                <w:szCs w:val="20"/>
                <w:color w:val="auto"/>
              </w:rPr>
            </w:pPr>
            <w:r>
              <w:rPr>
                <w:rFonts w:ascii="Arial" w:cs="Arial" w:eastAsia="Arial" w:hAnsi="Arial"/>
                <w:sz w:val="17"/>
                <w:szCs w:val="17"/>
                <w:b w:val="1"/>
                <w:bCs w:val="1"/>
                <w:color w:val="auto"/>
                <w:w w:val="94"/>
              </w:rPr>
              <w:t>Inputs</w:t>
            </w:r>
          </w:p>
        </w:tc>
        <w:tc>
          <w:tcPr>
            <w:tcW w:w="0" w:type="dxa"/>
            <w:vAlign w:val="bottom"/>
          </w:tcPr>
          <w:p>
            <w:pPr>
              <w:spacing w:after="0"/>
              <w:rPr>
                <w:sz w:val="1"/>
                <w:szCs w:val="1"/>
                <w:color w:val="auto"/>
              </w:rPr>
            </w:pPr>
          </w:p>
        </w:tc>
      </w:tr>
      <w:tr>
        <w:trPr>
          <w:trHeight w:val="222"/>
        </w:trPr>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jc w:val="right"/>
              <w:ind w:right="673"/>
              <w:spacing w:after="0"/>
              <w:rPr>
                <w:sz w:val="20"/>
                <w:szCs w:val="20"/>
                <w:color w:val="auto"/>
              </w:rPr>
            </w:pPr>
            <w:r>
              <w:rPr>
                <w:rFonts w:ascii="Arial" w:cs="Arial" w:eastAsia="Arial" w:hAnsi="Arial"/>
                <w:sz w:val="17"/>
                <w:szCs w:val="17"/>
                <w:b w:val="1"/>
                <w:bCs w:val="1"/>
                <w:color w:val="auto"/>
              </w:rPr>
              <w:t>2022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3"/>
          </w:tcPr>
          <w:p>
            <w:pPr>
              <w:jc w:val="center"/>
              <w:ind w:right="200"/>
              <w:spacing w:after="0"/>
              <w:rPr>
                <w:sz w:val="20"/>
                <w:szCs w:val="20"/>
                <w:color w:val="auto"/>
              </w:rPr>
            </w:pPr>
            <w:r>
              <w:rPr>
                <w:rFonts w:ascii="Arial" w:cs="Arial" w:eastAsia="Arial" w:hAnsi="Arial"/>
                <w:sz w:val="17"/>
                <w:szCs w:val="17"/>
                <w:b w:val="1"/>
                <w:bCs w:val="1"/>
                <w:color w:val="auto"/>
                <w:w w:val="92"/>
              </w:rPr>
              <w:t>(Level 1)</w:t>
            </w:r>
          </w:p>
        </w:tc>
        <w:tc>
          <w:tcPr>
            <w:tcW w:w="160" w:type="dxa"/>
            <w:vAlign w:val="bottom"/>
          </w:tcPr>
          <w:p>
            <w:pPr>
              <w:spacing w:after="0"/>
              <w:rPr>
                <w:sz w:val="19"/>
                <w:szCs w:val="19"/>
                <w:color w:val="auto"/>
              </w:rPr>
            </w:pPr>
          </w:p>
        </w:tc>
        <w:tc>
          <w:tcPr>
            <w:tcW w:w="1760" w:type="dxa"/>
            <w:vAlign w:val="bottom"/>
            <w:gridSpan w:val="3"/>
          </w:tcPr>
          <w:p>
            <w:pPr>
              <w:jc w:val="center"/>
              <w:ind w:right="240"/>
              <w:spacing w:after="0"/>
              <w:rPr>
                <w:sz w:val="20"/>
                <w:szCs w:val="20"/>
                <w:color w:val="auto"/>
              </w:rPr>
            </w:pPr>
            <w:r>
              <w:rPr>
                <w:rFonts w:ascii="Arial" w:cs="Arial" w:eastAsia="Arial" w:hAnsi="Arial"/>
                <w:sz w:val="17"/>
                <w:szCs w:val="17"/>
                <w:b w:val="1"/>
                <w:bCs w:val="1"/>
                <w:color w:val="auto"/>
                <w:w w:val="92"/>
              </w:rPr>
              <w:t>(Level 2)</w:t>
            </w:r>
          </w:p>
        </w:tc>
        <w:tc>
          <w:tcPr>
            <w:tcW w:w="220" w:type="dxa"/>
            <w:vAlign w:val="bottom"/>
          </w:tcPr>
          <w:p>
            <w:pPr>
              <w:spacing w:after="0"/>
              <w:rPr>
                <w:sz w:val="19"/>
                <w:szCs w:val="19"/>
                <w:color w:val="auto"/>
              </w:rPr>
            </w:pPr>
          </w:p>
        </w:tc>
        <w:tc>
          <w:tcPr>
            <w:tcW w:w="1460" w:type="dxa"/>
            <w:vAlign w:val="bottom"/>
          </w:tcPr>
          <w:p>
            <w:pPr>
              <w:jc w:val="center"/>
              <w:ind w:right="133"/>
              <w:spacing w:after="0"/>
              <w:rPr>
                <w:sz w:val="20"/>
                <w:szCs w:val="20"/>
                <w:color w:val="auto"/>
              </w:rPr>
            </w:pPr>
            <w:r>
              <w:rPr>
                <w:rFonts w:ascii="Arial" w:cs="Arial" w:eastAsia="Arial" w:hAnsi="Arial"/>
                <w:sz w:val="17"/>
                <w:szCs w:val="17"/>
                <w:b w:val="1"/>
                <w:bCs w:val="1"/>
                <w:color w:val="auto"/>
                <w:w w:val="92"/>
              </w:rPr>
              <w:t>(Level 3)</w:t>
            </w:r>
          </w:p>
        </w:tc>
        <w:tc>
          <w:tcPr>
            <w:tcW w:w="0" w:type="dxa"/>
            <w:vAlign w:val="bottom"/>
          </w:tcPr>
          <w:p>
            <w:pPr>
              <w:spacing w:after="0"/>
              <w:rPr>
                <w:sz w:val="1"/>
                <w:szCs w:val="1"/>
                <w:color w:val="auto"/>
              </w:rPr>
            </w:pPr>
          </w:p>
        </w:tc>
      </w:tr>
      <w:tr>
        <w:trPr>
          <w:trHeight w:val="241"/>
        </w:trPr>
        <w:tc>
          <w:tcPr>
            <w:tcW w:w="3660" w:type="dxa"/>
            <w:vAlign w:val="bottom"/>
            <w:tcBorders>
              <w:top w:val="single" w:sz="8" w:color="CCEEFF"/>
            </w:tcBorders>
            <w:gridSpan w:val="4"/>
            <w:shd w:val="clear" w:color="auto" w:fill="CCEEFF"/>
          </w:tcPr>
          <w:p>
            <w:pPr>
              <w:ind w:left="20"/>
              <w:spacing w:after="0"/>
              <w:rPr>
                <w:sz w:val="20"/>
                <w:szCs w:val="20"/>
                <w:color w:val="auto"/>
              </w:rPr>
            </w:pPr>
            <w:r>
              <w:rPr>
                <w:rFonts w:ascii="Arial" w:cs="Arial" w:eastAsia="Arial" w:hAnsi="Arial"/>
                <w:sz w:val="17"/>
                <w:szCs w:val="17"/>
                <w:b w:val="1"/>
                <w:bCs w:val="1"/>
                <w:color w:val="auto"/>
              </w:rPr>
              <w:t>Recurring</w:t>
            </w:r>
          </w:p>
        </w:tc>
        <w:tc>
          <w:tcPr>
            <w:tcW w:w="6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154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66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66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46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480" w:type="dxa"/>
            <w:vAlign w:val="bottom"/>
            <w:gridSpan w:val="3"/>
          </w:tcPr>
          <w:p>
            <w:pPr>
              <w:spacing w:after="0"/>
              <w:rPr>
                <w:sz w:val="20"/>
                <w:szCs w:val="20"/>
                <w:color w:val="auto"/>
              </w:rPr>
            </w:pPr>
            <w:r>
              <w:rPr>
                <w:rFonts w:ascii="Arial" w:cs="Arial" w:eastAsia="Arial" w:hAnsi="Arial"/>
                <w:sz w:val="17"/>
                <w:szCs w:val="17"/>
                <w:color w:val="auto"/>
              </w:rPr>
              <w:t>Marketable securities</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1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19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180" w:type="dxa"/>
            <w:vAlign w:val="bottom"/>
            <w:shd w:val="clear" w:color="auto" w:fill="CCEEFF"/>
          </w:tcPr>
          <w:p>
            <w:pPr>
              <w:spacing w:after="0"/>
              <w:rPr>
                <w:sz w:val="21"/>
                <w:szCs w:val="21"/>
                <w:color w:val="auto"/>
              </w:rPr>
            </w:pPr>
          </w:p>
        </w:tc>
        <w:tc>
          <w:tcPr>
            <w:tcW w:w="34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U.S. Treasury notes</w:t>
            </w: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199,106</w:t>
            </w:r>
          </w:p>
        </w:tc>
        <w:tc>
          <w:tcPr>
            <w:tcW w:w="40" w:type="dxa"/>
            <w:vAlign w:val="bottom"/>
            <w:shd w:val="clear" w:color="auto" w:fill="CCEEFF"/>
          </w:tcPr>
          <w:p>
            <w:pPr>
              <w:spacing w:after="0"/>
              <w:rPr>
                <w:sz w:val="21"/>
                <w:szCs w:val="21"/>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199,106</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60" w:type="dxa"/>
            <w:vAlign w:val="bottom"/>
            <w:gridSpan w:val="3"/>
            <w:shd w:val="clear" w:color="auto" w:fill="CCEEFF"/>
          </w:tcPr>
          <w:p>
            <w:pPr>
              <w:ind w:left="14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ind w:left="1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2"/>
        </w:trPr>
        <w:tc>
          <w:tcPr>
            <w:tcW w:w="180" w:type="dxa"/>
            <w:vAlign w:val="bottom"/>
          </w:tcPr>
          <w:p>
            <w:pPr>
              <w:spacing w:after="0"/>
              <w:rPr>
                <w:sz w:val="21"/>
                <w:szCs w:val="21"/>
                <w:color w:val="auto"/>
              </w:rPr>
            </w:pPr>
          </w:p>
        </w:tc>
        <w:tc>
          <w:tcPr>
            <w:tcW w:w="3480" w:type="dxa"/>
            <w:vAlign w:val="bottom"/>
            <w:gridSpan w:val="3"/>
          </w:tcPr>
          <w:p>
            <w:pPr>
              <w:spacing w:after="0"/>
              <w:rPr>
                <w:sz w:val="20"/>
                <w:szCs w:val="20"/>
                <w:color w:val="auto"/>
              </w:rPr>
            </w:pPr>
            <w:r>
              <w:rPr>
                <w:rFonts w:ascii="Arial" w:cs="Arial" w:eastAsia="Arial" w:hAnsi="Arial"/>
                <w:sz w:val="17"/>
                <w:szCs w:val="17"/>
                <w:color w:val="auto"/>
                <w:w w:val="92"/>
              </w:rPr>
              <w:t>U.S. Government-sponsored enterprise securities</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99,431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99,431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gridSpan w:val="3"/>
          </w:tcPr>
          <w:p>
            <w:pPr>
              <w:ind w:left="14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1"/>
                <w:szCs w:val="21"/>
                <w:color w:val="auto"/>
              </w:rPr>
            </w:pPr>
          </w:p>
        </w:tc>
        <w:tc>
          <w:tcPr>
            <w:tcW w:w="1460" w:type="dxa"/>
            <w:vAlign w:val="bottom"/>
          </w:tcPr>
          <w:p>
            <w:pPr>
              <w:ind w:left="1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5"/>
        </w:trPr>
        <w:tc>
          <w:tcPr>
            <w:tcW w:w="1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9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480" w:type="dxa"/>
            <w:vAlign w:val="bottom"/>
            <w:gridSpan w:val="3"/>
          </w:tcPr>
          <w:p>
            <w:pPr>
              <w:spacing w:after="0"/>
              <w:rPr>
                <w:sz w:val="20"/>
                <w:szCs w:val="20"/>
                <w:color w:val="auto"/>
              </w:rPr>
            </w:pPr>
            <w:r>
              <w:rPr>
                <w:rFonts w:ascii="Arial" w:cs="Arial" w:eastAsia="Arial" w:hAnsi="Arial"/>
                <w:sz w:val="17"/>
                <w:szCs w:val="17"/>
                <w:color w:val="auto"/>
              </w:rPr>
              <w:t>Other</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1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180" w:type="dxa"/>
            <w:vAlign w:val="bottom"/>
            <w:shd w:val="clear" w:color="auto" w:fill="CCEEFF"/>
          </w:tcPr>
          <w:p>
            <w:pPr>
              <w:spacing w:after="0"/>
              <w:rPr>
                <w:sz w:val="21"/>
                <w:szCs w:val="21"/>
                <w:color w:val="auto"/>
              </w:rPr>
            </w:pPr>
          </w:p>
        </w:tc>
        <w:tc>
          <w:tcPr>
            <w:tcW w:w="34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Liability-classified restricted stock awards</w:t>
            </w:r>
          </w:p>
        </w:tc>
        <w:tc>
          <w:tcPr>
            <w:tcW w:w="6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894</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894</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gridSpan w:val="2"/>
            <w:shd w:val="clear" w:color="auto" w:fill="CCEEFF"/>
          </w:tcPr>
          <w:p>
            <w:pPr>
              <w:ind w:left="14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ind w:left="1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8"/>
        </w:trPr>
        <w:tc>
          <w:tcPr>
            <w:tcW w:w="3660" w:type="dxa"/>
            <w:vAlign w:val="bottom"/>
            <w:gridSpan w:val="4"/>
          </w:tcPr>
          <w:p>
            <w:pPr>
              <w:ind w:left="20"/>
              <w:spacing w:after="0"/>
              <w:rPr>
                <w:sz w:val="20"/>
                <w:szCs w:val="20"/>
                <w:color w:val="auto"/>
              </w:rPr>
            </w:pPr>
            <w:r>
              <w:rPr>
                <w:rFonts w:ascii="Arial" w:cs="Arial" w:eastAsia="Arial" w:hAnsi="Arial"/>
                <w:sz w:val="17"/>
                <w:szCs w:val="17"/>
                <w:color w:val="auto"/>
              </w:rPr>
              <w:t>Total recurring</w:t>
            </w:r>
          </w:p>
        </w:tc>
        <w:tc>
          <w:tcPr>
            <w:tcW w:w="60" w:type="dxa"/>
            <w:vAlign w:val="bottom"/>
          </w:tcPr>
          <w:p>
            <w:pPr>
              <w:spacing w:after="0"/>
              <w:rPr>
                <w:sz w:val="21"/>
                <w:szCs w:val="21"/>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299,431</w:t>
            </w:r>
          </w:p>
        </w:tc>
        <w:tc>
          <w:tcPr>
            <w:tcW w:w="40" w:type="dxa"/>
            <w:vAlign w:val="bottom"/>
            <w:tcBorders>
              <w:bottom w:val="single" w:sz="8" w:color="auto"/>
            </w:tcBorders>
          </w:tcPr>
          <w:p>
            <w:pPr>
              <w:spacing w:after="0"/>
              <w:rPr>
                <w:sz w:val="21"/>
                <w:szCs w:val="21"/>
                <w:color w:val="auto"/>
              </w:rPr>
            </w:pPr>
          </w:p>
        </w:tc>
        <w:tc>
          <w:tcPr>
            <w:tcW w:w="100" w:type="dxa"/>
            <w:vAlign w:val="bottom"/>
            <w:gridSpan w:val="2"/>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299,431</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80" w:type="dxa"/>
            <w:vAlign w:val="bottom"/>
            <w:tcBorders>
              <w:bottom w:val="single" w:sz="8" w:color="auto"/>
            </w:tcBorders>
            <w:gridSpan w:val="2"/>
          </w:tcPr>
          <w:p>
            <w:pPr>
              <w:ind w:left="14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1"/>
                <w:szCs w:val="21"/>
                <w:color w:val="auto"/>
              </w:rPr>
            </w:pP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tcPr>
          <w:p>
            <w:pPr>
              <w:ind w:left="1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gridSpan w:val="9"/>
          </w:tcPr>
          <w:p>
            <w:pPr>
              <w:jc w:val="center"/>
              <w:ind w:right="73"/>
              <w:spacing w:after="0"/>
              <w:rPr>
                <w:sz w:val="20"/>
                <w:szCs w:val="20"/>
                <w:color w:val="auto"/>
              </w:rPr>
            </w:pPr>
            <w:r>
              <w:rPr>
                <w:rFonts w:ascii="Arial" w:cs="Arial" w:eastAsia="Arial" w:hAnsi="Arial"/>
                <w:sz w:val="17"/>
                <w:szCs w:val="17"/>
                <w:b w:val="1"/>
                <w:bCs w:val="1"/>
                <w:color w:val="auto"/>
                <w:w w:val="93"/>
              </w:rPr>
              <w:t>Fair Value Measurements at December 31, 2021</w:t>
            </w:r>
          </w:p>
        </w:tc>
        <w:tc>
          <w:tcPr>
            <w:tcW w:w="0" w:type="dxa"/>
            <w:vAlign w:val="bottom"/>
          </w:tcPr>
          <w:p>
            <w:pPr>
              <w:spacing w:after="0"/>
              <w:rPr>
                <w:sz w:val="1"/>
                <w:szCs w:val="1"/>
                <w:color w:val="auto"/>
              </w:rPr>
            </w:pPr>
          </w:p>
        </w:tc>
      </w:tr>
      <w:tr>
        <w:trPr>
          <w:trHeight w:val="197"/>
        </w:trPr>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3"/>
          </w:tcPr>
          <w:p>
            <w:pPr>
              <w:jc w:val="center"/>
              <w:ind w:right="280"/>
              <w:spacing w:after="0"/>
              <w:rPr>
                <w:sz w:val="20"/>
                <w:szCs w:val="20"/>
                <w:color w:val="auto"/>
              </w:rPr>
            </w:pPr>
            <w:r>
              <w:rPr>
                <w:rFonts w:ascii="Arial" w:cs="Arial" w:eastAsia="Arial" w:hAnsi="Arial"/>
                <w:sz w:val="17"/>
                <w:szCs w:val="17"/>
                <w:b w:val="1"/>
                <w:bCs w:val="1"/>
                <w:color w:val="auto"/>
                <w:w w:val="91"/>
              </w:rPr>
              <w:t>Quoted Prices in</w:t>
            </w: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vMerge w:val="restart"/>
          </w:tcPr>
          <w:p>
            <w:pPr>
              <w:jc w:val="center"/>
              <w:ind w:right="133"/>
              <w:spacing w:after="0"/>
              <w:rPr>
                <w:sz w:val="20"/>
                <w:szCs w:val="20"/>
                <w:color w:val="auto"/>
              </w:rPr>
            </w:pPr>
            <w:r>
              <w:rPr>
                <w:rFonts w:ascii="Arial" w:cs="Arial" w:eastAsia="Arial" w:hAnsi="Arial"/>
                <w:sz w:val="17"/>
                <w:szCs w:val="17"/>
                <w:b w:val="1"/>
                <w:bCs w:val="1"/>
                <w:color w:val="auto"/>
                <w:w w:val="91"/>
              </w:rPr>
              <w:t>Significant</w:t>
            </w:r>
          </w:p>
        </w:tc>
        <w:tc>
          <w:tcPr>
            <w:tcW w:w="0" w:type="dxa"/>
            <w:vAlign w:val="bottom"/>
          </w:tcPr>
          <w:p>
            <w:pPr>
              <w:spacing w:after="0"/>
              <w:rPr>
                <w:sz w:val="1"/>
                <w:szCs w:val="1"/>
                <w:color w:val="auto"/>
              </w:rPr>
            </w:pPr>
          </w:p>
        </w:tc>
      </w:tr>
      <w:tr>
        <w:trPr>
          <w:trHeight w:val="71"/>
        </w:trPr>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98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5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60" w:type="dxa"/>
            <w:vAlign w:val="bottom"/>
            <w:gridSpan w:val="3"/>
            <w:vMerge w:val="restart"/>
          </w:tcPr>
          <w:p>
            <w:pPr>
              <w:jc w:val="center"/>
              <w:ind w:right="280"/>
              <w:spacing w:after="0"/>
              <w:rPr>
                <w:sz w:val="20"/>
                <w:szCs w:val="20"/>
                <w:color w:val="auto"/>
              </w:rPr>
            </w:pPr>
            <w:r>
              <w:rPr>
                <w:rFonts w:ascii="Arial" w:cs="Arial" w:eastAsia="Arial" w:hAnsi="Arial"/>
                <w:sz w:val="17"/>
                <w:szCs w:val="17"/>
                <w:b w:val="1"/>
                <w:bCs w:val="1"/>
                <w:color w:val="auto"/>
                <w:w w:val="94"/>
              </w:rPr>
              <w:t>Active Markets for</w:t>
            </w:r>
          </w:p>
        </w:tc>
        <w:tc>
          <w:tcPr>
            <w:tcW w:w="1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5"/>
        </w:trPr>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6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1760" w:type="dxa"/>
            <w:vAlign w:val="bottom"/>
            <w:gridSpan w:val="3"/>
            <w:vMerge w:val="restart"/>
          </w:tcPr>
          <w:p>
            <w:pPr>
              <w:jc w:val="center"/>
              <w:ind w:right="260"/>
              <w:spacing w:after="0" w:line="170" w:lineRule="exact"/>
              <w:rPr>
                <w:sz w:val="20"/>
                <w:szCs w:val="20"/>
                <w:color w:val="auto"/>
              </w:rPr>
            </w:pPr>
            <w:r>
              <w:rPr>
                <w:rFonts w:ascii="Arial" w:cs="Arial" w:eastAsia="Arial" w:hAnsi="Arial"/>
                <w:sz w:val="17"/>
                <w:szCs w:val="17"/>
                <w:b w:val="1"/>
                <w:bCs w:val="1"/>
                <w:color w:val="auto"/>
                <w:w w:val="94"/>
              </w:rPr>
              <w:t>Significant Other</w:t>
            </w:r>
          </w:p>
        </w:tc>
        <w:tc>
          <w:tcPr>
            <w:tcW w:w="220" w:type="dxa"/>
            <w:vAlign w:val="bottom"/>
          </w:tcPr>
          <w:p>
            <w:pPr>
              <w:spacing w:after="0"/>
              <w:rPr>
                <w:sz w:val="10"/>
                <w:szCs w:val="10"/>
                <w:color w:val="auto"/>
              </w:rPr>
            </w:pPr>
          </w:p>
        </w:tc>
        <w:tc>
          <w:tcPr>
            <w:tcW w:w="1460" w:type="dxa"/>
            <w:vAlign w:val="bottom"/>
            <w:vMerge w:val="restart"/>
          </w:tcPr>
          <w:p>
            <w:pPr>
              <w:jc w:val="center"/>
              <w:ind w:right="133"/>
              <w:spacing w:after="0" w:line="170" w:lineRule="exact"/>
              <w:rPr>
                <w:sz w:val="20"/>
                <w:szCs w:val="20"/>
                <w:color w:val="auto"/>
              </w:rPr>
            </w:pPr>
            <w:r>
              <w:rPr>
                <w:rFonts w:ascii="Arial" w:cs="Arial" w:eastAsia="Arial" w:hAnsi="Arial"/>
                <w:sz w:val="17"/>
                <w:szCs w:val="17"/>
                <w:b w:val="1"/>
                <w:bCs w:val="1"/>
                <w:color w:val="auto"/>
                <w:w w:val="92"/>
              </w:rPr>
              <w:t>Unobservable</w:t>
            </w:r>
          </w:p>
        </w:tc>
        <w:tc>
          <w:tcPr>
            <w:tcW w:w="0" w:type="dxa"/>
            <w:vAlign w:val="bottom"/>
          </w:tcPr>
          <w:p>
            <w:pPr>
              <w:spacing w:after="0"/>
              <w:rPr>
                <w:sz w:val="1"/>
                <w:szCs w:val="1"/>
                <w:color w:val="auto"/>
              </w:rPr>
            </w:pPr>
          </w:p>
        </w:tc>
      </w:tr>
      <w:tr>
        <w:trPr>
          <w:trHeight w:val="45"/>
        </w:trPr>
        <w:tc>
          <w:tcPr>
            <w:tcW w:w="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980" w:type="dxa"/>
            <w:vAlign w:val="bottom"/>
          </w:tcPr>
          <w:p>
            <w:pPr>
              <w:spacing w:after="0"/>
              <w:rPr>
                <w:sz w:val="3"/>
                <w:szCs w:val="3"/>
                <w:color w:val="auto"/>
              </w:rPr>
            </w:pPr>
          </w:p>
        </w:tc>
        <w:tc>
          <w:tcPr>
            <w:tcW w:w="60" w:type="dxa"/>
            <w:vAlign w:val="bottom"/>
          </w:tcPr>
          <w:p>
            <w:pPr>
              <w:spacing w:after="0"/>
              <w:rPr>
                <w:sz w:val="3"/>
                <w:szCs w:val="3"/>
                <w:color w:val="auto"/>
              </w:rPr>
            </w:pPr>
          </w:p>
        </w:tc>
        <w:tc>
          <w:tcPr>
            <w:tcW w:w="1940" w:type="dxa"/>
            <w:vAlign w:val="bottom"/>
            <w:gridSpan w:val="3"/>
            <w:vMerge w:val="restart"/>
          </w:tcPr>
          <w:p>
            <w:pPr>
              <w:ind w:left="40"/>
              <w:spacing w:after="0"/>
              <w:rPr>
                <w:sz w:val="20"/>
                <w:szCs w:val="20"/>
                <w:color w:val="auto"/>
              </w:rPr>
            </w:pPr>
            <w:r>
              <w:rPr>
                <w:rFonts w:ascii="Arial" w:cs="Arial" w:eastAsia="Arial" w:hAnsi="Arial"/>
                <w:sz w:val="17"/>
                <w:szCs w:val="17"/>
                <w:b w:val="1"/>
                <w:bCs w:val="1"/>
                <w:color w:val="auto"/>
                <w:w w:val="99"/>
              </w:rPr>
              <w:t>Fair Value at December</w:t>
            </w: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60" w:type="dxa"/>
            <w:vAlign w:val="bottom"/>
            <w:gridSpan w:val="3"/>
            <w:vMerge w:val="restart"/>
          </w:tcPr>
          <w:p>
            <w:pPr>
              <w:jc w:val="center"/>
              <w:ind w:right="280"/>
              <w:spacing w:after="0"/>
              <w:rPr>
                <w:sz w:val="20"/>
                <w:szCs w:val="20"/>
                <w:color w:val="auto"/>
              </w:rPr>
            </w:pPr>
            <w:r>
              <w:rPr>
                <w:rFonts w:ascii="Arial" w:cs="Arial" w:eastAsia="Arial" w:hAnsi="Arial"/>
                <w:sz w:val="17"/>
                <w:szCs w:val="17"/>
                <w:b w:val="1"/>
                <w:bCs w:val="1"/>
                <w:color w:val="auto"/>
                <w:w w:val="89"/>
              </w:rPr>
              <w:t>Identical Assets</w:t>
            </w:r>
          </w:p>
        </w:tc>
        <w:tc>
          <w:tcPr>
            <w:tcW w:w="160" w:type="dxa"/>
            <w:vAlign w:val="bottom"/>
          </w:tcPr>
          <w:p>
            <w:pPr>
              <w:spacing w:after="0"/>
              <w:rPr>
                <w:sz w:val="3"/>
                <w:szCs w:val="3"/>
                <w:color w:val="auto"/>
              </w:rPr>
            </w:pPr>
          </w:p>
        </w:tc>
        <w:tc>
          <w:tcPr>
            <w:tcW w:w="1760" w:type="dxa"/>
            <w:vAlign w:val="bottom"/>
            <w:gridSpan w:val="3"/>
            <w:vMerge w:val="continue"/>
          </w:tcPr>
          <w:p>
            <w:pPr>
              <w:spacing w:after="0"/>
              <w:rPr>
                <w:sz w:val="3"/>
                <w:szCs w:val="3"/>
                <w:color w:val="auto"/>
              </w:rPr>
            </w:pPr>
          </w:p>
        </w:tc>
        <w:tc>
          <w:tcPr>
            <w:tcW w:w="220" w:type="dxa"/>
            <w:vAlign w:val="bottom"/>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3"/>
          </w:tcPr>
          <w:p>
            <w:pPr>
              <w:jc w:val="center"/>
              <w:ind w:right="260"/>
              <w:spacing w:after="0" w:line="170" w:lineRule="exact"/>
              <w:rPr>
                <w:sz w:val="20"/>
                <w:szCs w:val="20"/>
                <w:color w:val="auto"/>
              </w:rPr>
            </w:pPr>
            <w:r>
              <w:rPr>
                <w:rFonts w:ascii="Arial" w:cs="Arial" w:eastAsia="Arial" w:hAnsi="Arial"/>
                <w:sz w:val="17"/>
                <w:szCs w:val="17"/>
                <w:b w:val="1"/>
                <w:bCs w:val="1"/>
                <w:color w:val="auto"/>
                <w:w w:val="93"/>
              </w:rPr>
              <w:t>Observable Inputs</w:t>
            </w:r>
          </w:p>
        </w:tc>
        <w:tc>
          <w:tcPr>
            <w:tcW w:w="220" w:type="dxa"/>
            <w:vAlign w:val="bottom"/>
          </w:tcPr>
          <w:p>
            <w:pPr>
              <w:spacing w:after="0"/>
              <w:rPr>
                <w:sz w:val="14"/>
                <w:szCs w:val="14"/>
                <w:color w:val="auto"/>
              </w:rPr>
            </w:pPr>
          </w:p>
        </w:tc>
        <w:tc>
          <w:tcPr>
            <w:tcW w:w="1460" w:type="dxa"/>
            <w:vAlign w:val="bottom"/>
          </w:tcPr>
          <w:p>
            <w:pPr>
              <w:jc w:val="center"/>
              <w:ind w:right="133"/>
              <w:spacing w:after="0" w:line="170" w:lineRule="exact"/>
              <w:rPr>
                <w:sz w:val="20"/>
                <w:szCs w:val="20"/>
                <w:color w:val="auto"/>
              </w:rPr>
            </w:pPr>
            <w:r>
              <w:rPr>
                <w:rFonts w:ascii="Arial" w:cs="Arial" w:eastAsia="Arial" w:hAnsi="Arial"/>
                <w:sz w:val="17"/>
                <w:szCs w:val="17"/>
                <w:b w:val="1"/>
                <w:bCs w:val="1"/>
                <w:color w:val="auto"/>
                <w:w w:val="94"/>
              </w:rPr>
              <w:t>Inputs</w:t>
            </w:r>
          </w:p>
        </w:tc>
        <w:tc>
          <w:tcPr>
            <w:tcW w:w="0" w:type="dxa"/>
            <w:vAlign w:val="bottom"/>
          </w:tcPr>
          <w:p>
            <w:pPr>
              <w:spacing w:after="0"/>
              <w:rPr>
                <w:sz w:val="1"/>
                <w:szCs w:val="1"/>
                <w:color w:val="auto"/>
              </w:rPr>
            </w:pPr>
          </w:p>
        </w:tc>
      </w:tr>
      <w:tr>
        <w:trPr>
          <w:trHeight w:val="222"/>
        </w:trPr>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jc w:val="right"/>
              <w:ind w:right="593"/>
              <w:spacing w:after="0"/>
              <w:rPr>
                <w:sz w:val="20"/>
                <w:szCs w:val="20"/>
                <w:color w:val="auto"/>
              </w:rPr>
            </w:pPr>
            <w:r>
              <w:rPr>
                <w:rFonts w:ascii="Arial" w:cs="Arial" w:eastAsia="Arial" w:hAnsi="Arial"/>
                <w:sz w:val="17"/>
                <w:szCs w:val="17"/>
                <w:b w:val="1"/>
                <w:bCs w:val="1"/>
                <w:color w:val="auto"/>
              </w:rPr>
              <w:t>31, 2021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3"/>
          </w:tcPr>
          <w:p>
            <w:pPr>
              <w:jc w:val="center"/>
              <w:ind w:right="260"/>
              <w:spacing w:after="0"/>
              <w:rPr>
                <w:sz w:val="20"/>
                <w:szCs w:val="20"/>
                <w:color w:val="auto"/>
              </w:rPr>
            </w:pPr>
            <w:r>
              <w:rPr>
                <w:rFonts w:ascii="Arial" w:cs="Arial" w:eastAsia="Arial" w:hAnsi="Arial"/>
                <w:sz w:val="17"/>
                <w:szCs w:val="17"/>
                <w:b w:val="1"/>
                <w:bCs w:val="1"/>
                <w:color w:val="auto"/>
                <w:w w:val="95"/>
              </w:rPr>
              <w:t>(Level 1)</w:t>
            </w:r>
          </w:p>
        </w:tc>
        <w:tc>
          <w:tcPr>
            <w:tcW w:w="160" w:type="dxa"/>
            <w:vAlign w:val="bottom"/>
          </w:tcPr>
          <w:p>
            <w:pPr>
              <w:spacing w:after="0"/>
              <w:rPr>
                <w:sz w:val="19"/>
                <w:szCs w:val="19"/>
                <w:color w:val="auto"/>
              </w:rPr>
            </w:pPr>
          </w:p>
        </w:tc>
        <w:tc>
          <w:tcPr>
            <w:tcW w:w="1760" w:type="dxa"/>
            <w:vAlign w:val="bottom"/>
            <w:gridSpan w:val="3"/>
          </w:tcPr>
          <w:p>
            <w:pPr>
              <w:jc w:val="center"/>
              <w:ind w:right="260"/>
              <w:spacing w:after="0"/>
              <w:rPr>
                <w:sz w:val="20"/>
                <w:szCs w:val="20"/>
                <w:color w:val="auto"/>
              </w:rPr>
            </w:pPr>
            <w:r>
              <w:rPr>
                <w:rFonts w:ascii="Arial" w:cs="Arial" w:eastAsia="Arial" w:hAnsi="Arial"/>
                <w:sz w:val="17"/>
                <w:szCs w:val="17"/>
                <w:b w:val="1"/>
                <w:bCs w:val="1"/>
                <w:color w:val="auto"/>
                <w:w w:val="95"/>
              </w:rPr>
              <w:t>(Level 2)</w:t>
            </w:r>
          </w:p>
        </w:tc>
        <w:tc>
          <w:tcPr>
            <w:tcW w:w="220" w:type="dxa"/>
            <w:vAlign w:val="bottom"/>
          </w:tcPr>
          <w:p>
            <w:pPr>
              <w:spacing w:after="0"/>
              <w:rPr>
                <w:sz w:val="19"/>
                <w:szCs w:val="19"/>
                <w:color w:val="auto"/>
              </w:rPr>
            </w:pPr>
          </w:p>
        </w:tc>
        <w:tc>
          <w:tcPr>
            <w:tcW w:w="1460" w:type="dxa"/>
            <w:vAlign w:val="bottom"/>
          </w:tcPr>
          <w:p>
            <w:pPr>
              <w:jc w:val="center"/>
              <w:ind w:right="133"/>
              <w:spacing w:after="0"/>
              <w:rPr>
                <w:sz w:val="20"/>
                <w:szCs w:val="20"/>
                <w:color w:val="auto"/>
              </w:rPr>
            </w:pPr>
            <w:r>
              <w:rPr>
                <w:rFonts w:ascii="Arial" w:cs="Arial" w:eastAsia="Arial" w:hAnsi="Arial"/>
                <w:sz w:val="17"/>
                <w:szCs w:val="17"/>
                <w:b w:val="1"/>
                <w:bCs w:val="1"/>
                <w:color w:val="auto"/>
                <w:w w:val="92"/>
              </w:rPr>
              <w:t>(Level 3)</w:t>
            </w:r>
          </w:p>
        </w:tc>
        <w:tc>
          <w:tcPr>
            <w:tcW w:w="0" w:type="dxa"/>
            <w:vAlign w:val="bottom"/>
          </w:tcPr>
          <w:p>
            <w:pPr>
              <w:spacing w:after="0"/>
              <w:rPr>
                <w:sz w:val="1"/>
                <w:szCs w:val="1"/>
                <w:color w:val="auto"/>
              </w:rPr>
            </w:pPr>
          </w:p>
        </w:tc>
      </w:tr>
      <w:tr>
        <w:trPr>
          <w:trHeight w:val="228"/>
        </w:trPr>
        <w:tc>
          <w:tcPr>
            <w:tcW w:w="3660" w:type="dxa"/>
            <w:vAlign w:val="bottom"/>
            <w:tcBorders>
              <w:top w:val="single" w:sz="8" w:color="CCEEFF"/>
            </w:tcBorders>
            <w:gridSpan w:val="4"/>
            <w:shd w:val="clear" w:color="auto" w:fill="CCEEFF"/>
          </w:tcPr>
          <w:p>
            <w:pPr>
              <w:ind w:left="20"/>
              <w:spacing w:after="0"/>
              <w:rPr>
                <w:sz w:val="20"/>
                <w:szCs w:val="20"/>
                <w:color w:val="auto"/>
              </w:rPr>
            </w:pPr>
            <w:r>
              <w:rPr>
                <w:rFonts w:ascii="Arial" w:cs="Arial" w:eastAsia="Arial" w:hAnsi="Arial"/>
                <w:sz w:val="17"/>
                <w:szCs w:val="17"/>
                <w:b w:val="1"/>
                <w:bCs w:val="1"/>
                <w:color w:val="auto"/>
              </w:rPr>
              <w:t>Recurring</w:t>
            </w:r>
          </w:p>
        </w:tc>
        <w:tc>
          <w:tcPr>
            <w:tcW w:w="6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480" w:type="dxa"/>
            <w:vAlign w:val="bottom"/>
            <w:gridSpan w:val="3"/>
          </w:tcPr>
          <w:p>
            <w:pPr>
              <w:spacing w:after="0"/>
              <w:rPr>
                <w:sz w:val="20"/>
                <w:szCs w:val="20"/>
                <w:color w:val="auto"/>
              </w:rPr>
            </w:pPr>
            <w:r>
              <w:rPr>
                <w:rFonts w:ascii="Arial" w:cs="Arial" w:eastAsia="Arial" w:hAnsi="Arial"/>
                <w:sz w:val="17"/>
                <w:szCs w:val="17"/>
                <w:color w:val="auto"/>
              </w:rPr>
              <w:t>Marketable securities</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1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19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180" w:type="dxa"/>
            <w:vAlign w:val="bottom"/>
            <w:shd w:val="clear" w:color="auto" w:fill="CCEEFF"/>
          </w:tcPr>
          <w:p>
            <w:pPr>
              <w:spacing w:after="0"/>
              <w:rPr>
                <w:sz w:val="21"/>
                <w:szCs w:val="21"/>
                <w:color w:val="auto"/>
              </w:rPr>
            </w:pPr>
          </w:p>
        </w:tc>
        <w:tc>
          <w:tcPr>
            <w:tcW w:w="34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U.S. Treasury notes</w:t>
            </w:r>
          </w:p>
        </w:tc>
        <w:tc>
          <w:tcPr>
            <w:tcW w:w="420" w:type="dxa"/>
            <w:vAlign w:val="bottom"/>
            <w:gridSpan w:val="2"/>
            <w:shd w:val="clear" w:color="auto" w:fill="CCEEFF"/>
          </w:tcPr>
          <w:p>
            <w:pPr>
              <w:jc w:val="right"/>
              <w:ind w:right="233"/>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225,792</w:t>
            </w:r>
          </w:p>
        </w:tc>
        <w:tc>
          <w:tcPr>
            <w:tcW w:w="40" w:type="dxa"/>
            <w:vAlign w:val="bottom"/>
            <w:shd w:val="clear" w:color="auto" w:fill="CCEEFF"/>
          </w:tcPr>
          <w:p>
            <w:pPr>
              <w:spacing w:after="0"/>
              <w:rPr>
                <w:sz w:val="21"/>
                <w:szCs w:val="21"/>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225,792</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60" w:type="dxa"/>
            <w:vAlign w:val="bottom"/>
            <w:gridSpan w:val="3"/>
            <w:shd w:val="clear" w:color="auto" w:fill="CCEEFF"/>
          </w:tcPr>
          <w:p>
            <w:pPr>
              <w:ind w:left="14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ind w:left="1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2"/>
        </w:trPr>
        <w:tc>
          <w:tcPr>
            <w:tcW w:w="180" w:type="dxa"/>
            <w:vAlign w:val="bottom"/>
          </w:tcPr>
          <w:p>
            <w:pPr>
              <w:spacing w:after="0"/>
              <w:rPr>
                <w:sz w:val="21"/>
                <w:szCs w:val="21"/>
                <w:color w:val="auto"/>
              </w:rPr>
            </w:pPr>
          </w:p>
        </w:tc>
        <w:tc>
          <w:tcPr>
            <w:tcW w:w="3480" w:type="dxa"/>
            <w:vAlign w:val="bottom"/>
            <w:gridSpan w:val="3"/>
          </w:tcPr>
          <w:p>
            <w:pPr>
              <w:spacing w:after="0"/>
              <w:rPr>
                <w:sz w:val="20"/>
                <w:szCs w:val="20"/>
                <w:color w:val="auto"/>
              </w:rPr>
            </w:pPr>
            <w:r>
              <w:rPr>
                <w:rFonts w:ascii="Arial" w:cs="Arial" w:eastAsia="Arial" w:hAnsi="Arial"/>
                <w:sz w:val="17"/>
                <w:szCs w:val="17"/>
                <w:color w:val="auto"/>
                <w:w w:val="92"/>
              </w:rPr>
              <w:t>U.S. Government-sponsored enterprise securities</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113,944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113,944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gridSpan w:val="3"/>
          </w:tcPr>
          <w:p>
            <w:pPr>
              <w:ind w:left="14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1"/>
                <w:szCs w:val="21"/>
                <w:color w:val="auto"/>
              </w:rPr>
            </w:pPr>
          </w:p>
        </w:tc>
        <w:tc>
          <w:tcPr>
            <w:tcW w:w="1460" w:type="dxa"/>
            <w:vAlign w:val="bottom"/>
          </w:tcPr>
          <w:p>
            <w:pPr>
              <w:ind w:left="1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8"/>
        </w:trPr>
        <w:tc>
          <w:tcPr>
            <w:tcW w:w="180" w:type="dxa"/>
            <w:vAlign w:val="bottom"/>
            <w:shd w:val="clear" w:color="auto" w:fill="CCEEFF"/>
          </w:tcPr>
          <w:p>
            <w:pPr>
              <w:spacing w:after="0"/>
              <w:rPr>
                <w:sz w:val="23"/>
                <w:szCs w:val="23"/>
                <w:color w:val="auto"/>
              </w:rPr>
            </w:pPr>
          </w:p>
        </w:tc>
        <w:tc>
          <w:tcPr>
            <w:tcW w:w="3480" w:type="dxa"/>
            <w:vAlign w:val="bottom"/>
            <w:gridSpan w:val="3"/>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480" w:type="dxa"/>
            <w:vAlign w:val="bottom"/>
            <w:gridSpan w:val="3"/>
          </w:tcPr>
          <w:p>
            <w:pPr>
              <w:spacing w:after="0"/>
              <w:rPr>
                <w:sz w:val="20"/>
                <w:szCs w:val="20"/>
                <w:color w:val="auto"/>
              </w:rPr>
            </w:pPr>
            <w:r>
              <w:rPr>
                <w:rFonts w:ascii="Arial" w:cs="Arial" w:eastAsia="Arial" w:hAnsi="Arial"/>
                <w:sz w:val="17"/>
                <w:szCs w:val="17"/>
                <w:color w:val="auto"/>
              </w:rPr>
              <w:t>Other</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1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180" w:type="dxa"/>
            <w:vAlign w:val="bottom"/>
            <w:shd w:val="clear" w:color="auto" w:fill="CCEEFF"/>
          </w:tcPr>
          <w:p>
            <w:pPr>
              <w:spacing w:after="0"/>
              <w:rPr>
                <w:sz w:val="21"/>
                <w:szCs w:val="21"/>
                <w:color w:val="auto"/>
              </w:rPr>
            </w:pPr>
          </w:p>
        </w:tc>
        <w:tc>
          <w:tcPr>
            <w:tcW w:w="34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Liability-classified restricted stock awards</w:t>
            </w:r>
          </w:p>
        </w:tc>
        <w:tc>
          <w:tcPr>
            <w:tcW w:w="6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702</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702</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ind w:left="1400"/>
              <w:spacing w:after="0"/>
              <w:rPr>
                <w:sz w:val="20"/>
                <w:szCs w:val="20"/>
                <w:color w:val="auto"/>
              </w:rPr>
            </w:pPr>
            <w:r>
              <w:rPr>
                <w:rFonts w:ascii="Arial" w:cs="Arial" w:eastAsia="Arial" w:hAnsi="Arial"/>
                <w:sz w:val="17"/>
                <w:szCs w:val="17"/>
                <w:color w:val="auto"/>
              </w:rPr>
              <w:t>—</w:t>
            </w:r>
          </w:p>
        </w:tc>
        <w:tc>
          <w:tcPr>
            <w:tcW w:w="100" w:type="dxa"/>
            <w:vAlign w:val="bottom"/>
            <w:gridSpan w:val="2"/>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ind w:left="1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8"/>
        </w:trPr>
        <w:tc>
          <w:tcPr>
            <w:tcW w:w="3660" w:type="dxa"/>
            <w:vAlign w:val="bottom"/>
            <w:gridSpan w:val="4"/>
          </w:tcPr>
          <w:p>
            <w:pPr>
              <w:ind w:left="20"/>
              <w:spacing w:after="0"/>
              <w:rPr>
                <w:sz w:val="20"/>
                <w:szCs w:val="20"/>
                <w:color w:val="auto"/>
              </w:rPr>
            </w:pPr>
            <w:r>
              <w:rPr>
                <w:rFonts w:ascii="Arial" w:cs="Arial" w:eastAsia="Arial" w:hAnsi="Arial"/>
                <w:sz w:val="17"/>
                <w:szCs w:val="17"/>
                <w:color w:val="auto"/>
              </w:rPr>
              <w:t>Total recurring</w:t>
            </w:r>
          </w:p>
        </w:tc>
        <w:tc>
          <w:tcPr>
            <w:tcW w:w="420" w:type="dxa"/>
            <w:vAlign w:val="bottom"/>
            <w:gridSpan w:val="2"/>
          </w:tcPr>
          <w:p>
            <w:pPr>
              <w:jc w:val="right"/>
              <w:ind w:right="233"/>
              <w:spacing w:after="0"/>
              <w:rPr>
                <w:sz w:val="20"/>
                <w:szCs w:val="20"/>
                <w:color w:val="auto"/>
              </w:rPr>
            </w:pPr>
            <w:r>
              <w:rPr>
                <w:rFonts w:ascii="Arial" w:cs="Arial" w:eastAsia="Arial" w:hAnsi="Arial"/>
                <w:sz w:val="17"/>
                <w:szCs w:val="17"/>
                <w:color w:val="auto"/>
                <w:w w:val="84"/>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340,438</w:t>
            </w:r>
          </w:p>
        </w:tc>
        <w:tc>
          <w:tcPr>
            <w:tcW w:w="40" w:type="dxa"/>
            <w:vAlign w:val="bottom"/>
          </w:tcPr>
          <w:p>
            <w:pPr>
              <w:spacing w:after="0"/>
              <w:rPr>
                <w:sz w:val="21"/>
                <w:szCs w:val="21"/>
                <w:color w:val="auto"/>
              </w:rPr>
            </w:pPr>
          </w:p>
        </w:tc>
        <w:tc>
          <w:tcPr>
            <w:tcW w:w="22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660" w:type="dxa"/>
            <w:vAlign w:val="bottom"/>
          </w:tcPr>
          <w:p>
            <w:pPr>
              <w:jc w:val="right"/>
              <w:spacing w:after="0"/>
              <w:rPr>
                <w:sz w:val="20"/>
                <w:szCs w:val="20"/>
                <w:color w:val="auto"/>
              </w:rPr>
            </w:pPr>
            <w:r>
              <w:rPr>
                <w:rFonts w:ascii="Arial" w:cs="Arial" w:eastAsia="Arial" w:hAnsi="Arial"/>
                <w:sz w:val="17"/>
                <w:szCs w:val="17"/>
                <w:color w:val="auto"/>
              </w:rPr>
              <w:t>340,438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760" w:type="dxa"/>
            <w:vAlign w:val="bottom"/>
            <w:gridSpan w:val="3"/>
          </w:tcPr>
          <w:p>
            <w:pPr>
              <w:ind w:left="140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460" w:type="dxa"/>
            <w:vAlign w:val="bottom"/>
          </w:tcPr>
          <w:p>
            <w:pPr>
              <w:ind w:left="1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80"/>
        <w:spacing w:after="0"/>
        <w:rPr>
          <w:sz w:val="20"/>
          <w:szCs w:val="20"/>
          <w:color w:val="auto"/>
        </w:rPr>
      </w:pPr>
      <w:r>
        <w:rPr>
          <w:rFonts w:ascii="Arial" w:cs="Arial" w:eastAsia="Arial" w:hAnsi="Arial"/>
          <w:sz w:val="17"/>
          <w:szCs w:val="17"/>
          <w:color w:val="auto"/>
        </w:rPr>
        <w:t xml:space="preserve">There were </w:t>
      </w:r>
      <w:r>
        <w:rPr>
          <w:rFonts w:ascii="Arial" w:cs="Arial" w:eastAsia="Arial" w:hAnsi="Arial"/>
          <w:sz w:val="17"/>
          <w:szCs w:val="17"/>
          <w:i w:val="1"/>
          <w:iCs w:val="1"/>
          <w:color w:val="auto"/>
        </w:rPr>
        <w:t>no</w:t>
      </w:r>
      <w:r>
        <w:rPr>
          <w:rFonts w:ascii="Arial" w:cs="Arial" w:eastAsia="Arial" w:hAnsi="Arial"/>
          <w:sz w:val="17"/>
          <w:szCs w:val="17"/>
          <w:color w:val="auto"/>
        </w:rPr>
        <w:t xml:space="preserve"> transfers to or from Level 3 in the three months ended March 31, 2022.</w:t>
      </w:r>
    </w:p>
    <w:p>
      <w:pPr>
        <w:spacing w:after="0" w:line="236" w:lineRule="exact"/>
        <w:rPr>
          <w:sz w:val="20"/>
          <w:szCs w:val="20"/>
          <w:color w:val="auto"/>
        </w:rPr>
      </w:pPr>
    </w:p>
    <w:p>
      <w:pPr>
        <w:ind w:right="160" w:firstLine="470"/>
        <w:spacing w:after="0" w:line="266" w:lineRule="auto"/>
        <w:rPr>
          <w:sz w:val="20"/>
          <w:szCs w:val="20"/>
          <w:color w:val="auto"/>
        </w:rPr>
      </w:pPr>
      <w:r>
        <w:rPr>
          <w:rFonts w:ascii="Arial" w:cs="Arial" w:eastAsia="Arial" w:hAnsi="Arial"/>
          <w:sz w:val="17"/>
          <w:szCs w:val="17"/>
          <w:color w:val="auto"/>
        </w:rPr>
        <w:t>For the 2021 Bonds, the fair values are estimated using the Black-Derman-Toy interest rate lattice framework. The effective maturity of the 2021 Bonds was assumed to be April 1, 2024 (three years from issuance) with repayment of 100% of principal on that date. The impact of the Company's optional redemption feature, effective October 1, 2022, is appropriately captured by the Black-Derman-Toy interest rate lattice. The carrying values and estimated fair values of the 2021 bonds as of March 31, 2022, are summarized as follows: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760" w:type="dxa"/>
            <w:vAlign w:val="bottom"/>
            <w:tcBorders>
              <w:bottom w:val="single" w:sz="8" w:color="auto"/>
            </w:tcBorders>
            <w:gridSpan w:val="4"/>
          </w:tcPr>
          <w:p>
            <w:pPr>
              <w:jc w:val="right"/>
              <w:ind w:right="1353"/>
              <w:spacing w:after="0"/>
              <w:rPr>
                <w:sz w:val="20"/>
                <w:szCs w:val="20"/>
                <w:color w:val="auto"/>
              </w:rPr>
            </w:pPr>
            <w:r>
              <w:rPr>
                <w:rFonts w:ascii="Arial" w:cs="Arial" w:eastAsia="Arial" w:hAnsi="Arial"/>
                <w:sz w:val="17"/>
                <w:szCs w:val="17"/>
                <w:b w:val="1"/>
                <w:bCs w:val="1"/>
                <w:color w:val="auto"/>
              </w:rPr>
              <w:t>March 31, 2022</w:t>
            </w:r>
          </w:p>
        </w:tc>
        <w:tc>
          <w:tcPr>
            <w:tcW w:w="0" w:type="dxa"/>
            <w:vAlign w:val="bottom"/>
          </w:tcPr>
          <w:p>
            <w:pPr>
              <w:spacing w:after="0"/>
              <w:rPr>
                <w:sz w:val="1"/>
                <w:szCs w:val="1"/>
                <w:color w:val="auto"/>
              </w:rPr>
            </w:pPr>
          </w:p>
        </w:tc>
      </w:tr>
      <w:tr>
        <w:trPr>
          <w:trHeight w:val="215"/>
        </w:trPr>
        <w:tc>
          <w:tcPr>
            <w:tcW w:w="7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2"/>
          </w:tcPr>
          <w:p>
            <w:pPr>
              <w:ind w:left="140"/>
              <w:spacing w:after="0"/>
              <w:rPr>
                <w:sz w:val="20"/>
                <w:szCs w:val="20"/>
                <w:color w:val="auto"/>
              </w:rPr>
            </w:pPr>
            <w:r>
              <w:rPr>
                <w:rFonts w:ascii="Arial" w:cs="Arial" w:eastAsia="Arial" w:hAnsi="Arial"/>
                <w:sz w:val="17"/>
                <w:szCs w:val="17"/>
                <w:b w:val="1"/>
                <w:bCs w:val="1"/>
                <w:color w:val="auto"/>
              </w:rPr>
              <w:t>Carrying Value</w:t>
            </w:r>
          </w:p>
        </w:tc>
        <w:tc>
          <w:tcPr>
            <w:tcW w:w="160" w:type="dxa"/>
            <w:vAlign w:val="bottom"/>
          </w:tcPr>
          <w:p>
            <w:pPr>
              <w:spacing w:after="0"/>
              <w:rPr>
                <w:sz w:val="18"/>
                <w:szCs w:val="18"/>
                <w:color w:val="auto"/>
              </w:rPr>
            </w:pPr>
          </w:p>
        </w:tc>
        <w:tc>
          <w:tcPr>
            <w:tcW w:w="1800" w:type="dxa"/>
            <w:vAlign w:val="bottom"/>
          </w:tcPr>
          <w:p>
            <w:pPr>
              <w:jc w:val="right"/>
              <w:ind w:right="93"/>
              <w:spacing w:after="0"/>
              <w:rPr>
                <w:sz w:val="20"/>
                <w:szCs w:val="20"/>
                <w:color w:val="auto"/>
              </w:rPr>
            </w:pPr>
            <w:r>
              <w:rPr>
                <w:rFonts w:ascii="Arial" w:cs="Arial" w:eastAsia="Arial" w:hAnsi="Arial"/>
                <w:sz w:val="17"/>
                <w:szCs w:val="17"/>
                <w:b w:val="1"/>
                <w:bCs w:val="1"/>
                <w:color w:val="auto"/>
                <w:w w:val="95"/>
              </w:rPr>
              <w:t>Estimated Fair Value</w:t>
            </w:r>
          </w:p>
        </w:tc>
        <w:tc>
          <w:tcPr>
            <w:tcW w:w="0" w:type="dxa"/>
            <w:vAlign w:val="bottom"/>
          </w:tcPr>
          <w:p>
            <w:pPr>
              <w:spacing w:after="0"/>
              <w:rPr>
                <w:sz w:val="1"/>
                <w:szCs w:val="1"/>
                <w:color w:val="auto"/>
              </w:rPr>
            </w:pPr>
          </w:p>
        </w:tc>
      </w:tr>
      <w:tr>
        <w:trPr>
          <w:trHeight w:val="266"/>
        </w:trPr>
        <w:tc>
          <w:tcPr>
            <w:tcW w:w="7220" w:type="dxa"/>
            <w:vAlign w:val="bottom"/>
            <w:tcBorders>
              <w:top w:val="single" w:sz="8" w:color="CCEEFF"/>
              <w:bottom w:val="single" w:sz="8" w:color="CCEEFF"/>
            </w:tcBorders>
            <w:shd w:val="clear" w:color="auto" w:fill="CCEEFF"/>
          </w:tcPr>
          <w:p>
            <w:pPr>
              <w:jc w:val="right"/>
              <w:ind w:right="6273"/>
              <w:spacing w:after="0"/>
              <w:rPr>
                <w:sz w:val="20"/>
                <w:szCs w:val="20"/>
                <w:color w:val="auto"/>
              </w:rPr>
            </w:pPr>
            <w:r>
              <w:rPr>
                <w:rFonts w:ascii="Arial" w:cs="Arial" w:eastAsia="Arial" w:hAnsi="Arial"/>
                <w:sz w:val="17"/>
                <w:szCs w:val="17"/>
                <w:color w:val="auto"/>
                <w:w w:val="92"/>
              </w:rPr>
              <w:t>2021 Bonds</w:t>
            </w:r>
          </w:p>
        </w:tc>
        <w:tc>
          <w:tcPr>
            <w:tcW w:w="26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68,155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66,657</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bottom w:val="single" w:sz="8" w:color="CCEEFF"/>
            </w:tcBorders>
            <w:vMerge w:val="restart"/>
          </w:tcPr>
          <w:p>
            <w:pPr>
              <w:jc w:val="right"/>
              <w:ind w:right="1293"/>
              <w:spacing w:after="0"/>
              <w:rPr>
                <w:sz w:val="20"/>
                <w:szCs w:val="20"/>
                <w:color w:val="auto"/>
              </w:rPr>
            </w:pPr>
            <w:r>
              <w:rPr>
                <w:rFonts w:ascii="Arial" w:cs="Arial" w:eastAsia="Arial" w:hAnsi="Arial"/>
                <w:sz w:val="17"/>
                <w:szCs w:val="17"/>
                <w:color w:val="auto"/>
              </w:rPr>
              <w:t xml:space="preserve">The Company has </w:t>
            </w:r>
            <w:r>
              <w:rPr>
                <w:rFonts w:ascii="Arial" w:cs="Arial" w:eastAsia="Arial" w:hAnsi="Arial"/>
                <w:sz w:val="17"/>
                <w:szCs w:val="17"/>
                <w:i w:val="1"/>
                <w:iCs w:val="1"/>
                <w:color w:val="auto"/>
              </w:rPr>
              <w:t>not</w:t>
            </w:r>
            <w:r>
              <w:rPr>
                <w:rFonts w:ascii="Arial" w:cs="Arial" w:eastAsia="Arial" w:hAnsi="Arial"/>
                <w:sz w:val="17"/>
                <w:szCs w:val="17"/>
                <w:color w:val="auto"/>
              </w:rPr>
              <w:t xml:space="preserve"> elected the fair value option for any of its instruments.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72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97"/>
        </w:trPr>
        <w:tc>
          <w:tcPr>
            <w:tcW w:w="7220" w:type="dxa"/>
            <w:vAlign w:val="bottom"/>
          </w:tcPr>
          <w:p>
            <w:pPr>
              <w:jc w:val="right"/>
              <w:ind w:right="1413"/>
              <w:spacing w:after="0"/>
              <w:rPr>
                <w:sz w:val="20"/>
                <w:szCs w:val="20"/>
                <w:color w:val="auto"/>
              </w:rPr>
            </w:pPr>
            <w:r>
              <w:rPr>
                <w:rFonts w:ascii="Arial" w:cs="Arial" w:eastAsia="Arial" w:hAnsi="Arial"/>
                <w:sz w:val="17"/>
                <w:szCs w:val="17"/>
                <w:color w:val="auto"/>
              </w:rPr>
              <w:t>22</w:t>
            </w: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72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rFonts w:ascii="Arial" w:cs="Arial" w:eastAsia="Arial" w:hAnsi="Arial"/>
          <w:sz w:val="17"/>
          <w:szCs w:val="17"/>
          <w:u w:val="single" w:color="auto"/>
          <w:color w:val="auto"/>
        </w:rPr>
      </w:pPr>
      <w:hyperlink w:anchor="page1">
        <w:r>
          <w:rPr>
            <w:rFonts w:ascii="Arial" w:cs="Arial" w:eastAsia="Arial" w:hAnsi="Arial"/>
            <w:sz w:val="17"/>
            <w:szCs w:val="17"/>
            <w:u w:val="single" w:color="auto"/>
            <w:color w:val="auto"/>
          </w:rPr>
          <w:t>Table of Contents</w:t>
        </w:r>
      </w:hyperlink>
    </w:p>
    <w:p>
      <w:pPr>
        <w:spacing w:after="0" w:line="15"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GEVO, INC.</w:t>
      </w:r>
    </w:p>
    <w:p>
      <w:pPr>
        <w:spacing w:after="0" w:line="1"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Segments</w:t>
      </w:r>
    </w:p>
    <w:p>
      <w:pPr>
        <w:spacing w:after="0" w:line="32" w:lineRule="exact"/>
        <w:rPr>
          <w:sz w:val="20"/>
          <w:szCs w:val="20"/>
          <w:color w:val="auto"/>
        </w:rPr>
      </w:pPr>
    </w:p>
    <w:p>
      <w:pPr>
        <w:ind w:firstLine="470"/>
        <w:spacing w:after="0" w:line="287" w:lineRule="auto"/>
        <w:rPr>
          <w:sz w:val="20"/>
          <w:szCs w:val="20"/>
          <w:color w:val="auto"/>
        </w:rPr>
      </w:pPr>
      <w:r>
        <w:rPr>
          <w:rFonts w:ascii="Arial" w:cs="Arial" w:eastAsia="Arial" w:hAnsi="Arial"/>
          <w:sz w:val="15"/>
          <w:szCs w:val="15"/>
          <w:color w:val="auto"/>
        </w:rPr>
        <w:t>The Company's chief operating decision maker is provided with and reviews a monthly executive package which separately identifies its business segments based on the nature of the products and services offered through each of its consolidated legal entities. In January 2021, the Company began to separately identify the Renewable Natural Gas Segment in the monthly executive package. As such, the Company has determined that it has three operating segments: (i) Gevo segment; (ii) Agri-Energy segment; (iii) Renewable Natural Gas segment. Transactions between segments are eliminated in consolidation.</w:t>
      </w:r>
    </w:p>
    <w:p>
      <w:pPr>
        <w:ind w:right="60" w:firstLine="470"/>
        <w:spacing w:after="0" w:line="248" w:lineRule="auto"/>
        <w:rPr>
          <w:sz w:val="20"/>
          <w:szCs w:val="20"/>
          <w:color w:val="auto"/>
        </w:rPr>
      </w:pPr>
      <w:r>
        <w:rPr>
          <w:rFonts w:ascii="Arial" w:cs="Arial" w:eastAsia="Arial" w:hAnsi="Arial"/>
          <w:sz w:val="16"/>
          <w:szCs w:val="16"/>
          <w:i w:val="1"/>
          <w:iCs w:val="1"/>
          <w:color w:val="auto"/>
        </w:rPr>
        <w:t>Gevo segment</w:t>
      </w:r>
      <w:r>
        <w:rPr>
          <w:rFonts w:ascii="Arial" w:cs="Arial" w:eastAsia="Arial" w:hAnsi="Arial"/>
          <w:sz w:val="16"/>
          <w:szCs w:val="16"/>
          <w:color w:val="auto"/>
        </w:rPr>
        <w:t>. The Gevo segment is responsible for all research and development activities related to the future production of SAF, commercial</w:t>
      </w:r>
      <w:r>
        <w:rPr>
          <w:rFonts w:ascii="Arial" w:cs="Arial" w:eastAsia="Arial" w:hAnsi="Arial"/>
          <w:sz w:val="16"/>
          <w:szCs w:val="16"/>
          <w:i w:val="1"/>
          <w:iCs w:val="1"/>
          <w:color w:val="auto"/>
        </w:rPr>
        <w:t xml:space="preserve"> </w:t>
      </w:r>
      <w:r>
        <w:rPr>
          <w:rFonts w:ascii="Arial" w:cs="Arial" w:eastAsia="Arial" w:hAnsi="Arial"/>
          <w:sz w:val="16"/>
          <w:szCs w:val="16"/>
          <w:color w:val="auto"/>
        </w:rPr>
        <w:t>opportunities for other renewable hydrocarbon products, such as hydrocarbons for gasoline blendstocks and diesel fuel; ingredients for the chemical industry, such as ethylene and butenes; plastics and materials; and other chemicals. The Gevo segment also develops, maintains and protects its intellectual property portfolio, provides corporate oversight services, and responsible for development and construction of our Net-Zero projects.</w:t>
      </w:r>
    </w:p>
    <w:p>
      <w:pPr>
        <w:spacing w:after="0" w:line="206" w:lineRule="exact"/>
        <w:rPr>
          <w:sz w:val="20"/>
          <w:szCs w:val="20"/>
          <w:color w:val="auto"/>
        </w:rPr>
      </w:pPr>
    </w:p>
    <w:p>
      <w:pPr>
        <w:ind w:right="540" w:firstLine="470"/>
        <w:spacing w:after="0" w:line="264" w:lineRule="auto"/>
        <w:rPr>
          <w:sz w:val="20"/>
          <w:szCs w:val="20"/>
          <w:color w:val="auto"/>
        </w:rPr>
      </w:pPr>
      <w:r>
        <w:rPr>
          <w:rFonts w:ascii="Arial" w:cs="Arial" w:eastAsia="Arial" w:hAnsi="Arial"/>
          <w:sz w:val="17"/>
          <w:szCs w:val="17"/>
          <w:i w:val="1"/>
          <w:iCs w:val="1"/>
          <w:color w:val="auto"/>
        </w:rPr>
        <w:t>Agri-Energy segment</w:t>
      </w:r>
      <w:r>
        <w:rPr>
          <w:rFonts w:ascii="Arial" w:cs="Arial" w:eastAsia="Arial" w:hAnsi="Arial"/>
          <w:sz w:val="17"/>
          <w:szCs w:val="17"/>
          <w:color w:val="auto"/>
        </w:rPr>
        <w:t>. The Agri-Energy segment is currently responsible for the operation of the Company’s Luverne Facility, development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optimization of the production of isobutanol, ethanol and related products.</w:t>
      </w:r>
    </w:p>
    <w:p>
      <w:pPr>
        <w:ind w:left="480"/>
        <w:spacing w:after="0"/>
        <w:rPr>
          <w:sz w:val="20"/>
          <w:szCs w:val="20"/>
          <w:color w:val="auto"/>
        </w:rPr>
      </w:pPr>
      <w:r>
        <w:rPr>
          <w:rFonts w:ascii="Arial" w:cs="Arial" w:eastAsia="Arial" w:hAnsi="Arial"/>
          <w:sz w:val="16"/>
          <w:szCs w:val="16"/>
          <w:i w:val="1"/>
          <w:iCs w:val="1"/>
          <w:color w:val="auto"/>
        </w:rPr>
        <w:t>Renewable natural gas segment</w:t>
      </w:r>
      <w:r>
        <w:rPr>
          <w:rFonts w:ascii="Arial" w:cs="Arial" w:eastAsia="Arial" w:hAnsi="Arial"/>
          <w:sz w:val="16"/>
          <w:szCs w:val="16"/>
          <w:color w:val="auto"/>
        </w:rPr>
        <w:t>. The Renewable Natural Gas segment produces low-carbon methane from manure for the production of RNG.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020"/>
          </w:cols>
          <w:pgMar w:left="320" w:top="127" w:right="559" w:bottom="1440" w:gutter="0" w:footer="0" w:header="0"/>
        </w:sectPr>
      </w:pPr>
    </w:p>
    <w:bookmarkStart w:id="23" w:name="page24"/>
    <w:bookmarkEnd w:id="23"/>
    <w:p>
      <w:pPr>
        <w:spacing w:after="0"/>
        <w:rPr>
          <w:rFonts w:ascii="Arial" w:cs="Arial" w:eastAsia="Arial" w:hAnsi="Arial"/>
          <w:sz w:val="17"/>
          <w:szCs w:val="17"/>
          <w:u w:val="single" w:color="auto"/>
          <w:color w:val="auto"/>
        </w:rPr>
      </w:pPr>
      <w:hyperlink w:anchor="page1">
        <w:r>
          <w:rPr>
            <w:rFonts w:ascii="Arial" w:cs="Arial" w:eastAsia="Arial" w:hAnsi="Arial"/>
            <w:sz w:val="17"/>
            <w:szCs w:val="17"/>
            <w:u w:val="single" w:color="auto"/>
            <w:color w:val="auto"/>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GEVO,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76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6"/>
                <w:szCs w:val="16"/>
                <w:b w:val="1"/>
                <w:bCs w:val="1"/>
                <w:color w:val="auto"/>
              </w:rPr>
              <w:t>Three Months Ended March 31,</w:t>
            </w:r>
          </w:p>
        </w:tc>
      </w:tr>
      <w:tr>
        <w:trPr>
          <w:trHeight w:val="211"/>
        </w:trPr>
        <w:tc>
          <w:tcPr>
            <w:tcW w:w="7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73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733"/>
              <w:spacing w:after="0"/>
              <w:rPr>
                <w:sz w:val="20"/>
                <w:szCs w:val="20"/>
                <w:color w:val="auto"/>
              </w:rPr>
            </w:pPr>
            <w:r>
              <w:rPr>
                <w:rFonts w:ascii="Arial" w:cs="Arial" w:eastAsia="Arial" w:hAnsi="Arial"/>
                <w:sz w:val="16"/>
                <w:szCs w:val="16"/>
                <w:b w:val="1"/>
                <w:bCs w:val="1"/>
                <w:color w:val="auto"/>
              </w:rPr>
              <w:t>2021</w:t>
            </w:r>
          </w:p>
        </w:tc>
      </w:tr>
      <w:tr>
        <w:trPr>
          <w:trHeight w:val="235"/>
        </w:trPr>
        <w:tc>
          <w:tcPr>
            <w:tcW w:w="7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26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r>
      <w:tr>
        <w:trPr>
          <w:trHeight w:val="242"/>
        </w:trPr>
        <w:tc>
          <w:tcPr>
            <w:tcW w:w="7220" w:type="dxa"/>
            <w:vAlign w:val="bottom"/>
          </w:tcPr>
          <w:p>
            <w:pPr>
              <w:ind w:left="180"/>
              <w:spacing w:after="0"/>
              <w:rPr>
                <w:sz w:val="20"/>
                <w:szCs w:val="20"/>
                <w:color w:val="auto"/>
              </w:rPr>
            </w:pPr>
            <w:r>
              <w:rPr>
                <w:rFonts w:ascii="Arial" w:cs="Arial" w:eastAsia="Arial" w:hAnsi="Arial"/>
                <w:sz w:val="17"/>
                <w:szCs w:val="17"/>
                <w:color w:val="auto"/>
              </w:rPr>
              <w:t>Gevo</w:t>
            </w: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1700" w:type="dxa"/>
            <w:vAlign w:val="bottom"/>
          </w:tcPr>
          <w:p>
            <w:pPr>
              <w:jc w:val="right"/>
              <w:spacing w:after="0"/>
              <w:rPr>
                <w:sz w:val="20"/>
                <w:szCs w:val="20"/>
                <w:color w:val="auto"/>
              </w:rPr>
            </w:pPr>
            <w:r>
              <w:rPr>
                <w:rFonts w:ascii="Arial" w:cs="Arial" w:eastAsia="Arial" w:hAnsi="Arial"/>
                <w:sz w:val="17"/>
                <w:szCs w:val="17"/>
                <w:color w:val="auto"/>
              </w:rPr>
              <w:t>63</w:t>
            </w:r>
          </w:p>
        </w:tc>
        <w:tc>
          <w:tcPr>
            <w:tcW w:w="100" w:type="dxa"/>
            <w:vAlign w:val="bottom"/>
          </w:tcPr>
          <w:p>
            <w:pPr>
              <w:spacing w:after="0"/>
              <w:rPr>
                <w:sz w:val="21"/>
                <w:szCs w:val="21"/>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76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55"/>
        </w:trPr>
        <w:tc>
          <w:tcPr>
            <w:tcW w:w="72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Agri-Energy</w:t>
            </w:r>
          </w:p>
        </w:tc>
        <w:tc>
          <w:tcPr>
            <w:tcW w:w="260" w:type="dxa"/>
            <w:vAlign w:val="bottom"/>
            <w:shd w:val="clear" w:color="auto" w:fill="CCEEFF"/>
          </w:tcPr>
          <w:p>
            <w:pPr>
              <w:spacing w:after="0"/>
              <w:rPr>
                <w:sz w:val="22"/>
                <w:szCs w:val="22"/>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r>
      <w:tr>
        <w:trPr>
          <w:trHeight w:val="242"/>
        </w:trPr>
        <w:tc>
          <w:tcPr>
            <w:tcW w:w="7220" w:type="dxa"/>
            <w:vAlign w:val="bottom"/>
          </w:tcPr>
          <w:p>
            <w:pPr>
              <w:ind w:left="140"/>
              <w:spacing w:after="0"/>
              <w:rPr>
                <w:sz w:val="20"/>
                <w:szCs w:val="20"/>
                <w:color w:val="auto"/>
              </w:rPr>
            </w:pPr>
            <w:r>
              <w:rPr>
                <w:rFonts w:ascii="Arial" w:cs="Arial" w:eastAsia="Arial" w:hAnsi="Arial"/>
                <w:sz w:val="17"/>
                <w:szCs w:val="17"/>
                <w:color w:val="auto"/>
              </w:rPr>
              <w:t>Renewable Natural Gas</w:t>
            </w:r>
          </w:p>
        </w:tc>
        <w:tc>
          <w:tcPr>
            <w:tcW w:w="260" w:type="dxa"/>
            <w:vAlign w:val="bottom"/>
          </w:tcPr>
          <w:p>
            <w:pPr>
              <w:spacing w:after="0"/>
              <w:rPr>
                <w:sz w:val="21"/>
                <w:szCs w:val="21"/>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73"/>
        </w:trPr>
        <w:tc>
          <w:tcPr>
            <w:tcW w:w="7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Consolidated</w:t>
            </w:r>
          </w:p>
        </w:tc>
        <w:tc>
          <w:tcPr>
            <w:tcW w:w="26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r>
        <w:trPr>
          <w:trHeight w:val="208"/>
        </w:trPr>
        <w:tc>
          <w:tcPr>
            <w:tcW w:w="7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48"/>
        </w:trPr>
        <w:tc>
          <w:tcPr>
            <w:tcW w:w="7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from operations:</w:t>
            </w:r>
          </w:p>
        </w:tc>
        <w:tc>
          <w:tcPr>
            <w:tcW w:w="26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r>
      <w:tr>
        <w:trPr>
          <w:trHeight w:val="242"/>
        </w:trPr>
        <w:tc>
          <w:tcPr>
            <w:tcW w:w="7220" w:type="dxa"/>
            <w:vAlign w:val="bottom"/>
          </w:tcPr>
          <w:p>
            <w:pPr>
              <w:ind w:left="180"/>
              <w:spacing w:after="0"/>
              <w:rPr>
                <w:sz w:val="20"/>
                <w:szCs w:val="20"/>
                <w:color w:val="auto"/>
              </w:rPr>
            </w:pPr>
            <w:r>
              <w:rPr>
                <w:rFonts w:ascii="Arial" w:cs="Arial" w:eastAsia="Arial" w:hAnsi="Arial"/>
                <w:sz w:val="17"/>
                <w:szCs w:val="17"/>
                <w:color w:val="auto"/>
              </w:rPr>
              <w:t>Gevo</w:t>
            </w: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1700" w:type="dxa"/>
            <w:vAlign w:val="bottom"/>
          </w:tcPr>
          <w:p>
            <w:pPr>
              <w:jc w:val="right"/>
              <w:spacing w:after="0"/>
              <w:rPr>
                <w:sz w:val="20"/>
                <w:szCs w:val="20"/>
                <w:color w:val="auto"/>
              </w:rPr>
            </w:pPr>
            <w:r>
              <w:rPr>
                <w:rFonts w:ascii="Arial" w:cs="Arial" w:eastAsia="Arial" w:hAnsi="Arial"/>
                <w:sz w:val="17"/>
                <w:szCs w:val="17"/>
                <w:color w:val="auto"/>
              </w:rPr>
              <w:t>(12,124)</w:t>
            </w:r>
          </w:p>
        </w:tc>
        <w:tc>
          <w:tcPr>
            <w:tcW w:w="100" w:type="dxa"/>
            <w:vAlign w:val="bottom"/>
          </w:tcPr>
          <w:p>
            <w:pPr>
              <w:spacing w:after="0"/>
              <w:rPr>
                <w:sz w:val="21"/>
                <w:szCs w:val="21"/>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760" w:type="dxa"/>
            <w:vAlign w:val="bottom"/>
          </w:tcPr>
          <w:p>
            <w:pPr>
              <w:jc w:val="right"/>
              <w:spacing w:after="0"/>
              <w:rPr>
                <w:sz w:val="20"/>
                <w:szCs w:val="20"/>
                <w:color w:val="auto"/>
              </w:rPr>
            </w:pPr>
            <w:r>
              <w:rPr>
                <w:rFonts w:ascii="Arial" w:cs="Arial" w:eastAsia="Arial" w:hAnsi="Arial"/>
                <w:sz w:val="17"/>
                <w:szCs w:val="17"/>
                <w:color w:val="auto"/>
              </w:rPr>
              <w:t>(7,763)</w:t>
            </w:r>
          </w:p>
        </w:tc>
      </w:tr>
      <w:tr>
        <w:trPr>
          <w:trHeight w:val="255"/>
        </w:trPr>
        <w:tc>
          <w:tcPr>
            <w:tcW w:w="72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Agri-Energy</w:t>
            </w:r>
          </w:p>
        </w:tc>
        <w:tc>
          <w:tcPr>
            <w:tcW w:w="260" w:type="dxa"/>
            <w:vAlign w:val="bottom"/>
            <w:shd w:val="clear" w:color="auto" w:fill="CCEEFF"/>
          </w:tcPr>
          <w:p>
            <w:pPr>
              <w:spacing w:after="0"/>
              <w:rPr>
                <w:sz w:val="22"/>
                <w:szCs w:val="22"/>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(2,047)</w:t>
            </w:r>
          </w:p>
        </w:tc>
      </w:tr>
      <w:tr>
        <w:trPr>
          <w:trHeight w:val="242"/>
        </w:trPr>
        <w:tc>
          <w:tcPr>
            <w:tcW w:w="72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Renewable Natural Gas</w:t>
            </w:r>
          </w:p>
        </w:tc>
        <w:tc>
          <w:tcPr>
            <w:tcW w:w="26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w:t>
            </w:r>
          </w:p>
        </w:tc>
      </w:tr>
      <w:tr>
        <w:trPr>
          <w:trHeight w:val="273"/>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Consolidated</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(15,955)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(9,878)</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r>
        <w:trPr>
          <w:trHeight w:val="208"/>
        </w:trPr>
        <w:tc>
          <w:tcPr>
            <w:tcW w:w="7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48"/>
        </w:trPr>
        <w:tc>
          <w:tcPr>
            <w:tcW w:w="7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Acquisitions of patents, plant, property and equipment:</w:t>
            </w:r>
          </w:p>
        </w:tc>
        <w:tc>
          <w:tcPr>
            <w:tcW w:w="26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r>
      <w:tr>
        <w:trPr>
          <w:trHeight w:val="242"/>
        </w:trPr>
        <w:tc>
          <w:tcPr>
            <w:tcW w:w="7220" w:type="dxa"/>
            <w:vAlign w:val="bottom"/>
          </w:tcPr>
          <w:p>
            <w:pPr>
              <w:ind w:left="140"/>
              <w:spacing w:after="0"/>
              <w:rPr>
                <w:sz w:val="20"/>
                <w:szCs w:val="20"/>
                <w:color w:val="auto"/>
              </w:rPr>
            </w:pPr>
            <w:r>
              <w:rPr>
                <w:rFonts w:ascii="Arial" w:cs="Arial" w:eastAsia="Arial" w:hAnsi="Arial"/>
                <w:sz w:val="17"/>
                <w:szCs w:val="17"/>
                <w:color w:val="auto"/>
              </w:rPr>
              <w:t>Gevo</w:t>
            </w: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1700" w:type="dxa"/>
            <w:vAlign w:val="bottom"/>
          </w:tcPr>
          <w:p>
            <w:pPr>
              <w:jc w:val="right"/>
              <w:spacing w:after="0"/>
              <w:rPr>
                <w:sz w:val="20"/>
                <w:szCs w:val="20"/>
                <w:color w:val="auto"/>
              </w:rPr>
            </w:pPr>
            <w:r>
              <w:rPr>
                <w:rFonts w:ascii="Arial" w:cs="Arial" w:eastAsia="Arial" w:hAnsi="Arial"/>
                <w:sz w:val="17"/>
                <w:szCs w:val="17"/>
                <w:color w:val="auto"/>
              </w:rPr>
              <w:t>4,438</w:t>
            </w:r>
          </w:p>
        </w:tc>
        <w:tc>
          <w:tcPr>
            <w:tcW w:w="100" w:type="dxa"/>
            <w:vAlign w:val="bottom"/>
          </w:tcPr>
          <w:p>
            <w:pPr>
              <w:spacing w:after="0"/>
              <w:rPr>
                <w:sz w:val="21"/>
                <w:szCs w:val="21"/>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760" w:type="dxa"/>
            <w:vAlign w:val="bottom"/>
          </w:tcPr>
          <w:p>
            <w:pPr>
              <w:jc w:val="right"/>
              <w:spacing w:after="0"/>
              <w:rPr>
                <w:sz w:val="20"/>
                <w:szCs w:val="20"/>
                <w:color w:val="auto"/>
              </w:rPr>
            </w:pPr>
            <w:r>
              <w:rPr>
                <w:rFonts w:ascii="Arial" w:cs="Arial" w:eastAsia="Arial" w:hAnsi="Arial"/>
                <w:sz w:val="17"/>
                <w:szCs w:val="17"/>
                <w:color w:val="auto"/>
              </w:rPr>
              <w:t>253</w:t>
            </w:r>
          </w:p>
        </w:tc>
      </w:tr>
      <w:tr>
        <w:trPr>
          <w:trHeight w:val="255"/>
        </w:trPr>
        <w:tc>
          <w:tcPr>
            <w:tcW w:w="72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Agri-Energy</w:t>
            </w:r>
          </w:p>
        </w:tc>
        <w:tc>
          <w:tcPr>
            <w:tcW w:w="260" w:type="dxa"/>
            <w:vAlign w:val="bottom"/>
            <w:shd w:val="clear" w:color="auto" w:fill="CCEEFF"/>
          </w:tcPr>
          <w:p>
            <w:pPr>
              <w:spacing w:after="0"/>
              <w:rPr>
                <w:sz w:val="22"/>
                <w:szCs w:val="22"/>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42"/>
        </w:trPr>
        <w:tc>
          <w:tcPr>
            <w:tcW w:w="72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Renewable Natural Gas</w:t>
            </w:r>
          </w:p>
        </w:tc>
        <w:tc>
          <w:tcPr>
            <w:tcW w:w="26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10,393</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5,169</w:t>
            </w:r>
          </w:p>
        </w:tc>
      </w:tr>
      <w:tr>
        <w:trPr>
          <w:trHeight w:val="247"/>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Consolidated</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18,778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5,432</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r>
        <w:trPr>
          <w:trHeight w:val="475"/>
        </w:trPr>
        <w:tc>
          <w:tcPr>
            <w:tcW w:w="7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gridSpan w:val="2"/>
          </w:tcPr>
          <w:p>
            <w:pPr>
              <w:ind w:left="140"/>
              <w:spacing w:after="0"/>
              <w:rPr>
                <w:sz w:val="20"/>
                <w:szCs w:val="20"/>
                <w:color w:val="auto"/>
              </w:rPr>
            </w:pPr>
            <w:r>
              <w:rPr>
                <w:rFonts w:ascii="Arial" w:cs="Arial" w:eastAsia="Arial" w:hAnsi="Arial"/>
                <w:sz w:val="17"/>
                <w:szCs w:val="17"/>
                <w:b w:val="1"/>
                <w:bCs w:val="1"/>
                <w:color w:val="auto"/>
              </w:rPr>
              <w:t>March 31, 2022</w:t>
            </w:r>
          </w:p>
        </w:tc>
        <w:tc>
          <w:tcPr>
            <w:tcW w:w="200" w:type="dxa"/>
            <w:vAlign w:val="bottom"/>
          </w:tcPr>
          <w:p>
            <w:pPr>
              <w:spacing w:after="0"/>
              <w:rPr>
                <w:sz w:val="24"/>
                <w:szCs w:val="24"/>
                <w:color w:val="auto"/>
              </w:rPr>
            </w:pPr>
          </w:p>
        </w:tc>
        <w:tc>
          <w:tcPr>
            <w:tcW w:w="1760" w:type="dxa"/>
            <w:vAlign w:val="bottom"/>
          </w:tcPr>
          <w:p>
            <w:pPr>
              <w:jc w:val="right"/>
              <w:ind w:right="193"/>
              <w:spacing w:after="0"/>
              <w:rPr>
                <w:sz w:val="20"/>
                <w:szCs w:val="20"/>
                <w:color w:val="auto"/>
              </w:rPr>
            </w:pPr>
            <w:r>
              <w:rPr>
                <w:rFonts w:ascii="Arial" w:cs="Arial" w:eastAsia="Arial" w:hAnsi="Arial"/>
                <w:sz w:val="17"/>
                <w:szCs w:val="17"/>
                <w:b w:val="1"/>
                <w:bCs w:val="1"/>
                <w:color w:val="auto"/>
                <w:w w:val="95"/>
              </w:rPr>
              <w:t>December 31, 2021</w:t>
            </w:r>
          </w:p>
        </w:tc>
      </w:tr>
      <w:tr>
        <w:trPr>
          <w:trHeight w:val="248"/>
        </w:trPr>
        <w:tc>
          <w:tcPr>
            <w:tcW w:w="7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260" w:type="dxa"/>
            <w:vAlign w:val="bottom"/>
            <w:tcBorders>
              <w:top w:val="single" w:sz="8" w:color="auto"/>
            </w:tcBorders>
            <w:shd w:val="clear" w:color="auto" w:fill="CCEEFF"/>
          </w:tcPr>
          <w:p>
            <w:pPr>
              <w:spacing w:after="0"/>
              <w:rPr>
                <w:sz w:val="21"/>
                <w:szCs w:val="21"/>
                <w:color w:val="auto"/>
              </w:rPr>
            </w:pPr>
          </w:p>
        </w:tc>
        <w:tc>
          <w:tcPr>
            <w:tcW w:w="17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760" w:type="dxa"/>
            <w:vAlign w:val="bottom"/>
            <w:tcBorders>
              <w:top w:val="single" w:sz="8" w:color="auto"/>
            </w:tcBorders>
            <w:shd w:val="clear" w:color="auto" w:fill="CCEEFF"/>
          </w:tcPr>
          <w:p>
            <w:pPr>
              <w:spacing w:after="0"/>
              <w:rPr>
                <w:sz w:val="21"/>
                <w:szCs w:val="21"/>
                <w:color w:val="auto"/>
              </w:rPr>
            </w:pPr>
          </w:p>
        </w:tc>
      </w:tr>
      <w:tr>
        <w:trPr>
          <w:trHeight w:val="242"/>
        </w:trPr>
        <w:tc>
          <w:tcPr>
            <w:tcW w:w="7220" w:type="dxa"/>
            <w:vAlign w:val="bottom"/>
          </w:tcPr>
          <w:p>
            <w:pPr>
              <w:ind w:left="20"/>
              <w:spacing w:after="0"/>
              <w:rPr>
                <w:sz w:val="20"/>
                <w:szCs w:val="20"/>
                <w:color w:val="auto"/>
              </w:rPr>
            </w:pPr>
            <w:r>
              <w:rPr>
                <w:rFonts w:ascii="Arial" w:cs="Arial" w:eastAsia="Arial" w:hAnsi="Arial"/>
                <w:sz w:val="17"/>
                <w:szCs w:val="17"/>
                <w:color w:val="auto"/>
              </w:rPr>
              <w:t>Gevo</w:t>
            </w: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1700" w:type="dxa"/>
            <w:vAlign w:val="bottom"/>
          </w:tcPr>
          <w:p>
            <w:pPr>
              <w:jc w:val="right"/>
              <w:spacing w:after="0"/>
              <w:rPr>
                <w:sz w:val="20"/>
                <w:szCs w:val="20"/>
                <w:color w:val="auto"/>
              </w:rPr>
            </w:pPr>
            <w:r>
              <w:rPr>
                <w:rFonts w:ascii="Arial" w:cs="Arial" w:eastAsia="Arial" w:hAnsi="Arial"/>
                <w:sz w:val="17"/>
                <w:szCs w:val="17"/>
                <w:color w:val="auto"/>
              </w:rPr>
              <w:t>450,048</w:t>
            </w:r>
          </w:p>
        </w:tc>
        <w:tc>
          <w:tcPr>
            <w:tcW w:w="100" w:type="dxa"/>
            <w:vAlign w:val="bottom"/>
          </w:tcPr>
          <w:p>
            <w:pPr>
              <w:spacing w:after="0"/>
              <w:rPr>
                <w:sz w:val="21"/>
                <w:szCs w:val="21"/>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760" w:type="dxa"/>
            <w:vAlign w:val="bottom"/>
          </w:tcPr>
          <w:p>
            <w:pPr>
              <w:jc w:val="right"/>
              <w:spacing w:after="0"/>
              <w:rPr>
                <w:sz w:val="20"/>
                <w:szCs w:val="20"/>
                <w:color w:val="auto"/>
              </w:rPr>
            </w:pPr>
            <w:r>
              <w:rPr>
                <w:rFonts w:ascii="Arial" w:cs="Arial" w:eastAsia="Arial" w:hAnsi="Arial"/>
                <w:sz w:val="17"/>
                <w:szCs w:val="17"/>
                <w:color w:val="auto"/>
              </w:rPr>
              <w:t>484,528</w:t>
            </w:r>
          </w:p>
        </w:tc>
      </w:tr>
      <w:tr>
        <w:trPr>
          <w:trHeight w:val="255"/>
        </w:trPr>
        <w:tc>
          <w:tcPr>
            <w:tcW w:w="7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Agri-Energy</w:t>
            </w:r>
          </w:p>
        </w:tc>
        <w:tc>
          <w:tcPr>
            <w:tcW w:w="260" w:type="dxa"/>
            <w:vAlign w:val="bottom"/>
            <w:shd w:val="clear" w:color="auto" w:fill="CCEEFF"/>
          </w:tcPr>
          <w:p>
            <w:pPr>
              <w:spacing w:after="0"/>
              <w:rPr>
                <w:sz w:val="22"/>
                <w:szCs w:val="22"/>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65,834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64,008</w:t>
            </w:r>
          </w:p>
        </w:tc>
      </w:tr>
      <w:tr>
        <w:trPr>
          <w:trHeight w:val="242"/>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Renewable Natural Gas</w:t>
            </w:r>
          </w:p>
        </w:tc>
        <w:tc>
          <w:tcPr>
            <w:tcW w:w="26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122,778</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117,940</w:t>
            </w:r>
          </w:p>
        </w:tc>
      </w:tr>
      <w:tr>
        <w:trPr>
          <w:trHeight w:val="273"/>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Consolidated (1)</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638,660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666,476</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 Subsequent Events</w:t>
      </w:r>
    </w:p>
    <w:p>
      <w:pPr>
        <w:spacing w:after="0" w:line="255" w:lineRule="exact"/>
        <w:rPr>
          <w:sz w:val="20"/>
          <w:szCs w:val="20"/>
          <w:color w:val="auto"/>
        </w:rPr>
      </w:pPr>
    </w:p>
    <w:p>
      <w:pPr>
        <w:ind w:right="160" w:firstLine="470"/>
        <w:spacing w:after="0" w:line="267" w:lineRule="auto"/>
        <w:rPr>
          <w:sz w:val="20"/>
          <w:szCs w:val="20"/>
          <w:color w:val="auto"/>
        </w:rPr>
      </w:pPr>
      <w:r>
        <w:rPr>
          <w:rFonts w:ascii="Arial" w:cs="Arial" w:eastAsia="Arial" w:hAnsi="Arial"/>
          <w:sz w:val="17"/>
          <w:szCs w:val="17"/>
          <w:color w:val="auto"/>
        </w:rPr>
        <w:t>In April 2022, Gevo signed an amendment to its Fuel Supply Agreement with Rock River Jerseys, LLC ("RRJ") to reimburse RRJ for part of the cost to install and operate covers for the lagoons at the RRJ dairy. This will allow Gevo to optimize efficiencies and could significantly improve the carbon intensity score at NW Iowa RNG. The Company's estimated share of the total capital cost for the improvements is approximately $1.9 million. The installation is expected to be completed early in the third quarter of 2022.</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32" w:lineRule="exact"/>
        <w:rPr>
          <w:sz w:val="20"/>
          <w:szCs w:val="20"/>
          <w:color w:val="auto"/>
        </w:rPr>
      </w:pPr>
    </w:p>
    <w:p>
      <w:pPr>
        <w:ind w:firstLine="470"/>
        <w:spacing w:after="0" w:line="293" w:lineRule="auto"/>
        <w:rPr>
          <w:sz w:val="20"/>
          <w:szCs w:val="20"/>
          <w:color w:val="auto"/>
        </w:rPr>
      </w:pPr>
      <w:r>
        <w:rPr>
          <w:rFonts w:ascii="Arial" w:cs="Arial" w:eastAsia="Arial" w:hAnsi="Arial"/>
          <w:sz w:val="15"/>
          <w:szCs w:val="15"/>
          <w:color w:val="auto"/>
        </w:rPr>
        <w:t>This Quarterly Report on Form 10-Q (this “Report”) contains forward-looking statements within the meaning of Section 21E of the Securities Exchange Act of 1934, as amended (the “Exchange Act”). When used anywhere in this Report, the words “expect,” “believe,” “anticipate,” “estimate,” “intend,” “plan” and similar expressions are intended to identify forward-looking statements. These statements relate to future events or our future financial or operational performance and involve known and unknown risks, uncertainties and other factors that could cause our actual results, levels of activity, performance or achievements to differ materially from those expressed or implied by these forward-looking statements. These statements reflect our current views with respect to future events and are based on assumptions and subject to risks and uncertainties. These forward-looking statements include, among other things, statements about: the impact of the novel coronavirus ("COVID-19") pandemic on our business, our financial condition, our results of operation and liquidity, our ability to finance and construct our Net-Zero 1 Project (as defined below), our ability to produce our products at our demonstration facility in Luverne, Minnesota (the “Luverne Facility”) or elsewhere, our ability to meet production, financial and operational guidance, our strategy to pursue low-carbon or "net-zero" carbon renewable fuels for sale into California and elsewhere, our ability to replace our fossil-based energy sources with renewable energy sources at our Net-Zero 1 Project, our Luverne Facility and elsewhere, our ability and plans to construct a greenfield commercial hydrocarbon facility to produce sustainable aviation fuel ("SAF") and renewable premium gasoline/isooctane, our ability to raise additional funds to finance our business, our ability to perform under our existing off-take agreements and other supply agreements we may enter into in the future, our ability to successfully construct and operate our renewable natural gas ("RNG") project in Iowa, our ability to produce renewable hydrocarbon products at a commercial level and at a profit, achievement of advances in our technology platform, the availability of suitable and cost-competitive feedstocks, our ability to gain market acceptance for our products, the expected cost-competitiveness and relative performance attributes of our products, our strategy to pursue alcohol-to-SAF, additional competition and changes in economic conditions and the future price and volatility of petroleum and products derived from petroleum. Important factors could cause actual results to differ materially from those indicated or implied by forward-looking statements such as those contained in documents we have filed with the U.S. Securities and Exchange Commission (the “SEC”), including this Report in Item 7. “Management’s Discussion and Analysis of Financial Condition and Results of Operations,” our Annual Report on Form 10-K for the year ended December 31, 2021 (our “2021 Annual Report”), including Item 1A. "Risk Factors" of our 2021 Annual Report and subsequent reports on Form 10-Q. All forward-looking statements in this Report are qualified entirely by the cautionary statements included in this Report and such other filings. These risks and uncertainties or other important factors could cause actual results to differ materially from results expressed or implied by forward-looking statements contained in this Report. These forward-looking statements speak only as of the date of this Report. We undertake no intention or obligation to update or revise any forward-looking statements, whether as a result of new information, future events or otherwise, and readers should not rely on the forward-looking statements as representing the Company’s views as of any date subsequent to the date of the filing of this Report.</w:t>
      </w:r>
    </w:p>
    <w:p>
      <w:pPr>
        <w:spacing w:after="0" w:line="39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Unless the context requires otherwise, in this Report the terms “we,” “us,” “our” and the “Company” refer to Gevo, Inc. and its subsidiaries.</w:t>
      </w:r>
    </w:p>
    <w:p>
      <w:pPr>
        <w:spacing w:after="0" w:line="26" w:lineRule="exact"/>
        <w:rPr>
          <w:sz w:val="20"/>
          <w:szCs w:val="20"/>
          <w:color w:val="auto"/>
        </w:rPr>
      </w:pPr>
    </w:p>
    <w:p>
      <w:pPr>
        <w:jc w:val="both"/>
        <w:ind w:right="280" w:firstLine="470"/>
        <w:spacing w:after="0" w:line="289" w:lineRule="auto"/>
        <w:rPr>
          <w:sz w:val="20"/>
          <w:szCs w:val="20"/>
          <w:color w:val="auto"/>
        </w:rPr>
      </w:pPr>
      <w:r>
        <w:rPr>
          <w:rFonts w:ascii="Arial" w:cs="Arial" w:eastAsia="Arial" w:hAnsi="Arial"/>
          <w:sz w:val="16"/>
          <w:szCs w:val="16"/>
          <w:color w:val="auto"/>
        </w:rPr>
        <w:t>The following discussion should be read in conjunction with our unaudited consolidated financial statements and the related notes and other financial information appearing elsewhere in this Report. Readers are also urged to carefully review and consider the various disclosures made by us which attempt to advise interested parties of the factors which affect our business, including, without limitation, the disclosures in our 2021 Annual Report.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 Overview</w:t>
      </w:r>
    </w:p>
    <w:p>
      <w:pPr>
        <w:spacing w:after="0" w:line="32" w:lineRule="exact"/>
        <w:rPr>
          <w:sz w:val="20"/>
          <w:szCs w:val="20"/>
          <w:color w:val="auto"/>
        </w:rPr>
      </w:pPr>
    </w:p>
    <w:p>
      <w:pPr>
        <w:ind w:right="20" w:firstLine="470"/>
        <w:spacing w:after="0" w:line="262" w:lineRule="auto"/>
        <w:rPr>
          <w:sz w:val="20"/>
          <w:szCs w:val="20"/>
          <w:color w:val="auto"/>
        </w:rPr>
      </w:pPr>
      <w:r>
        <w:rPr>
          <w:rFonts w:ascii="Arial" w:cs="Arial" w:eastAsia="Arial" w:hAnsi="Arial"/>
          <w:sz w:val="17"/>
          <w:szCs w:val="17"/>
          <w:color w:val="auto"/>
        </w:rPr>
        <w:t>Gevo, Inc. (Nasdaq: GEVO), a Delaware corporation founded in 2005, is a growth-oriented company with the mission of solving the problem of greenhouse gas emissions for those sectors of the transportation industry that are not amenable to electrification or hydrogen. We believe that the market size for hydrocarbon fuels will continue to remain significant in the long-term even with the rapid adoption of electric vehicles and hydrogen technologies. We also believe that we can achieve at least one billion gallons of hydrocarbon production and sales by 2030.</w:t>
      </w:r>
    </w:p>
    <w:p>
      <w:pPr>
        <w:spacing w:after="0" w:line="206" w:lineRule="exact"/>
        <w:rPr>
          <w:sz w:val="20"/>
          <w:szCs w:val="20"/>
          <w:color w:val="auto"/>
        </w:rPr>
      </w:pPr>
    </w:p>
    <w:p>
      <w:pPr>
        <w:ind w:right="400" w:firstLine="470"/>
        <w:spacing w:after="0" w:line="288" w:lineRule="auto"/>
        <w:rPr>
          <w:sz w:val="20"/>
          <w:szCs w:val="20"/>
          <w:color w:val="auto"/>
        </w:rPr>
      </w:pPr>
      <w:r>
        <w:rPr>
          <w:rFonts w:ascii="Arial" w:cs="Arial" w:eastAsia="Arial" w:hAnsi="Arial"/>
          <w:sz w:val="17"/>
          <w:szCs w:val="17"/>
          <w:color w:val="auto"/>
        </w:rPr>
        <w:t>We are focused on transforming renewable energy into energy-dense liquid hydrocarbons that can be used as renewable fuels, such as SAF, with the potential to achieve a “net-zero” greenhouse gas ("GHG") footprint. We believe</w:t>
      </w: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376" w:right="379" w:bottom="1440" w:gutter="0" w:footer="0" w:header="0"/>
        </w:sectPr>
      </w:pPr>
    </w:p>
    <w:bookmarkStart w:id="25" w:name="page26"/>
    <w:bookmarkEnd w:id="25"/>
    <w:p>
      <w:pPr>
        <w:ind w:right="140"/>
        <w:spacing w:after="0" w:line="318" w:lineRule="auto"/>
        <w:rPr>
          <w:sz w:val="20"/>
          <w:szCs w:val="20"/>
          <w:color w:val="auto"/>
        </w:rPr>
      </w:pPr>
      <w:r>
        <w:rPr>
          <w:rFonts w:ascii="Arial" w:cs="Arial" w:eastAsia="Arial" w:hAnsi="Arial"/>
          <w:sz w:val="15"/>
          <w:szCs w:val="15"/>
          <w:color w:val="auto"/>
        </w:rPr>
        <w:t>that this addresses the global need of reducing GHG emissions with "drop in" sustainable alternatives to petroleum fuels. We use Argonne National Laboratory’s GREET (Greenhouse gases, Regulated Emissions, and Energy use in Transportation) model (the "GREET Model") to measure, predict and verify GHG</w:t>
      </w:r>
    </w:p>
    <w:p>
      <w:pPr>
        <w:ind w:right="160"/>
        <w:spacing w:after="0" w:line="272" w:lineRule="auto"/>
        <w:rPr>
          <w:sz w:val="20"/>
          <w:szCs w:val="20"/>
          <w:color w:val="auto"/>
        </w:rPr>
      </w:pPr>
      <w:r>
        <w:rPr>
          <w:rFonts w:ascii="Arial" w:cs="Arial" w:eastAsia="Arial" w:hAnsi="Arial"/>
          <w:sz w:val="17"/>
          <w:szCs w:val="17"/>
          <w:color w:val="auto"/>
        </w:rPr>
        <w:t>emissions across the life cycle of our products. The "net-zero" concept means that we expect to produce fuels that could have carbon neutral or net-zero GHG footprint across the whole of the life cycle of the fuel from capture of renewable carbon, through production, and subsequent burning of the fuel in, for example, a jet engine.</w:t>
      </w:r>
    </w:p>
    <w:p>
      <w:pPr>
        <w:spacing w:after="0" w:line="198" w:lineRule="exact"/>
        <w:rPr>
          <w:sz w:val="20"/>
          <w:szCs w:val="20"/>
          <w:color w:val="auto"/>
        </w:rPr>
      </w:pPr>
    </w:p>
    <w:p>
      <w:pPr>
        <w:ind w:right="160" w:firstLine="470"/>
        <w:spacing w:after="0" w:line="288" w:lineRule="auto"/>
        <w:rPr>
          <w:sz w:val="20"/>
          <w:szCs w:val="20"/>
          <w:color w:val="auto"/>
        </w:rPr>
      </w:pPr>
      <w:r>
        <w:rPr>
          <w:rFonts w:ascii="Arial" w:cs="Arial" w:eastAsia="Arial" w:hAnsi="Arial"/>
          <w:sz w:val="16"/>
          <w:szCs w:val="16"/>
          <w:color w:val="auto"/>
        </w:rPr>
        <w:t>Our primary market focus, given current demand and growing customer interest, is SAF. We believe that we also have commercial opportunities for other renewable hydrocarbon products, such as hydrocarbons for gasoline blendstocks and diesel fuel; ingredients for the chemical industry, such as ethylene and butenes; plastics and materials; and other chemicals. The global fuel consumption by commercial airlines was an all-time high of 95 billion gallons in 2019. However, due to the COVID-19 pandemic, fuel consumption dropped to 52 billion gallons in 2020 and reached 57 billion gallons in 2021.</w:t>
      </w:r>
    </w:p>
    <w:p>
      <w:pPr>
        <w:spacing w:after="0" w:line="18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believe that there is a growing and significant market demand for SAF based on a number of factors, including:</w:t>
      </w:r>
    </w:p>
    <w:p>
      <w:pPr>
        <w:spacing w:after="0" w:line="282" w:lineRule="exact"/>
        <w:rPr>
          <w:sz w:val="20"/>
          <w:szCs w:val="20"/>
          <w:color w:val="auto"/>
        </w:rPr>
      </w:pPr>
    </w:p>
    <w:p>
      <w:pPr>
        <w:jc w:val="both"/>
        <w:ind w:left="1100" w:hanging="137"/>
        <w:spacing w:after="0" w:line="221" w:lineRule="auto"/>
        <w:tabs>
          <w:tab w:leader="none" w:pos="157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International Air Transport Association ("IATA") 77</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Annual General Meeting approved a resolution for the global air transport indust achieve net-zero carbon emissions by 2050. IATA has 288 airline members, including Alaska Airlines, American Airlines, Delta Air Lines, F Express, United Airlines and UPS Airlines.</w:t>
      </w:r>
    </w:p>
    <w:p>
      <w:pPr>
        <w:spacing w:after="0" w:line="14" w:lineRule="exact"/>
        <w:rPr>
          <w:rFonts w:ascii="Arial" w:cs="Arial" w:eastAsia="Arial" w:hAnsi="Arial"/>
          <w:sz w:val="17"/>
          <w:szCs w:val="17"/>
          <w:color w:val="auto"/>
        </w:rPr>
      </w:pPr>
    </w:p>
    <w:p>
      <w:pPr>
        <w:jc w:val="both"/>
        <w:ind w:left="1100" w:right="20" w:hanging="137"/>
        <w:spacing w:after="0"/>
        <w:tabs>
          <w:tab w:leader="none" w:pos="157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Starting on March 1, 2020, Delta Air Lines committed spending $1 billion over the next 10 years on its objective around mitigating emis from its global business going forward. Delta will invest in driving innovation, advancing clean air travel technologies, accelerating the reducti carbon emissions and waste and establishing new projects to mitigate the balance of emissions.</w:t>
      </w:r>
    </w:p>
    <w:p>
      <w:pPr>
        <w:spacing w:after="0" w:line="27" w:lineRule="exact"/>
        <w:rPr>
          <w:rFonts w:ascii="Arial" w:cs="Arial" w:eastAsia="Arial" w:hAnsi="Arial"/>
          <w:sz w:val="17"/>
          <w:szCs w:val="17"/>
          <w:color w:val="auto"/>
        </w:rPr>
      </w:pPr>
    </w:p>
    <w:p>
      <w:pPr>
        <w:ind w:left="1580" w:hanging="617"/>
        <w:spacing w:after="0"/>
        <w:tabs>
          <w:tab w:leader="none" w:pos="15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 xml:space="preserve">The </w:t>
      </w:r>
      <w:r>
        <w:rPr>
          <w:rFonts w:ascii="Arial" w:cs="Arial" w:eastAsia="Arial" w:hAnsi="Arial"/>
          <w:sz w:val="15"/>
          <w:szCs w:val="15"/>
          <w:b w:val="1"/>
          <w:bCs w:val="1"/>
          <w:i w:val="1"/>
          <w:iCs w:val="1"/>
          <w:color w:val="auto"/>
        </w:rPr>
        <w:t>one</w:t>
      </w:r>
      <w:r>
        <w:rPr>
          <w:rFonts w:ascii="Arial" w:cs="Arial" w:eastAsia="Arial" w:hAnsi="Arial"/>
          <w:sz w:val="15"/>
          <w:szCs w:val="15"/>
          <w:i w:val="1"/>
          <w:iCs w:val="1"/>
          <w:color w:val="auto"/>
        </w:rPr>
        <w:t>world®</w:t>
      </w:r>
      <w:r>
        <w:rPr>
          <w:rFonts w:ascii="Arial" w:cs="Arial" w:eastAsia="Arial" w:hAnsi="Arial"/>
          <w:sz w:val="15"/>
          <w:szCs w:val="15"/>
          <w:color w:val="auto"/>
        </w:rPr>
        <w:t xml:space="preserve"> alliance committed to a target of 10% SAF use across the alliance by 2030 and plans to reach net zero emissions by 2050.</w:t>
      </w:r>
    </w:p>
    <w:p>
      <w:pPr>
        <w:spacing w:after="0" w:line="389" w:lineRule="exact"/>
        <w:rPr>
          <w:sz w:val="20"/>
          <w:szCs w:val="20"/>
          <w:color w:val="auto"/>
        </w:rPr>
      </w:pPr>
    </w:p>
    <w:p>
      <w:pPr>
        <w:ind w:right="180" w:firstLine="470"/>
        <w:spacing w:after="0" w:line="267" w:lineRule="auto"/>
        <w:rPr>
          <w:sz w:val="20"/>
          <w:szCs w:val="20"/>
          <w:color w:val="auto"/>
        </w:rPr>
      </w:pPr>
      <w:r>
        <w:rPr>
          <w:rFonts w:ascii="Arial" w:cs="Arial" w:eastAsia="Arial" w:hAnsi="Arial"/>
          <w:sz w:val="17"/>
          <w:szCs w:val="17"/>
          <w:color w:val="auto"/>
        </w:rPr>
        <w:t>We believe we possess the technology and know-how to convert various carbohydrate feeds through a fermentation process into alcohols and then transform the alcohols into renewable fuels and materials. While we expect our first major capital deployments to focus on the production of SAF, we recognize that there are opportunities to operate in several different renewable fuels and materials markets and we will pursue those opportunities when appropriate based on customer interest, access to capital, and expected investment returns.</w:t>
      </w:r>
    </w:p>
    <w:p>
      <w:pPr>
        <w:spacing w:after="0" w:line="202" w:lineRule="exact"/>
        <w:rPr>
          <w:sz w:val="20"/>
          <w:szCs w:val="20"/>
          <w:color w:val="auto"/>
        </w:rPr>
      </w:pPr>
    </w:p>
    <w:p>
      <w:pPr>
        <w:ind w:right="260" w:firstLine="470"/>
        <w:spacing w:after="0" w:line="304" w:lineRule="auto"/>
        <w:rPr>
          <w:sz w:val="20"/>
          <w:szCs w:val="20"/>
          <w:color w:val="auto"/>
        </w:rPr>
      </w:pPr>
      <w:r>
        <w:rPr>
          <w:rFonts w:ascii="Arial" w:cs="Arial" w:eastAsia="Arial" w:hAnsi="Arial"/>
          <w:sz w:val="15"/>
          <w:szCs w:val="15"/>
          <w:color w:val="auto"/>
        </w:rPr>
        <w:t>Our production processes use carbohydrates as a feedstock. Carbohydrates are plant matter that result from photosynthesis. Photosynthesis is the natural process by which carbon dioxide is captured from the air by plants. The carbon in carbohydrates is therefore renewable because it is already in the atmosphere. The carbohydrates are fermented to produce alcohol intermediate products (e.g., ethanol or isobutanol). The alcohol-based intermediates are then chemically processed to make renewable hydrocarbons. To achieve net-zero carbon intensity ("CI") across the whole life cycle of the products, we believe:</w:t>
      </w:r>
    </w:p>
    <w:p>
      <w:pPr>
        <w:spacing w:after="0" w:line="2" w:lineRule="exact"/>
        <w:rPr>
          <w:sz w:val="20"/>
          <w:szCs w:val="20"/>
          <w:color w:val="auto"/>
        </w:rPr>
      </w:pPr>
    </w:p>
    <w:p>
      <w:pPr>
        <w:ind w:left="1580" w:hanging="617"/>
        <w:spacing w:after="0"/>
        <w:tabs>
          <w:tab w:leader="none" w:pos="15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carbohydrates with a low CI score must be used in production;</w:t>
      </w:r>
    </w:p>
    <w:p>
      <w:pPr>
        <w:spacing w:after="0" w:line="39" w:lineRule="exact"/>
        <w:rPr>
          <w:rFonts w:ascii="Arial" w:cs="Arial" w:eastAsia="Arial" w:hAnsi="Arial"/>
          <w:sz w:val="17"/>
          <w:szCs w:val="17"/>
          <w:color w:val="auto"/>
        </w:rPr>
      </w:pPr>
    </w:p>
    <w:p>
      <w:pPr>
        <w:ind w:left="1580" w:hanging="617"/>
        <w:spacing w:after="0"/>
        <w:tabs>
          <w:tab w:leader="none" w:pos="15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energy (electricity and heat source) used in production must be de-fossilized; and</w:t>
      </w:r>
    </w:p>
    <w:p>
      <w:pPr>
        <w:spacing w:after="0" w:line="39" w:lineRule="exact"/>
        <w:rPr>
          <w:rFonts w:ascii="Arial" w:cs="Arial" w:eastAsia="Arial" w:hAnsi="Arial"/>
          <w:sz w:val="17"/>
          <w:szCs w:val="17"/>
          <w:color w:val="auto"/>
        </w:rPr>
      </w:pPr>
    </w:p>
    <w:p>
      <w:pPr>
        <w:ind w:left="1580" w:hanging="617"/>
        <w:spacing w:after="0"/>
        <w:tabs>
          <w:tab w:leader="none" w:pos="15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products cannot contain fossil-based carbon.</w:t>
      </w:r>
    </w:p>
    <w:p>
      <w:pPr>
        <w:spacing w:after="0" w:line="340" w:lineRule="exact"/>
        <w:rPr>
          <w:sz w:val="20"/>
          <w:szCs w:val="20"/>
          <w:color w:val="auto"/>
        </w:rPr>
      </w:pPr>
    </w:p>
    <w:p>
      <w:pPr>
        <w:ind w:right="260" w:firstLine="470"/>
        <w:spacing w:after="0" w:line="280" w:lineRule="auto"/>
        <w:rPr>
          <w:sz w:val="20"/>
          <w:szCs w:val="20"/>
          <w:color w:val="auto"/>
        </w:rPr>
      </w:pPr>
      <w:r>
        <w:rPr>
          <w:rFonts w:ascii="Arial" w:cs="Arial" w:eastAsia="Arial" w:hAnsi="Arial"/>
          <w:sz w:val="17"/>
          <w:szCs w:val="17"/>
          <w:color w:val="auto"/>
        </w:rPr>
        <w:t>We believe sustainably grown corn (i.e., corn that is grown with precision agricultural techniques and low-till or no till cultivation to conserve nutrients, prevent water runoff and erosion) is a good feedstock because:</w:t>
      </w:r>
    </w:p>
    <w:p>
      <w:pPr>
        <w:spacing w:after="0" w:line="1" w:lineRule="exact"/>
        <w:rPr>
          <w:sz w:val="20"/>
          <w:szCs w:val="20"/>
          <w:color w:val="auto"/>
        </w:rPr>
      </w:pPr>
    </w:p>
    <w:p>
      <w:pPr>
        <w:ind w:left="1100" w:hanging="137"/>
        <w:spacing w:after="0" w:line="256" w:lineRule="auto"/>
        <w:tabs>
          <w:tab w:leader="none" w:pos="157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it produces a significant amount of protein and vegetable oil for nutritional products on a per acre basis while also producing an abundance o low CI carbohydrates that can be captured and used as a feedstock for fuels and chemicals;</w:t>
      </w:r>
    </w:p>
    <w:p>
      <w:pPr>
        <w:spacing w:after="0" w:line="1" w:lineRule="exact"/>
        <w:rPr>
          <w:rFonts w:ascii="Arial" w:cs="Arial" w:eastAsia="Arial" w:hAnsi="Arial"/>
          <w:sz w:val="17"/>
          <w:szCs w:val="17"/>
          <w:color w:val="auto"/>
        </w:rPr>
      </w:pPr>
    </w:p>
    <w:p>
      <w:pPr>
        <w:ind w:left="1100" w:right="20" w:hanging="137"/>
        <w:spacing w:after="0" w:line="256" w:lineRule="auto"/>
        <w:tabs>
          <w:tab w:leader="none" w:pos="157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protein and oil that are produced are easily separated and sold as co-products into the food chain markets. The protein and oil revenue se to offset the cost of the corn feedstock;</w:t>
      </w:r>
    </w:p>
    <w:p>
      <w:pPr>
        <w:spacing w:after="0" w:line="1" w:lineRule="exact"/>
        <w:rPr>
          <w:rFonts w:ascii="Arial" w:cs="Arial" w:eastAsia="Arial" w:hAnsi="Arial"/>
          <w:sz w:val="17"/>
          <w:szCs w:val="17"/>
          <w:color w:val="auto"/>
        </w:rPr>
      </w:pPr>
    </w:p>
    <w:p>
      <w:pPr>
        <w:ind w:left="1100" w:hanging="137"/>
        <w:spacing w:after="0" w:line="256" w:lineRule="auto"/>
        <w:tabs>
          <w:tab w:leader="none" w:pos="157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believe that the carbon footprint of growing corn can be negative, according to calculations completed with the GREET Model, when a f suite of climate-smart agricultural practices are employed on appropriate acres of cropland.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1382" w:right="239" w:bottom="1440" w:gutter="0" w:footer="0" w:header="0"/>
        </w:sectPr>
      </w:pPr>
    </w:p>
    <w:bookmarkStart w:id="26" w:name="page27"/>
    <w:bookmarkEnd w:id="26"/>
    <w:p>
      <w:pPr>
        <w:ind w:left="20" w:right="100" w:firstLine="470"/>
        <w:spacing w:after="0" w:line="272" w:lineRule="auto"/>
        <w:rPr>
          <w:sz w:val="20"/>
          <w:szCs w:val="20"/>
          <w:color w:val="auto"/>
        </w:rPr>
      </w:pPr>
      <w:r>
        <w:rPr>
          <w:rFonts w:ascii="Arial" w:cs="Arial" w:eastAsia="Arial" w:hAnsi="Arial"/>
          <w:sz w:val="17"/>
          <w:szCs w:val="17"/>
          <w:color w:val="auto"/>
        </w:rPr>
        <w:t>We believe that utilizing sustainable agriculture practices to help solve GHG problems is a breakthrough that addresses the problem of GHGs without compromising sustainability or food supply. We also believe that it will be possible to create an incentive structure that rewards farmers to lower the CI score of their agricultural products and create a cycle of continuous improvement to their overall sustainability footprint.</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Net-Zero Projects</w:t>
      </w:r>
    </w:p>
    <w:p>
      <w:pPr>
        <w:spacing w:after="0" w:line="32" w:lineRule="exact"/>
        <w:rPr>
          <w:sz w:val="20"/>
          <w:szCs w:val="20"/>
          <w:color w:val="auto"/>
        </w:rPr>
      </w:pPr>
    </w:p>
    <w:p>
      <w:pPr>
        <w:ind w:left="20" w:right="80" w:firstLine="470"/>
        <w:spacing w:after="0" w:line="260" w:lineRule="auto"/>
        <w:rPr>
          <w:sz w:val="20"/>
          <w:szCs w:val="20"/>
          <w:color w:val="auto"/>
        </w:rPr>
      </w:pPr>
      <w:r>
        <w:rPr>
          <w:rFonts w:ascii="Arial" w:cs="Arial" w:eastAsia="Arial" w:hAnsi="Arial"/>
          <w:sz w:val="17"/>
          <w:szCs w:val="17"/>
          <w:color w:val="auto"/>
        </w:rPr>
        <w:t>In early 2021, we announced the concept of “Net-Zero Projects” as a series of planned facilities to produce energy dense liquid hydrocarbons using renewable energy and our proprietary technology. The concept of a Net-Zero Project is to convert renewable energy (e.g., photosynthetic, wind, renewable natural gas, biogas) from a variety of sources into energy dense liquid hydrocarbons that, when burned in traditional engines, have the potential to achieve net-zero GHG emissions across the whole lifecycle of the liquid fuel: from the way carbon is captured from the atmosphere, processed to make liquid fuel products, and including the end use (burning as a fuel for cars, planes, trucks and ships).</w:t>
      </w:r>
    </w:p>
    <w:p>
      <w:pPr>
        <w:spacing w:after="0" w:line="197" w:lineRule="exact"/>
        <w:rPr>
          <w:sz w:val="20"/>
          <w:szCs w:val="20"/>
          <w:color w:val="auto"/>
        </w:rPr>
      </w:pPr>
    </w:p>
    <w:p>
      <w:pPr>
        <w:ind w:left="20" w:right="20" w:firstLine="470"/>
        <w:spacing w:after="0" w:line="241" w:lineRule="auto"/>
        <w:rPr>
          <w:sz w:val="20"/>
          <w:szCs w:val="20"/>
          <w:color w:val="auto"/>
        </w:rPr>
      </w:pPr>
      <w:r>
        <w:rPr>
          <w:rFonts w:ascii="Arial" w:cs="Arial" w:eastAsia="Arial" w:hAnsi="Arial"/>
          <w:sz w:val="16"/>
          <w:szCs w:val="16"/>
          <w:color w:val="auto"/>
        </w:rPr>
        <w:t>We announced that our initial Net-Zero project (“Net-Zero 1 Project") is currently planned to be constructed at Lake Preston, South Dakota. We expect that the Net-Zero 1 Project will have the capability to produce liquid hydrocarbons that when burned have a “net-zero” GHG footprint. We currently expect the Net-Zero 1 Project to have a capacity of approximately 60 MGPY of hydrocarbons with the majority being SAF, along with naphtha and diesel blendstocks. All of the production for the Net-Zero 1 Project is backed by our current portfolio of take-or-pay contracts. Along with hydrocarbons, we expect to produce approximately 420 million pounds per year of high-value protein products for use in the food chain and more than 30 million pounds per year of corn oil. Significant progress has been made to date on site development, engineering of the facility, and permitting. Our products will be produced in two stages. The first stage involves alcohols production by fermentation and the second stage is the conversion of such alcohols into hydrocarbons. We have been working with Axens North America, Inc. ("Axens") to engineer the alcohols-to-hydrocarbon side of the production facility given their extensive commercial experience with their process and the performance guarantees that cover the entire alcohol-to-hydrocarbon process. The fermentation side of the production facility is being engineered with companies that have extensive experience in fermentation and ag-based facilities. We also expect to execute contracts to supply wind power and green hydrogen to the plant as well as to operate a wastewater treatment plant, which is expected to generate a significant amount of biogas. We expect to select an Engineering, Procurement, and Construction company by the end of the year to lead the construction phase of the Net-Zero 1 Project. We also expect to begin purchasing long lead time equipment later this year to enable completion of the facility in 2025. We are preparing for other major milestones such as site acquisition, preparation and construction work. Engineering work is on track, and we expect to break ground in late 2022, with the target completion date for the plant in 2025. In addition, substantial due diligence work is being performed on the next Net-Zero Projects, including review of potential sites against project criteria.</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Alcohols-to-SAF Strategy</w:t>
      </w:r>
    </w:p>
    <w:p>
      <w:pPr>
        <w:spacing w:after="0" w:line="21" w:lineRule="exact"/>
        <w:rPr>
          <w:sz w:val="20"/>
          <w:szCs w:val="20"/>
          <w:color w:val="auto"/>
        </w:rPr>
      </w:pPr>
    </w:p>
    <w:p>
      <w:pPr>
        <w:ind w:left="20" w:right="100" w:firstLine="470"/>
        <w:spacing w:after="0" w:line="266" w:lineRule="auto"/>
        <w:rPr>
          <w:sz w:val="20"/>
          <w:szCs w:val="20"/>
          <w:color w:val="auto"/>
        </w:rPr>
      </w:pPr>
      <w:r>
        <w:rPr>
          <w:rFonts w:ascii="Arial" w:cs="Arial" w:eastAsia="Arial" w:hAnsi="Arial"/>
          <w:sz w:val="15"/>
          <w:szCs w:val="15"/>
          <w:color w:val="auto"/>
        </w:rPr>
        <w:t>Alcohols can be converted to hydrocarbon products with catalytic chemical processing techniques analogous to those used in the petrochemical industry. In October 2021, we signed an agreement with Axens for their technology on this process since they have already scaled it up and they have licensed it to many commercial production facilities. The agreement establishes a strategic alliance aimed at accelerating the commercialization of sustainable alcohol-to-SAF projects in the United States. As part of the alliance, Axens brings technologies with over 60 related patents, engineering packages, proprietary catalysts and certain proprietary equipment required to convert alcohols into SAF and they will provide certain process guarantees to us.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Luverne Facility</w:t>
      </w:r>
    </w:p>
    <w:p>
      <w:pPr>
        <w:spacing w:after="0" w:line="255" w:lineRule="exact"/>
        <w:rPr>
          <w:sz w:val="20"/>
          <w:szCs w:val="20"/>
          <w:color w:val="auto"/>
        </w:rPr>
      </w:pPr>
    </w:p>
    <w:p>
      <w:pPr>
        <w:ind w:left="20" w:firstLine="470"/>
        <w:spacing w:after="0" w:line="282" w:lineRule="auto"/>
        <w:rPr>
          <w:sz w:val="20"/>
          <w:szCs w:val="20"/>
          <w:color w:val="auto"/>
        </w:rPr>
      </w:pPr>
      <w:r>
        <w:rPr>
          <w:rFonts w:ascii="Arial" w:cs="Arial" w:eastAsia="Arial" w:hAnsi="Arial"/>
          <w:sz w:val="16"/>
          <w:szCs w:val="16"/>
          <w:color w:val="auto"/>
        </w:rPr>
        <w:t>The Luverne Facility was originally constructed in 1998 and is located on approximately 55 acres of land, which contains approximately 50,000 square feet of building space. The Luverne Facility continues to provide valuable knowledge and experience for the future strategic growth of the Company and its billion-gallon initiative. As a development site, operations will continue to be tailored to support a focus on advancing our technology, testing and optimizing alternative feedstocks, yeast strains, and unit operations as well as partnership development for integrated GHG reductions. It is well equipped and positioned for optimization of the decarbonization and business circuits from feedstock to energy solutions. The site provides a unique opportunity to showcase our decarbonization and business systems and raise awareness for future partnerships, investors, and local communities.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716216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60"/>
          </w:cols>
          <w:pgMar w:left="300" w:top="1382"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color w:val="auto"/>
        </w:rPr>
        <w:t>Renewable Natural Gas Projects</w:t>
      </w:r>
    </w:p>
    <w:p>
      <w:pPr>
        <w:spacing w:after="0" w:line="32" w:lineRule="exact"/>
        <w:rPr>
          <w:sz w:val="20"/>
          <w:szCs w:val="20"/>
          <w:color w:val="auto"/>
        </w:rPr>
      </w:pPr>
    </w:p>
    <w:p>
      <w:pPr>
        <w:jc w:val="both"/>
        <w:ind w:right="180" w:firstLine="470"/>
        <w:spacing w:after="0" w:line="303" w:lineRule="auto"/>
        <w:rPr>
          <w:sz w:val="20"/>
          <w:szCs w:val="20"/>
          <w:color w:val="auto"/>
        </w:rPr>
      </w:pPr>
      <w:r>
        <w:rPr>
          <w:rFonts w:ascii="Arial" w:cs="Arial" w:eastAsia="Arial" w:hAnsi="Arial"/>
          <w:sz w:val="15"/>
          <w:szCs w:val="15"/>
          <w:color w:val="auto"/>
        </w:rPr>
        <w:t>In 2019, we began developing RNG projects. Manure can be digested anaerobically to produce biogas, which is then upgraded to pipeline quality RNG. RNG has value in markets such as California when injected and shipped through a natural gas pipeline. There is also value to Gevo’s hydrocarbon production process by giving us another option to achieve carbon negative GHG emissions on our renewable hydrocarbon products. The hydrocarbon products resulting</w:t>
      </w:r>
    </w:p>
    <w:p>
      <w:pPr>
        <w:spacing w:after="0" w:line="1" w:lineRule="exact"/>
        <w:rPr>
          <w:sz w:val="20"/>
          <w:szCs w:val="20"/>
          <w:color w:val="auto"/>
        </w:rPr>
      </w:pPr>
    </w:p>
    <w:p>
      <w:pPr>
        <w:ind w:right="300"/>
        <w:spacing w:after="0" w:line="272" w:lineRule="auto"/>
        <w:rPr>
          <w:sz w:val="20"/>
          <w:szCs w:val="20"/>
          <w:color w:val="auto"/>
        </w:rPr>
      </w:pPr>
      <w:r>
        <w:rPr>
          <w:rFonts w:ascii="Arial" w:cs="Arial" w:eastAsia="Arial" w:hAnsi="Arial"/>
          <w:sz w:val="17"/>
          <w:szCs w:val="17"/>
          <w:color w:val="auto"/>
        </w:rPr>
        <w:t>from such a decarbonization process have lower CI scores and increased market value, in addition to having a more positive impact on the environment. Our dairy farm partners realize a variety of benefits including improved operational and environmental compliance options. These services facilitate long-term relationships with project hosts that may serve as a source for future projects and relationships.</w:t>
      </w:r>
    </w:p>
    <w:p>
      <w:pPr>
        <w:spacing w:after="0" w:line="198" w:lineRule="exact"/>
        <w:rPr>
          <w:sz w:val="20"/>
          <w:szCs w:val="20"/>
          <w:color w:val="auto"/>
        </w:rPr>
      </w:pPr>
    </w:p>
    <w:p>
      <w:pPr>
        <w:ind w:right="360" w:firstLine="470"/>
        <w:spacing w:after="0" w:line="267" w:lineRule="auto"/>
        <w:rPr>
          <w:sz w:val="20"/>
          <w:szCs w:val="20"/>
          <w:color w:val="auto"/>
        </w:rPr>
      </w:pPr>
      <w:r>
        <w:rPr>
          <w:rFonts w:ascii="Arial" w:cs="Arial" w:eastAsia="Arial" w:hAnsi="Arial"/>
          <w:sz w:val="17"/>
          <w:szCs w:val="17"/>
          <w:color w:val="auto"/>
        </w:rPr>
        <w:t>We developed Gevo's initial RNG project in Northwest Iowa (“NW Iowa RNG”) to generate RNG captured from dairy cow manure, which will be supplied by three dairies located in Northwest Iowa totaling over 20,000 milking cows. We completed most of the construction efforts at the end of 2021. In January 2022, we began the process of bringing it online. All of the digesters are currently in the start-up phase and are expected to reach steady production levels in the second quarter of 2022.</w:t>
      </w:r>
    </w:p>
    <w:p>
      <w:pPr>
        <w:spacing w:after="0" w:line="189" w:lineRule="exact"/>
        <w:rPr>
          <w:sz w:val="20"/>
          <w:szCs w:val="20"/>
          <w:color w:val="auto"/>
        </w:rPr>
      </w:pPr>
    </w:p>
    <w:p>
      <w:pPr>
        <w:ind w:right="100" w:firstLine="470"/>
        <w:spacing w:after="0" w:line="231" w:lineRule="auto"/>
        <w:rPr>
          <w:sz w:val="20"/>
          <w:szCs w:val="20"/>
          <w:color w:val="auto"/>
        </w:rPr>
      </w:pPr>
      <w:r>
        <w:rPr>
          <w:rFonts w:ascii="Arial" w:cs="Arial" w:eastAsia="Arial" w:hAnsi="Arial"/>
          <w:sz w:val="17"/>
          <w:szCs w:val="17"/>
          <w:color w:val="auto"/>
        </w:rPr>
        <w:t>When fully operational, NW Iowa RNG is expected to generate approximately 355,000 MMBtu of RNG per year. We expect to sell this RNG into the California market under the dispensing agreements BP Canada Energy Marketing Corp. and BP Products North America Inc. (collectively, “BP”) has in place with Clean Energy Fuels Corp. The majority of the revenues are expected to commence in late 2022 or early in 2023 and will be derived from two main components. The first component consists of the sales of RNG and the second component consists of the environmental attributes associated with the RNG sales, including the attributes available from California’s Low Carbon Fuel Standard ("LCFS") program and the U.S. Environmental Protection Agency’s Renewable Fuels Standard ("RFS"). LCFS and RFS are state and federal programs, respectively, that provide incentives for the supply of low carbon renewable fuels in California and in the United States.</w:t>
      </w:r>
    </w:p>
    <w:p>
      <w:pPr>
        <w:spacing w:after="0" w:line="212" w:lineRule="exact"/>
        <w:rPr>
          <w:sz w:val="20"/>
          <w:szCs w:val="20"/>
          <w:color w:val="auto"/>
        </w:rPr>
      </w:pPr>
    </w:p>
    <w:p>
      <w:pPr>
        <w:ind w:right="120" w:firstLine="470"/>
        <w:spacing w:after="0" w:line="272" w:lineRule="auto"/>
        <w:rPr>
          <w:sz w:val="20"/>
          <w:szCs w:val="20"/>
          <w:color w:val="auto"/>
        </w:rPr>
      </w:pPr>
      <w:r>
        <w:rPr>
          <w:rFonts w:ascii="Arial" w:cs="Arial" w:eastAsia="Arial" w:hAnsi="Arial"/>
          <w:sz w:val="17"/>
          <w:szCs w:val="17"/>
          <w:color w:val="auto"/>
        </w:rPr>
        <w:t>We are also planning to make improvements to this RNG project by investing in capital projects that may significantly improve its CI score and revenue, which in turn strengthen the overall economics of the project. Gevo’s current estimated share of the capital cost for those improvements is approximately $1.9 million.</w:t>
      </w:r>
    </w:p>
    <w:p>
      <w:pPr>
        <w:spacing w:after="0" w:line="198" w:lineRule="exact"/>
        <w:rPr>
          <w:sz w:val="20"/>
          <w:szCs w:val="20"/>
          <w:color w:val="auto"/>
        </w:rPr>
      </w:pPr>
    </w:p>
    <w:p>
      <w:pPr>
        <w:ind w:right="220" w:firstLine="470"/>
        <w:spacing w:after="0" w:line="267" w:lineRule="auto"/>
        <w:rPr>
          <w:sz w:val="20"/>
          <w:szCs w:val="20"/>
          <w:color w:val="auto"/>
        </w:rPr>
      </w:pPr>
      <w:r>
        <w:rPr>
          <w:rFonts w:ascii="Arial" w:cs="Arial" w:eastAsia="Arial" w:hAnsi="Arial"/>
          <w:sz w:val="17"/>
          <w:szCs w:val="17"/>
          <w:color w:val="auto"/>
        </w:rPr>
        <w:t>We have strong relationships throughout the industry supply chain from technology and equipment providers to feedstock owners, and RNG off-takers. We believe that the trust and strong reputation we have attained in combination with our understanding of the various and complex environmental attributes gives us a competitive advantage. We leverage our relationships to identify and execute new project opportunities. Typically, new development opportunities come from our existing relationships with dairy owners who value our strong reputation in the industry.</w:t>
      </w:r>
    </w:p>
    <w:p>
      <w:pPr>
        <w:spacing w:after="0" w:line="202" w:lineRule="exact"/>
        <w:rPr>
          <w:sz w:val="20"/>
          <w:szCs w:val="20"/>
          <w:color w:val="auto"/>
        </w:rPr>
      </w:pPr>
    </w:p>
    <w:p>
      <w:pPr>
        <w:jc w:val="both"/>
        <w:ind w:right="60" w:firstLine="470"/>
        <w:spacing w:after="0" w:line="272" w:lineRule="auto"/>
        <w:rPr>
          <w:sz w:val="20"/>
          <w:szCs w:val="20"/>
          <w:color w:val="auto"/>
        </w:rPr>
      </w:pPr>
      <w:r>
        <w:rPr>
          <w:rFonts w:ascii="Arial" w:cs="Arial" w:eastAsia="Arial" w:hAnsi="Arial"/>
          <w:sz w:val="17"/>
          <w:szCs w:val="17"/>
          <w:color w:val="auto"/>
        </w:rPr>
        <w:t>We exercise financial discipline in pursuing projects by targeting attractive risk-adjusted project returns, whether selling RNG into the markets or using it to lower CI scores at our Net-Zero Projects. We will monitor biogas supply availability across our portfolio and seek to maximize production at existing projects by expanding operations when economically feasible.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Verity and Carbon Tracking</w:t>
      </w:r>
    </w:p>
    <w:p>
      <w:pPr>
        <w:spacing w:after="0" w:line="242" w:lineRule="exact"/>
        <w:rPr>
          <w:sz w:val="20"/>
          <w:szCs w:val="20"/>
          <w:color w:val="auto"/>
        </w:rPr>
      </w:pPr>
    </w:p>
    <w:p>
      <w:pPr>
        <w:ind w:right="100" w:firstLine="470"/>
        <w:spacing w:after="0" w:line="232" w:lineRule="auto"/>
        <w:rPr>
          <w:sz w:val="20"/>
          <w:szCs w:val="20"/>
          <w:color w:val="auto"/>
        </w:rPr>
      </w:pPr>
      <w:r>
        <w:rPr>
          <w:rFonts w:ascii="Arial" w:cs="Arial" w:eastAsia="Arial" w:hAnsi="Arial"/>
          <w:sz w:val="17"/>
          <w:szCs w:val="17"/>
          <w:color w:val="auto"/>
        </w:rPr>
        <w:t>Capturing and accurately counting carbon data across the whole of the business system is a critical part of Gevo’s business model, and the CI scores across the whole of the carbon lifecycle, from feedstock through the burning of fuels. Through the use of the GREET Model and a field level approach using Verity Tracking, our goal is to obtain carbon credits for the improved agricultural practices related to climate smart agriculture such as precision agriculture and tillage practices (i.e., low till and no-till cultivation). We believe there is an opportunity to document, verify, and monetize that carbon value which is not otherwise counted and reward value chain partners, including farmers, for improving sustainability. Gevo’s current economic projections do not take into account this upside in value.</w:t>
      </w:r>
    </w:p>
    <w:p>
      <w:pPr>
        <w:spacing w:after="0" w:line="199" w:lineRule="exact"/>
        <w:rPr>
          <w:sz w:val="20"/>
          <w:szCs w:val="20"/>
          <w:color w:val="auto"/>
        </w:rPr>
      </w:pPr>
    </w:p>
    <w:p>
      <w:pPr>
        <w:ind w:firstLine="470"/>
        <w:spacing w:after="0" w:line="254" w:lineRule="auto"/>
        <w:rPr>
          <w:sz w:val="20"/>
          <w:szCs w:val="20"/>
          <w:color w:val="auto"/>
        </w:rPr>
      </w:pPr>
      <w:r>
        <w:rPr>
          <w:rFonts w:ascii="Arial" w:cs="Arial" w:eastAsia="Arial" w:hAnsi="Arial"/>
          <w:sz w:val="16"/>
          <w:szCs w:val="16"/>
          <w:color w:val="auto"/>
        </w:rPr>
        <w:t>Verity Tracking is a joint venture between Gevo and Blocksize Capital GmbH to develop and commercialize carbon value and other sustainable attributes. Verity has developed and will continue to develop a proprietary platform based on Distributed Ledger Technology (“DLT” or commonly called “blockchain”). Verity is developing the capability to track sustainability attributes such as carbon reductions through a value chain with the utmost data security, audit capabilities and immutability. In addition, Verity will have the ability to work with all aspects of value chain decarbonization and create a</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28" w:name="page29"/>
    <w:bookmarkEnd w:id="28"/>
    <w:p>
      <w:pPr>
        <w:jc w:val="both"/>
        <w:ind w:right="420"/>
        <w:spacing w:after="0"/>
        <w:rPr>
          <w:sz w:val="20"/>
          <w:szCs w:val="20"/>
          <w:color w:val="auto"/>
        </w:rPr>
      </w:pPr>
      <w:r>
        <w:rPr>
          <w:rFonts w:ascii="Arial" w:cs="Arial" w:eastAsia="Arial" w:hAnsi="Arial"/>
          <w:sz w:val="17"/>
          <w:szCs w:val="17"/>
          <w:color w:val="auto"/>
        </w:rPr>
        <w:t>path for monetization of that carbon reduction, through processes such as “tokenization.” Verity and Gevo have recently partnered with Farmers Edge Inc. ("Farmers Edge"), a company dedicated to helping farmers track data and improve agricultural decision making. As of December 31, 2021, Farmers Edge reported over 3,800 growers with over 18 million subscribed acres having implemented their solutions.</w:t>
      </w:r>
    </w:p>
    <w:p>
      <w:pPr>
        <w:spacing w:after="0" w:line="198" w:lineRule="exact"/>
        <w:rPr>
          <w:sz w:val="20"/>
          <w:szCs w:val="20"/>
          <w:color w:val="auto"/>
        </w:rPr>
      </w:pPr>
    </w:p>
    <w:p>
      <w:pPr>
        <w:ind w:firstLine="470"/>
        <w:spacing w:after="0"/>
        <w:rPr>
          <w:sz w:val="20"/>
          <w:szCs w:val="20"/>
          <w:color w:val="auto"/>
        </w:rPr>
      </w:pPr>
      <w:r>
        <w:rPr>
          <w:rFonts w:ascii="Arial" w:cs="Arial" w:eastAsia="Arial" w:hAnsi="Arial"/>
          <w:sz w:val="17"/>
          <w:szCs w:val="17"/>
          <w:color w:val="auto"/>
        </w:rPr>
        <w:t>Gevo has begun to develop the agricultural Climate Smart Data for key farms that would supply its Net-Zero 1 plant. Gevo intends to work with Verity to accurately account for and determine value for the carbon reductions captured in feedstocks, both during fuel production and in final products, to help our customers and value chain partners achieve their sustainability goals.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Developments</w:t>
      </w:r>
    </w:p>
    <w:p>
      <w:pPr>
        <w:spacing w:after="0" w:line="32" w:lineRule="exact"/>
        <w:rPr>
          <w:sz w:val="20"/>
          <w:szCs w:val="20"/>
          <w:color w:val="auto"/>
        </w:rPr>
      </w:pPr>
    </w:p>
    <w:p>
      <w:pPr>
        <w:jc w:val="both"/>
        <w:ind w:firstLine="470"/>
        <w:spacing w:after="0" w:line="265" w:lineRule="auto"/>
        <w:rPr>
          <w:sz w:val="20"/>
          <w:szCs w:val="20"/>
          <w:color w:val="auto"/>
        </w:rPr>
      </w:pPr>
      <w:r>
        <w:rPr>
          <w:rFonts w:ascii="Arial" w:cs="Arial" w:eastAsia="Arial" w:hAnsi="Arial"/>
          <w:sz w:val="17"/>
          <w:szCs w:val="17"/>
          <w:i w:val="1"/>
          <w:iCs w:val="1"/>
          <w:color w:val="auto"/>
        </w:rPr>
        <w:t xml:space="preserve">Delta Air Lines. </w:t>
      </w:r>
      <w:r>
        <w:rPr>
          <w:rFonts w:ascii="Arial" w:cs="Arial" w:eastAsia="Arial" w:hAnsi="Arial"/>
          <w:sz w:val="17"/>
          <w:szCs w:val="17"/>
          <w:color w:val="auto"/>
        </w:rPr>
        <w:t>On March 22, 2022, we signed a "take-or-pay" agreement with Delta Air Lines, Inc. ("Delta") to supply them with 75 MGPY of SAF for</w:t>
      </w:r>
      <w:r>
        <w:rPr>
          <w:rFonts w:ascii="Arial" w:cs="Arial" w:eastAsia="Arial" w:hAnsi="Arial"/>
          <w:sz w:val="17"/>
          <w:szCs w:val="17"/>
          <w:i w:val="1"/>
          <w:iCs w:val="1"/>
          <w:color w:val="auto"/>
        </w:rPr>
        <w:t xml:space="preserve"> </w:t>
      </w:r>
      <w:r>
        <w:rPr>
          <w:rFonts w:ascii="Arial" w:cs="Arial" w:eastAsia="Arial" w:hAnsi="Arial"/>
          <w:sz w:val="17"/>
          <w:szCs w:val="17"/>
          <w:color w:val="auto"/>
        </w:rPr>
        <w:t>seven years. This agreement replaces the existing agreement signed with Delta in 2019 to purchase 10 MGPY and bolsters Delta's commitment to incorporating SAF into its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COVID-19</w:t>
      </w:r>
    </w:p>
    <w:p>
      <w:pPr>
        <w:spacing w:after="0" w:line="32" w:lineRule="exact"/>
        <w:rPr>
          <w:sz w:val="20"/>
          <w:szCs w:val="20"/>
          <w:color w:val="auto"/>
        </w:rPr>
      </w:pPr>
    </w:p>
    <w:p>
      <w:pPr>
        <w:ind w:right="20" w:firstLine="470"/>
        <w:spacing w:after="0" w:line="299" w:lineRule="auto"/>
        <w:rPr>
          <w:sz w:val="20"/>
          <w:szCs w:val="20"/>
          <w:color w:val="auto"/>
        </w:rPr>
      </w:pPr>
      <w:r>
        <w:rPr>
          <w:rFonts w:ascii="Arial" w:cs="Arial" w:eastAsia="Arial" w:hAnsi="Arial"/>
          <w:sz w:val="15"/>
          <w:szCs w:val="15"/>
          <w:color w:val="auto"/>
        </w:rPr>
        <w:t>The COVID-19 pandemic has had an adverse impact on global commercial activity, including the global transportation industry and its supply chain, and has contributed to significant volatility in financial markets. It resulted in travel restrictions and extended shutdowns of businesses in various industries including, among others, the airline industry, and significantly reduced overall economic output. It is possible that that the impacts of the COVID-19 pandemic on general economic activity could continue to negatively impact our revenue and operating results for 2022 and beyond. In light of the current and potential future disruption to our business operations and those of its customers, suppliers and other third parties with whom we do business, we considered the impact of the COVID-19 pandemic on our business. The impact of the COVID-19 pandemic on the global transportation industry could continue to result in less demand for our transportation fuel products, which could have a material adverse effect on our business, financial condition and our prospects for the foreseeable future.</w:t>
      </w:r>
    </w:p>
    <w:p>
      <w:pPr>
        <w:spacing w:after="0" w:line="183" w:lineRule="exact"/>
        <w:rPr>
          <w:sz w:val="20"/>
          <w:szCs w:val="20"/>
          <w:color w:val="auto"/>
        </w:rPr>
      </w:pPr>
    </w:p>
    <w:p>
      <w:pPr>
        <w:ind w:right="40" w:firstLine="470"/>
        <w:spacing w:after="0" w:line="288" w:lineRule="auto"/>
        <w:rPr>
          <w:sz w:val="20"/>
          <w:szCs w:val="20"/>
          <w:color w:val="auto"/>
        </w:rPr>
      </w:pPr>
      <w:r>
        <w:rPr>
          <w:rFonts w:ascii="Arial" w:cs="Arial" w:eastAsia="Arial" w:hAnsi="Arial"/>
          <w:sz w:val="17"/>
          <w:szCs w:val="17"/>
          <w:color w:val="auto"/>
        </w:rPr>
        <w:t>There is also a risk that COVID-19 could have a material adverse impact on the development of our Net-Zero 1 Project, customer demand and cash flow, depending on the extent of our future production activities.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320" w:top="1369" w:right="39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color w:val="auto"/>
        </w:rPr>
        <w:t>Results of Operations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the Three Months Ended March 31, 2022 and 2021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620" w:type="dxa"/>
            <w:vAlign w:val="bottom"/>
          </w:tcPr>
          <w:p>
            <w:pPr>
              <w:spacing w:after="0"/>
              <w:rPr>
                <w:sz w:val="19"/>
                <w:szCs w:val="19"/>
                <w:color w:val="auto"/>
              </w:rPr>
            </w:pPr>
          </w:p>
        </w:tc>
        <w:tc>
          <w:tcPr>
            <w:tcW w:w="308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Three Months Ended March 31,</w:t>
            </w:r>
          </w:p>
        </w:tc>
        <w:tc>
          <w:tcPr>
            <w:tcW w:w="6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5"/>
        </w:trPr>
        <w:tc>
          <w:tcPr>
            <w:tcW w:w="56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2021</w:t>
            </w:r>
          </w:p>
        </w:tc>
        <w:tc>
          <w:tcPr>
            <w:tcW w:w="6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33"/>
              <w:spacing w:after="0"/>
              <w:rPr>
                <w:sz w:val="20"/>
                <w:szCs w:val="20"/>
                <w:color w:val="auto"/>
              </w:rPr>
            </w:pPr>
            <w:r>
              <w:rPr>
                <w:rFonts w:ascii="Arial" w:cs="Arial" w:eastAsia="Arial" w:hAnsi="Arial"/>
                <w:sz w:val="17"/>
                <w:szCs w:val="17"/>
                <w:b w:val="1"/>
                <w:bCs w:val="1"/>
                <w:color w:val="auto"/>
              </w:rPr>
              <w:t>Change</w:t>
            </w:r>
          </w:p>
        </w:tc>
      </w:tr>
      <w:tr>
        <w:trPr>
          <w:trHeight w:val="235"/>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 and cost of goods sold</w:t>
            </w:r>
          </w:p>
        </w:tc>
        <w:tc>
          <w:tcPr>
            <w:tcW w:w="1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42"/>
        </w:trPr>
        <w:tc>
          <w:tcPr>
            <w:tcW w:w="5620" w:type="dxa"/>
            <w:vAlign w:val="bottom"/>
          </w:tcPr>
          <w:p>
            <w:pPr>
              <w:ind w:left="140"/>
              <w:spacing w:after="0"/>
              <w:rPr>
                <w:sz w:val="20"/>
                <w:szCs w:val="20"/>
                <w:color w:val="auto"/>
              </w:rPr>
            </w:pPr>
            <w:r>
              <w:rPr>
                <w:rFonts w:ascii="Arial" w:cs="Arial" w:eastAsia="Arial" w:hAnsi="Arial"/>
                <w:sz w:val="17"/>
                <w:szCs w:val="17"/>
                <w:color w:val="auto"/>
              </w:rPr>
              <w:t>Ethanol sales and related products, net</w:t>
            </w:r>
          </w:p>
        </w:tc>
        <w:tc>
          <w:tcPr>
            <w:tcW w:w="1120" w:type="dxa"/>
            <w:vAlign w:val="bottom"/>
          </w:tcPr>
          <w:p>
            <w:pPr>
              <w:jc w:val="right"/>
              <w:ind w:right="933"/>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169</w:t>
            </w:r>
          </w:p>
        </w:tc>
        <w:tc>
          <w:tcPr>
            <w:tcW w:w="100" w:type="dxa"/>
            <w:vAlign w:val="bottom"/>
          </w:tcPr>
          <w:p>
            <w:pPr>
              <w:spacing w:after="0"/>
              <w:rPr>
                <w:sz w:val="21"/>
                <w:szCs w:val="21"/>
                <w:color w:val="auto"/>
              </w:rPr>
            </w:pPr>
          </w:p>
        </w:tc>
        <w:tc>
          <w:tcPr>
            <w:tcW w:w="1180" w:type="dxa"/>
            <w:vAlign w:val="bottom"/>
          </w:tcPr>
          <w:p>
            <w:pPr>
              <w:jc w:val="right"/>
              <w:ind w:right="993"/>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jc w:val="right"/>
              <w:ind w:right="173"/>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169</w:t>
            </w:r>
          </w:p>
        </w:tc>
      </w:tr>
      <w:tr>
        <w:trPr>
          <w:trHeight w:val="255"/>
        </w:trPr>
        <w:tc>
          <w:tcPr>
            <w:tcW w:w="56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Hydrocarbon revenue</w:t>
            </w:r>
          </w:p>
        </w:tc>
        <w:tc>
          <w:tcPr>
            <w:tcW w:w="11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r>
      <w:tr>
        <w:trPr>
          <w:trHeight w:val="242"/>
        </w:trPr>
        <w:tc>
          <w:tcPr>
            <w:tcW w:w="5620" w:type="dxa"/>
            <w:vAlign w:val="bottom"/>
          </w:tcPr>
          <w:p>
            <w:pPr>
              <w:ind w:left="180"/>
              <w:spacing w:after="0"/>
              <w:rPr>
                <w:sz w:val="20"/>
                <w:szCs w:val="20"/>
                <w:color w:val="auto"/>
              </w:rPr>
            </w:pPr>
            <w:r>
              <w:rPr>
                <w:rFonts w:ascii="Arial" w:cs="Arial" w:eastAsia="Arial" w:hAnsi="Arial"/>
                <w:sz w:val="17"/>
                <w:szCs w:val="17"/>
                <w:color w:val="auto"/>
              </w:rPr>
              <w:t>Grant and other revenue</w:t>
            </w:r>
          </w:p>
        </w:tc>
        <w:tc>
          <w:tcPr>
            <w:tcW w:w="112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80</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(80)</w:t>
            </w:r>
          </w:p>
        </w:tc>
      </w:tr>
      <w:tr>
        <w:trPr>
          <w:trHeight w:val="241"/>
        </w:trPr>
        <w:tc>
          <w:tcPr>
            <w:tcW w:w="562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Total revenues</w:t>
            </w:r>
          </w:p>
        </w:tc>
        <w:tc>
          <w:tcPr>
            <w:tcW w:w="1120" w:type="dxa"/>
            <w:vAlign w:val="bottom"/>
            <w:tcBorders>
              <w:top w:val="single" w:sz="8" w:color="auto"/>
              <w:bottom w:val="single" w:sz="8" w:color="auto"/>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232</w:t>
            </w:r>
          </w:p>
        </w:tc>
        <w:tc>
          <w:tcPr>
            <w:tcW w:w="10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8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w:t>
            </w:r>
          </w:p>
        </w:tc>
      </w:tr>
      <w:tr>
        <w:trPr>
          <w:trHeight w:val="241"/>
        </w:trPr>
        <w:tc>
          <w:tcPr>
            <w:tcW w:w="5620" w:type="dxa"/>
            <w:vAlign w:val="bottom"/>
          </w:tcPr>
          <w:p>
            <w:pPr>
              <w:ind w:left="140"/>
              <w:spacing w:after="0"/>
              <w:rPr>
                <w:sz w:val="20"/>
                <w:szCs w:val="20"/>
                <w:color w:val="auto"/>
              </w:rPr>
            </w:pPr>
            <w:r>
              <w:rPr>
                <w:rFonts w:ascii="Arial" w:cs="Arial" w:eastAsia="Arial" w:hAnsi="Arial"/>
                <w:sz w:val="17"/>
                <w:szCs w:val="17"/>
                <w:color w:val="auto"/>
              </w:rPr>
              <w:t>Cost of production</w:t>
            </w:r>
          </w:p>
        </w:tc>
        <w:tc>
          <w:tcPr>
            <w:tcW w:w="1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3,090</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901</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2,189</w:t>
            </w:r>
          </w:p>
        </w:tc>
      </w:tr>
      <w:tr>
        <w:trPr>
          <w:trHeight w:val="248"/>
        </w:trPr>
        <w:tc>
          <w:tcPr>
            <w:tcW w:w="56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Depreciation and amortization</w:t>
            </w:r>
          </w:p>
        </w:tc>
        <w:tc>
          <w:tcPr>
            <w:tcW w:w="11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1,091</w:t>
            </w:r>
          </w:p>
        </w:tc>
        <w:tc>
          <w:tcPr>
            <w:tcW w:w="10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1,093</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41"/>
        </w:trPr>
        <w:tc>
          <w:tcPr>
            <w:tcW w:w="562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Total cost of goods sold</w:t>
            </w:r>
          </w:p>
        </w:tc>
        <w:tc>
          <w:tcPr>
            <w:tcW w:w="1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4,181</w:t>
            </w: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1,994</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2,187</w:t>
            </w:r>
          </w:p>
        </w:tc>
      </w:tr>
      <w:tr>
        <w:trPr>
          <w:trHeight w:val="248"/>
        </w:trPr>
        <w:tc>
          <w:tcPr>
            <w:tcW w:w="56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Gross loss</w:t>
            </w:r>
          </w:p>
        </w:tc>
        <w:tc>
          <w:tcPr>
            <w:tcW w:w="11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(3,949)</w:t>
            </w:r>
          </w:p>
        </w:tc>
        <w:tc>
          <w:tcPr>
            <w:tcW w:w="10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(1,901)</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(2,048)</w:t>
            </w:r>
          </w:p>
        </w:tc>
      </w:tr>
      <w:tr>
        <w:trPr>
          <w:trHeight w:val="222"/>
        </w:trPr>
        <w:tc>
          <w:tcPr>
            <w:tcW w:w="562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55"/>
        </w:trPr>
        <w:tc>
          <w:tcPr>
            <w:tcW w:w="56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Research and development expense</w:t>
            </w:r>
          </w:p>
        </w:tc>
        <w:tc>
          <w:tcPr>
            <w:tcW w:w="11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1,192</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1,378</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w:t>
            </w:r>
          </w:p>
        </w:tc>
      </w:tr>
      <w:tr>
        <w:trPr>
          <w:trHeight w:val="242"/>
        </w:trPr>
        <w:tc>
          <w:tcPr>
            <w:tcW w:w="5620" w:type="dxa"/>
            <w:vAlign w:val="bottom"/>
          </w:tcPr>
          <w:p>
            <w:pPr>
              <w:ind w:left="140"/>
              <w:spacing w:after="0"/>
              <w:rPr>
                <w:sz w:val="20"/>
                <w:szCs w:val="20"/>
                <w:color w:val="auto"/>
              </w:rPr>
            </w:pPr>
            <w:r>
              <w:rPr>
                <w:rFonts w:ascii="Arial" w:cs="Arial" w:eastAsia="Arial" w:hAnsi="Arial"/>
                <w:sz w:val="17"/>
                <w:szCs w:val="17"/>
                <w:color w:val="auto"/>
              </w:rPr>
              <w:t>Selling, general and administrative expense</w:t>
            </w:r>
          </w:p>
        </w:tc>
        <w:tc>
          <w:tcPr>
            <w:tcW w:w="1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9,367</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3,814</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5,553</w:t>
            </w:r>
          </w:p>
        </w:tc>
      </w:tr>
      <w:tr>
        <w:trPr>
          <w:trHeight w:val="255"/>
        </w:trPr>
        <w:tc>
          <w:tcPr>
            <w:tcW w:w="56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Preliminary stage project costs</w:t>
            </w:r>
          </w:p>
        </w:tc>
        <w:tc>
          <w:tcPr>
            <w:tcW w:w="11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507</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2,727</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(2,220)</w:t>
            </w:r>
          </w:p>
        </w:tc>
      </w:tr>
      <w:tr>
        <w:trPr>
          <w:trHeight w:val="242"/>
        </w:trPr>
        <w:tc>
          <w:tcPr>
            <w:tcW w:w="5620" w:type="dxa"/>
            <w:vAlign w:val="bottom"/>
          </w:tcPr>
          <w:p>
            <w:pPr>
              <w:ind w:left="140"/>
              <w:spacing w:after="0"/>
              <w:rPr>
                <w:sz w:val="20"/>
                <w:szCs w:val="20"/>
                <w:color w:val="auto"/>
              </w:rPr>
            </w:pPr>
            <w:r>
              <w:rPr>
                <w:rFonts w:ascii="Arial" w:cs="Arial" w:eastAsia="Arial" w:hAnsi="Arial"/>
                <w:sz w:val="17"/>
                <w:szCs w:val="17"/>
                <w:color w:val="auto"/>
              </w:rPr>
              <w:t>Other operations</w:t>
            </w:r>
          </w:p>
        </w:tc>
        <w:tc>
          <w:tcPr>
            <w:tcW w:w="1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589</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589</w:t>
            </w:r>
          </w:p>
        </w:tc>
      </w:tr>
      <w:tr>
        <w:trPr>
          <w:trHeight w:val="248"/>
        </w:trPr>
        <w:tc>
          <w:tcPr>
            <w:tcW w:w="56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Depreciation and amortization</w:t>
            </w:r>
          </w:p>
        </w:tc>
        <w:tc>
          <w:tcPr>
            <w:tcW w:w="11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351</w:t>
            </w:r>
          </w:p>
        </w:tc>
        <w:tc>
          <w:tcPr>
            <w:tcW w:w="10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293</w:t>
            </w:r>
          </w:p>
        </w:tc>
      </w:tr>
      <w:tr>
        <w:trPr>
          <w:trHeight w:val="241"/>
        </w:trPr>
        <w:tc>
          <w:tcPr>
            <w:tcW w:w="562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Total operating expenses</w:t>
            </w:r>
          </w:p>
        </w:tc>
        <w:tc>
          <w:tcPr>
            <w:tcW w:w="1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12,006</w:t>
            </w: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7,977</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4,029</w:t>
            </w:r>
          </w:p>
        </w:tc>
      </w:tr>
      <w:tr>
        <w:trPr>
          <w:trHeight w:val="248"/>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from operations</w:t>
            </w:r>
          </w:p>
        </w:tc>
        <w:tc>
          <w:tcPr>
            <w:tcW w:w="11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(15,955)</w:t>
            </w:r>
          </w:p>
        </w:tc>
        <w:tc>
          <w:tcPr>
            <w:tcW w:w="10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(9,878)</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(6,077)</w:t>
            </w:r>
          </w:p>
        </w:tc>
      </w:tr>
      <w:tr>
        <w:trPr>
          <w:trHeight w:val="222"/>
        </w:trPr>
        <w:tc>
          <w:tcPr>
            <w:tcW w:w="5620" w:type="dxa"/>
            <w:vAlign w:val="bottom"/>
          </w:tcPr>
          <w:p>
            <w:pPr>
              <w:ind w:left="20"/>
              <w:spacing w:after="0"/>
              <w:rPr>
                <w:sz w:val="20"/>
                <w:szCs w:val="20"/>
                <w:color w:val="auto"/>
              </w:rPr>
            </w:pPr>
            <w:r>
              <w:rPr>
                <w:rFonts w:ascii="Arial" w:cs="Arial" w:eastAsia="Arial" w:hAnsi="Arial"/>
                <w:sz w:val="17"/>
                <w:szCs w:val="17"/>
                <w:color w:val="auto"/>
              </w:rPr>
              <w:t>Other income (expense)</w:t>
            </w: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55"/>
        </w:trPr>
        <w:tc>
          <w:tcPr>
            <w:tcW w:w="56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(Loss) gain from change in fair value of derivative warrant liability</w:t>
            </w:r>
          </w:p>
        </w:tc>
        <w:tc>
          <w:tcPr>
            <w:tcW w:w="11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r>
      <w:tr>
        <w:trPr>
          <w:trHeight w:val="242"/>
        </w:trPr>
        <w:tc>
          <w:tcPr>
            <w:tcW w:w="5620" w:type="dxa"/>
            <w:vAlign w:val="bottom"/>
          </w:tcPr>
          <w:p>
            <w:pPr>
              <w:ind w:left="120"/>
              <w:spacing w:after="0"/>
              <w:rPr>
                <w:sz w:val="20"/>
                <w:szCs w:val="20"/>
                <w:color w:val="auto"/>
              </w:rPr>
            </w:pPr>
            <w:r>
              <w:rPr>
                <w:rFonts w:ascii="Arial" w:cs="Arial" w:eastAsia="Arial" w:hAnsi="Arial"/>
                <w:sz w:val="17"/>
                <w:szCs w:val="17"/>
                <w:color w:val="auto"/>
              </w:rPr>
              <w:t>Interest expense</w:t>
            </w:r>
          </w:p>
        </w:tc>
        <w:tc>
          <w:tcPr>
            <w:tcW w:w="1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55"/>
        </w:trPr>
        <w:tc>
          <w:tcPr>
            <w:tcW w:w="56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Interest and dividend income</w:t>
            </w:r>
          </w:p>
        </w:tc>
        <w:tc>
          <w:tcPr>
            <w:tcW w:w="11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w:t>
            </w:r>
          </w:p>
        </w:tc>
      </w:tr>
      <w:tr>
        <w:trPr>
          <w:trHeight w:val="242"/>
        </w:trPr>
        <w:tc>
          <w:tcPr>
            <w:tcW w:w="562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Other income (expense), net</w:t>
            </w:r>
          </w:p>
        </w:tc>
        <w:tc>
          <w:tcPr>
            <w:tcW w:w="1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184</w:t>
            </w:r>
          </w:p>
        </w:tc>
      </w:tr>
      <w:tr>
        <w:trPr>
          <w:trHeight w:val="241"/>
        </w:trPr>
        <w:tc>
          <w:tcPr>
            <w:tcW w:w="56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other income (expense), net</w:t>
            </w:r>
          </w:p>
        </w:tc>
        <w:tc>
          <w:tcPr>
            <w:tcW w:w="1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282</w:t>
            </w:r>
          </w:p>
        </w:tc>
        <w:tc>
          <w:tcPr>
            <w:tcW w:w="100" w:type="dxa"/>
            <w:vAlign w:val="bottom"/>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w:t>
            </w:r>
          </w:p>
        </w:tc>
        <w:tc>
          <w:tcPr>
            <w:tcW w:w="8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461</w:t>
            </w:r>
          </w:p>
        </w:tc>
      </w:tr>
      <w:tr>
        <w:trPr>
          <w:trHeight w:val="248"/>
        </w:trPr>
        <w:tc>
          <w:tcPr>
            <w:tcW w:w="5620" w:type="dxa"/>
            <w:vAlign w:val="bottom"/>
          </w:tcPr>
          <w:p>
            <w:pPr>
              <w:ind w:left="20"/>
              <w:spacing w:after="0"/>
              <w:rPr>
                <w:sz w:val="20"/>
                <w:szCs w:val="20"/>
                <w:color w:val="auto"/>
              </w:rPr>
            </w:pPr>
            <w:r>
              <w:rPr>
                <w:rFonts w:ascii="Arial" w:cs="Arial" w:eastAsia="Arial" w:hAnsi="Arial"/>
                <w:sz w:val="17"/>
                <w:szCs w:val="17"/>
                <w:color w:val="auto"/>
              </w:rPr>
              <w:t>Net loss</w:t>
            </w:r>
          </w:p>
        </w:tc>
        <w:tc>
          <w:tcPr>
            <w:tcW w:w="1120" w:type="dxa"/>
            <w:vAlign w:val="bottom"/>
            <w:tcBorders>
              <w:bottom w:val="single" w:sz="8" w:color="auto"/>
            </w:tcBorders>
          </w:tcPr>
          <w:p>
            <w:pPr>
              <w:jc w:val="right"/>
              <w:ind w:right="933"/>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(15,673)</w:t>
            </w:r>
          </w:p>
        </w:tc>
        <w:tc>
          <w:tcPr>
            <w:tcW w:w="100" w:type="dxa"/>
            <w:vAlign w:val="bottom"/>
          </w:tcPr>
          <w:p>
            <w:pPr>
              <w:spacing w:after="0"/>
              <w:rPr>
                <w:sz w:val="21"/>
                <w:szCs w:val="21"/>
                <w:color w:val="auto"/>
              </w:rPr>
            </w:pPr>
          </w:p>
        </w:tc>
        <w:tc>
          <w:tcPr>
            <w:tcW w:w="1180" w:type="dxa"/>
            <w:vAlign w:val="bottom"/>
            <w:tcBorders>
              <w:bottom w:val="single" w:sz="8" w:color="auto"/>
            </w:tcBorders>
          </w:tcPr>
          <w:p>
            <w:pPr>
              <w:jc w:val="right"/>
              <w:ind w:right="993"/>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1"/>
              </w:rPr>
              <w:t>(10,057)</w:t>
            </w:r>
          </w:p>
        </w:tc>
        <w:tc>
          <w:tcPr>
            <w:tcW w:w="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(5,616)</w:t>
            </w:r>
          </w:p>
        </w:tc>
      </w:tr>
      <w:tr>
        <w:trPr>
          <w:trHeight w:val="20"/>
        </w:trPr>
        <w:tc>
          <w:tcPr>
            <w:tcW w:w="56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ind w:right="200" w:firstLine="470"/>
        <w:spacing w:after="0" w:line="264"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We sold 35 thousand gallons of SAF, isooctane and isooctene from our Luverne Minnesota development facility for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March 31, 2022. Revenue was $0.2 million for the three months ended March 31, 2022, compared to $0.1 million for the three months ended March 31, 2021, due to the temporary shutdown in 2021 related to the COVID-19 pandemic.</w:t>
      </w:r>
    </w:p>
    <w:p>
      <w:pPr>
        <w:spacing w:after="0" w:line="205" w:lineRule="exact"/>
        <w:rPr>
          <w:sz w:val="20"/>
          <w:szCs w:val="20"/>
          <w:color w:val="auto"/>
        </w:rPr>
      </w:pPr>
    </w:p>
    <w:p>
      <w:pPr>
        <w:ind w:right="120" w:firstLine="470"/>
        <w:spacing w:after="0" w:line="282" w:lineRule="auto"/>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Cost of goods sold was $4.2 million during the three months ended March 31, 2022, compared with $2.0 million during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March 31, 2021, an increase of $2.2 million. The majority of our costs are related to the production of SAF, isooctane and isooctene as we continue to develop and tailor our Luverne Facility demonstration operations to support our focus on advancing technology, testing and optimizing alternative feedstocks, yeast strains, and unit operations as well as partnership development for integrated GHG reductions. Cost of goods sold also includes a $2.9 million loss for a net realizable value adjustment made to our finished goods and work in process inventory. There were no net realizable losses recorded during the three months ended March 31, 2021, as the Luverne Facility was temporarily shut down due to the COVID-19 pandemic.</w:t>
      </w:r>
    </w:p>
    <w:p>
      <w:pPr>
        <w:spacing w:after="0" w:line="193" w:lineRule="exact"/>
        <w:rPr>
          <w:sz w:val="20"/>
          <w:szCs w:val="20"/>
          <w:color w:val="auto"/>
        </w:rPr>
      </w:pPr>
    </w:p>
    <w:p>
      <w:pPr>
        <w:ind w:right="240" w:firstLine="470"/>
        <w:spacing w:after="0" w:line="288" w:lineRule="auto"/>
        <w:rPr>
          <w:sz w:val="20"/>
          <w:szCs w:val="20"/>
          <w:color w:val="auto"/>
        </w:rPr>
      </w:pPr>
      <w:r>
        <w:rPr>
          <w:rFonts w:ascii="Arial" w:cs="Arial" w:eastAsia="Arial" w:hAnsi="Arial"/>
          <w:sz w:val="17"/>
          <w:szCs w:val="17"/>
          <w:i w:val="1"/>
          <w:iCs w:val="1"/>
          <w:color w:val="auto"/>
        </w:rPr>
        <w:t xml:space="preserve">Research and development expense. </w:t>
      </w:r>
      <w:r>
        <w:rPr>
          <w:rFonts w:ascii="Arial" w:cs="Arial" w:eastAsia="Arial" w:hAnsi="Arial"/>
          <w:sz w:val="17"/>
          <w:szCs w:val="17"/>
          <w:color w:val="auto"/>
        </w:rPr>
        <w:t>Research and development expense remained relatively consistent during the three months ended March 31, 2022,</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with the three months ended March 31, 2021.</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30" w:name="page31"/>
    <w:bookmarkEnd w:id="30"/>
    <w:p>
      <w:pPr>
        <w:ind w:right="360" w:firstLine="470"/>
        <w:spacing w:after="0" w:line="272" w:lineRule="auto"/>
        <w:rPr>
          <w:sz w:val="20"/>
          <w:szCs w:val="20"/>
          <w:color w:val="auto"/>
        </w:rPr>
      </w:pPr>
      <w:r>
        <w:rPr>
          <w:rFonts w:ascii="Arial" w:cs="Arial" w:eastAsia="Arial" w:hAnsi="Arial"/>
          <w:sz w:val="17"/>
          <w:szCs w:val="17"/>
          <w:i w:val="1"/>
          <w:iCs w:val="1"/>
          <w:color w:val="auto"/>
        </w:rPr>
        <w:t xml:space="preserve">Selling, general and administrative expense. </w:t>
      </w:r>
      <w:r>
        <w:rPr>
          <w:rFonts w:ascii="Arial" w:cs="Arial" w:eastAsia="Arial" w:hAnsi="Arial"/>
          <w:sz w:val="17"/>
          <w:szCs w:val="17"/>
          <w:color w:val="auto"/>
        </w:rPr>
        <w:t>Selling, general and administrative expense increased by $5.6 million during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March 31, 2022, compared with the three months ended March 31, 2021, due primarily to increases in personnel costs related to strategic new hiring, stock-based compensation, professional fees related to new contracts and higher costs for insurance.</w:t>
      </w:r>
    </w:p>
    <w:p>
      <w:pPr>
        <w:spacing w:after="0" w:line="198" w:lineRule="exact"/>
        <w:rPr>
          <w:sz w:val="20"/>
          <w:szCs w:val="20"/>
          <w:color w:val="auto"/>
        </w:rPr>
      </w:pPr>
    </w:p>
    <w:p>
      <w:pPr>
        <w:ind w:right="40" w:firstLine="470"/>
        <w:spacing w:after="0" w:line="264" w:lineRule="auto"/>
        <w:rPr>
          <w:sz w:val="20"/>
          <w:szCs w:val="20"/>
          <w:color w:val="auto"/>
        </w:rPr>
      </w:pPr>
      <w:r>
        <w:rPr>
          <w:rFonts w:ascii="Arial" w:cs="Arial" w:eastAsia="Arial" w:hAnsi="Arial"/>
          <w:sz w:val="17"/>
          <w:szCs w:val="17"/>
          <w:i w:val="1"/>
          <w:iCs w:val="1"/>
          <w:color w:val="auto"/>
        </w:rPr>
        <w:t>Preliminary stage project costs</w:t>
      </w:r>
      <w:r>
        <w:rPr>
          <w:rFonts w:ascii="Arial" w:cs="Arial" w:eastAsia="Arial" w:hAnsi="Arial"/>
          <w:sz w:val="17"/>
          <w:szCs w:val="17"/>
          <w:color w:val="auto"/>
        </w:rPr>
        <w:t>. Preliminary stage project costs are related to our NW Iowa RNG and Net-Zero projects and consist of research and</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expense in addition to selling, general and administrative expenses of the projects. Preliminary stage project costs decreased by $2.2 million during the three months ended March 31, 2022, compared to the three months ended March 31, 2021. The decrease is mainly due to the fact that we began capitalizing our Net-Zero 1 project costs in Q3 2021, after completing certain front-end engineering studies and determining it was probable that we would build Net-Zero 1. Net-Zero 1 and RNG related costs were expensed in Q1 2021.</w:t>
      </w:r>
    </w:p>
    <w:p>
      <w:pPr>
        <w:spacing w:after="0" w:line="206" w:lineRule="exact"/>
        <w:rPr>
          <w:sz w:val="20"/>
          <w:szCs w:val="20"/>
          <w:color w:val="auto"/>
        </w:rPr>
      </w:pPr>
    </w:p>
    <w:p>
      <w:pPr>
        <w:ind w:right="180" w:firstLine="470"/>
        <w:spacing w:after="0" w:line="272" w:lineRule="auto"/>
        <w:rPr>
          <w:sz w:val="20"/>
          <w:szCs w:val="20"/>
          <w:color w:val="auto"/>
        </w:rPr>
      </w:pPr>
      <w:r>
        <w:rPr>
          <w:rFonts w:ascii="Arial" w:cs="Arial" w:eastAsia="Arial" w:hAnsi="Arial"/>
          <w:sz w:val="17"/>
          <w:szCs w:val="17"/>
          <w:i w:val="1"/>
          <w:iCs w:val="1"/>
          <w:color w:val="auto"/>
        </w:rPr>
        <w:t xml:space="preserve">Other operations. </w:t>
      </w:r>
      <w:r>
        <w:rPr>
          <w:rFonts w:ascii="Arial" w:cs="Arial" w:eastAsia="Arial" w:hAnsi="Arial"/>
          <w:sz w:val="17"/>
          <w:szCs w:val="17"/>
          <w:color w:val="auto"/>
        </w:rPr>
        <w:t>Other operations costs increased by $0.6 million during the three months ended March 31, 2022, compared to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March 31, 2021. During the three months ended March 31, 2022, Other operations costs were primarily related to unallocated engineering and consulting services.</w:t>
      </w:r>
    </w:p>
    <w:p>
      <w:pPr>
        <w:spacing w:after="0" w:line="198" w:lineRule="exact"/>
        <w:rPr>
          <w:sz w:val="20"/>
          <w:szCs w:val="20"/>
          <w:color w:val="auto"/>
        </w:rPr>
      </w:pPr>
    </w:p>
    <w:p>
      <w:pPr>
        <w:ind w:right="240" w:firstLine="470"/>
        <w:spacing w:after="0" w:line="288" w:lineRule="auto"/>
        <w:rPr>
          <w:sz w:val="20"/>
          <w:szCs w:val="20"/>
          <w:color w:val="auto"/>
        </w:rPr>
      </w:pPr>
      <w:r>
        <w:rPr>
          <w:rFonts w:ascii="Arial" w:cs="Arial" w:eastAsia="Arial" w:hAnsi="Arial"/>
          <w:sz w:val="17"/>
          <w:szCs w:val="17"/>
          <w:i w:val="1"/>
          <w:iCs w:val="1"/>
          <w:color w:val="auto"/>
        </w:rPr>
        <w:t>Depreciation and amortization expense</w:t>
      </w:r>
      <w:r>
        <w:rPr>
          <w:rFonts w:ascii="Arial" w:cs="Arial" w:eastAsia="Arial" w:hAnsi="Arial"/>
          <w:sz w:val="17"/>
          <w:szCs w:val="17"/>
          <w:color w:val="auto"/>
        </w:rPr>
        <w:t>. Depreciation and amortization expense increased during the three months ended March 31, 2022,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three months ended March 31, 2021, due to amortization of our intangible assets, including patents and exclusivity fees.</w:t>
      </w:r>
    </w:p>
    <w:p>
      <w:pPr>
        <w:spacing w:after="0" w:line="184" w:lineRule="exact"/>
        <w:rPr>
          <w:sz w:val="20"/>
          <w:szCs w:val="20"/>
          <w:color w:val="auto"/>
        </w:rPr>
      </w:pPr>
    </w:p>
    <w:p>
      <w:pPr>
        <w:ind w:firstLine="470"/>
        <w:spacing w:after="0" w:line="288" w:lineRule="auto"/>
        <w:rPr>
          <w:sz w:val="20"/>
          <w:szCs w:val="20"/>
          <w:color w:val="auto"/>
        </w:rPr>
      </w:pPr>
      <w:r>
        <w:rPr>
          <w:rFonts w:ascii="Arial" w:cs="Arial" w:eastAsia="Arial" w:hAnsi="Arial"/>
          <w:sz w:val="17"/>
          <w:szCs w:val="17"/>
          <w:i w:val="1"/>
          <w:iCs w:val="1"/>
          <w:color w:val="auto"/>
        </w:rPr>
        <w:t xml:space="preserve">(Loss) from change in fair value derivative warrant liability. </w:t>
      </w:r>
      <w:r>
        <w:rPr>
          <w:rFonts w:ascii="Arial" w:cs="Arial" w:eastAsia="Arial" w:hAnsi="Arial"/>
          <w:sz w:val="17"/>
          <w:szCs w:val="17"/>
          <w:color w:val="auto"/>
        </w:rPr>
        <w:t>We incurred no gain (loss) from the change in the fair value of the derivative warrant liability</w:t>
      </w:r>
      <w:r>
        <w:rPr>
          <w:rFonts w:ascii="Arial" w:cs="Arial" w:eastAsia="Arial" w:hAnsi="Arial"/>
          <w:sz w:val="17"/>
          <w:szCs w:val="17"/>
          <w:i w:val="1"/>
          <w:iCs w:val="1"/>
          <w:color w:val="auto"/>
        </w:rPr>
        <w:t xml:space="preserve"> </w:t>
      </w:r>
      <w:r>
        <w:rPr>
          <w:rFonts w:ascii="Arial" w:cs="Arial" w:eastAsia="Arial" w:hAnsi="Arial"/>
          <w:sz w:val="17"/>
          <w:szCs w:val="17"/>
          <w:color w:val="auto"/>
        </w:rPr>
        <w:t>in the three months ended March 31, 2022; the last of the liability warrants expired on February 17, 2022.</w:t>
      </w:r>
    </w:p>
    <w:p>
      <w:pPr>
        <w:spacing w:after="0" w:line="184" w:lineRule="exact"/>
        <w:rPr>
          <w:sz w:val="20"/>
          <w:szCs w:val="20"/>
          <w:color w:val="auto"/>
        </w:rPr>
      </w:pPr>
    </w:p>
    <w:p>
      <w:pPr>
        <w:ind w:right="60" w:firstLine="470"/>
        <w:spacing w:after="0" w:line="288" w:lineRule="auto"/>
        <w:rPr>
          <w:sz w:val="20"/>
          <w:szCs w:val="20"/>
          <w:color w:val="auto"/>
        </w:rPr>
      </w:pPr>
      <w:r>
        <w:rPr>
          <w:rFonts w:ascii="Arial" w:cs="Arial" w:eastAsia="Arial" w:hAnsi="Arial"/>
          <w:sz w:val="17"/>
          <w:szCs w:val="17"/>
          <w:i w:val="1"/>
          <w:iCs w:val="1"/>
          <w:color w:val="auto"/>
        </w:rPr>
        <w:t>Interest expense</w:t>
      </w:r>
      <w:r>
        <w:rPr>
          <w:rFonts w:ascii="Arial" w:cs="Arial" w:eastAsia="Arial" w:hAnsi="Arial"/>
          <w:sz w:val="17"/>
          <w:szCs w:val="17"/>
          <w:color w:val="auto"/>
        </w:rPr>
        <w:t>. There were no material changes in interest expense during the three months ended March 31, 2022, compared to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March 31, 2021.</w:t>
      </w:r>
    </w:p>
    <w:p>
      <w:pPr>
        <w:spacing w:after="0" w:line="184" w:lineRule="exact"/>
        <w:rPr>
          <w:sz w:val="20"/>
          <w:szCs w:val="20"/>
          <w:color w:val="auto"/>
        </w:rPr>
      </w:pPr>
    </w:p>
    <w:p>
      <w:pPr>
        <w:ind w:right="160" w:firstLine="470"/>
        <w:spacing w:after="0" w:line="321" w:lineRule="auto"/>
        <w:rPr>
          <w:sz w:val="20"/>
          <w:szCs w:val="20"/>
          <w:color w:val="auto"/>
        </w:rPr>
      </w:pPr>
      <w:r>
        <w:rPr>
          <w:rFonts w:ascii="Arial" w:cs="Arial" w:eastAsia="Arial" w:hAnsi="Arial"/>
          <w:sz w:val="16"/>
          <w:szCs w:val="16"/>
          <w:i w:val="1"/>
          <w:iCs w:val="1"/>
          <w:color w:val="auto"/>
        </w:rPr>
        <w:t xml:space="preserve">Interest and dividend income. </w:t>
      </w:r>
      <w:r>
        <w:rPr>
          <w:rFonts w:ascii="Arial" w:cs="Arial" w:eastAsia="Arial" w:hAnsi="Arial"/>
          <w:sz w:val="16"/>
          <w:szCs w:val="16"/>
          <w:color w:val="auto"/>
        </w:rPr>
        <w:t>Interest and dividend income increased by $0.2 million for the three months ended March 31, 2022, compared to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March 31, 2021, primarily due to the interest earned on our investments partially offset by the amortization of the bond premiums.</w:t>
      </w:r>
    </w:p>
    <w:p>
      <w:pPr>
        <w:spacing w:after="0" w:line="161" w:lineRule="exact"/>
        <w:rPr>
          <w:sz w:val="20"/>
          <w:szCs w:val="20"/>
          <w:color w:val="auto"/>
        </w:rPr>
      </w:pPr>
    </w:p>
    <w:p>
      <w:pPr>
        <w:ind w:right="160" w:firstLine="470"/>
        <w:spacing w:after="0" w:line="288" w:lineRule="auto"/>
        <w:rPr>
          <w:sz w:val="20"/>
          <w:szCs w:val="20"/>
          <w:color w:val="auto"/>
        </w:rPr>
      </w:pPr>
      <w:r>
        <w:rPr>
          <w:rFonts w:ascii="Arial" w:cs="Arial" w:eastAsia="Arial" w:hAnsi="Arial"/>
          <w:sz w:val="17"/>
          <w:szCs w:val="17"/>
          <w:i w:val="1"/>
          <w:iCs w:val="1"/>
          <w:color w:val="auto"/>
        </w:rPr>
        <w:t>Other income (expense)</w:t>
      </w:r>
      <w:r>
        <w:rPr>
          <w:rFonts w:ascii="Arial" w:cs="Arial" w:eastAsia="Arial" w:hAnsi="Arial"/>
          <w:sz w:val="17"/>
          <w:szCs w:val="17"/>
          <w:color w:val="auto"/>
        </w:rPr>
        <w:t>. Other income (expense) during the three months ended March 31, 2022, was $0.3 million, a decrease of $0.2 million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the three months ended March 31, 2021, primarily due to the miscellaneous sale of consumable inventory.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32" w:lineRule="exact"/>
        <w:rPr>
          <w:sz w:val="20"/>
          <w:szCs w:val="20"/>
          <w:color w:val="auto"/>
        </w:rPr>
      </w:pPr>
    </w:p>
    <w:p>
      <w:pPr>
        <w:jc w:val="both"/>
        <w:ind w:right="360" w:firstLine="470"/>
        <w:spacing w:after="0" w:line="265" w:lineRule="auto"/>
        <w:rPr>
          <w:sz w:val="20"/>
          <w:szCs w:val="20"/>
          <w:color w:val="auto"/>
        </w:rPr>
      </w:pPr>
      <w:r>
        <w:rPr>
          <w:rFonts w:ascii="Arial" w:cs="Arial" w:eastAsia="Arial" w:hAnsi="Arial"/>
          <w:sz w:val="17"/>
          <w:szCs w:val="17"/>
          <w:color w:val="auto"/>
        </w:rPr>
        <w:t>There have been no significant changes to our critical accounting policies since December 31, 2021. For a description of our other critical accounting policies and estimates that affect our significant judgments and estimates used in the preparation of our consolidated financial statements, refer to our 2021 Annual Report.</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32" w:lineRule="exact"/>
        <w:rPr>
          <w:sz w:val="20"/>
          <w:szCs w:val="20"/>
          <w:color w:val="auto"/>
        </w:rPr>
      </w:pPr>
    </w:p>
    <w:p>
      <w:pPr>
        <w:ind w:right="40" w:firstLine="470"/>
        <w:spacing w:after="0" w:line="290" w:lineRule="auto"/>
        <w:rPr>
          <w:sz w:val="20"/>
          <w:szCs w:val="20"/>
          <w:color w:val="auto"/>
        </w:rPr>
      </w:pPr>
      <w:r>
        <w:rPr>
          <w:rFonts w:ascii="Arial" w:cs="Arial" w:eastAsia="Arial" w:hAnsi="Arial"/>
          <w:sz w:val="15"/>
          <w:szCs w:val="15"/>
          <w:color w:val="auto"/>
        </w:rPr>
        <w:t>As of March 31, 2022, we had cash and cash equivalents totaling $44.6 million, short and long-term restricted cash totaling $86.5 million and short and long-term marketable securities totaling $298.5 million. The marketable securities are highly liquid and can be converted to cash when needed for operations. We expect to use our cash, cash equivalents, restricted cash and marketable securities for the following purposes: (i) identification, development, acquisition and construction of new production facilities and to plan for expanded production to fulfill existing off-take agreements, including the Company's Net-Zero Projects;</w:t>
      </w:r>
    </w:p>
    <w:p>
      <w:pPr>
        <w:spacing w:after="0" w:line="3" w:lineRule="exact"/>
        <w:rPr>
          <w:sz w:val="20"/>
          <w:szCs w:val="20"/>
          <w:color w:val="auto"/>
        </w:rPr>
      </w:pPr>
    </w:p>
    <w:p>
      <w:pPr>
        <w:ind w:right="180" w:firstLine="5"/>
        <w:spacing w:after="0" w:line="290" w:lineRule="auto"/>
        <w:tabs>
          <w:tab w:leader="none" w:pos="256" w:val="left"/>
        </w:tabs>
        <w:numPr>
          <w:ilvl w:val="0"/>
          <w:numId w:val="17"/>
        </w:numPr>
        <w:rPr>
          <w:rFonts w:ascii="Arial" w:cs="Arial" w:eastAsia="Arial" w:hAnsi="Arial"/>
          <w:sz w:val="15"/>
          <w:szCs w:val="15"/>
          <w:color w:val="auto"/>
        </w:rPr>
      </w:pPr>
      <w:r>
        <w:rPr>
          <w:rFonts w:ascii="Arial" w:cs="Arial" w:eastAsia="Arial" w:hAnsi="Arial"/>
          <w:sz w:val="15"/>
          <w:szCs w:val="15"/>
          <w:color w:val="auto"/>
        </w:rPr>
        <w:t>investment in RNG projects; (iii) development of the Luverne Facility; (iv) development, acquisition and operation of sustainable alcohol-to-SAF plants to produce SAF alone or with partners; (v) operating activities at the Company's corporate headquarters in Colorado, including research and development work;</w:t>
      </w:r>
    </w:p>
    <w:p>
      <w:pPr>
        <w:spacing w:after="0" w:line="1" w:lineRule="exact"/>
        <w:rPr>
          <w:rFonts w:ascii="Arial" w:cs="Arial" w:eastAsia="Arial" w:hAnsi="Arial"/>
          <w:sz w:val="15"/>
          <w:szCs w:val="15"/>
          <w:color w:val="auto"/>
        </w:rPr>
      </w:pPr>
    </w:p>
    <w:p>
      <w:pPr>
        <w:jc w:val="both"/>
        <w:ind w:right="120" w:firstLine="5"/>
        <w:spacing w:after="0" w:line="265" w:lineRule="auto"/>
        <w:tabs>
          <w:tab w:leader="none" w:pos="295" w:val="left"/>
        </w:tabs>
        <w:numPr>
          <w:ilvl w:val="0"/>
          <w:numId w:val="18"/>
        </w:numPr>
        <w:rPr>
          <w:rFonts w:ascii="Arial" w:cs="Arial" w:eastAsia="Arial" w:hAnsi="Arial"/>
          <w:sz w:val="17"/>
          <w:szCs w:val="17"/>
          <w:color w:val="auto"/>
        </w:rPr>
      </w:pPr>
      <w:r>
        <w:rPr>
          <w:rFonts w:ascii="Arial" w:cs="Arial" w:eastAsia="Arial" w:hAnsi="Arial"/>
          <w:sz w:val="17"/>
          <w:szCs w:val="17"/>
          <w:color w:val="auto"/>
        </w:rPr>
        <w:t>exploration of strategic alternatives and additional financing, including project financing; and (vii) future debt service obligations. We believe as a result of our cash and cash equivalents balances, and the performance of our current and expected operations, we will be able to meet our obligations and other potential cash requirements during the next 12 months from the date of this report.</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382" w:right="339" w:bottom="1440" w:gutter="0" w:footer="0" w:header="0"/>
        </w:sectPr>
      </w:pPr>
    </w:p>
    <w:bookmarkStart w:id="31" w:name="page32"/>
    <w:bookmarkEnd w:id="31"/>
    <w:p>
      <w:pPr>
        <w:ind w:right="40" w:firstLine="470"/>
        <w:spacing w:after="0" w:line="324" w:lineRule="auto"/>
        <w:rPr>
          <w:sz w:val="20"/>
          <w:szCs w:val="20"/>
          <w:color w:val="auto"/>
        </w:rPr>
      </w:pPr>
      <w:r>
        <w:rPr>
          <w:rFonts w:ascii="Arial" w:cs="Arial" w:eastAsia="Arial" w:hAnsi="Arial"/>
          <w:sz w:val="15"/>
          <w:szCs w:val="15"/>
          <w:color w:val="auto"/>
        </w:rPr>
        <w:t>Since our inception in 2005, we have devoted most of our cash resources to the development and commercialization of isobutanol and related products from renewable feedstocks. We have incurred losses since inception, have a significant accumulated deficit, and expect to incur losses for the foreseeable future. We have financed our operations primarily with proceeds from the issuance of equity and debt securities, borrowings under debt facilities and product sales.</w:t>
      </w:r>
    </w:p>
    <w:p>
      <w:pPr>
        <w:spacing w:after="0" w:line="164" w:lineRule="exact"/>
        <w:rPr>
          <w:sz w:val="20"/>
          <w:szCs w:val="20"/>
          <w:color w:val="auto"/>
        </w:rPr>
      </w:pPr>
    </w:p>
    <w:p>
      <w:pPr>
        <w:ind w:firstLine="470"/>
        <w:spacing w:after="0" w:line="267" w:lineRule="auto"/>
        <w:rPr>
          <w:sz w:val="20"/>
          <w:szCs w:val="20"/>
          <w:color w:val="auto"/>
        </w:rPr>
      </w:pPr>
      <w:r>
        <w:rPr>
          <w:rFonts w:ascii="Arial" w:cs="Arial" w:eastAsia="Arial" w:hAnsi="Arial"/>
          <w:sz w:val="17"/>
          <w:szCs w:val="17"/>
          <w:color w:val="auto"/>
        </w:rPr>
        <w:t>The Company's transition to profitability is dependent upon, among other things, the successful development and commercialization of its product candidates, the development, acquisition and construction of additional production facilities to support that Company's off-take agreements, the achievement of a level of revenues adequate to support the Company's cost structure, and the ability to raise capital to finance the development, acquisition, and construction of additional productions facilities.</w:t>
      </w:r>
    </w:p>
    <w:p>
      <w:pPr>
        <w:spacing w:after="0" w:line="189" w:lineRule="exact"/>
        <w:rPr>
          <w:sz w:val="20"/>
          <w:szCs w:val="20"/>
          <w:color w:val="auto"/>
        </w:rPr>
      </w:pPr>
    </w:p>
    <w:p>
      <w:pPr>
        <w:jc w:val="both"/>
        <w:ind w:firstLine="470"/>
        <w:spacing w:after="0" w:line="234" w:lineRule="auto"/>
        <w:rPr>
          <w:sz w:val="20"/>
          <w:szCs w:val="20"/>
          <w:color w:val="auto"/>
        </w:rPr>
      </w:pPr>
      <w:r>
        <w:rPr>
          <w:rFonts w:ascii="Arial" w:cs="Arial" w:eastAsia="Arial" w:hAnsi="Arial"/>
          <w:sz w:val="17"/>
          <w:szCs w:val="17"/>
          <w:color w:val="auto"/>
        </w:rPr>
        <w:t>On January 27, 2022, the Company’s stockholders voted to amend the Certificate of Incorporation to increase the total number of authorized shares of common stock from 250 million shares to 500 million shares. Management intends to fund future operations through additional private and/or public offerings of debt or equity securities. In addition, the Company may seek additional capital, on acceptable terms, through arrangements with strategic partners or from other sources. Notwithstanding, there can be no assurance that the Company will be able to raise additional funds or achieve or sustain profitability or positive cash flows from operations.</w:t>
      </w:r>
    </w:p>
    <w:p>
      <w:pPr>
        <w:spacing w:after="0" w:line="21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sets forth the major sources and uses of cash for each of the periods set forth below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2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gridSpan w:val="4"/>
          </w:tcPr>
          <w:p>
            <w:pPr>
              <w:jc w:val="right"/>
              <w:ind w:right="733"/>
              <w:spacing w:after="0"/>
              <w:rPr>
                <w:sz w:val="20"/>
                <w:szCs w:val="20"/>
                <w:color w:val="auto"/>
              </w:rPr>
            </w:pPr>
            <w:r>
              <w:rPr>
                <w:rFonts w:ascii="Arial" w:cs="Arial" w:eastAsia="Arial" w:hAnsi="Arial"/>
                <w:sz w:val="17"/>
                <w:szCs w:val="17"/>
                <w:b w:val="1"/>
                <w:bCs w:val="1"/>
                <w:color w:val="auto"/>
              </w:rPr>
              <w:t>Three Months Ended March 31,</w:t>
            </w:r>
          </w:p>
        </w:tc>
      </w:tr>
      <w:tr>
        <w:trPr>
          <w:trHeight w:val="235"/>
        </w:trPr>
        <w:tc>
          <w:tcPr>
            <w:tcW w:w="72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13"/>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13"/>
              <w:spacing w:after="0"/>
              <w:rPr>
                <w:sz w:val="20"/>
                <w:szCs w:val="20"/>
                <w:color w:val="auto"/>
              </w:rPr>
            </w:pPr>
            <w:r>
              <w:rPr>
                <w:rFonts w:ascii="Arial" w:cs="Arial" w:eastAsia="Arial" w:hAnsi="Arial"/>
                <w:sz w:val="17"/>
                <w:szCs w:val="17"/>
                <w:b w:val="1"/>
                <w:bCs w:val="1"/>
                <w:color w:val="auto"/>
              </w:rPr>
              <w:t>2021</w:t>
            </w:r>
          </w:p>
        </w:tc>
      </w:tr>
      <w:tr>
        <w:trPr>
          <w:trHeight w:val="248"/>
        </w:trPr>
        <w:tc>
          <w:tcPr>
            <w:tcW w:w="7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operating activities</w:t>
            </w:r>
          </w:p>
        </w:tc>
        <w:tc>
          <w:tcPr>
            <w:tcW w:w="46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(12,460)</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(7,165)</w:t>
            </w:r>
          </w:p>
        </w:tc>
      </w:tr>
      <w:tr>
        <w:trPr>
          <w:trHeight w:val="242"/>
        </w:trPr>
        <w:tc>
          <w:tcPr>
            <w:tcW w:w="7220" w:type="dxa"/>
            <w:vAlign w:val="bottom"/>
          </w:tcPr>
          <w:p>
            <w:pPr>
              <w:ind w:left="20"/>
              <w:spacing w:after="0"/>
              <w:rPr>
                <w:sz w:val="20"/>
                <w:szCs w:val="20"/>
                <w:color w:val="auto"/>
              </w:rPr>
            </w:pPr>
            <w:r>
              <w:rPr>
                <w:rFonts w:ascii="Arial" w:cs="Arial" w:eastAsia="Arial" w:hAnsi="Arial"/>
                <w:sz w:val="17"/>
                <w:szCs w:val="17"/>
                <w:color w:val="auto"/>
              </w:rPr>
              <w:t>Net cash from investing activities</w:t>
            </w:r>
          </w:p>
        </w:tc>
        <w:tc>
          <w:tcPr>
            <w:tcW w:w="460" w:type="dxa"/>
            <w:vAlign w:val="bottom"/>
          </w:tcPr>
          <w:p>
            <w:pPr>
              <w:jc w:val="right"/>
              <w:ind w:right="273"/>
              <w:spacing w:after="0"/>
              <w:rPr>
                <w:sz w:val="20"/>
                <w:szCs w:val="20"/>
                <w:color w:val="auto"/>
              </w:rPr>
            </w:pPr>
            <w:r>
              <w:rPr>
                <w:rFonts w:ascii="Arial" w:cs="Arial" w:eastAsia="Arial" w:hAnsi="Arial"/>
                <w:sz w:val="17"/>
                <w:szCs w:val="17"/>
                <w:color w:val="auto"/>
                <w:w w:val="84"/>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7,861</w:t>
            </w:r>
          </w:p>
        </w:tc>
        <w:tc>
          <w:tcPr>
            <w:tcW w:w="100" w:type="dxa"/>
            <w:vAlign w:val="bottom"/>
          </w:tcPr>
          <w:p>
            <w:pPr>
              <w:spacing w:after="0"/>
              <w:rPr>
                <w:sz w:val="21"/>
                <w:szCs w:val="21"/>
                <w:color w:val="auto"/>
              </w:rPr>
            </w:pPr>
          </w:p>
        </w:tc>
        <w:tc>
          <w:tcPr>
            <w:tcW w:w="460" w:type="dxa"/>
            <w:vAlign w:val="bottom"/>
          </w:tcPr>
          <w:p>
            <w:pPr>
              <w:jc w:val="right"/>
              <w:ind w:right="273"/>
              <w:spacing w:after="0"/>
              <w:rPr>
                <w:sz w:val="20"/>
                <w:szCs w:val="20"/>
                <w:color w:val="auto"/>
              </w:rPr>
            </w:pPr>
            <w:r>
              <w:rPr>
                <w:rFonts w:ascii="Arial" w:cs="Arial" w:eastAsia="Arial" w:hAnsi="Arial"/>
                <w:sz w:val="17"/>
                <w:szCs w:val="17"/>
                <w:color w:val="auto"/>
                <w:w w:val="84"/>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(4,630)</w:t>
            </w:r>
          </w:p>
        </w:tc>
      </w:tr>
      <w:tr>
        <w:trPr>
          <w:trHeight w:val="255"/>
        </w:trPr>
        <w:tc>
          <w:tcPr>
            <w:tcW w:w="7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financing activities</w:t>
            </w:r>
          </w:p>
        </w:tc>
        <w:tc>
          <w:tcPr>
            <w:tcW w:w="46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458,780</w:t>
            </w:r>
          </w:p>
        </w:tc>
      </w:tr>
      <w:tr>
        <w:trPr>
          <w:trHeight w:val="211"/>
        </w:trPr>
        <w:tc>
          <w:tcPr>
            <w:tcW w:w="7220" w:type="dxa"/>
            <w:vAlign w:val="bottom"/>
          </w:tcPr>
          <w:p>
            <w:pPr>
              <w:spacing w:after="0"/>
              <w:rPr>
                <w:sz w:val="20"/>
                <w:szCs w:val="20"/>
                <w:color w:val="auto"/>
              </w:rPr>
            </w:pPr>
            <w:r>
              <w:rPr>
                <w:rFonts w:ascii="Arial" w:cs="Arial" w:eastAsia="Arial" w:hAnsi="Arial"/>
                <w:sz w:val="17"/>
                <w:szCs w:val="17"/>
                <w:b w:val="1"/>
                <w:bCs w:val="1"/>
                <w:color w:val="auto"/>
              </w:rPr>
              <w:t>Operating Activities</w:t>
            </w: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r>
    </w:tbl>
    <w:p>
      <w:pPr>
        <w:ind w:right="200" w:firstLine="470"/>
        <w:spacing w:after="0" w:line="251" w:lineRule="auto"/>
        <w:rPr>
          <w:sz w:val="20"/>
          <w:szCs w:val="20"/>
          <w:color w:val="auto"/>
        </w:rPr>
      </w:pPr>
      <w:r>
        <w:rPr>
          <w:rFonts w:ascii="Arial" w:cs="Arial" w:eastAsia="Arial" w:hAnsi="Arial"/>
          <w:sz w:val="17"/>
          <w:szCs w:val="17"/>
          <w:color w:val="auto"/>
        </w:rPr>
        <w:t>Our primary uses of cash from operating activities are personnel-related expenses, research and development-related expenses, including costs incurred under development agreements, costs of licensing of technology, legal-related costs, expenses for development production of isobutanol, ethanol and related products.</w:t>
      </w:r>
    </w:p>
    <w:p>
      <w:pPr>
        <w:spacing w:after="0" w:line="1" w:lineRule="exact"/>
        <w:rPr>
          <w:sz w:val="20"/>
          <w:szCs w:val="20"/>
          <w:color w:val="auto"/>
        </w:rPr>
      </w:pPr>
    </w:p>
    <w:p>
      <w:pPr>
        <w:ind w:right="40" w:firstLine="470"/>
        <w:spacing w:after="0" w:line="246" w:lineRule="auto"/>
        <w:rPr>
          <w:sz w:val="20"/>
          <w:szCs w:val="20"/>
          <w:color w:val="auto"/>
        </w:rPr>
      </w:pPr>
      <w:r>
        <w:rPr>
          <w:rFonts w:ascii="Arial" w:cs="Arial" w:eastAsia="Arial" w:hAnsi="Arial"/>
          <w:sz w:val="16"/>
          <w:szCs w:val="16"/>
          <w:color w:val="auto"/>
        </w:rPr>
        <w:t>During the three months ended March 31, 2022, net cash used for operating activities was $12.5 million compared to $7.2 million for the three months ended March 31, 2021. During the three months ended March 31, 2022, net cash used for operating activities was $12.5 million compared to $7.2 million for the three months ended March 31, 2021. The $5.3 million decrease in operating cash flows was primarily due to increased costs associated with our production of isobutanol and hydrocarbon products for market development, process technology and related process engineering work. In addition, we had increases in personnel expenses to support the growth in business activity, partnership development and Verity Tracking development expenses.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Investing Activities</w:t>
      </w:r>
    </w:p>
    <w:p>
      <w:pPr>
        <w:spacing w:after="0" w:line="32" w:lineRule="exact"/>
        <w:rPr>
          <w:sz w:val="20"/>
          <w:szCs w:val="20"/>
          <w:color w:val="auto"/>
        </w:rPr>
      </w:pPr>
    </w:p>
    <w:p>
      <w:pPr>
        <w:ind w:right="40" w:firstLine="470"/>
        <w:spacing w:after="0" w:line="256" w:lineRule="auto"/>
        <w:rPr>
          <w:sz w:val="20"/>
          <w:szCs w:val="20"/>
          <w:color w:val="auto"/>
        </w:rPr>
      </w:pPr>
      <w:r>
        <w:rPr>
          <w:rFonts w:ascii="Arial" w:cs="Arial" w:eastAsia="Arial" w:hAnsi="Arial"/>
          <w:sz w:val="17"/>
          <w:szCs w:val="17"/>
          <w:color w:val="auto"/>
        </w:rPr>
        <w:t>During the three months ended March 31, 2022, we used $7.9 million in cash for investing activities, of which $71.1 million related to proceeds from sales and maturities of marketable securities, offset by the reinvestment of $31.2 million in marketable securities, and $31.5 million of investments in our capital projects, including $18.3 million in the NW Iowa RNG project, $9.6 million in the Net-Zero 1 project, as well as $3.2 million in development projects at Agri-Energy and Gevo.</w:t>
      </w:r>
    </w:p>
    <w:p>
      <w:pPr>
        <w:spacing w:after="0" w:line="2" w:lineRule="exact"/>
        <w:rPr>
          <w:sz w:val="20"/>
          <w:szCs w:val="20"/>
          <w:color w:val="auto"/>
        </w:rPr>
      </w:pPr>
    </w:p>
    <w:p>
      <w:pPr>
        <w:ind w:right="20" w:firstLine="470"/>
        <w:spacing w:after="0" w:line="265" w:lineRule="auto"/>
        <w:rPr>
          <w:sz w:val="20"/>
          <w:szCs w:val="20"/>
          <w:color w:val="auto"/>
        </w:rPr>
      </w:pPr>
      <w:r>
        <w:rPr>
          <w:rFonts w:ascii="Arial" w:cs="Arial" w:eastAsia="Arial" w:hAnsi="Arial"/>
          <w:sz w:val="17"/>
          <w:szCs w:val="17"/>
          <w:color w:val="auto"/>
        </w:rPr>
        <w:t>We completed the construction of the NW Iowa RNG project and may invest up to an additional $11.4 million for start-up, improvements, and expansions during the remainder of 2022. We currently plan to spend approximately $100 million for engineering, development, long-lead equipment deposits, debt financing costs, and project construction equity investment commitments over the next 12 months for the Net-Zero 1 Project.</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382"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color w:val="auto"/>
        </w:rPr>
        <w:t>Financing Activities</w:t>
      </w:r>
    </w:p>
    <w:p>
      <w:pPr>
        <w:spacing w:after="0" w:line="32" w:lineRule="exact"/>
        <w:rPr>
          <w:sz w:val="20"/>
          <w:szCs w:val="20"/>
          <w:color w:val="auto"/>
        </w:rPr>
      </w:pPr>
    </w:p>
    <w:p>
      <w:pPr>
        <w:ind w:right="380" w:firstLine="470"/>
        <w:spacing w:after="0" w:line="273" w:lineRule="auto"/>
        <w:rPr>
          <w:sz w:val="20"/>
          <w:szCs w:val="20"/>
          <w:color w:val="auto"/>
        </w:rPr>
      </w:pPr>
      <w:r>
        <w:rPr>
          <w:rFonts w:ascii="Arial" w:cs="Arial" w:eastAsia="Arial" w:hAnsi="Arial"/>
          <w:sz w:val="17"/>
          <w:szCs w:val="17"/>
          <w:color w:val="auto"/>
        </w:rPr>
        <w:t>During the three months ended March 31, 2022, we used $0.4 million in cash from financing activities, which primarily consisted of $0.2 million net settlement of common stock for taxes under our stock plans and $0.1 million of interest on certain equipment loans.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32" w:lineRule="exact"/>
        <w:rPr>
          <w:sz w:val="20"/>
          <w:szCs w:val="20"/>
          <w:color w:val="auto"/>
        </w:rPr>
      </w:pPr>
    </w:p>
    <w:p>
      <w:pPr>
        <w:ind w:firstLine="470"/>
        <w:spacing w:after="0" w:line="273" w:lineRule="auto"/>
        <w:rPr>
          <w:sz w:val="20"/>
          <w:szCs w:val="20"/>
          <w:color w:val="auto"/>
        </w:rPr>
      </w:pPr>
      <w:r>
        <w:rPr>
          <w:rFonts w:ascii="Arial" w:cs="Arial" w:eastAsia="Arial" w:hAnsi="Arial"/>
          <w:sz w:val="17"/>
          <w:szCs w:val="17"/>
          <w:color w:val="auto"/>
        </w:rPr>
        <w:t>There have been no material changes since our disclosure in “Quantitative and Qualitative Disclosures About Market Risk” included in Part II, Item 7A of our 2021 Annual Report</w:t>
      </w:r>
      <w:r>
        <w:rPr>
          <w:rFonts w:ascii="Arial" w:cs="Arial" w:eastAsia="Arial" w:hAnsi="Arial"/>
          <w:sz w:val="15"/>
          <w:szCs w:val="15"/>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4" w:lineRule="exact"/>
        <w:rPr>
          <w:sz w:val="20"/>
          <w:szCs w:val="20"/>
          <w:color w:val="auto"/>
        </w:rPr>
      </w:pPr>
    </w:p>
    <w:p>
      <w:pPr>
        <w:ind w:right="60" w:firstLine="470"/>
        <w:spacing w:after="0" w:line="260" w:lineRule="auto"/>
        <w:rPr>
          <w:sz w:val="20"/>
          <w:szCs w:val="20"/>
          <w:color w:val="auto"/>
        </w:rPr>
      </w:pPr>
      <w:r>
        <w:rPr>
          <w:rFonts w:ascii="Arial" w:cs="Arial" w:eastAsia="Arial" w:hAnsi="Arial"/>
          <w:sz w:val="17"/>
          <w:szCs w:val="17"/>
          <w:color w:val="auto"/>
        </w:rPr>
        <w:t>We maintain disclosure controls and procedures, as such term is defined in Rules 13a-15(e) and 15d-15(e) under the Exchange Act, that are designed to provide reasonable assurance that information required to be disclosed by us in the reports that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financial disclosures.</w:t>
      </w:r>
    </w:p>
    <w:p>
      <w:pPr>
        <w:spacing w:after="0" w:line="210" w:lineRule="exact"/>
        <w:rPr>
          <w:sz w:val="20"/>
          <w:szCs w:val="20"/>
          <w:color w:val="auto"/>
        </w:rPr>
      </w:pPr>
    </w:p>
    <w:p>
      <w:pPr>
        <w:ind w:firstLine="470"/>
        <w:spacing w:after="0" w:line="261" w:lineRule="auto"/>
        <w:rPr>
          <w:sz w:val="20"/>
          <w:szCs w:val="20"/>
          <w:color w:val="auto"/>
        </w:rPr>
      </w:pPr>
      <w:r>
        <w:rPr>
          <w:rFonts w:ascii="Arial" w:cs="Arial" w:eastAsia="Arial" w:hAnsi="Arial"/>
          <w:sz w:val="17"/>
          <w:szCs w:val="17"/>
          <w:color w:val="auto"/>
        </w:rPr>
        <w:t>During the fiscal period covered by this report, our management, with the participation of our Chief Executive Officer and Chief Financial Officer, carried out an evaluation of the effectiveness of the design and operation of our disclosure controls and procedures (as defined in Rules 13a-15(e) and 15d-15(e) of the Exchange Act). Based on such evaluation, our Chief Executive Officer and Chief Financial Officer have concluded that, as of March 31, 2022, our disclosure controls and procedures were effective to ensure that information required to be disclosed by us in reports that we file or submit under the Exchange Act are recorded, processed, summarized and reported within the required time periods and are designed to ensure that information required to be disclosed in our reports is accumulated and communicated to our management, including our Chief Executive Officer and Chief Financial Officer as appropriate, to allow timely decisions regarding required disclosure.</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32" w:lineRule="exact"/>
        <w:rPr>
          <w:sz w:val="20"/>
          <w:szCs w:val="20"/>
          <w:color w:val="auto"/>
        </w:rPr>
      </w:pPr>
    </w:p>
    <w:p>
      <w:pPr>
        <w:ind w:right="160" w:firstLine="470"/>
        <w:spacing w:after="0" w:line="273" w:lineRule="auto"/>
        <w:rPr>
          <w:sz w:val="20"/>
          <w:szCs w:val="20"/>
          <w:color w:val="auto"/>
        </w:rPr>
      </w:pPr>
      <w:r>
        <w:rPr>
          <w:rFonts w:ascii="Arial" w:cs="Arial" w:eastAsia="Arial" w:hAnsi="Arial"/>
          <w:sz w:val="17"/>
          <w:szCs w:val="17"/>
          <w:color w:val="auto"/>
        </w:rPr>
        <w:t>There were no changes that occurred during the three months ended March 31, 2022, that have materially affected, or are reasonably likely to materially affect, our internal control over financial reporting.</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7"/>
          <w:szCs w:val="17"/>
          <w:b w:val="1"/>
          <w:bCs w:val="1"/>
          <w:color w:val="auto"/>
        </w:rPr>
        <w:t>PART II. OTHER INFORMATION</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32" w:lineRule="exact"/>
        <w:rPr>
          <w:sz w:val="20"/>
          <w:szCs w:val="20"/>
          <w:color w:val="auto"/>
        </w:rPr>
      </w:pPr>
    </w:p>
    <w:p>
      <w:pPr>
        <w:jc w:val="both"/>
        <w:ind w:right="20" w:firstLine="470"/>
        <w:spacing w:after="0" w:line="289" w:lineRule="auto"/>
        <w:rPr>
          <w:sz w:val="20"/>
          <w:szCs w:val="20"/>
          <w:color w:val="auto"/>
        </w:rPr>
      </w:pPr>
      <w:r>
        <w:rPr>
          <w:rFonts w:ascii="Arial" w:cs="Arial" w:eastAsia="Arial" w:hAnsi="Arial"/>
          <w:sz w:val="16"/>
          <w:szCs w:val="16"/>
          <w:color w:val="auto"/>
        </w:rPr>
        <w:t>From time to time, we have been and may again become involved in legal proceedings arising in the ordinary course of our business. We are not presently a party to any litigation, other disputes and regulatory proceedings that we believe to be material and we are not aware of any pending or threatened proceedings against us that we believe could have a material adverse effect on our business, operating results, financial condition or cash flows.</w:t>
      </w:r>
    </w:p>
    <w:p>
      <w:pPr>
        <w:spacing w:after="0" w:line="186" w:lineRule="exact"/>
        <w:rPr>
          <w:sz w:val="20"/>
          <w:szCs w:val="20"/>
          <w:color w:val="auto"/>
        </w:rPr>
      </w:pPr>
    </w:p>
    <w:p>
      <w:pPr>
        <w:ind w:right="80" w:firstLine="470"/>
        <w:spacing w:after="0" w:line="272" w:lineRule="auto"/>
        <w:rPr>
          <w:sz w:val="20"/>
          <w:szCs w:val="20"/>
          <w:color w:val="auto"/>
        </w:rPr>
      </w:pPr>
      <w:r>
        <w:rPr>
          <w:rFonts w:ascii="Arial" w:cs="Arial" w:eastAsia="Arial" w:hAnsi="Arial"/>
          <w:sz w:val="17"/>
          <w:szCs w:val="17"/>
          <w:color w:val="auto"/>
        </w:rPr>
        <w:t>In February 2022, an incident occurred at one of the anaerobic digesters that is part of NW Iowa RNG that resulted in the accidental discharge of a mixture of water and manure into the environment. We promptly notified the Iowa Department of Natural Resources (the "DNR") and began mitigation work to minimize the impact of the discharge. The DNR has issued a notice of violation in connection with the discharge.</w:t>
      </w:r>
    </w:p>
    <w:p>
      <w:pPr>
        <w:spacing w:after="0" w:line="198" w:lineRule="exact"/>
        <w:rPr>
          <w:sz w:val="20"/>
          <w:szCs w:val="20"/>
          <w:color w:val="auto"/>
        </w:rPr>
      </w:pPr>
    </w:p>
    <w:p>
      <w:pPr>
        <w:ind w:right="40" w:firstLine="470"/>
        <w:spacing w:after="0" w:line="321" w:lineRule="auto"/>
        <w:rPr>
          <w:sz w:val="20"/>
          <w:szCs w:val="20"/>
          <w:color w:val="auto"/>
        </w:rPr>
      </w:pPr>
      <w:r>
        <w:rPr>
          <w:rFonts w:ascii="Arial" w:cs="Arial" w:eastAsia="Arial" w:hAnsi="Arial"/>
          <w:sz w:val="16"/>
          <w:szCs w:val="16"/>
          <w:color w:val="auto"/>
        </w:rPr>
        <w:t>In April 2022, two separate incidents occurred at two of the anaerobic digesters that are part of NW Iowa RNG that resulted in the accidental discharge of very small amounts of water and manure into the environment. The DNR has issued notices of violation in connection with the two discharges.</w:t>
      </w:r>
    </w:p>
    <w:p>
      <w:pPr>
        <w:spacing w:after="0" w:line="161" w:lineRule="exact"/>
        <w:rPr>
          <w:sz w:val="20"/>
          <w:szCs w:val="20"/>
          <w:color w:val="auto"/>
        </w:rPr>
      </w:pPr>
    </w:p>
    <w:p>
      <w:pPr>
        <w:ind w:right="460" w:firstLine="470"/>
        <w:spacing w:after="0" w:line="321" w:lineRule="auto"/>
        <w:rPr>
          <w:sz w:val="20"/>
          <w:szCs w:val="20"/>
          <w:color w:val="auto"/>
        </w:rPr>
      </w:pPr>
      <w:r>
        <w:rPr>
          <w:rFonts w:ascii="Arial" w:cs="Arial" w:eastAsia="Arial" w:hAnsi="Arial"/>
          <w:sz w:val="16"/>
          <w:szCs w:val="16"/>
          <w:color w:val="auto"/>
        </w:rPr>
        <w:t>There is a possibility that the DNR will initiate an enforcement action with respect to the discharges described above that could result in a monetary sanction being levied against Gevo for the accidental discharges. We do not believe that any such monetary sanctions would be material.</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32" w:lineRule="exact"/>
        <w:rPr>
          <w:sz w:val="20"/>
          <w:szCs w:val="20"/>
          <w:color w:val="auto"/>
        </w:rPr>
      </w:pPr>
    </w:p>
    <w:p>
      <w:pPr>
        <w:ind w:right="180" w:firstLine="470"/>
        <w:spacing w:after="0" w:line="262" w:lineRule="auto"/>
        <w:rPr>
          <w:sz w:val="20"/>
          <w:szCs w:val="20"/>
          <w:color w:val="auto"/>
        </w:rPr>
      </w:pPr>
      <w:r>
        <w:rPr>
          <w:rFonts w:ascii="Arial" w:cs="Arial" w:eastAsia="Arial" w:hAnsi="Arial"/>
          <w:sz w:val="17"/>
          <w:szCs w:val="17"/>
          <w:color w:val="auto"/>
        </w:rPr>
        <w:t>You should carefully consider the risk factors discussed in Part I, Item 1A. “Risk Factors” in our 2021 Annual Report, which could materially affect our business, financial condition, cash flows or future results. There have been no material changes in our risk factors included in our Annual Report. The risk factors in our 2021 Annual Report are not the only risks facing our company. Additional risks and uncertainties not currently known to us or that we currently deem to be immaterial also may materially adversely affect our business, financial condition or future results.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32"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Purchases of equity securities by the issuer:</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center"/>
              <w:ind w:left="133"/>
              <w:spacing w:after="0"/>
              <w:rPr>
                <w:sz w:val="20"/>
                <w:szCs w:val="20"/>
                <w:color w:val="auto"/>
              </w:rPr>
            </w:pPr>
            <w:r>
              <w:rPr>
                <w:rFonts w:ascii="Arial" w:cs="Arial" w:eastAsia="Arial" w:hAnsi="Arial"/>
                <w:sz w:val="17"/>
                <w:szCs w:val="17"/>
                <w:b w:val="1"/>
                <w:bCs w:val="1"/>
                <w:color w:val="auto"/>
                <w:w w:val="94"/>
              </w:rPr>
              <w:t>Total Number</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Arial" w:cs="Arial" w:eastAsia="Arial" w:hAnsi="Arial"/>
                <w:sz w:val="17"/>
                <w:szCs w:val="17"/>
                <w:b w:val="1"/>
                <w:bCs w:val="1"/>
                <w:color w:val="auto"/>
                <w:w w:val="99"/>
              </w:rPr>
              <w:t>Maximum</w:t>
            </w:r>
          </w:p>
        </w:tc>
        <w:tc>
          <w:tcPr>
            <w:tcW w:w="0" w:type="dxa"/>
            <w:vAlign w:val="bottom"/>
          </w:tcPr>
          <w:p>
            <w:pPr>
              <w:spacing w:after="0"/>
              <w:rPr>
                <w:sz w:val="1"/>
                <w:szCs w:val="1"/>
                <w:color w:val="auto"/>
              </w:rPr>
            </w:pPr>
          </w:p>
        </w:tc>
      </w:tr>
      <w:tr>
        <w:trPr>
          <w:trHeight w:val="170"/>
        </w:trPr>
        <w:tc>
          <w:tcPr>
            <w:tcW w:w="37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jc w:val="center"/>
              <w:ind w:left="133"/>
              <w:spacing w:after="0" w:line="170" w:lineRule="exact"/>
              <w:rPr>
                <w:sz w:val="20"/>
                <w:szCs w:val="20"/>
                <w:color w:val="auto"/>
              </w:rPr>
            </w:pPr>
            <w:r>
              <w:rPr>
                <w:rFonts w:ascii="Arial" w:cs="Arial" w:eastAsia="Arial" w:hAnsi="Arial"/>
                <w:sz w:val="17"/>
                <w:szCs w:val="17"/>
                <w:b w:val="1"/>
                <w:bCs w:val="1"/>
                <w:color w:val="auto"/>
                <w:w w:val="87"/>
              </w:rPr>
              <w:t>of Shares</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tcPr>
          <w:p>
            <w:pPr>
              <w:jc w:val="center"/>
              <w:spacing w:after="0" w:line="170" w:lineRule="exact"/>
              <w:rPr>
                <w:sz w:val="20"/>
                <w:szCs w:val="20"/>
                <w:color w:val="auto"/>
              </w:rPr>
            </w:pPr>
            <w:r>
              <w:rPr>
                <w:rFonts w:ascii="Arial" w:cs="Arial" w:eastAsia="Arial" w:hAnsi="Arial"/>
                <w:sz w:val="17"/>
                <w:szCs w:val="17"/>
                <w:b w:val="1"/>
                <w:bCs w:val="1"/>
                <w:color w:val="auto"/>
                <w:w w:val="96"/>
              </w:rPr>
              <w:t>Number of</w:t>
            </w:r>
          </w:p>
        </w:tc>
        <w:tc>
          <w:tcPr>
            <w:tcW w:w="0" w:type="dxa"/>
            <w:vAlign w:val="bottom"/>
          </w:tcPr>
          <w:p>
            <w:pPr>
              <w:spacing w:after="0"/>
              <w:rPr>
                <w:sz w:val="1"/>
                <w:szCs w:val="1"/>
                <w:color w:val="auto"/>
              </w:rPr>
            </w:pPr>
          </w:p>
        </w:tc>
      </w:tr>
      <w:tr>
        <w:trPr>
          <w:trHeight w:val="170"/>
        </w:trPr>
        <w:tc>
          <w:tcPr>
            <w:tcW w:w="37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jc w:val="center"/>
              <w:ind w:left="193"/>
              <w:spacing w:after="0" w:line="170" w:lineRule="exact"/>
              <w:rPr>
                <w:sz w:val="20"/>
                <w:szCs w:val="20"/>
                <w:color w:val="auto"/>
              </w:rPr>
            </w:pPr>
            <w:r>
              <w:rPr>
                <w:rFonts w:ascii="Arial" w:cs="Arial" w:eastAsia="Arial" w:hAnsi="Arial"/>
                <w:sz w:val="17"/>
                <w:szCs w:val="17"/>
                <w:b w:val="1"/>
                <w:bCs w:val="1"/>
                <w:color w:val="auto"/>
                <w:w w:val="88"/>
              </w:rPr>
              <w:t>Purchased as</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tcPr>
          <w:p>
            <w:pPr>
              <w:jc w:val="center"/>
              <w:spacing w:after="0" w:line="170" w:lineRule="exact"/>
              <w:rPr>
                <w:sz w:val="20"/>
                <w:szCs w:val="20"/>
                <w:color w:val="auto"/>
              </w:rPr>
            </w:pPr>
            <w:r>
              <w:rPr>
                <w:rFonts w:ascii="Arial" w:cs="Arial" w:eastAsia="Arial" w:hAnsi="Arial"/>
                <w:sz w:val="17"/>
                <w:szCs w:val="17"/>
                <w:b w:val="1"/>
                <w:bCs w:val="1"/>
                <w:color w:val="auto"/>
                <w:w w:val="92"/>
              </w:rPr>
              <w:t>Shares That</w:t>
            </w:r>
          </w:p>
        </w:tc>
        <w:tc>
          <w:tcPr>
            <w:tcW w:w="0" w:type="dxa"/>
            <w:vAlign w:val="bottom"/>
          </w:tcPr>
          <w:p>
            <w:pPr>
              <w:spacing w:after="0"/>
              <w:rPr>
                <w:sz w:val="1"/>
                <w:szCs w:val="1"/>
                <w:color w:val="auto"/>
              </w:rPr>
            </w:pPr>
          </w:p>
        </w:tc>
      </w:tr>
      <w:tr>
        <w:trPr>
          <w:trHeight w:val="170"/>
        </w:trPr>
        <w:tc>
          <w:tcPr>
            <w:tcW w:w="3700" w:type="dxa"/>
            <w:vAlign w:val="bottom"/>
          </w:tcPr>
          <w:p>
            <w:pPr>
              <w:spacing w:after="0"/>
              <w:rPr>
                <w:sz w:val="14"/>
                <w:szCs w:val="14"/>
                <w:color w:val="auto"/>
              </w:rPr>
            </w:pPr>
          </w:p>
        </w:tc>
        <w:tc>
          <w:tcPr>
            <w:tcW w:w="1920" w:type="dxa"/>
            <w:vAlign w:val="bottom"/>
            <w:gridSpan w:val="2"/>
            <w:vMerge w:val="restart"/>
          </w:tcPr>
          <w:p>
            <w:pPr>
              <w:jc w:val="center"/>
              <w:ind w:right="140"/>
              <w:spacing w:after="0"/>
              <w:rPr>
                <w:sz w:val="20"/>
                <w:szCs w:val="20"/>
                <w:color w:val="auto"/>
              </w:rPr>
            </w:pPr>
            <w:r>
              <w:rPr>
                <w:rFonts w:ascii="Arial" w:cs="Arial" w:eastAsia="Arial" w:hAnsi="Arial"/>
                <w:sz w:val="17"/>
                <w:szCs w:val="17"/>
                <w:b w:val="1"/>
                <w:bCs w:val="1"/>
                <w:color w:val="auto"/>
                <w:w w:val="96"/>
              </w:rPr>
              <w:t>Total Number</w:t>
            </w: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jc w:val="center"/>
              <w:ind w:left="153"/>
              <w:spacing w:after="0" w:line="170" w:lineRule="exact"/>
              <w:rPr>
                <w:sz w:val="20"/>
                <w:szCs w:val="20"/>
                <w:color w:val="auto"/>
              </w:rPr>
            </w:pPr>
            <w:r>
              <w:rPr>
                <w:rFonts w:ascii="Arial" w:cs="Arial" w:eastAsia="Arial" w:hAnsi="Arial"/>
                <w:sz w:val="17"/>
                <w:szCs w:val="17"/>
                <w:b w:val="1"/>
                <w:bCs w:val="1"/>
                <w:color w:val="auto"/>
                <w:w w:val="95"/>
              </w:rPr>
              <w:t>Part of Publicly</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tcPr>
          <w:p>
            <w:pPr>
              <w:jc w:val="center"/>
              <w:spacing w:after="0" w:line="170" w:lineRule="exact"/>
              <w:rPr>
                <w:sz w:val="20"/>
                <w:szCs w:val="20"/>
                <w:color w:val="auto"/>
              </w:rPr>
            </w:pPr>
            <w:r>
              <w:rPr>
                <w:rFonts w:ascii="Arial" w:cs="Arial" w:eastAsia="Arial" w:hAnsi="Arial"/>
                <w:sz w:val="17"/>
                <w:szCs w:val="17"/>
                <w:b w:val="1"/>
                <w:bCs w:val="1"/>
                <w:color w:val="auto"/>
                <w:w w:val="94"/>
              </w:rPr>
              <w:t>May Yet Be</w:t>
            </w:r>
          </w:p>
        </w:tc>
        <w:tc>
          <w:tcPr>
            <w:tcW w:w="0" w:type="dxa"/>
            <w:vAlign w:val="bottom"/>
          </w:tcPr>
          <w:p>
            <w:pPr>
              <w:spacing w:after="0"/>
              <w:rPr>
                <w:sz w:val="1"/>
                <w:szCs w:val="1"/>
                <w:color w:val="auto"/>
              </w:rPr>
            </w:pPr>
          </w:p>
        </w:tc>
      </w:tr>
      <w:tr>
        <w:trPr>
          <w:trHeight w:val="170"/>
        </w:trPr>
        <w:tc>
          <w:tcPr>
            <w:tcW w:w="3700" w:type="dxa"/>
            <w:vAlign w:val="bottom"/>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vMerge w:val="restart"/>
          </w:tcPr>
          <w:p>
            <w:pPr>
              <w:ind w:left="160"/>
              <w:spacing w:after="0"/>
              <w:rPr>
                <w:sz w:val="20"/>
                <w:szCs w:val="20"/>
                <w:color w:val="auto"/>
              </w:rPr>
            </w:pPr>
            <w:r>
              <w:rPr>
                <w:rFonts w:ascii="Arial" w:cs="Arial" w:eastAsia="Arial" w:hAnsi="Arial"/>
                <w:sz w:val="17"/>
                <w:szCs w:val="17"/>
                <w:b w:val="1"/>
                <w:bCs w:val="1"/>
                <w:color w:val="auto"/>
              </w:rPr>
              <w:t>Average Price</w:t>
            </w:r>
          </w:p>
        </w:tc>
        <w:tc>
          <w:tcPr>
            <w:tcW w:w="1540" w:type="dxa"/>
            <w:vAlign w:val="bottom"/>
          </w:tcPr>
          <w:p>
            <w:pPr>
              <w:jc w:val="center"/>
              <w:ind w:left="153"/>
              <w:spacing w:after="0" w:line="170" w:lineRule="exact"/>
              <w:rPr>
                <w:sz w:val="20"/>
                <w:szCs w:val="20"/>
                <w:color w:val="auto"/>
              </w:rPr>
            </w:pPr>
            <w:r>
              <w:rPr>
                <w:rFonts w:ascii="Arial" w:cs="Arial" w:eastAsia="Arial" w:hAnsi="Arial"/>
                <w:sz w:val="17"/>
                <w:szCs w:val="17"/>
                <w:b w:val="1"/>
                <w:bCs w:val="1"/>
                <w:color w:val="auto"/>
                <w:w w:val="91"/>
              </w:rPr>
              <w:t>Announced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tcPr>
          <w:p>
            <w:pPr>
              <w:jc w:val="center"/>
              <w:spacing w:after="0" w:line="170" w:lineRule="exact"/>
              <w:rPr>
                <w:sz w:val="20"/>
                <w:szCs w:val="20"/>
                <w:color w:val="auto"/>
              </w:rPr>
            </w:pPr>
            <w:r>
              <w:rPr>
                <w:rFonts w:ascii="Arial" w:cs="Arial" w:eastAsia="Arial" w:hAnsi="Arial"/>
                <w:sz w:val="17"/>
                <w:szCs w:val="17"/>
                <w:b w:val="1"/>
                <w:bCs w:val="1"/>
                <w:color w:val="auto"/>
                <w:w w:val="89"/>
              </w:rPr>
              <w:t>Purchased</w:t>
            </w:r>
          </w:p>
        </w:tc>
        <w:tc>
          <w:tcPr>
            <w:tcW w:w="0" w:type="dxa"/>
            <w:vAlign w:val="bottom"/>
          </w:tcPr>
          <w:p>
            <w:pPr>
              <w:spacing w:after="0"/>
              <w:rPr>
                <w:sz w:val="1"/>
                <w:szCs w:val="1"/>
                <w:color w:val="auto"/>
              </w:rPr>
            </w:pPr>
          </w:p>
        </w:tc>
      </w:tr>
      <w:tr>
        <w:trPr>
          <w:trHeight w:val="170"/>
        </w:trPr>
        <w:tc>
          <w:tcPr>
            <w:tcW w:w="3700" w:type="dxa"/>
            <w:vAlign w:val="bottom"/>
            <w:vMerge w:val="restart"/>
          </w:tcPr>
          <w:p>
            <w:pPr>
              <w:ind w:left="100"/>
              <w:spacing w:after="0"/>
              <w:rPr>
                <w:sz w:val="20"/>
                <w:szCs w:val="20"/>
                <w:color w:val="auto"/>
              </w:rPr>
            </w:pPr>
            <w:r>
              <w:rPr>
                <w:rFonts w:ascii="Arial" w:cs="Arial" w:eastAsia="Arial" w:hAnsi="Arial"/>
                <w:sz w:val="17"/>
                <w:szCs w:val="17"/>
                <w:b w:val="1"/>
                <w:bCs w:val="1"/>
                <w:color w:val="auto"/>
              </w:rPr>
              <w:t>Period</w:t>
            </w:r>
          </w:p>
        </w:tc>
        <w:tc>
          <w:tcPr>
            <w:tcW w:w="1920" w:type="dxa"/>
            <w:vAlign w:val="bottom"/>
            <w:gridSpan w:val="2"/>
          </w:tcPr>
          <w:p>
            <w:pPr>
              <w:jc w:val="center"/>
              <w:ind w:right="100"/>
              <w:spacing w:after="0" w:line="170" w:lineRule="exact"/>
              <w:rPr>
                <w:sz w:val="20"/>
                <w:szCs w:val="20"/>
                <w:color w:val="auto"/>
              </w:rPr>
            </w:pPr>
            <w:r>
              <w:rPr>
                <w:rFonts w:ascii="Arial" w:cs="Arial" w:eastAsia="Arial" w:hAnsi="Arial"/>
                <w:sz w:val="17"/>
                <w:szCs w:val="17"/>
                <w:b w:val="1"/>
                <w:bCs w:val="1"/>
                <w:color w:val="auto"/>
                <w:w w:val="90"/>
              </w:rPr>
              <w:t>of Shares</w:t>
            </w:r>
          </w:p>
        </w:tc>
        <w:tc>
          <w:tcPr>
            <w:tcW w:w="22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540" w:type="dxa"/>
            <w:vAlign w:val="bottom"/>
          </w:tcPr>
          <w:p>
            <w:pPr>
              <w:jc w:val="center"/>
              <w:ind w:left="193"/>
              <w:spacing w:after="0" w:line="170" w:lineRule="exact"/>
              <w:rPr>
                <w:sz w:val="20"/>
                <w:szCs w:val="20"/>
                <w:color w:val="auto"/>
              </w:rPr>
            </w:pPr>
            <w:r>
              <w:rPr>
                <w:rFonts w:ascii="Arial" w:cs="Arial" w:eastAsia="Arial" w:hAnsi="Arial"/>
                <w:sz w:val="17"/>
                <w:szCs w:val="17"/>
                <w:b w:val="1"/>
                <w:bCs w:val="1"/>
                <w:color w:val="auto"/>
                <w:w w:val="92"/>
              </w:rPr>
              <w:t>Plans or</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tcPr>
          <w:p>
            <w:pPr>
              <w:jc w:val="center"/>
              <w:spacing w:after="0" w:line="170" w:lineRule="exact"/>
              <w:rPr>
                <w:sz w:val="20"/>
                <w:szCs w:val="20"/>
                <w:color w:val="auto"/>
              </w:rPr>
            </w:pPr>
            <w:r>
              <w:rPr>
                <w:rFonts w:ascii="Arial" w:cs="Arial" w:eastAsia="Arial" w:hAnsi="Arial"/>
                <w:sz w:val="17"/>
                <w:szCs w:val="17"/>
                <w:b w:val="1"/>
                <w:bCs w:val="1"/>
                <w:color w:val="auto"/>
                <w:w w:val="92"/>
              </w:rPr>
              <w:t>Under the Plans</w:t>
            </w:r>
          </w:p>
        </w:tc>
        <w:tc>
          <w:tcPr>
            <w:tcW w:w="0" w:type="dxa"/>
            <w:vAlign w:val="bottom"/>
          </w:tcPr>
          <w:p>
            <w:pPr>
              <w:spacing w:after="0"/>
              <w:rPr>
                <w:sz w:val="1"/>
                <w:szCs w:val="1"/>
                <w:color w:val="auto"/>
              </w:rPr>
            </w:pPr>
          </w:p>
        </w:tc>
      </w:tr>
      <w:tr>
        <w:trPr>
          <w:trHeight w:val="222"/>
        </w:trPr>
        <w:tc>
          <w:tcPr>
            <w:tcW w:w="3700" w:type="dxa"/>
            <w:vAlign w:val="bottom"/>
            <w:tcBorders>
              <w:bottom w:val="single" w:sz="8" w:color="auto"/>
            </w:tcBorders>
            <w:vMerge w:val="continue"/>
          </w:tcPr>
          <w:p>
            <w:pPr>
              <w:spacing w:after="0"/>
              <w:rPr>
                <w:sz w:val="19"/>
                <w:szCs w:val="19"/>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Purchased</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Paid per Share</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center"/>
              <w:ind w:left="193"/>
              <w:spacing w:after="0"/>
              <w:rPr>
                <w:sz w:val="20"/>
                <w:szCs w:val="20"/>
                <w:color w:val="auto"/>
              </w:rPr>
            </w:pPr>
            <w:r>
              <w:rPr>
                <w:rFonts w:ascii="Arial" w:cs="Arial" w:eastAsia="Arial" w:hAnsi="Arial"/>
                <w:sz w:val="17"/>
                <w:szCs w:val="17"/>
                <w:b w:val="1"/>
                <w:bCs w:val="1"/>
                <w:color w:val="auto"/>
                <w:w w:val="93"/>
              </w:rPr>
              <w:t>Programs</w:t>
            </w:r>
          </w:p>
        </w:tc>
        <w:tc>
          <w:tcPr>
            <w:tcW w:w="2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or Programs</w:t>
            </w:r>
          </w:p>
        </w:tc>
        <w:tc>
          <w:tcPr>
            <w:tcW w:w="0" w:type="dxa"/>
            <w:vAlign w:val="bottom"/>
          </w:tcPr>
          <w:p>
            <w:pPr>
              <w:spacing w:after="0"/>
              <w:rPr>
                <w:sz w:val="1"/>
                <w:szCs w:val="1"/>
                <w:color w:val="auto"/>
              </w:rPr>
            </w:pPr>
          </w:p>
        </w:tc>
      </w:tr>
      <w:tr>
        <w:trPr>
          <w:trHeight w:val="241"/>
        </w:trPr>
        <w:tc>
          <w:tcPr>
            <w:tcW w:w="3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January 1, 2022 - January 31, 2022</w:t>
            </w:r>
          </w:p>
        </w:tc>
        <w:tc>
          <w:tcPr>
            <w:tcW w:w="1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1820" w:type="dxa"/>
            <w:vAlign w:val="bottom"/>
            <w:shd w:val="clear" w:color="auto" w:fill="CCEEFF"/>
          </w:tcPr>
          <w:p>
            <w:pPr>
              <w:ind w:left="1640"/>
              <w:spacing w:after="0"/>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248"/>
        </w:trPr>
        <w:tc>
          <w:tcPr>
            <w:tcW w:w="3700" w:type="dxa"/>
            <w:vAlign w:val="bottom"/>
          </w:tcPr>
          <w:p>
            <w:pPr>
              <w:ind w:left="20"/>
              <w:spacing w:after="0"/>
              <w:rPr>
                <w:sz w:val="20"/>
                <w:szCs w:val="20"/>
                <w:color w:val="auto"/>
              </w:rPr>
            </w:pPr>
            <w:r>
              <w:rPr>
                <w:rFonts w:ascii="Arial" w:cs="Arial" w:eastAsia="Arial" w:hAnsi="Arial"/>
                <w:sz w:val="17"/>
                <w:szCs w:val="17"/>
                <w:color w:val="auto"/>
              </w:rPr>
              <w:t>February 1, 2022 - February 28, 2022</w:t>
            </w:r>
          </w:p>
        </w:tc>
        <w:tc>
          <w:tcPr>
            <w:tcW w:w="1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6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540" w:type="dxa"/>
            <w:vAlign w:val="bottom"/>
          </w:tcPr>
          <w:p>
            <w:pPr>
              <w:spacing w:after="0"/>
              <w:rPr>
                <w:sz w:val="21"/>
                <w:szCs w:val="21"/>
                <w:color w:val="auto"/>
              </w:rPr>
            </w:pPr>
          </w:p>
        </w:tc>
        <w:tc>
          <w:tcPr>
            <w:tcW w:w="36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1820" w:type="dxa"/>
            <w:vAlign w:val="bottom"/>
          </w:tcPr>
          <w:p>
            <w:pPr>
              <w:ind w:left="1640"/>
              <w:spacing w:after="0"/>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248"/>
        </w:trPr>
        <w:tc>
          <w:tcPr>
            <w:tcW w:w="3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March 1, 2022 - March 31, 2022 (1)</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66,348</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3.33</w:t>
            </w:r>
          </w:p>
        </w:tc>
        <w:tc>
          <w:tcPr>
            <w:tcW w:w="100" w:type="dxa"/>
            <w:vAlign w:val="bottom"/>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ind w:left="1640"/>
              <w:spacing w:after="0"/>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242"/>
        </w:trPr>
        <w:tc>
          <w:tcPr>
            <w:tcW w:w="3700" w:type="dxa"/>
            <w:vAlign w:val="bottom"/>
          </w:tcPr>
          <w:p>
            <w:pPr>
              <w:ind w:left="100"/>
              <w:spacing w:after="0"/>
              <w:rPr>
                <w:sz w:val="20"/>
                <w:szCs w:val="20"/>
                <w:color w:val="auto"/>
              </w:rPr>
            </w:pPr>
            <w:r>
              <w:rPr>
                <w:rFonts w:ascii="Arial" w:cs="Arial" w:eastAsia="Arial" w:hAnsi="Arial"/>
                <w:sz w:val="17"/>
                <w:szCs w:val="17"/>
                <w:color w:val="auto"/>
              </w:rPr>
              <w:t>Total</w:t>
            </w:r>
          </w:p>
        </w:tc>
        <w:tc>
          <w:tcPr>
            <w:tcW w:w="1820" w:type="dxa"/>
            <w:vAlign w:val="bottom"/>
          </w:tcPr>
          <w:p>
            <w:pPr>
              <w:jc w:val="right"/>
              <w:spacing w:after="0"/>
              <w:rPr>
                <w:sz w:val="20"/>
                <w:szCs w:val="20"/>
                <w:color w:val="auto"/>
              </w:rPr>
            </w:pPr>
            <w:r>
              <w:rPr>
                <w:rFonts w:ascii="Arial" w:cs="Arial" w:eastAsia="Arial" w:hAnsi="Arial"/>
                <w:sz w:val="17"/>
                <w:szCs w:val="17"/>
                <w:color w:val="auto"/>
              </w:rPr>
              <w:t>66,348</w:t>
            </w:r>
          </w:p>
        </w:tc>
        <w:tc>
          <w:tcPr>
            <w:tcW w:w="100" w:type="dxa"/>
            <w:vAlign w:val="bottom"/>
          </w:tcPr>
          <w:p>
            <w:pPr>
              <w:spacing w:after="0"/>
              <w:rPr>
                <w:sz w:val="21"/>
                <w:szCs w:val="21"/>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3.33</w:t>
            </w: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6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1820" w:type="dxa"/>
            <w:vAlign w:val="bottom"/>
          </w:tcPr>
          <w:p>
            <w:pPr>
              <w:ind w:left="1640"/>
              <w:spacing w:after="0"/>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40" w:right="140" w:hanging="322"/>
        <w:spacing w:after="0" w:line="264" w:lineRule="auto"/>
        <w:tabs>
          <w:tab w:leader="none" w:pos="634"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Represents shares withheld from employees to cover tax withholding obligations upon the vesting of restricted stock awards. The average prices listed in the above table are averages of the fair market prices at which we valued shares withheld for purposes of calculating the number of shares to be withheld.</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3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3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Not Applicable.</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3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ind w:right="44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139"/>
          </w:cols>
          <w:pgMar w:left="320" w:top="1376" w:right="1440"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color w:val="auto"/>
        </w:rPr>
        <w:t>Item 6. Exhibits.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exhibits listed below are filed or furnished as part of this report.</w:t>
      </w:r>
    </w:p>
    <w:p>
      <w:pPr>
        <w:spacing w:after="0" w:line="20"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1280" w:type="dxa"/>
            <w:vAlign w:val="bottom"/>
            <w:tcBorders>
              <w:top w:val="single" w:sz="8" w:color="auto"/>
              <w:left w:val="single" w:sz="8" w:color="auto"/>
              <w:right w:val="single" w:sz="8" w:color="auto"/>
            </w:tcBorders>
            <w:gridSpan w:val="2"/>
          </w:tcPr>
          <w:p>
            <w:pPr>
              <w:ind w:left="40"/>
              <w:spacing w:after="0"/>
              <w:rPr>
                <w:sz w:val="20"/>
                <w:szCs w:val="20"/>
                <w:color w:val="auto"/>
              </w:rPr>
            </w:pPr>
            <w:r>
              <w:rPr>
                <w:rFonts w:ascii="Arial" w:cs="Arial" w:eastAsia="Arial" w:hAnsi="Arial"/>
                <w:sz w:val="17"/>
                <w:szCs w:val="17"/>
                <w:b w:val="1"/>
                <w:bCs w:val="1"/>
                <w:color w:val="auto"/>
              </w:rPr>
              <w:t>Exhibit</w:t>
            </w:r>
          </w:p>
        </w:tc>
        <w:tc>
          <w:tcPr>
            <w:tcW w:w="180" w:type="dxa"/>
            <w:vAlign w:val="bottom"/>
            <w:tcBorders>
              <w:top w:val="single" w:sz="8" w:color="auto"/>
              <w:right w:val="single" w:sz="8" w:color="auto"/>
            </w:tcBorders>
          </w:tcPr>
          <w:p>
            <w:pPr>
              <w:spacing w:after="0"/>
              <w:rPr>
                <w:sz w:val="18"/>
                <w:szCs w:val="18"/>
                <w:color w:val="auto"/>
              </w:rPr>
            </w:pPr>
          </w:p>
        </w:tc>
        <w:tc>
          <w:tcPr>
            <w:tcW w:w="180" w:type="dxa"/>
            <w:vAlign w:val="bottom"/>
            <w:tcBorders>
              <w:top w:val="single" w:sz="8" w:color="auto"/>
              <w:right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right w:val="single" w:sz="8" w:color="auto"/>
            </w:tcBorders>
          </w:tcPr>
          <w:p>
            <w:pPr>
              <w:spacing w:after="0"/>
              <w:rPr>
                <w:sz w:val="18"/>
                <w:szCs w:val="18"/>
                <w:color w:val="auto"/>
              </w:rPr>
            </w:pPr>
          </w:p>
        </w:tc>
        <w:tc>
          <w:tcPr>
            <w:tcW w:w="180" w:type="dxa"/>
            <w:vAlign w:val="bottom"/>
            <w:tcBorders>
              <w:top w:val="single" w:sz="8" w:color="auto"/>
              <w:right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right w:val="single" w:sz="8" w:color="auto"/>
            </w:tcBorders>
          </w:tcPr>
          <w:p>
            <w:pPr>
              <w:spacing w:after="0"/>
              <w:rPr>
                <w:sz w:val="18"/>
                <w:szCs w:val="18"/>
                <w:color w:val="auto"/>
              </w:rPr>
            </w:pPr>
          </w:p>
        </w:tc>
        <w:tc>
          <w:tcPr>
            <w:tcW w:w="200" w:type="dxa"/>
            <w:vAlign w:val="bottom"/>
            <w:tcBorders>
              <w:top w:val="single" w:sz="8" w:color="auto"/>
              <w:right w:val="single" w:sz="8" w:color="auto"/>
            </w:tcBorders>
          </w:tcPr>
          <w:p>
            <w:pPr>
              <w:spacing w:after="0"/>
              <w:rPr>
                <w:sz w:val="18"/>
                <w:szCs w:val="18"/>
                <w:color w:val="auto"/>
              </w:rPr>
            </w:pPr>
          </w:p>
        </w:tc>
        <w:tc>
          <w:tcPr>
            <w:tcW w:w="1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5"/>
              </w:rPr>
              <w:t>Filed</w:t>
            </w:r>
          </w:p>
        </w:tc>
        <w:tc>
          <w:tcPr>
            <w:tcW w:w="0" w:type="dxa"/>
            <w:vAlign w:val="bottom"/>
          </w:tcPr>
          <w:p>
            <w:pPr>
              <w:spacing w:after="0"/>
              <w:rPr>
                <w:sz w:val="1"/>
                <w:szCs w:val="1"/>
                <w:color w:val="auto"/>
              </w:rPr>
            </w:pPr>
          </w:p>
        </w:tc>
      </w:tr>
      <w:tr>
        <w:trPr>
          <w:trHeight w:val="234"/>
        </w:trPr>
        <w:tc>
          <w:tcPr>
            <w:tcW w:w="128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7"/>
                <w:szCs w:val="17"/>
                <w:b w:val="1"/>
                <w:bCs w:val="1"/>
                <w:color w:val="auto"/>
              </w:rPr>
              <w:t>Number</w:t>
            </w:r>
          </w:p>
        </w:tc>
        <w:tc>
          <w:tcPr>
            <w:tcW w:w="18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400" w:type="dxa"/>
            <w:vAlign w:val="bottom"/>
            <w:tcBorders>
              <w:bottom w:val="single" w:sz="8" w:color="auto"/>
              <w:right w:val="single" w:sz="8" w:color="auto"/>
            </w:tcBorders>
            <w:gridSpan w:val="12"/>
          </w:tcPr>
          <w:p>
            <w:pPr>
              <w:spacing w:after="0"/>
              <w:rPr>
                <w:sz w:val="20"/>
                <w:szCs w:val="20"/>
                <w:color w:val="auto"/>
              </w:rPr>
            </w:pPr>
            <w:r>
              <w:rPr>
                <w:rFonts w:ascii="Arial" w:cs="Arial" w:eastAsia="Arial" w:hAnsi="Arial"/>
                <w:sz w:val="17"/>
                <w:szCs w:val="17"/>
                <w:b w:val="1"/>
                <w:bCs w:val="1"/>
                <w:color w:val="auto"/>
              </w:rPr>
              <w:t>Description</w:t>
            </w:r>
          </w:p>
        </w:tc>
        <w:tc>
          <w:tcPr>
            <w:tcW w:w="180" w:type="dxa"/>
            <w:vAlign w:val="bottom"/>
            <w:tcBorders>
              <w:bottom w:val="single" w:sz="8" w:color="auto"/>
              <w:right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ind w:left="600"/>
              <w:spacing w:after="0"/>
              <w:rPr>
                <w:sz w:val="20"/>
                <w:szCs w:val="20"/>
                <w:color w:val="auto"/>
              </w:rPr>
            </w:pPr>
            <w:r>
              <w:rPr>
                <w:rFonts w:ascii="Arial" w:cs="Arial" w:eastAsia="Arial" w:hAnsi="Arial"/>
                <w:sz w:val="17"/>
                <w:szCs w:val="17"/>
                <w:b w:val="1"/>
                <w:bCs w:val="1"/>
                <w:color w:val="auto"/>
              </w:rPr>
              <w:t>Previously Filed</w:t>
            </w:r>
          </w:p>
        </w:tc>
        <w:tc>
          <w:tcPr>
            <w:tcW w:w="66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7"/>
              </w:rPr>
              <w:t>Herewith</w:t>
            </w:r>
          </w:p>
        </w:tc>
        <w:tc>
          <w:tcPr>
            <w:tcW w:w="0" w:type="dxa"/>
            <w:vAlign w:val="bottom"/>
          </w:tcPr>
          <w:p>
            <w:pPr>
              <w:spacing w:after="0"/>
              <w:rPr>
                <w:sz w:val="1"/>
                <w:szCs w:val="1"/>
                <w:color w:val="auto"/>
              </w:rPr>
            </w:pPr>
          </w:p>
        </w:tc>
      </w:tr>
      <w:tr>
        <w:trPr>
          <w:trHeight w:val="241"/>
        </w:trPr>
        <w:tc>
          <w:tcPr>
            <w:tcW w:w="580" w:type="dxa"/>
            <w:vAlign w:val="bottom"/>
            <w:tcBorders>
              <w:left w:val="single" w:sz="8" w:color="auto"/>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Form</w:t>
            </w:r>
          </w:p>
        </w:tc>
        <w:tc>
          <w:tcPr>
            <w:tcW w:w="1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7"/>
                <w:szCs w:val="17"/>
                <w:b w:val="1"/>
                <w:bCs w:val="1"/>
                <w:color w:val="auto"/>
              </w:rPr>
              <w:t>File No.</w:t>
            </w:r>
          </w:p>
        </w:tc>
        <w:tc>
          <w:tcPr>
            <w:tcW w:w="18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Filing Date</w:t>
            </w:r>
          </w:p>
        </w:tc>
        <w:tc>
          <w:tcPr>
            <w:tcW w:w="18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7"/>
                <w:szCs w:val="17"/>
                <w:b w:val="1"/>
                <w:bCs w:val="1"/>
                <w:color w:val="auto"/>
              </w:rPr>
              <w:t>Exhibit</w:t>
            </w:r>
          </w:p>
        </w:tc>
        <w:tc>
          <w:tcPr>
            <w:tcW w:w="20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80" w:type="dxa"/>
            <w:vAlign w:val="bottom"/>
            <w:tcBorders>
              <w:left w:val="single" w:sz="8" w:color="auto"/>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3.1</w:t>
            </w:r>
          </w:p>
        </w:tc>
        <w:tc>
          <w:tcPr>
            <w:tcW w:w="18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400" w:type="dxa"/>
            <w:vAlign w:val="bottom"/>
            <w:tcBorders>
              <w:right w:val="single" w:sz="8" w:color="auto"/>
            </w:tcBorders>
            <w:gridSpan w:val="12"/>
          </w:tcPr>
          <w:p>
            <w:pPr>
              <w:spacing w:after="0"/>
              <w:rPr>
                <w:rFonts w:ascii="Arial" w:cs="Arial" w:eastAsia="Arial" w:hAnsi="Arial"/>
                <w:sz w:val="17"/>
                <w:szCs w:val="17"/>
                <w:color w:val="auto"/>
                <w:w w:val="96"/>
              </w:rPr>
            </w:pPr>
            <w:hyperlink r:id="rId60">
              <w:r>
                <w:rPr>
                  <w:rFonts w:ascii="Arial" w:cs="Arial" w:eastAsia="Arial" w:hAnsi="Arial"/>
                  <w:sz w:val="17"/>
                  <w:szCs w:val="17"/>
                  <w:color w:val="auto"/>
                  <w:w w:val="96"/>
                </w:rPr>
                <w:t>Amended and Restated Certificate of Incorporation of Gevo,</w:t>
              </w:r>
            </w:hyperlink>
          </w:p>
        </w:tc>
        <w:tc>
          <w:tcPr>
            <w:tcW w:w="180" w:type="dxa"/>
            <w:vAlign w:val="bottom"/>
            <w:tcBorders>
              <w:right w:val="single" w:sz="8" w:color="auto"/>
            </w:tcBorders>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3"/>
              </w:rPr>
              <w:t>February 24,</w:t>
            </w:r>
          </w:p>
        </w:tc>
        <w:tc>
          <w:tcPr>
            <w:tcW w:w="18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80" w:type="dxa"/>
            <w:vAlign w:val="bottom"/>
            <w:tcBorders>
              <w:left w:val="single" w:sz="8" w:color="auto"/>
              <w:right w:val="single" w:sz="8" w:color="auto"/>
            </w:tcBorders>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220" w:type="dxa"/>
            <w:vAlign w:val="bottom"/>
            <w:tcBorders>
              <w:top w:val="single" w:sz="8" w:color="auto"/>
            </w:tcBorders>
            <w:gridSpan w:val="9"/>
          </w:tcPr>
          <w:p>
            <w:pPr>
              <w:spacing w:after="0" w:line="176" w:lineRule="exact"/>
              <w:rPr>
                <w:rFonts w:ascii="Arial" w:cs="Arial" w:eastAsia="Arial" w:hAnsi="Arial"/>
                <w:sz w:val="17"/>
                <w:szCs w:val="17"/>
                <w:color w:val="auto"/>
              </w:rPr>
            </w:pPr>
            <w:hyperlink r:id="rId60">
              <w:r>
                <w:rPr>
                  <w:rFonts w:ascii="Arial" w:cs="Arial" w:eastAsia="Arial" w:hAnsi="Arial"/>
                  <w:sz w:val="17"/>
                  <w:szCs w:val="17"/>
                  <w:color w:val="auto"/>
                </w:rPr>
                <w:t>Inc.</w:t>
              </w:r>
            </w:hyperlink>
          </w:p>
        </w:tc>
        <w:tc>
          <w:tcPr>
            <w:tcW w:w="180" w:type="dxa"/>
            <w:vAlign w:val="bottom"/>
            <w:tcBorders>
              <w:right w:val="single" w:sz="8" w:color="auto"/>
            </w:tcBorders>
            <w:gridSpan w:val="3"/>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5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7"/>
                <w:szCs w:val="17"/>
                <w:color w:val="auto"/>
              </w:rPr>
              <w:t>10-K</w:t>
            </w:r>
          </w:p>
        </w:tc>
        <w:tc>
          <w:tcPr>
            <w:tcW w:w="18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7"/>
                <w:szCs w:val="17"/>
                <w:color w:val="auto"/>
                <w:w w:val="93"/>
              </w:rPr>
              <w:t>001-35073</w:t>
            </w:r>
          </w:p>
        </w:tc>
        <w:tc>
          <w:tcPr>
            <w:tcW w:w="18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7"/>
                <w:szCs w:val="17"/>
                <w:color w:val="auto"/>
                <w:w w:val="89"/>
              </w:rPr>
              <w:t>2022</w:t>
            </w:r>
          </w:p>
        </w:tc>
        <w:tc>
          <w:tcPr>
            <w:tcW w:w="18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7"/>
                <w:szCs w:val="17"/>
                <w:color w:val="auto"/>
                <w:w w:val="92"/>
              </w:rPr>
              <w:t>3.1</w:t>
            </w:r>
          </w:p>
        </w:tc>
        <w:tc>
          <w:tcPr>
            <w:tcW w:w="20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580" w:type="dxa"/>
            <w:vAlign w:val="bottom"/>
            <w:tcBorders>
              <w:left w:val="single" w:sz="8" w:color="auto"/>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80" w:type="dxa"/>
            <w:vAlign w:val="bottom"/>
            <w:tcBorders>
              <w:left w:val="single" w:sz="8" w:color="auto"/>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1"/>
              </w:rPr>
              <w:t>November 24,</w:t>
            </w:r>
          </w:p>
        </w:tc>
        <w:tc>
          <w:tcPr>
            <w:tcW w:w="18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80" w:type="dxa"/>
            <w:vAlign w:val="bottom"/>
            <w:tcBorders>
              <w:left w:val="single" w:sz="8" w:color="auto"/>
              <w:right w:val="single" w:sz="8" w:color="auto"/>
            </w:tcBorders>
          </w:tcPr>
          <w:p>
            <w:pPr>
              <w:spacing w:after="0"/>
              <w:rPr>
                <w:sz w:val="15"/>
                <w:szCs w:val="15"/>
                <w:color w:val="auto"/>
              </w:rPr>
            </w:pPr>
          </w:p>
        </w:tc>
        <w:tc>
          <w:tcPr>
            <w:tcW w:w="700" w:type="dxa"/>
            <w:vAlign w:val="bottom"/>
            <w:tcBorders>
              <w:right w:val="single" w:sz="8" w:color="auto"/>
            </w:tcBorders>
          </w:tcPr>
          <w:p>
            <w:pPr>
              <w:spacing w:after="0" w:line="182" w:lineRule="exact"/>
              <w:rPr>
                <w:sz w:val="20"/>
                <w:szCs w:val="20"/>
                <w:color w:val="auto"/>
              </w:rPr>
            </w:pPr>
            <w:r>
              <w:rPr>
                <w:rFonts w:ascii="Arial" w:cs="Arial" w:eastAsia="Arial" w:hAnsi="Arial"/>
                <w:sz w:val="17"/>
                <w:szCs w:val="17"/>
                <w:color w:val="auto"/>
              </w:rPr>
              <w:t>3.2</w:t>
            </w:r>
          </w:p>
        </w:tc>
        <w:tc>
          <w:tcPr>
            <w:tcW w:w="180" w:type="dxa"/>
            <w:vAlign w:val="bottom"/>
            <w:tcBorders>
              <w:right w:val="single" w:sz="8" w:color="auto"/>
            </w:tcBorders>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400" w:type="dxa"/>
            <w:vAlign w:val="bottom"/>
            <w:tcBorders>
              <w:right w:val="single" w:sz="8" w:color="auto"/>
            </w:tcBorders>
            <w:gridSpan w:val="12"/>
          </w:tcPr>
          <w:p>
            <w:pPr>
              <w:spacing w:after="0" w:line="182" w:lineRule="exact"/>
              <w:rPr>
                <w:rFonts w:ascii="Arial" w:cs="Arial" w:eastAsia="Arial" w:hAnsi="Arial"/>
                <w:sz w:val="17"/>
                <w:szCs w:val="17"/>
                <w:color w:val="auto"/>
              </w:rPr>
            </w:pPr>
            <w:hyperlink r:id="rId61">
              <w:r>
                <w:rPr>
                  <w:rFonts w:ascii="Arial" w:cs="Arial" w:eastAsia="Arial" w:hAnsi="Arial"/>
                  <w:sz w:val="17"/>
                  <w:szCs w:val="17"/>
                  <w:color w:val="auto"/>
                </w:rPr>
                <w:t>Second Amended and Restated Bylaws of Gevo, Inc.</w:t>
              </w:r>
            </w:hyperlink>
          </w:p>
        </w:tc>
        <w:tc>
          <w:tcPr>
            <w:tcW w:w="180" w:type="dxa"/>
            <w:vAlign w:val="bottom"/>
            <w:tcBorders>
              <w:right w:val="single" w:sz="8" w:color="auto"/>
            </w:tcBorders>
          </w:tcPr>
          <w:p>
            <w:pPr>
              <w:spacing w:after="0"/>
              <w:rPr>
                <w:sz w:val="15"/>
                <w:szCs w:val="15"/>
                <w:color w:val="auto"/>
              </w:rPr>
            </w:pPr>
          </w:p>
        </w:tc>
        <w:tc>
          <w:tcPr>
            <w:tcW w:w="5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7"/>
                <w:szCs w:val="17"/>
                <w:color w:val="auto"/>
              </w:rPr>
              <w:t>8-K</w:t>
            </w:r>
          </w:p>
        </w:tc>
        <w:tc>
          <w:tcPr>
            <w:tcW w:w="18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7"/>
                <w:szCs w:val="17"/>
                <w:color w:val="auto"/>
                <w:w w:val="93"/>
              </w:rPr>
              <w:t>001-35073</w:t>
            </w:r>
          </w:p>
        </w:tc>
        <w:tc>
          <w:tcPr>
            <w:tcW w:w="18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7"/>
                <w:szCs w:val="17"/>
                <w:color w:val="auto"/>
                <w:w w:val="89"/>
              </w:rPr>
              <w:t>2021</w:t>
            </w:r>
          </w:p>
        </w:tc>
        <w:tc>
          <w:tcPr>
            <w:tcW w:w="18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7"/>
                <w:szCs w:val="17"/>
                <w:color w:val="auto"/>
                <w:w w:val="92"/>
              </w:rPr>
              <w:t>3.1</w:t>
            </w:r>
          </w:p>
        </w:tc>
        <w:tc>
          <w:tcPr>
            <w:tcW w:w="20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580" w:type="dxa"/>
            <w:vAlign w:val="bottom"/>
            <w:tcBorders>
              <w:left w:val="single" w:sz="8" w:color="auto"/>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210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80" w:type="dxa"/>
            <w:vAlign w:val="bottom"/>
            <w:tcBorders>
              <w:left w:val="single" w:sz="8" w:color="auto"/>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2"/>
              </w:rPr>
              <w:t>January 19,</w:t>
            </w:r>
          </w:p>
        </w:tc>
        <w:tc>
          <w:tcPr>
            <w:tcW w:w="18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80" w:type="dxa"/>
            <w:vAlign w:val="bottom"/>
            <w:tcBorders>
              <w:left w:val="single" w:sz="8" w:color="auto"/>
              <w:right w:val="single" w:sz="8" w:color="auto"/>
            </w:tcBorders>
          </w:tcPr>
          <w:p>
            <w:pPr>
              <w:spacing w:after="0"/>
              <w:rPr>
                <w:sz w:val="15"/>
                <w:szCs w:val="15"/>
                <w:color w:val="auto"/>
              </w:rPr>
            </w:pPr>
          </w:p>
        </w:tc>
        <w:tc>
          <w:tcPr>
            <w:tcW w:w="700" w:type="dxa"/>
            <w:vAlign w:val="bottom"/>
            <w:tcBorders>
              <w:right w:val="single" w:sz="8" w:color="auto"/>
            </w:tcBorders>
          </w:tcPr>
          <w:p>
            <w:pPr>
              <w:spacing w:after="0" w:line="182" w:lineRule="exact"/>
              <w:rPr>
                <w:sz w:val="20"/>
                <w:szCs w:val="20"/>
                <w:color w:val="auto"/>
              </w:rPr>
            </w:pPr>
            <w:r>
              <w:rPr>
                <w:rFonts w:ascii="Arial" w:cs="Arial" w:eastAsia="Arial" w:hAnsi="Arial"/>
                <w:sz w:val="17"/>
                <w:szCs w:val="17"/>
                <w:color w:val="auto"/>
              </w:rPr>
              <w:t>4.1</w:t>
            </w:r>
          </w:p>
        </w:tc>
        <w:tc>
          <w:tcPr>
            <w:tcW w:w="180" w:type="dxa"/>
            <w:vAlign w:val="bottom"/>
            <w:tcBorders>
              <w:right w:val="single" w:sz="8" w:color="auto"/>
            </w:tcBorders>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400" w:type="dxa"/>
            <w:vAlign w:val="bottom"/>
            <w:tcBorders>
              <w:right w:val="single" w:sz="8" w:color="auto"/>
            </w:tcBorders>
            <w:gridSpan w:val="12"/>
          </w:tcPr>
          <w:p>
            <w:pPr>
              <w:spacing w:after="0" w:line="182" w:lineRule="exact"/>
              <w:rPr>
                <w:rFonts w:ascii="Arial" w:cs="Arial" w:eastAsia="Arial" w:hAnsi="Arial"/>
                <w:sz w:val="17"/>
                <w:szCs w:val="17"/>
                <w:color w:val="auto"/>
              </w:rPr>
            </w:pPr>
            <w:hyperlink r:id="rId62">
              <w:r>
                <w:rPr>
                  <w:rFonts w:ascii="Arial" w:cs="Arial" w:eastAsia="Arial" w:hAnsi="Arial"/>
                  <w:sz w:val="17"/>
                  <w:szCs w:val="17"/>
                  <w:color w:val="auto"/>
                </w:rPr>
                <w:t>Form of Gevo, Inc. Common Stock Certificate.</w:t>
              </w:r>
            </w:hyperlink>
          </w:p>
        </w:tc>
        <w:tc>
          <w:tcPr>
            <w:tcW w:w="180" w:type="dxa"/>
            <w:vAlign w:val="bottom"/>
            <w:tcBorders>
              <w:right w:val="single" w:sz="8" w:color="auto"/>
            </w:tcBorders>
          </w:tcPr>
          <w:p>
            <w:pPr>
              <w:spacing w:after="0"/>
              <w:rPr>
                <w:sz w:val="15"/>
                <w:szCs w:val="15"/>
                <w:color w:val="auto"/>
              </w:rPr>
            </w:pPr>
          </w:p>
        </w:tc>
        <w:tc>
          <w:tcPr>
            <w:tcW w:w="5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7"/>
                <w:szCs w:val="17"/>
                <w:color w:val="auto"/>
                <w:w w:val="90"/>
              </w:rPr>
              <w:t>S-1</w:t>
            </w:r>
          </w:p>
        </w:tc>
        <w:tc>
          <w:tcPr>
            <w:tcW w:w="18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7"/>
                <w:szCs w:val="17"/>
                <w:color w:val="auto"/>
                <w:w w:val="92"/>
              </w:rPr>
              <w:t>333-168792</w:t>
            </w:r>
          </w:p>
        </w:tc>
        <w:tc>
          <w:tcPr>
            <w:tcW w:w="18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7"/>
                <w:szCs w:val="17"/>
                <w:color w:val="auto"/>
                <w:w w:val="89"/>
              </w:rPr>
              <w:t>2011</w:t>
            </w:r>
          </w:p>
        </w:tc>
        <w:tc>
          <w:tcPr>
            <w:tcW w:w="18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7"/>
                <w:szCs w:val="17"/>
                <w:color w:val="auto"/>
                <w:w w:val="92"/>
              </w:rPr>
              <w:t>4.1</w:t>
            </w:r>
          </w:p>
        </w:tc>
        <w:tc>
          <w:tcPr>
            <w:tcW w:w="20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580" w:type="dxa"/>
            <w:vAlign w:val="bottom"/>
            <w:tcBorders>
              <w:left w:val="single" w:sz="8" w:color="auto"/>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210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80" w:type="dxa"/>
            <w:vAlign w:val="bottom"/>
            <w:tcBorders>
              <w:left w:val="single" w:sz="8" w:color="auto"/>
              <w:right w:val="single" w:sz="8" w:color="auto"/>
            </w:tcBorders>
          </w:tcPr>
          <w:p>
            <w:pPr>
              <w:spacing w:after="0"/>
              <w:rPr>
                <w:sz w:val="16"/>
                <w:szCs w:val="16"/>
                <w:color w:val="auto"/>
              </w:rPr>
            </w:pPr>
          </w:p>
        </w:tc>
        <w:tc>
          <w:tcPr>
            <w:tcW w:w="700" w:type="dxa"/>
            <w:vAlign w:val="bottom"/>
            <w:tcBorders>
              <w:right w:val="single" w:sz="8" w:color="auto"/>
            </w:tcBorders>
          </w:tcPr>
          <w:p>
            <w:pPr>
              <w:spacing w:after="0" w:line="189" w:lineRule="exact"/>
              <w:rPr>
                <w:sz w:val="20"/>
                <w:szCs w:val="20"/>
                <w:color w:val="auto"/>
              </w:rPr>
            </w:pPr>
            <w:r>
              <w:rPr>
                <w:rFonts w:ascii="Arial" w:cs="Arial" w:eastAsia="Arial" w:hAnsi="Arial"/>
                <w:sz w:val="17"/>
                <w:szCs w:val="17"/>
                <w:color w:val="auto"/>
              </w:rPr>
              <w:t>4.3</w:t>
            </w:r>
          </w:p>
        </w:tc>
        <w:tc>
          <w:tcPr>
            <w:tcW w:w="180" w:type="dxa"/>
            <w:vAlign w:val="bottom"/>
            <w:tcBorders>
              <w:right w:val="single" w:sz="8" w:color="auto"/>
            </w:tcBorders>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400" w:type="dxa"/>
            <w:vAlign w:val="bottom"/>
            <w:tcBorders>
              <w:right w:val="single" w:sz="8" w:color="auto"/>
            </w:tcBorders>
            <w:gridSpan w:val="12"/>
          </w:tcPr>
          <w:p>
            <w:pPr>
              <w:spacing w:after="0" w:line="189" w:lineRule="exact"/>
              <w:rPr>
                <w:rFonts w:ascii="Arial" w:cs="Arial" w:eastAsia="Arial" w:hAnsi="Arial"/>
                <w:sz w:val="17"/>
                <w:szCs w:val="17"/>
                <w:color w:val="auto"/>
                <w:w w:val="95"/>
              </w:rPr>
            </w:pPr>
            <w:hyperlink r:id="rId63">
              <w:r>
                <w:rPr>
                  <w:rFonts w:ascii="Arial" w:cs="Arial" w:eastAsia="Arial" w:hAnsi="Arial"/>
                  <w:sz w:val="17"/>
                  <w:szCs w:val="17"/>
                  <w:color w:val="auto"/>
                  <w:w w:val="95"/>
                </w:rPr>
                <w:t>Form of Series 2020-A Warrant to Purchase Common Stock.</w:t>
              </w:r>
            </w:hyperlink>
          </w:p>
        </w:tc>
        <w:tc>
          <w:tcPr>
            <w:tcW w:w="180" w:type="dxa"/>
            <w:vAlign w:val="bottom"/>
            <w:tcBorders>
              <w:right w:val="single" w:sz="8" w:color="auto"/>
            </w:tcBorders>
          </w:tcPr>
          <w:p>
            <w:pPr>
              <w:spacing w:after="0"/>
              <w:rPr>
                <w:sz w:val="16"/>
                <w:szCs w:val="16"/>
                <w:color w:val="auto"/>
              </w:rPr>
            </w:pPr>
          </w:p>
        </w:tc>
        <w:tc>
          <w:tcPr>
            <w:tcW w:w="50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rPr>
              <w:t>8-K</w:t>
            </w:r>
          </w:p>
        </w:tc>
        <w:tc>
          <w:tcPr>
            <w:tcW w:w="18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w w:val="93"/>
              </w:rPr>
              <w:t>001-35073</w:t>
            </w:r>
          </w:p>
        </w:tc>
        <w:tc>
          <w:tcPr>
            <w:tcW w:w="18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w w:val="93"/>
              </w:rPr>
              <w:t>July 8, 2020</w:t>
            </w:r>
          </w:p>
        </w:tc>
        <w:tc>
          <w:tcPr>
            <w:tcW w:w="18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w w:val="92"/>
              </w:rPr>
              <w:t>4.1</w:t>
            </w:r>
          </w:p>
        </w:tc>
        <w:tc>
          <w:tcPr>
            <w:tcW w:w="20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580" w:type="dxa"/>
            <w:vAlign w:val="bottom"/>
            <w:tcBorders>
              <w:left w:val="single" w:sz="8" w:color="auto"/>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210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580" w:type="dxa"/>
            <w:vAlign w:val="bottom"/>
            <w:tcBorders>
              <w:left w:val="single" w:sz="8" w:color="auto"/>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400" w:type="dxa"/>
            <w:vAlign w:val="bottom"/>
            <w:tcBorders>
              <w:right w:val="single" w:sz="8" w:color="auto"/>
            </w:tcBorders>
            <w:gridSpan w:val="12"/>
          </w:tcPr>
          <w:p>
            <w:pPr>
              <w:spacing w:after="0"/>
              <w:rPr>
                <w:rFonts w:ascii="Arial" w:cs="Arial" w:eastAsia="Arial" w:hAnsi="Arial"/>
                <w:sz w:val="17"/>
                <w:szCs w:val="17"/>
                <w:color w:val="0000FF"/>
                <w:w w:val="92"/>
              </w:rPr>
            </w:pPr>
            <w:hyperlink r:id="rId64">
              <w:r>
                <w:rPr>
                  <w:rFonts w:ascii="Arial" w:cs="Arial" w:eastAsia="Arial" w:hAnsi="Arial"/>
                  <w:sz w:val="17"/>
                  <w:szCs w:val="17"/>
                  <w:color w:val="0000FF"/>
                  <w:w w:val="92"/>
                </w:rPr>
                <w:t>Fuel Sales Agreement, dated March 18, 2022, by and between</w:t>
              </w:r>
            </w:hyperlink>
          </w:p>
        </w:tc>
        <w:tc>
          <w:tcPr>
            <w:tcW w:w="180" w:type="dxa"/>
            <w:vAlign w:val="bottom"/>
            <w:tcBorders>
              <w:right w:val="single" w:sz="8" w:color="auto"/>
            </w:tcBorders>
          </w:tcPr>
          <w:p>
            <w:pPr>
              <w:spacing w:after="0"/>
              <w:rPr>
                <w:sz w:val="19"/>
                <w:szCs w:val="19"/>
                <w:color w:val="auto"/>
              </w:rPr>
            </w:pPr>
          </w:p>
        </w:tc>
        <w:tc>
          <w:tcPr>
            <w:tcW w:w="500" w:type="dxa"/>
            <w:vAlign w:val="bottom"/>
            <w:tcBorders>
              <w:right w:val="single" w:sz="8" w:color="auto"/>
            </w:tcBorders>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2"/>
              </w:rPr>
              <w:t>March 21,</w:t>
            </w:r>
          </w:p>
        </w:tc>
        <w:tc>
          <w:tcPr>
            <w:tcW w:w="180" w:type="dxa"/>
            <w:vAlign w:val="bottom"/>
            <w:tcBorders>
              <w:righ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580" w:type="dxa"/>
            <w:vAlign w:val="bottom"/>
            <w:tcBorders>
              <w:left w:val="single" w:sz="8" w:color="auto"/>
              <w:right w:val="single" w:sz="8" w:color="auto"/>
            </w:tcBorders>
          </w:tcPr>
          <w:p>
            <w:pPr>
              <w:spacing w:after="0"/>
              <w:rPr>
                <w:sz w:val="13"/>
                <w:szCs w:val="13"/>
                <w:color w:val="auto"/>
              </w:rPr>
            </w:pPr>
          </w:p>
        </w:tc>
        <w:tc>
          <w:tcPr>
            <w:tcW w:w="700" w:type="dxa"/>
            <w:vAlign w:val="bottom"/>
            <w:tcBorders>
              <w:right w:val="single" w:sz="8" w:color="auto"/>
            </w:tcBorders>
          </w:tcPr>
          <w:p>
            <w:pPr>
              <w:spacing w:after="0" w:line="157" w:lineRule="exact"/>
              <w:rPr>
                <w:sz w:val="20"/>
                <w:szCs w:val="20"/>
                <w:color w:val="auto"/>
              </w:rPr>
            </w:pPr>
            <w:r>
              <w:rPr>
                <w:rFonts w:ascii="Arial" w:cs="Arial" w:eastAsia="Arial" w:hAnsi="Arial"/>
                <w:sz w:val="17"/>
                <w:szCs w:val="17"/>
                <w:color w:val="auto"/>
              </w:rPr>
              <w:t>10.1 +</w:t>
            </w:r>
          </w:p>
        </w:tc>
        <w:tc>
          <w:tcPr>
            <w:tcW w:w="180" w:type="dxa"/>
            <w:vAlign w:val="bottom"/>
            <w:tcBorders>
              <w:right w:val="single" w:sz="8" w:color="auto"/>
            </w:tcBorders>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320" w:type="dxa"/>
            <w:vAlign w:val="bottom"/>
            <w:tcBorders>
              <w:top w:val="single" w:sz="8" w:color="0000FF"/>
            </w:tcBorders>
            <w:gridSpan w:val="11"/>
          </w:tcPr>
          <w:p>
            <w:pPr>
              <w:spacing w:after="0" w:line="157" w:lineRule="exact"/>
              <w:rPr>
                <w:rFonts w:ascii="Arial" w:cs="Arial" w:eastAsia="Arial" w:hAnsi="Arial"/>
                <w:sz w:val="17"/>
                <w:szCs w:val="17"/>
                <w:color w:val="0000FF"/>
              </w:rPr>
            </w:pPr>
            <w:hyperlink r:id="rId64">
              <w:r>
                <w:rPr>
                  <w:rFonts w:ascii="Arial" w:cs="Arial" w:eastAsia="Arial" w:hAnsi="Arial"/>
                  <w:sz w:val="17"/>
                  <w:szCs w:val="17"/>
                  <w:color w:val="0000FF"/>
                </w:rPr>
                <w:t>Gevo, Inc. and British Airways plc.</w:t>
              </w:r>
            </w:hyperlink>
          </w:p>
        </w:tc>
        <w:tc>
          <w:tcPr>
            <w:tcW w:w="80" w:type="dxa"/>
            <w:vAlign w:val="bottom"/>
            <w:tcBorders>
              <w:right w:val="single" w:sz="8" w:color="auto"/>
            </w:tcBorders>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7"/>
                <w:szCs w:val="17"/>
                <w:color w:val="auto"/>
              </w:rPr>
              <w:t>8-K</w:t>
            </w:r>
          </w:p>
        </w:tc>
        <w:tc>
          <w:tcPr>
            <w:tcW w:w="18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7"/>
                <w:szCs w:val="17"/>
                <w:color w:val="auto"/>
                <w:w w:val="93"/>
              </w:rPr>
              <w:t>001-35073</w:t>
            </w:r>
          </w:p>
        </w:tc>
        <w:tc>
          <w:tcPr>
            <w:tcW w:w="18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7"/>
                <w:szCs w:val="17"/>
                <w:color w:val="auto"/>
                <w:w w:val="89"/>
              </w:rPr>
              <w:t>2022</w:t>
            </w:r>
          </w:p>
        </w:tc>
        <w:tc>
          <w:tcPr>
            <w:tcW w:w="18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7"/>
                <w:szCs w:val="17"/>
                <w:color w:val="auto"/>
                <w:w w:val="96"/>
              </w:rPr>
              <w:t>10.1</w:t>
            </w:r>
          </w:p>
        </w:tc>
        <w:tc>
          <w:tcPr>
            <w:tcW w:w="20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210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80" w:type="dxa"/>
            <w:vAlign w:val="bottom"/>
            <w:tcBorders>
              <w:left w:val="single" w:sz="8" w:color="auto"/>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400" w:type="dxa"/>
            <w:vAlign w:val="bottom"/>
            <w:tcBorders>
              <w:right w:val="single" w:sz="8" w:color="auto"/>
            </w:tcBorders>
            <w:gridSpan w:val="12"/>
          </w:tcPr>
          <w:p>
            <w:pPr>
              <w:spacing w:after="0"/>
              <w:rPr>
                <w:rFonts w:ascii="Arial" w:cs="Arial" w:eastAsia="Arial" w:hAnsi="Arial"/>
                <w:sz w:val="17"/>
                <w:szCs w:val="17"/>
                <w:color w:val="0000FF"/>
                <w:w w:val="92"/>
              </w:rPr>
            </w:pPr>
            <w:hyperlink r:id="rId65">
              <w:r>
                <w:rPr>
                  <w:rFonts w:ascii="Arial" w:cs="Arial" w:eastAsia="Arial" w:hAnsi="Arial"/>
                  <w:sz w:val="17"/>
                  <w:szCs w:val="17"/>
                  <w:color w:val="0000FF"/>
                  <w:w w:val="92"/>
                </w:rPr>
                <w:t>Fuel Sales Agreement, dated March 16, 2022, by and between</w:t>
              </w:r>
            </w:hyperlink>
          </w:p>
        </w:tc>
        <w:tc>
          <w:tcPr>
            <w:tcW w:w="180" w:type="dxa"/>
            <w:vAlign w:val="bottom"/>
            <w:tcBorders>
              <w:right w:val="single" w:sz="8" w:color="auto"/>
            </w:tcBorders>
          </w:tcPr>
          <w:p>
            <w:pPr>
              <w:spacing w:after="0"/>
              <w:rPr>
                <w:sz w:val="19"/>
                <w:szCs w:val="19"/>
                <w:color w:val="auto"/>
              </w:rPr>
            </w:pPr>
          </w:p>
        </w:tc>
        <w:tc>
          <w:tcPr>
            <w:tcW w:w="500" w:type="dxa"/>
            <w:vAlign w:val="bottom"/>
            <w:tcBorders>
              <w:right w:val="single" w:sz="8" w:color="auto"/>
            </w:tcBorders>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2"/>
              </w:rPr>
              <w:t>March 22,</w:t>
            </w:r>
          </w:p>
        </w:tc>
        <w:tc>
          <w:tcPr>
            <w:tcW w:w="180" w:type="dxa"/>
            <w:vAlign w:val="bottom"/>
            <w:tcBorders>
              <w:righ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580" w:type="dxa"/>
            <w:vAlign w:val="bottom"/>
            <w:tcBorders>
              <w:left w:val="single" w:sz="8" w:color="auto"/>
              <w:right w:val="single" w:sz="8" w:color="auto"/>
            </w:tcBorders>
          </w:tcPr>
          <w:p>
            <w:pPr>
              <w:spacing w:after="0"/>
              <w:rPr>
                <w:sz w:val="13"/>
                <w:szCs w:val="13"/>
                <w:color w:val="auto"/>
              </w:rPr>
            </w:pPr>
          </w:p>
        </w:tc>
        <w:tc>
          <w:tcPr>
            <w:tcW w:w="700" w:type="dxa"/>
            <w:vAlign w:val="bottom"/>
            <w:tcBorders>
              <w:right w:val="single" w:sz="8" w:color="auto"/>
            </w:tcBorders>
          </w:tcPr>
          <w:p>
            <w:pPr>
              <w:spacing w:after="0" w:line="157" w:lineRule="exact"/>
              <w:rPr>
                <w:sz w:val="20"/>
                <w:szCs w:val="20"/>
                <w:color w:val="auto"/>
              </w:rPr>
            </w:pPr>
            <w:r>
              <w:rPr>
                <w:rFonts w:ascii="Arial" w:cs="Arial" w:eastAsia="Arial" w:hAnsi="Arial"/>
                <w:sz w:val="17"/>
                <w:szCs w:val="17"/>
                <w:color w:val="auto"/>
              </w:rPr>
              <w:t>10.2 +</w:t>
            </w:r>
          </w:p>
        </w:tc>
        <w:tc>
          <w:tcPr>
            <w:tcW w:w="180" w:type="dxa"/>
            <w:vAlign w:val="bottom"/>
            <w:tcBorders>
              <w:right w:val="single" w:sz="8" w:color="auto"/>
            </w:tcBorders>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320" w:type="dxa"/>
            <w:vAlign w:val="bottom"/>
            <w:tcBorders>
              <w:top w:val="single" w:sz="8" w:color="0000FF"/>
            </w:tcBorders>
            <w:gridSpan w:val="11"/>
          </w:tcPr>
          <w:p>
            <w:pPr>
              <w:spacing w:after="0" w:line="157" w:lineRule="exact"/>
              <w:rPr>
                <w:rFonts w:ascii="Arial" w:cs="Arial" w:eastAsia="Arial" w:hAnsi="Arial"/>
                <w:sz w:val="17"/>
                <w:szCs w:val="17"/>
                <w:color w:val="0000FF"/>
              </w:rPr>
            </w:pPr>
            <w:hyperlink r:id="rId65">
              <w:r>
                <w:rPr>
                  <w:rFonts w:ascii="Arial" w:cs="Arial" w:eastAsia="Arial" w:hAnsi="Arial"/>
                  <w:sz w:val="17"/>
                  <w:szCs w:val="17"/>
                  <w:color w:val="0000FF"/>
                </w:rPr>
                <w:t>Gevo, Inc. and Delta Air Lines, Inc.</w:t>
              </w:r>
            </w:hyperlink>
          </w:p>
        </w:tc>
        <w:tc>
          <w:tcPr>
            <w:tcW w:w="80" w:type="dxa"/>
            <w:vAlign w:val="bottom"/>
            <w:tcBorders>
              <w:right w:val="single" w:sz="8" w:color="auto"/>
            </w:tcBorders>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7"/>
                <w:szCs w:val="17"/>
                <w:color w:val="auto"/>
              </w:rPr>
              <w:t>8-K</w:t>
            </w:r>
          </w:p>
        </w:tc>
        <w:tc>
          <w:tcPr>
            <w:tcW w:w="18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7"/>
                <w:szCs w:val="17"/>
                <w:color w:val="auto"/>
                <w:w w:val="93"/>
              </w:rPr>
              <w:t>001-35073</w:t>
            </w:r>
          </w:p>
        </w:tc>
        <w:tc>
          <w:tcPr>
            <w:tcW w:w="18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7"/>
                <w:szCs w:val="17"/>
                <w:color w:val="auto"/>
                <w:w w:val="89"/>
              </w:rPr>
              <w:t>2022</w:t>
            </w:r>
          </w:p>
        </w:tc>
        <w:tc>
          <w:tcPr>
            <w:tcW w:w="18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7"/>
                <w:szCs w:val="17"/>
                <w:color w:val="auto"/>
                <w:w w:val="96"/>
              </w:rPr>
              <w:t>10.1</w:t>
            </w:r>
          </w:p>
        </w:tc>
        <w:tc>
          <w:tcPr>
            <w:tcW w:w="20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210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580" w:type="dxa"/>
            <w:vAlign w:val="bottom"/>
            <w:tcBorders>
              <w:left w:val="single" w:sz="8" w:color="auto"/>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31.1</w:t>
            </w:r>
          </w:p>
        </w:tc>
        <w:tc>
          <w:tcPr>
            <w:tcW w:w="180" w:type="dxa"/>
            <w:vAlign w:val="bottom"/>
            <w:tcBorders>
              <w:right w:val="single" w:sz="8" w:color="auto"/>
            </w:tcBorders>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400" w:type="dxa"/>
            <w:vAlign w:val="bottom"/>
            <w:tcBorders>
              <w:right w:val="single" w:sz="8" w:color="auto"/>
            </w:tcBorders>
            <w:gridSpan w:val="12"/>
          </w:tcPr>
          <w:p>
            <w:pPr>
              <w:spacing w:after="0"/>
              <w:rPr>
                <w:rFonts w:ascii="Arial" w:cs="Arial" w:eastAsia="Arial" w:hAnsi="Arial"/>
                <w:sz w:val="17"/>
                <w:szCs w:val="17"/>
                <w:color w:val="0000FF"/>
                <w:w w:val="99"/>
              </w:rPr>
            </w:pPr>
            <w:hyperlink w:anchor="page39">
              <w:r>
                <w:rPr>
                  <w:rFonts w:ascii="Arial" w:cs="Arial" w:eastAsia="Arial" w:hAnsi="Arial"/>
                  <w:sz w:val="17"/>
                  <w:szCs w:val="17"/>
                  <w:color w:val="0000FF"/>
                  <w:w w:val="99"/>
                </w:rPr>
                <w:t>Section 302 Certification of the Principal Executive Officer.</w:t>
              </w:r>
            </w:hyperlink>
          </w:p>
        </w:tc>
        <w:tc>
          <w:tcPr>
            <w:tcW w:w="180" w:type="dxa"/>
            <w:vAlign w:val="bottom"/>
            <w:tcBorders>
              <w:right w:val="single" w:sz="8" w:color="auto"/>
            </w:tcBorders>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32"/>
        </w:trPr>
        <w:tc>
          <w:tcPr>
            <w:tcW w:w="580" w:type="dxa"/>
            <w:vAlign w:val="bottom"/>
            <w:tcBorders>
              <w:left w:val="single" w:sz="8" w:color="auto"/>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210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780" w:type="dxa"/>
            <w:vAlign w:val="bottom"/>
            <w:tcBorders>
              <w:top w:val="single" w:sz="8" w:color="0000FF"/>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44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580" w:type="dxa"/>
            <w:vAlign w:val="bottom"/>
            <w:tcBorders>
              <w:left w:val="single" w:sz="8" w:color="auto"/>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31.2</w:t>
            </w:r>
          </w:p>
        </w:tc>
        <w:tc>
          <w:tcPr>
            <w:tcW w:w="180" w:type="dxa"/>
            <w:vAlign w:val="bottom"/>
            <w:tcBorders>
              <w:right w:val="single" w:sz="8" w:color="auto"/>
            </w:tcBorders>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400" w:type="dxa"/>
            <w:vAlign w:val="bottom"/>
            <w:tcBorders>
              <w:right w:val="single" w:sz="8" w:color="auto"/>
            </w:tcBorders>
            <w:gridSpan w:val="12"/>
          </w:tcPr>
          <w:p>
            <w:pPr>
              <w:spacing w:after="0"/>
              <w:rPr>
                <w:rFonts w:ascii="Arial" w:cs="Arial" w:eastAsia="Arial" w:hAnsi="Arial"/>
                <w:sz w:val="17"/>
                <w:szCs w:val="17"/>
                <w:color w:val="0000FF"/>
              </w:rPr>
            </w:pPr>
            <w:hyperlink w:anchor="page40">
              <w:r>
                <w:rPr>
                  <w:rFonts w:ascii="Arial" w:cs="Arial" w:eastAsia="Arial" w:hAnsi="Arial"/>
                  <w:sz w:val="17"/>
                  <w:szCs w:val="17"/>
                  <w:color w:val="0000FF"/>
                </w:rPr>
                <w:t>Section 302 Certification of the Principal Financial Officer.</w:t>
              </w:r>
            </w:hyperlink>
          </w:p>
        </w:tc>
        <w:tc>
          <w:tcPr>
            <w:tcW w:w="180" w:type="dxa"/>
            <w:vAlign w:val="bottom"/>
            <w:tcBorders>
              <w:right w:val="single" w:sz="8" w:color="auto"/>
            </w:tcBorders>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32"/>
        </w:trPr>
        <w:tc>
          <w:tcPr>
            <w:tcW w:w="580" w:type="dxa"/>
            <w:vAlign w:val="bottom"/>
            <w:tcBorders>
              <w:left w:val="single" w:sz="8" w:color="auto"/>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210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780" w:type="dxa"/>
            <w:vAlign w:val="bottom"/>
            <w:tcBorders>
              <w:top w:val="single" w:sz="8" w:color="0000FF"/>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440" w:type="dxa"/>
            <w:vAlign w:val="bottom"/>
            <w:tcBorders>
              <w:top w:val="single" w:sz="8" w:color="0000FF"/>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80" w:type="dxa"/>
            <w:vAlign w:val="bottom"/>
            <w:tcBorders>
              <w:left w:val="single" w:sz="8" w:color="auto"/>
              <w:right w:val="single" w:sz="8" w:color="auto"/>
            </w:tcBorders>
          </w:tcPr>
          <w:p>
            <w:pPr>
              <w:spacing w:after="0"/>
              <w:rPr>
                <w:sz w:val="16"/>
                <w:szCs w:val="16"/>
                <w:color w:val="auto"/>
              </w:rPr>
            </w:pPr>
          </w:p>
        </w:tc>
        <w:tc>
          <w:tcPr>
            <w:tcW w:w="70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32.1</w:t>
            </w:r>
          </w:p>
        </w:tc>
        <w:tc>
          <w:tcPr>
            <w:tcW w:w="180" w:type="dxa"/>
            <w:vAlign w:val="bottom"/>
            <w:tcBorders>
              <w:right w:val="single" w:sz="8" w:color="auto"/>
            </w:tcBorders>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400" w:type="dxa"/>
            <w:vAlign w:val="bottom"/>
            <w:tcBorders>
              <w:right w:val="single" w:sz="8" w:color="auto"/>
            </w:tcBorders>
            <w:gridSpan w:val="12"/>
          </w:tcPr>
          <w:p>
            <w:pPr>
              <w:spacing w:after="0" w:line="189" w:lineRule="exact"/>
              <w:rPr>
                <w:rFonts w:ascii="Arial" w:cs="Arial" w:eastAsia="Arial" w:hAnsi="Arial"/>
                <w:sz w:val="17"/>
                <w:szCs w:val="17"/>
                <w:color w:val="auto"/>
              </w:rPr>
            </w:pPr>
            <w:hyperlink w:anchor="page41">
              <w:r>
                <w:rPr>
                  <w:rFonts w:ascii="Arial" w:cs="Arial" w:eastAsia="Arial" w:hAnsi="Arial"/>
                  <w:sz w:val="17"/>
                  <w:szCs w:val="17"/>
                  <w:color w:val="auto"/>
                </w:rPr>
                <w:t>Section 906 Certification of the Principal Executive Officer</w:t>
              </w:r>
            </w:hyperlink>
          </w:p>
        </w:tc>
        <w:tc>
          <w:tcPr>
            <w:tcW w:w="180" w:type="dxa"/>
            <w:vAlign w:val="bottom"/>
            <w:tcBorders>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6"/>
        </w:trPr>
        <w:tc>
          <w:tcPr>
            <w:tcW w:w="580" w:type="dxa"/>
            <w:vAlign w:val="bottom"/>
            <w:tcBorders>
              <w:left w:val="single" w:sz="8" w:color="auto"/>
              <w:right w:val="single" w:sz="8" w:color="auto"/>
            </w:tcBorders>
          </w:tcPr>
          <w:p>
            <w:pPr>
              <w:spacing w:after="0"/>
              <w:rPr>
                <w:sz w:val="15"/>
                <w:szCs w:val="15"/>
                <w:color w:val="auto"/>
              </w:rPr>
            </w:pPr>
          </w:p>
        </w:tc>
        <w:tc>
          <w:tcPr>
            <w:tcW w:w="700" w:type="dxa"/>
            <w:vAlign w:val="bottom"/>
            <w:tcBorders>
              <w:right w:val="single" w:sz="8" w:color="auto"/>
            </w:tcBorders>
            <w:vMerge w:val="continue"/>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140" w:type="dxa"/>
            <w:vAlign w:val="bottom"/>
            <w:tcBorders>
              <w:top w:val="single" w:sz="8" w:color="auto"/>
            </w:tcBorders>
            <w:gridSpan w:val="7"/>
          </w:tcPr>
          <w:p>
            <w:pPr>
              <w:spacing w:after="0" w:line="176" w:lineRule="exact"/>
              <w:rPr>
                <w:rFonts w:ascii="Arial" w:cs="Arial" w:eastAsia="Arial" w:hAnsi="Arial"/>
                <w:sz w:val="17"/>
                <w:szCs w:val="17"/>
                <w:color w:val="auto"/>
              </w:rPr>
            </w:pPr>
            <w:hyperlink w:anchor="page41">
              <w:r>
                <w:rPr>
                  <w:rFonts w:ascii="Arial" w:cs="Arial" w:eastAsia="Arial" w:hAnsi="Arial"/>
                  <w:sz w:val="17"/>
                  <w:szCs w:val="17"/>
                  <w:color w:val="auto"/>
                </w:rPr>
                <w:t>and Principal Financial Officer.**</w:t>
              </w:r>
            </w:hyperlink>
          </w:p>
        </w:tc>
        <w:tc>
          <w:tcPr>
            <w:tcW w:w="260" w:type="dxa"/>
            <w:vAlign w:val="bottom"/>
            <w:tcBorders>
              <w:right w:val="single" w:sz="8" w:color="auto"/>
            </w:tcBorders>
            <w:gridSpan w:val="5"/>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580" w:type="dxa"/>
            <w:vAlign w:val="bottom"/>
            <w:tcBorders>
              <w:left w:val="single" w:sz="8" w:color="auto"/>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2100" w:type="dxa"/>
            <w:vAlign w:val="bottom"/>
            <w:tcBorders>
              <w:top w:val="single" w:sz="8" w:color="auto"/>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580" w:type="dxa"/>
            <w:vAlign w:val="bottom"/>
            <w:tcBorders>
              <w:left w:val="single" w:sz="8" w:color="auto"/>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400" w:type="dxa"/>
            <w:vAlign w:val="bottom"/>
            <w:tcBorders>
              <w:right w:val="single" w:sz="8" w:color="auto"/>
            </w:tcBorders>
            <w:gridSpan w:val="12"/>
          </w:tcPr>
          <w:p>
            <w:pPr>
              <w:spacing w:after="0" w:line="163" w:lineRule="exact"/>
              <w:rPr>
                <w:sz w:val="20"/>
                <w:szCs w:val="20"/>
                <w:color w:val="auto"/>
              </w:rPr>
            </w:pPr>
            <w:r>
              <w:rPr>
                <w:rFonts w:ascii="Arial" w:cs="Arial" w:eastAsia="Arial" w:hAnsi="Arial"/>
                <w:sz w:val="17"/>
                <w:szCs w:val="17"/>
                <w:color w:val="auto"/>
              </w:rPr>
              <w:t>Inline XBRL Instance Document (the Instance Document</w:t>
            </w:r>
          </w:p>
        </w:tc>
        <w:tc>
          <w:tcPr>
            <w:tcW w:w="180" w:type="dxa"/>
            <w:vAlign w:val="bottom"/>
            <w:tcBorders>
              <w:right w:val="single" w:sz="8" w:color="auto"/>
            </w:tcBorders>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0" w:type="dxa"/>
            <w:vAlign w:val="bottom"/>
            <w:tcBorders>
              <w:left w:val="single" w:sz="8" w:color="auto"/>
              <w:right w:val="single" w:sz="8" w:color="auto"/>
            </w:tcBorders>
          </w:tcPr>
          <w:p>
            <w:pPr>
              <w:spacing w:after="0"/>
              <w:rPr>
                <w:sz w:val="14"/>
                <w:szCs w:val="14"/>
                <w:color w:val="auto"/>
              </w:rPr>
            </w:pPr>
          </w:p>
        </w:tc>
        <w:tc>
          <w:tcPr>
            <w:tcW w:w="70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101.INS</w:t>
            </w:r>
          </w:p>
        </w:tc>
        <w:tc>
          <w:tcPr>
            <w:tcW w:w="180" w:type="dxa"/>
            <w:vAlign w:val="bottom"/>
            <w:tcBorders>
              <w:right w:val="single" w:sz="8" w:color="auto"/>
            </w:tcBorders>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400" w:type="dxa"/>
            <w:vAlign w:val="bottom"/>
            <w:tcBorders>
              <w:right w:val="single" w:sz="8" w:color="auto"/>
            </w:tcBorders>
            <w:gridSpan w:val="12"/>
          </w:tcPr>
          <w:p>
            <w:pPr>
              <w:spacing w:after="0" w:line="170" w:lineRule="exact"/>
              <w:rPr>
                <w:sz w:val="20"/>
                <w:szCs w:val="20"/>
                <w:color w:val="auto"/>
              </w:rPr>
            </w:pPr>
            <w:r>
              <w:rPr>
                <w:rFonts w:ascii="Arial" w:cs="Arial" w:eastAsia="Arial" w:hAnsi="Arial"/>
                <w:sz w:val="17"/>
                <w:szCs w:val="17"/>
                <w:color w:val="auto"/>
                <w:w w:val="93"/>
              </w:rPr>
              <w:t>does not appear in the Interactive Data File because its XBRL</w:t>
            </w:r>
          </w:p>
        </w:tc>
        <w:tc>
          <w:tcPr>
            <w:tcW w:w="180" w:type="dxa"/>
            <w:vAlign w:val="bottom"/>
            <w:tcBorders>
              <w:right w:val="single" w:sz="8" w:color="auto"/>
            </w:tcBorders>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21"/>
        </w:trPr>
        <w:tc>
          <w:tcPr>
            <w:tcW w:w="580" w:type="dxa"/>
            <w:vAlign w:val="bottom"/>
            <w:tcBorders>
              <w:left w:val="single" w:sz="8" w:color="auto"/>
              <w:bottom w:val="single" w:sz="8" w:color="auto"/>
              <w:right w:val="single" w:sz="8" w:color="auto"/>
            </w:tcBorders>
          </w:tcPr>
          <w:p>
            <w:pPr>
              <w:spacing w:after="0"/>
              <w:rPr>
                <w:sz w:val="19"/>
                <w:szCs w:val="19"/>
                <w:color w:val="auto"/>
              </w:rPr>
            </w:pPr>
          </w:p>
        </w:tc>
        <w:tc>
          <w:tcPr>
            <w:tcW w:w="700" w:type="dxa"/>
            <w:vAlign w:val="bottom"/>
            <w:tcBorders>
              <w:bottom w:val="single" w:sz="8" w:color="auto"/>
              <w:right w:val="single" w:sz="8" w:color="auto"/>
            </w:tcBorders>
            <w:vMerge w:val="continue"/>
          </w:tcPr>
          <w:p>
            <w:pPr>
              <w:spacing w:after="0"/>
              <w:rPr>
                <w:sz w:val="19"/>
                <w:szCs w:val="19"/>
                <w:color w:val="auto"/>
              </w:rPr>
            </w:pPr>
          </w:p>
        </w:tc>
        <w:tc>
          <w:tcPr>
            <w:tcW w:w="18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0" w:type="dxa"/>
            <w:vAlign w:val="bottom"/>
            <w:tcBorders>
              <w:bottom w:val="single" w:sz="8" w:color="auto"/>
              <w:right w:val="single" w:sz="8" w:color="auto"/>
            </w:tcBorders>
            <w:gridSpan w:val="12"/>
          </w:tcPr>
          <w:p>
            <w:pPr>
              <w:spacing w:after="0"/>
              <w:rPr>
                <w:sz w:val="20"/>
                <w:szCs w:val="20"/>
                <w:color w:val="auto"/>
              </w:rPr>
            </w:pPr>
            <w:r>
              <w:rPr>
                <w:rFonts w:ascii="Arial" w:cs="Arial" w:eastAsia="Arial" w:hAnsi="Arial"/>
                <w:sz w:val="17"/>
                <w:szCs w:val="17"/>
                <w:color w:val="auto"/>
              </w:rPr>
              <w:t>tags are embedded within the Inline XBRL document)</w:t>
            </w:r>
          </w:p>
        </w:tc>
        <w:tc>
          <w:tcPr>
            <w:tcW w:w="180" w:type="dxa"/>
            <w:vAlign w:val="bottom"/>
            <w:tcBorders>
              <w:bottom w:val="single" w:sz="8" w:color="auto"/>
              <w:right w:val="single" w:sz="8" w:color="auto"/>
            </w:tcBorders>
          </w:tcPr>
          <w:p>
            <w:pPr>
              <w:spacing w:after="0"/>
              <w:rPr>
                <w:sz w:val="19"/>
                <w:szCs w:val="19"/>
                <w:color w:val="auto"/>
              </w:rPr>
            </w:pPr>
          </w:p>
        </w:tc>
        <w:tc>
          <w:tcPr>
            <w:tcW w:w="50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580" w:type="dxa"/>
            <w:vAlign w:val="bottom"/>
            <w:tcBorders>
              <w:left w:val="single" w:sz="8" w:color="auto"/>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w w:val="95"/>
              </w:rPr>
              <w:t>101.SCH</w:t>
            </w:r>
          </w:p>
        </w:tc>
        <w:tc>
          <w:tcPr>
            <w:tcW w:w="18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0" w:type="dxa"/>
            <w:vAlign w:val="bottom"/>
            <w:tcBorders>
              <w:bottom w:val="single" w:sz="8" w:color="auto"/>
              <w:right w:val="single" w:sz="8" w:color="auto"/>
            </w:tcBorders>
            <w:gridSpan w:val="12"/>
          </w:tcPr>
          <w:p>
            <w:pPr>
              <w:spacing w:after="0"/>
              <w:rPr>
                <w:sz w:val="20"/>
                <w:szCs w:val="20"/>
                <w:color w:val="auto"/>
              </w:rPr>
            </w:pPr>
            <w:r>
              <w:rPr>
                <w:rFonts w:ascii="Arial" w:cs="Arial" w:eastAsia="Arial" w:hAnsi="Arial"/>
                <w:sz w:val="17"/>
                <w:szCs w:val="17"/>
                <w:color w:val="auto"/>
              </w:rPr>
              <w:t>Inline XBRL Taxonomy Extension Schema</w:t>
            </w:r>
          </w:p>
        </w:tc>
        <w:tc>
          <w:tcPr>
            <w:tcW w:w="180" w:type="dxa"/>
            <w:vAlign w:val="bottom"/>
            <w:tcBorders>
              <w:bottom w:val="single" w:sz="8" w:color="auto"/>
              <w:right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437"/>
        </w:trPr>
        <w:tc>
          <w:tcPr>
            <w:tcW w:w="580" w:type="dxa"/>
            <w:vAlign w:val="bottom"/>
            <w:tcBorders>
              <w:left w:val="single" w:sz="8" w:color="auto"/>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w w:val="99"/>
              </w:rPr>
              <w:t>101.CAL</w:t>
            </w:r>
          </w:p>
        </w:tc>
        <w:tc>
          <w:tcPr>
            <w:tcW w:w="18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0" w:type="dxa"/>
            <w:vAlign w:val="bottom"/>
            <w:tcBorders>
              <w:bottom w:val="single" w:sz="8" w:color="auto"/>
              <w:right w:val="single" w:sz="8" w:color="auto"/>
            </w:tcBorders>
            <w:gridSpan w:val="12"/>
          </w:tcPr>
          <w:p>
            <w:pPr>
              <w:spacing w:after="0"/>
              <w:rPr>
                <w:sz w:val="20"/>
                <w:szCs w:val="20"/>
                <w:color w:val="auto"/>
              </w:rPr>
            </w:pPr>
            <w:r>
              <w:rPr>
                <w:rFonts w:ascii="Arial" w:cs="Arial" w:eastAsia="Arial" w:hAnsi="Arial"/>
                <w:sz w:val="17"/>
                <w:szCs w:val="17"/>
                <w:color w:val="auto"/>
              </w:rPr>
              <w:t>Inline XBRL Taxonomy Extension Calculation Linkbase</w:t>
            </w:r>
          </w:p>
        </w:tc>
        <w:tc>
          <w:tcPr>
            <w:tcW w:w="180" w:type="dxa"/>
            <w:vAlign w:val="bottom"/>
            <w:tcBorders>
              <w:bottom w:val="single" w:sz="8" w:color="auto"/>
              <w:right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437"/>
        </w:trPr>
        <w:tc>
          <w:tcPr>
            <w:tcW w:w="580" w:type="dxa"/>
            <w:vAlign w:val="bottom"/>
            <w:tcBorders>
              <w:left w:val="single" w:sz="8" w:color="auto"/>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w w:val="98"/>
              </w:rPr>
              <w:t>101.DEF</w:t>
            </w:r>
          </w:p>
        </w:tc>
        <w:tc>
          <w:tcPr>
            <w:tcW w:w="18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0" w:type="dxa"/>
            <w:vAlign w:val="bottom"/>
            <w:tcBorders>
              <w:bottom w:val="single" w:sz="8" w:color="auto"/>
              <w:right w:val="single" w:sz="8" w:color="auto"/>
            </w:tcBorders>
            <w:gridSpan w:val="12"/>
          </w:tcPr>
          <w:p>
            <w:pPr>
              <w:spacing w:after="0"/>
              <w:rPr>
                <w:sz w:val="20"/>
                <w:szCs w:val="20"/>
                <w:color w:val="auto"/>
              </w:rPr>
            </w:pPr>
            <w:r>
              <w:rPr>
                <w:rFonts w:ascii="Arial" w:cs="Arial" w:eastAsia="Arial" w:hAnsi="Arial"/>
                <w:sz w:val="17"/>
                <w:szCs w:val="17"/>
                <w:color w:val="auto"/>
              </w:rPr>
              <w:t>Inline XBRL Taxonomy Extension Definition Linkbase</w:t>
            </w:r>
          </w:p>
        </w:tc>
        <w:tc>
          <w:tcPr>
            <w:tcW w:w="180" w:type="dxa"/>
            <w:vAlign w:val="bottom"/>
            <w:tcBorders>
              <w:bottom w:val="single" w:sz="8" w:color="auto"/>
              <w:right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437"/>
        </w:trPr>
        <w:tc>
          <w:tcPr>
            <w:tcW w:w="580" w:type="dxa"/>
            <w:vAlign w:val="bottom"/>
            <w:tcBorders>
              <w:left w:val="single" w:sz="8" w:color="auto"/>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101.LAB</w:t>
            </w:r>
          </w:p>
        </w:tc>
        <w:tc>
          <w:tcPr>
            <w:tcW w:w="18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0" w:type="dxa"/>
            <w:vAlign w:val="bottom"/>
            <w:tcBorders>
              <w:bottom w:val="single" w:sz="8" w:color="auto"/>
              <w:right w:val="single" w:sz="8" w:color="auto"/>
            </w:tcBorders>
            <w:gridSpan w:val="12"/>
          </w:tcPr>
          <w:p>
            <w:pPr>
              <w:spacing w:after="0"/>
              <w:rPr>
                <w:sz w:val="20"/>
                <w:szCs w:val="20"/>
                <w:color w:val="auto"/>
              </w:rPr>
            </w:pPr>
            <w:r>
              <w:rPr>
                <w:rFonts w:ascii="Arial" w:cs="Arial" w:eastAsia="Arial" w:hAnsi="Arial"/>
                <w:sz w:val="17"/>
                <w:szCs w:val="17"/>
                <w:color w:val="auto"/>
              </w:rPr>
              <w:t>Inline XBRL Taxonomy Extension Label Linkbase</w:t>
            </w:r>
          </w:p>
        </w:tc>
        <w:tc>
          <w:tcPr>
            <w:tcW w:w="180" w:type="dxa"/>
            <w:vAlign w:val="bottom"/>
            <w:tcBorders>
              <w:bottom w:val="single" w:sz="8" w:color="auto"/>
              <w:right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41"/>
        </w:trPr>
        <w:tc>
          <w:tcPr>
            <w:tcW w:w="58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w w:val="96"/>
              </w:rPr>
              <w:t>101.PRE</w:t>
            </w:r>
          </w:p>
        </w:tc>
        <w:tc>
          <w:tcPr>
            <w:tcW w:w="18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400" w:type="dxa"/>
            <w:vAlign w:val="bottom"/>
            <w:tcBorders>
              <w:bottom w:val="single" w:sz="8" w:color="auto"/>
              <w:right w:val="single" w:sz="8" w:color="auto"/>
            </w:tcBorders>
            <w:gridSpan w:val="12"/>
          </w:tcPr>
          <w:p>
            <w:pPr>
              <w:spacing w:after="0"/>
              <w:rPr>
                <w:sz w:val="20"/>
                <w:szCs w:val="20"/>
                <w:color w:val="auto"/>
              </w:rPr>
            </w:pPr>
            <w:r>
              <w:rPr>
                <w:rFonts w:ascii="Arial" w:cs="Arial" w:eastAsia="Arial" w:hAnsi="Arial"/>
                <w:sz w:val="17"/>
                <w:szCs w:val="17"/>
                <w:color w:val="auto"/>
              </w:rPr>
              <w:t>Inline XBRL Taxonomy Extension Presentation Linkbase</w:t>
            </w:r>
          </w:p>
        </w:tc>
        <w:tc>
          <w:tcPr>
            <w:tcW w:w="180" w:type="dxa"/>
            <w:vAlign w:val="bottom"/>
            <w:tcBorders>
              <w:bottom w:val="single" w:sz="8" w:color="auto"/>
              <w:right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97"/>
        </w:trPr>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60" w:type="dxa"/>
            <w:vAlign w:val="bottom"/>
            <w:gridSpan w:val="8"/>
          </w:tcPr>
          <w:p>
            <w:pPr>
              <w:jc w:val="right"/>
              <w:ind w:right="80"/>
              <w:spacing w:after="0"/>
              <w:rPr>
                <w:sz w:val="20"/>
                <w:szCs w:val="20"/>
                <w:color w:val="auto"/>
              </w:rPr>
            </w:pPr>
            <w:r>
              <w:rPr>
                <w:rFonts w:ascii="Arial" w:cs="Arial" w:eastAsia="Arial" w:hAnsi="Arial"/>
                <w:sz w:val="17"/>
                <w:szCs w:val="17"/>
                <w:color w:val="auto"/>
              </w:rPr>
              <w:t>36</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58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20" w:top="1376" w:right="319" w:bottom="1440" w:gutter="0" w:footer="0" w:header="0"/>
        </w:sectPr>
      </w:pPr>
    </w:p>
    <w:bookmarkStart w:id="36" w:name="page37"/>
    <w:bookmarkEnd w:id="36"/>
    <w:tbl>
      <w:tblPr>
        <w:tblLayout w:type="fixed"/>
        <w:tblInd w:w="10" w:type="dxa"/>
        <w:tblCellMar>
          <w:top w:w="0" w:type="dxa"/>
          <w:left w:w="0" w:type="dxa"/>
          <w:bottom w:w="0" w:type="dxa"/>
          <w:right w:w="0" w:type="dxa"/>
        </w:tblCellMar>
      </w:tblPr>
      <w:tr>
        <w:trPr>
          <w:trHeight w:val="217"/>
        </w:trPr>
        <w:tc>
          <w:tcPr>
            <w:tcW w:w="1180" w:type="dxa"/>
            <w:vAlign w:val="bottom"/>
            <w:tcBorders>
              <w:top w:val="single" w:sz="8" w:color="auto"/>
              <w:left w:val="single" w:sz="8" w:color="auto"/>
              <w:right w:val="single" w:sz="8" w:color="auto"/>
            </w:tcBorders>
            <w:gridSpan w:val="2"/>
          </w:tcPr>
          <w:p>
            <w:pPr>
              <w:ind w:left="40"/>
              <w:spacing w:after="0"/>
              <w:rPr>
                <w:sz w:val="20"/>
                <w:szCs w:val="20"/>
                <w:color w:val="auto"/>
              </w:rPr>
            </w:pPr>
            <w:r>
              <w:rPr>
                <w:rFonts w:ascii="Arial" w:cs="Arial" w:eastAsia="Arial" w:hAnsi="Arial"/>
                <w:sz w:val="17"/>
                <w:szCs w:val="17"/>
                <w:b w:val="1"/>
                <w:bCs w:val="1"/>
                <w:color w:val="auto"/>
              </w:rPr>
              <w:t>Exhibit</w:t>
            </w:r>
          </w:p>
        </w:tc>
        <w:tc>
          <w:tcPr>
            <w:tcW w:w="180" w:type="dxa"/>
            <w:vAlign w:val="bottom"/>
            <w:tcBorders>
              <w:top w:val="single" w:sz="8" w:color="auto"/>
              <w:right w:val="single" w:sz="8" w:color="auto"/>
            </w:tcBorders>
          </w:tcPr>
          <w:p>
            <w:pPr>
              <w:spacing w:after="0"/>
              <w:rPr>
                <w:sz w:val="18"/>
                <w:szCs w:val="18"/>
                <w:color w:val="auto"/>
              </w:rPr>
            </w:pPr>
          </w:p>
        </w:tc>
        <w:tc>
          <w:tcPr>
            <w:tcW w:w="180" w:type="dxa"/>
            <w:vAlign w:val="bottom"/>
            <w:tcBorders>
              <w:top w:val="single" w:sz="8" w:color="auto"/>
              <w:right w:val="single" w:sz="8" w:color="auto"/>
            </w:tcBorders>
          </w:tcPr>
          <w:p>
            <w:pPr>
              <w:spacing w:after="0"/>
              <w:rPr>
                <w:sz w:val="18"/>
                <w:szCs w:val="18"/>
                <w:color w:val="auto"/>
              </w:rPr>
            </w:pPr>
          </w:p>
        </w:tc>
        <w:tc>
          <w:tcPr>
            <w:tcW w:w="4500" w:type="dxa"/>
            <w:vAlign w:val="bottom"/>
            <w:tcBorders>
              <w:top w:val="single" w:sz="8" w:color="auto"/>
              <w:right w:val="single" w:sz="8" w:color="auto"/>
            </w:tcBorders>
          </w:tcPr>
          <w:p>
            <w:pPr>
              <w:spacing w:after="0"/>
              <w:rPr>
                <w:sz w:val="18"/>
                <w:szCs w:val="18"/>
                <w:color w:val="auto"/>
              </w:rPr>
            </w:pPr>
          </w:p>
        </w:tc>
        <w:tc>
          <w:tcPr>
            <w:tcW w:w="200" w:type="dxa"/>
            <w:vAlign w:val="bottom"/>
            <w:tcBorders>
              <w:top w:val="single" w:sz="8" w:color="auto"/>
              <w:right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right w:val="single" w:sz="8" w:color="auto"/>
            </w:tcBorders>
          </w:tcPr>
          <w:p>
            <w:pPr>
              <w:spacing w:after="0"/>
              <w:rPr>
                <w:sz w:val="18"/>
                <w:szCs w:val="18"/>
                <w:color w:val="auto"/>
              </w:rPr>
            </w:pPr>
          </w:p>
        </w:tc>
        <w:tc>
          <w:tcPr>
            <w:tcW w:w="180" w:type="dxa"/>
            <w:vAlign w:val="bottom"/>
            <w:tcBorders>
              <w:top w:val="single" w:sz="8" w:color="auto"/>
              <w:right w:val="single" w:sz="8" w:color="auto"/>
            </w:tcBorders>
          </w:tcPr>
          <w:p>
            <w:pPr>
              <w:spacing w:after="0"/>
              <w:rPr>
                <w:sz w:val="18"/>
                <w:szCs w:val="18"/>
                <w:color w:val="auto"/>
              </w:rPr>
            </w:pPr>
          </w:p>
        </w:tc>
        <w:tc>
          <w:tcPr>
            <w:tcW w:w="1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5"/>
              </w:rPr>
              <w:t>Filed</w:t>
            </w:r>
          </w:p>
        </w:tc>
      </w:tr>
      <w:tr>
        <w:trPr>
          <w:trHeight w:val="234"/>
        </w:trPr>
        <w:tc>
          <w:tcPr>
            <w:tcW w:w="118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7"/>
                <w:szCs w:val="17"/>
                <w:b w:val="1"/>
                <w:bCs w:val="1"/>
                <w:color w:val="auto"/>
              </w:rPr>
              <w:t>Number</w:t>
            </w:r>
          </w:p>
        </w:tc>
        <w:tc>
          <w:tcPr>
            <w:tcW w:w="18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4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b w:val="1"/>
                <w:bCs w:val="1"/>
                <w:color w:val="auto"/>
              </w:rPr>
              <w:t>Description</w:t>
            </w:r>
          </w:p>
        </w:tc>
        <w:tc>
          <w:tcPr>
            <w:tcW w:w="20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gridSpan w:val="2"/>
          </w:tcPr>
          <w:p>
            <w:pPr>
              <w:spacing w:after="0"/>
              <w:rPr>
                <w:sz w:val="20"/>
                <w:szCs w:val="20"/>
                <w:color w:val="auto"/>
              </w:rPr>
            </w:pPr>
          </w:p>
        </w:tc>
        <w:tc>
          <w:tcPr>
            <w:tcW w:w="2400" w:type="dxa"/>
            <w:vAlign w:val="bottom"/>
            <w:tcBorders>
              <w:bottom w:val="single" w:sz="8" w:color="auto"/>
            </w:tcBorders>
            <w:gridSpan w:val="4"/>
          </w:tcPr>
          <w:p>
            <w:pPr>
              <w:ind w:left="580"/>
              <w:spacing w:after="0"/>
              <w:rPr>
                <w:sz w:val="20"/>
                <w:szCs w:val="20"/>
                <w:color w:val="auto"/>
              </w:rPr>
            </w:pPr>
            <w:r>
              <w:rPr>
                <w:rFonts w:ascii="Arial" w:cs="Arial" w:eastAsia="Arial" w:hAnsi="Arial"/>
                <w:sz w:val="17"/>
                <w:szCs w:val="17"/>
                <w:b w:val="1"/>
                <w:bCs w:val="1"/>
                <w:color w:val="auto"/>
              </w:rPr>
              <w:t>Previously Filed</w:t>
            </w:r>
          </w:p>
        </w:tc>
        <w:tc>
          <w:tcPr>
            <w:tcW w:w="68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7"/>
              </w:rPr>
              <w:t>Herewith</w:t>
            </w:r>
          </w:p>
        </w:tc>
      </w:tr>
      <w:tr>
        <w:trPr>
          <w:trHeight w:val="241"/>
        </w:trPr>
        <w:tc>
          <w:tcPr>
            <w:tcW w:w="580" w:type="dxa"/>
            <w:vAlign w:val="bottom"/>
            <w:tcBorders>
              <w:left w:val="single" w:sz="8" w:color="auto"/>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450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b w:val="1"/>
                <w:bCs w:val="1"/>
                <w:color w:val="auto"/>
                <w:w w:val="98"/>
              </w:rPr>
              <w:t>Form</w:t>
            </w:r>
          </w:p>
        </w:tc>
        <w:tc>
          <w:tcPr>
            <w:tcW w:w="20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7"/>
                <w:szCs w:val="17"/>
                <w:b w:val="1"/>
                <w:bCs w:val="1"/>
                <w:color w:val="auto"/>
              </w:rPr>
              <w:t>File No.</w:t>
            </w:r>
          </w:p>
        </w:tc>
        <w:tc>
          <w:tcPr>
            <w:tcW w:w="1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7"/>
                <w:szCs w:val="17"/>
                <w:b w:val="1"/>
                <w:bCs w:val="1"/>
                <w:color w:val="auto"/>
              </w:rPr>
              <w:t>Filing Date</w:t>
            </w:r>
          </w:p>
        </w:tc>
        <w:tc>
          <w:tcPr>
            <w:tcW w:w="18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7"/>
                <w:szCs w:val="17"/>
                <w:b w:val="1"/>
                <w:bCs w:val="1"/>
                <w:color w:val="auto"/>
              </w:rPr>
              <w:t>Exhibit</w:t>
            </w:r>
          </w:p>
        </w:tc>
        <w:tc>
          <w:tcPr>
            <w:tcW w:w="18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r>
      <w:tr>
        <w:trPr>
          <w:trHeight w:val="210"/>
        </w:trPr>
        <w:tc>
          <w:tcPr>
            <w:tcW w:w="580" w:type="dxa"/>
            <w:vAlign w:val="bottom"/>
            <w:tcBorders>
              <w:left w:val="single" w:sz="8" w:color="auto"/>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45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w w:val="96"/>
              </w:rPr>
              <w:t>Cover Page Interactive Data File (embedded within the Inline</w:t>
            </w:r>
          </w:p>
        </w:tc>
        <w:tc>
          <w:tcPr>
            <w:tcW w:w="200" w:type="dxa"/>
            <w:vAlign w:val="bottom"/>
            <w:tcBorders>
              <w:right w:val="single" w:sz="8" w:color="auto"/>
            </w:tcBorders>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r>
      <w:tr>
        <w:trPr>
          <w:trHeight w:val="228"/>
        </w:trPr>
        <w:tc>
          <w:tcPr>
            <w:tcW w:w="580" w:type="dxa"/>
            <w:vAlign w:val="bottom"/>
            <w:tcBorders>
              <w:left w:val="single" w:sz="8" w:color="auto"/>
              <w:bottom w:val="single" w:sz="8" w:color="auto"/>
              <w:right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jc w:val="right"/>
              <w:ind w:right="233"/>
              <w:spacing w:after="0"/>
              <w:rPr>
                <w:sz w:val="20"/>
                <w:szCs w:val="20"/>
                <w:color w:val="auto"/>
              </w:rPr>
            </w:pPr>
            <w:r>
              <w:rPr>
                <w:rFonts w:ascii="Arial" w:cs="Arial" w:eastAsia="Arial" w:hAnsi="Arial"/>
                <w:sz w:val="17"/>
                <w:szCs w:val="17"/>
                <w:color w:val="auto"/>
                <w:w w:val="91"/>
              </w:rPr>
              <w:t>104</w:t>
            </w:r>
          </w:p>
        </w:tc>
        <w:tc>
          <w:tcPr>
            <w:tcW w:w="18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right w:val="single" w:sz="8" w:color="auto"/>
            </w:tcBorders>
          </w:tcPr>
          <w:p>
            <w:pPr>
              <w:spacing w:after="0"/>
              <w:rPr>
                <w:sz w:val="19"/>
                <w:szCs w:val="19"/>
                <w:color w:val="auto"/>
              </w:rPr>
            </w:pPr>
          </w:p>
        </w:tc>
        <w:tc>
          <w:tcPr>
            <w:tcW w:w="4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XBRL document and contained in Exhibit 101)</w:t>
            </w:r>
          </w:p>
        </w:tc>
        <w:tc>
          <w:tcPr>
            <w:tcW w:w="200" w:type="dxa"/>
            <w:vAlign w:val="bottom"/>
            <w:tcBorders>
              <w:bottom w:val="single" w:sz="8" w:color="auto"/>
              <w:right w:val="single" w:sz="8" w:color="auto"/>
            </w:tcBorders>
          </w:tcPr>
          <w:p>
            <w:pPr>
              <w:spacing w:after="0"/>
              <w:rPr>
                <w:sz w:val="19"/>
                <w:szCs w:val="19"/>
                <w:color w:val="auto"/>
              </w:rPr>
            </w:pPr>
          </w:p>
        </w:tc>
        <w:tc>
          <w:tcPr>
            <w:tcW w:w="48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r>
    </w:tbl>
    <w:p>
      <w:pPr>
        <w:spacing w:after="0" w:line="27" w:lineRule="exact"/>
        <w:rPr>
          <w:sz w:val="20"/>
          <w:szCs w:val="20"/>
          <w:color w:val="auto"/>
        </w:rPr>
      </w:pPr>
    </w:p>
    <w:p>
      <w:pPr>
        <w:ind w:left="620" w:right="360" w:hanging="598"/>
        <w:spacing w:after="0" w:line="183" w:lineRule="auto"/>
        <w:tabs>
          <w:tab w:leader="none" w:pos="620" w:val="left"/>
        </w:tabs>
        <w:numPr>
          <w:ilvl w:val="0"/>
          <w:numId w:val="20"/>
        </w:numPr>
        <w:rPr>
          <w:rFonts w:ascii="Arial" w:cs="Arial" w:eastAsia="Arial" w:hAnsi="Arial"/>
          <w:sz w:val="31"/>
          <w:szCs w:val="31"/>
          <w:color w:val="auto"/>
          <w:vertAlign w:val="subscript"/>
        </w:rPr>
      </w:pPr>
      <w:r>
        <w:rPr>
          <w:rFonts w:ascii="Arial" w:cs="Arial" w:eastAsia="Arial" w:hAnsi="Arial"/>
          <w:sz w:val="15"/>
          <w:szCs w:val="15"/>
          <w:color w:val="auto"/>
        </w:rPr>
        <w:t>Certain portions of the exhibit have been omitted pursuant to Rule 601(b)(10) of Regulation S-K. The omitted information is not material and is the type of information that the registrant treats as private or confidential.</w:t>
      </w:r>
    </w:p>
    <w:p>
      <w:pPr>
        <w:spacing w:after="0" w:line="289" w:lineRule="exact"/>
        <w:rPr>
          <w:sz w:val="20"/>
          <w:szCs w:val="20"/>
          <w:color w:val="auto"/>
        </w:rPr>
      </w:pPr>
    </w:p>
    <w:p>
      <w:pPr>
        <w:ind w:left="620" w:hanging="598"/>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60"/>
          </w:cols>
          <w:pgMar w:left="320" w:top="1400" w:right="319" w:bottom="1440" w:gutter="0" w:footer="0" w:header="0"/>
        </w:sectPr>
      </w:pPr>
    </w:p>
    <w:bookmarkStart w:id="37" w:name="page38"/>
    <w:bookmarkEnd w:id="37"/>
    <w:p>
      <w:pPr>
        <w:jc w:val="center"/>
        <w:ind w:right="-839"/>
        <w:spacing w:after="0"/>
        <w:rPr>
          <w:sz w:val="20"/>
          <w:szCs w:val="20"/>
          <w:color w:val="auto"/>
        </w:rPr>
      </w:pPr>
      <w:r>
        <w:rPr>
          <w:rFonts w:ascii="Arial" w:cs="Arial" w:eastAsia="Arial" w:hAnsi="Arial"/>
          <w:sz w:val="17"/>
          <w:szCs w:val="17"/>
          <w:b w:val="1"/>
          <w:bCs w:val="1"/>
          <w:color w:val="auto"/>
        </w:rPr>
        <w:t>SIGNATURES</w:t>
      </w:r>
    </w:p>
    <w:p>
      <w:pPr>
        <w:spacing w:after="0" w:line="32" w:lineRule="exact"/>
        <w:rPr>
          <w:sz w:val="20"/>
          <w:szCs w:val="20"/>
          <w:color w:val="auto"/>
        </w:rPr>
      </w:pPr>
    </w:p>
    <w:p>
      <w:pPr>
        <w:ind w:firstLine="460"/>
        <w:spacing w:after="0" w:line="273"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Gevo, Inc.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(REGISTRANT)</w:t>
      </w:r>
    </w:p>
    <w:p>
      <w:pPr>
        <w:spacing w:after="0" w:line="54" w:lineRule="exact"/>
        <w:rPr>
          <w:sz w:val="20"/>
          <w:szCs w:val="20"/>
          <w:color w:val="auto"/>
        </w:rPr>
      </w:pPr>
    </w:p>
    <w:p>
      <w:pPr>
        <w:ind w:left="20"/>
        <w:spacing w:after="0"/>
        <w:tabs>
          <w:tab w:leader="none" w:pos="21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Alisher Nurmat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24765</wp:posOffset>
            </wp:positionV>
            <wp:extent cx="27133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2713355" cy="8255"/>
                    </a:xfrm>
                    <a:prstGeom prst="rect">
                      <a:avLst/>
                    </a:prstGeom>
                    <a:noFill/>
                  </pic:spPr>
                </pic:pic>
              </a:graphicData>
            </a:graphic>
          </wp:anchor>
        </w:drawing>
      </w:r>
    </w:p>
    <w:p>
      <w:pPr>
        <w:spacing w:after="0" w:line="36" w:lineRule="exact"/>
        <w:rPr>
          <w:sz w:val="20"/>
          <w:szCs w:val="20"/>
          <w:color w:val="auto"/>
        </w:rPr>
      </w:pPr>
    </w:p>
    <w:p>
      <w:pPr>
        <w:jc w:val="center"/>
        <w:ind w:right="4740"/>
        <w:spacing w:after="0"/>
        <w:rPr>
          <w:sz w:val="20"/>
          <w:szCs w:val="20"/>
          <w:color w:val="auto"/>
        </w:rPr>
      </w:pPr>
      <w:r>
        <w:rPr>
          <w:rFonts w:ascii="Arial" w:cs="Arial" w:eastAsia="Arial" w:hAnsi="Arial"/>
          <w:sz w:val="14"/>
          <w:szCs w:val="14"/>
          <w:b w:val="1"/>
          <w:bCs w:val="1"/>
          <w:color w:val="auto"/>
        </w:rPr>
        <w:t>Alisher Nurmat, CPA</w:t>
      </w:r>
    </w:p>
    <w:p>
      <w:pPr>
        <w:spacing w:after="0" w:line="8" w:lineRule="exact"/>
        <w:rPr>
          <w:sz w:val="20"/>
          <w:szCs w:val="20"/>
          <w:color w:val="auto"/>
        </w:rPr>
      </w:pPr>
    </w:p>
    <w:p>
      <w:pPr>
        <w:jc w:val="center"/>
        <w:ind w:right="4740"/>
        <w:spacing w:after="0"/>
        <w:rPr>
          <w:sz w:val="20"/>
          <w:szCs w:val="20"/>
          <w:color w:val="auto"/>
        </w:rPr>
      </w:pPr>
      <w:r>
        <w:rPr>
          <w:rFonts w:ascii="Arial" w:cs="Arial" w:eastAsia="Arial" w:hAnsi="Arial"/>
          <w:sz w:val="14"/>
          <w:szCs w:val="14"/>
          <w:b w:val="1"/>
          <w:bCs w:val="1"/>
          <w:color w:val="auto"/>
        </w:rPr>
        <w:t>Vice President and Controller</w:t>
      </w:r>
    </w:p>
    <w:p>
      <w:pPr>
        <w:jc w:val="center"/>
        <w:ind w:right="4740"/>
        <w:spacing w:after="0"/>
        <w:rPr>
          <w:sz w:val="20"/>
          <w:szCs w:val="20"/>
          <w:color w:val="auto"/>
        </w:rPr>
      </w:pPr>
      <w:r>
        <w:rPr>
          <w:rFonts w:ascii="Arial" w:cs="Arial" w:eastAsia="Arial" w:hAnsi="Arial"/>
          <w:sz w:val="14"/>
          <w:szCs w:val="14"/>
          <w:b w:val="1"/>
          <w:bCs w:val="1"/>
          <w:color w:val="auto"/>
        </w:rPr>
        <w:t>(Principal Accounting Officer)</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Date: May 9, 2022</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0400"/>
          </w:cols>
          <w:pgMar w:left="320" w:top="1376" w:right="1179" w:bottom="1440" w:gutter="0" w:footer="0" w:header="0"/>
        </w:sectPr>
      </w:pPr>
    </w:p>
    <w:bookmarkStart w:id="38" w:name="page39"/>
    <w:bookmarkEnd w:id="38"/>
    <w:p>
      <w:pPr>
        <w:jc w:val="right"/>
        <w:spacing w:after="0"/>
        <w:rPr>
          <w:sz w:val="20"/>
          <w:szCs w:val="20"/>
          <w:color w:val="auto"/>
        </w:rPr>
      </w:pPr>
      <w:r>
        <w:rPr>
          <w:rFonts w:ascii="Arial" w:cs="Arial" w:eastAsia="Arial" w:hAnsi="Arial"/>
          <w:sz w:val="17"/>
          <w:szCs w:val="17"/>
          <w:b w:val="1"/>
          <w:bCs w:val="1"/>
          <w:color w:val="auto"/>
        </w:rPr>
        <w:t>Exhibit 31.1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I, Patrick R. Gruber, certify that:</w:t>
      </w:r>
    </w:p>
    <w:p>
      <w:pPr>
        <w:spacing w:after="0" w:line="79" w:lineRule="exact"/>
        <w:rPr>
          <w:sz w:val="20"/>
          <w:szCs w:val="20"/>
          <w:color w:val="auto"/>
        </w:rPr>
      </w:pPr>
    </w:p>
    <w:p>
      <w:pPr>
        <w:ind w:left="300" w:hanging="295"/>
        <w:spacing w:after="0"/>
        <w:tabs>
          <w:tab w:leader="none" w:pos="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Gevo, Inc. (the “Registrant”);</w:t>
      </w:r>
    </w:p>
    <w:p>
      <w:pPr>
        <w:spacing w:after="0" w:line="78" w:lineRule="exact"/>
        <w:rPr>
          <w:rFonts w:ascii="Arial" w:cs="Arial" w:eastAsia="Arial" w:hAnsi="Arial"/>
          <w:sz w:val="17"/>
          <w:szCs w:val="17"/>
          <w:color w:val="auto"/>
        </w:rPr>
      </w:pPr>
    </w:p>
    <w:p>
      <w:pPr>
        <w:ind w:left="440" w:right="20" w:hanging="435"/>
        <w:spacing w:after="0" w:line="304" w:lineRule="auto"/>
        <w:tabs>
          <w:tab w:leader="none" w:pos="318" w:val="left"/>
        </w:tabs>
        <w:numPr>
          <w:ilvl w:val="0"/>
          <w:numId w:val="2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 w:lineRule="exact"/>
        <w:rPr>
          <w:rFonts w:ascii="Arial" w:cs="Arial" w:eastAsia="Arial" w:hAnsi="Arial"/>
          <w:sz w:val="15"/>
          <w:szCs w:val="15"/>
          <w:color w:val="auto"/>
        </w:rPr>
      </w:pPr>
    </w:p>
    <w:p>
      <w:pPr>
        <w:ind w:left="440" w:right="120" w:hanging="435"/>
        <w:spacing w:after="0"/>
        <w:tabs>
          <w:tab w:leader="none" w:pos="318"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Arial" w:cs="Arial" w:eastAsia="Arial" w:hAnsi="Arial"/>
          <w:sz w:val="17"/>
          <w:szCs w:val="17"/>
          <w:color w:val="auto"/>
        </w:rPr>
      </w:pPr>
    </w:p>
    <w:p>
      <w:pPr>
        <w:ind w:left="440" w:right="220" w:hanging="435"/>
        <w:spacing w:after="0" w:line="229" w:lineRule="auto"/>
        <w:tabs>
          <w:tab w:leader="none" w:pos="315"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Arial" w:cs="Arial" w:eastAsia="Arial" w:hAnsi="Arial"/>
          <w:sz w:val="17"/>
          <w:szCs w:val="17"/>
          <w:color w:val="auto"/>
        </w:rPr>
      </w:pPr>
    </w:p>
    <w:p>
      <w:pPr>
        <w:ind w:left="860" w:right="120" w:hanging="428"/>
        <w:spacing w:after="0" w:line="229" w:lineRule="auto"/>
        <w:tabs>
          <w:tab w:leader="none" w:pos="743"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Arial" w:cs="Arial" w:eastAsia="Arial" w:hAnsi="Arial"/>
          <w:sz w:val="17"/>
          <w:szCs w:val="17"/>
          <w:color w:val="auto"/>
        </w:rPr>
      </w:pPr>
    </w:p>
    <w:p>
      <w:pPr>
        <w:ind w:left="860" w:right="100" w:hanging="428"/>
        <w:spacing w:after="0" w:line="229" w:lineRule="auto"/>
        <w:tabs>
          <w:tab w:leader="none" w:pos="753"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Arial" w:cs="Arial" w:eastAsia="Arial" w:hAnsi="Arial"/>
          <w:sz w:val="17"/>
          <w:szCs w:val="17"/>
          <w:color w:val="auto"/>
        </w:rPr>
      </w:pPr>
    </w:p>
    <w:p>
      <w:pPr>
        <w:ind w:left="860" w:right="120" w:hanging="428"/>
        <w:spacing w:after="0"/>
        <w:tabs>
          <w:tab w:leader="none" w:pos="743"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Arial" w:cs="Arial" w:eastAsia="Arial" w:hAnsi="Arial"/>
          <w:sz w:val="17"/>
          <w:szCs w:val="17"/>
          <w:color w:val="auto"/>
        </w:rPr>
      </w:pPr>
    </w:p>
    <w:p>
      <w:pPr>
        <w:ind w:left="860" w:right="100" w:hanging="428"/>
        <w:spacing w:after="0" w:line="229" w:lineRule="auto"/>
        <w:tabs>
          <w:tab w:leader="none" w:pos="753" w:val="left"/>
        </w:tabs>
        <w:numPr>
          <w:ilvl w:val="1"/>
          <w:numId w:val="2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Arial" w:cs="Arial" w:eastAsia="Arial" w:hAnsi="Arial"/>
          <w:sz w:val="17"/>
          <w:szCs w:val="17"/>
          <w:color w:val="auto"/>
        </w:rPr>
      </w:pPr>
    </w:p>
    <w:p>
      <w:pPr>
        <w:ind w:left="440" w:right="660" w:hanging="435"/>
        <w:spacing w:after="0" w:line="270" w:lineRule="auto"/>
        <w:tabs>
          <w:tab w:leader="none" w:pos="315"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0" w:lineRule="exact"/>
        <w:rPr>
          <w:rFonts w:ascii="Arial" w:cs="Arial" w:eastAsia="Arial" w:hAnsi="Arial"/>
          <w:sz w:val="16"/>
          <w:szCs w:val="16"/>
          <w:color w:val="auto"/>
        </w:rPr>
      </w:pPr>
    </w:p>
    <w:p>
      <w:pPr>
        <w:ind w:left="860" w:right="100" w:hanging="428"/>
        <w:spacing w:after="0"/>
        <w:tabs>
          <w:tab w:leader="none" w:pos="733"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Arial" w:cs="Arial" w:eastAsia="Arial" w:hAnsi="Arial"/>
          <w:sz w:val="17"/>
          <w:szCs w:val="17"/>
          <w:color w:val="auto"/>
        </w:rPr>
      </w:pPr>
    </w:p>
    <w:p>
      <w:pPr>
        <w:ind w:left="860" w:right="80" w:hanging="428"/>
        <w:spacing w:after="0"/>
        <w:tabs>
          <w:tab w:leader="none" w:pos="743" w:val="left"/>
        </w:tabs>
        <w:numPr>
          <w:ilvl w:val="1"/>
          <w:numId w:val="2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Date: May 9, 2022</w:t>
      </w:r>
    </w:p>
    <w:p>
      <w:pPr>
        <w:spacing w:after="0" w:line="236" w:lineRule="exact"/>
        <w:rPr>
          <w:sz w:val="20"/>
          <w:szCs w:val="20"/>
          <w:color w:val="auto"/>
        </w:rPr>
      </w:pPr>
    </w:p>
    <w:p>
      <w:pPr>
        <w:jc w:val="center"/>
        <w:ind w:right="6500"/>
        <w:spacing w:after="0"/>
        <w:rPr>
          <w:sz w:val="20"/>
          <w:szCs w:val="20"/>
          <w:color w:val="auto"/>
        </w:rPr>
      </w:pPr>
      <w:r>
        <w:rPr>
          <w:rFonts w:ascii="Arial" w:cs="Arial" w:eastAsia="Arial" w:hAnsi="Arial"/>
          <w:sz w:val="17"/>
          <w:szCs w:val="17"/>
          <w:color w:val="auto"/>
        </w:rPr>
        <w:t>/s/ Patrick R. Gruber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301244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3012440" cy="8255"/>
                    </a:xfrm>
                    <a:prstGeom prst="rect">
                      <a:avLst/>
                    </a:prstGeom>
                    <a:noFill/>
                  </pic:spPr>
                </pic:pic>
              </a:graphicData>
            </a:graphic>
          </wp:anchor>
        </w:drawing>
      </w:r>
    </w:p>
    <w:p>
      <w:pPr>
        <w:jc w:val="center"/>
        <w:ind w:right="6500"/>
        <w:spacing w:after="0"/>
        <w:rPr>
          <w:sz w:val="20"/>
          <w:szCs w:val="20"/>
          <w:color w:val="auto"/>
        </w:rPr>
      </w:pPr>
      <w:r>
        <w:rPr>
          <w:rFonts w:ascii="Arial" w:cs="Arial" w:eastAsia="Arial" w:hAnsi="Arial"/>
          <w:sz w:val="14"/>
          <w:szCs w:val="14"/>
          <w:b w:val="1"/>
          <w:bCs w:val="1"/>
          <w:color w:val="auto"/>
        </w:rPr>
        <w:t>Patrick R. Gruber</w:t>
      </w:r>
    </w:p>
    <w:p>
      <w:pPr>
        <w:jc w:val="center"/>
        <w:ind w:right="6500"/>
        <w:spacing w:after="0" w:line="194" w:lineRule="auto"/>
        <w:rPr>
          <w:sz w:val="20"/>
          <w:szCs w:val="20"/>
          <w:color w:val="auto"/>
        </w:rPr>
      </w:pPr>
      <w:r>
        <w:rPr>
          <w:rFonts w:ascii="Arial" w:cs="Arial" w:eastAsia="Arial" w:hAnsi="Arial"/>
          <w:sz w:val="14"/>
          <w:szCs w:val="14"/>
          <w:b w:val="1"/>
          <w:bCs w:val="1"/>
          <w:color w:val="auto"/>
        </w:rPr>
        <w:t>Chief Executive Officer</w:t>
      </w:r>
    </w:p>
    <w:p>
      <w:pPr>
        <w:spacing w:after="0" w:line="1" w:lineRule="exact"/>
        <w:rPr>
          <w:sz w:val="20"/>
          <w:szCs w:val="20"/>
          <w:color w:val="auto"/>
        </w:rPr>
      </w:pPr>
    </w:p>
    <w:p>
      <w:pPr>
        <w:jc w:val="center"/>
        <w:ind w:right="650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240"/>
          </w:cols>
          <w:pgMar w:left="320" w:top="735"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7"/>
          <w:szCs w:val="17"/>
          <w:b w:val="1"/>
          <w:bCs w:val="1"/>
          <w:color w:val="auto"/>
        </w:rPr>
        <w:t>Exhibit 31.2</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I, L. Lynn Smull, certify that:</w:t>
      </w:r>
    </w:p>
    <w:p>
      <w:pPr>
        <w:spacing w:after="0" w:line="79" w:lineRule="exact"/>
        <w:rPr>
          <w:sz w:val="20"/>
          <w:szCs w:val="20"/>
          <w:color w:val="auto"/>
        </w:rPr>
      </w:pPr>
    </w:p>
    <w:p>
      <w:pPr>
        <w:ind w:left="300" w:hanging="295"/>
        <w:spacing w:after="0"/>
        <w:tabs>
          <w:tab w:leader="none" w:pos="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Gevo, Inc. (the “Registrant”);</w:t>
      </w:r>
    </w:p>
    <w:p>
      <w:pPr>
        <w:spacing w:after="0" w:line="78" w:lineRule="exact"/>
        <w:rPr>
          <w:rFonts w:ascii="Arial" w:cs="Arial" w:eastAsia="Arial" w:hAnsi="Arial"/>
          <w:sz w:val="17"/>
          <w:szCs w:val="17"/>
          <w:color w:val="auto"/>
        </w:rPr>
      </w:pPr>
    </w:p>
    <w:p>
      <w:pPr>
        <w:ind w:left="440" w:right="20" w:hanging="435"/>
        <w:spacing w:after="0" w:line="304" w:lineRule="auto"/>
        <w:tabs>
          <w:tab w:leader="none" w:pos="318" w:val="left"/>
        </w:tabs>
        <w:numPr>
          <w:ilvl w:val="0"/>
          <w:numId w:val="2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 w:lineRule="exact"/>
        <w:rPr>
          <w:rFonts w:ascii="Arial" w:cs="Arial" w:eastAsia="Arial" w:hAnsi="Arial"/>
          <w:sz w:val="15"/>
          <w:szCs w:val="15"/>
          <w:color w:val="auto"/>
        </w:rPr>
      </w:pPr>
    </w:p>
    <w:p>
      <w:pPr>
        <w:ind w:left="440" w:right="120" w:hanging="435"/>
        <w:spacing w:after="0"/>
        <w:tabs>
          <w:tab w:leader="none" w:pos="318"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Arial" w:cs="Arial" w:eastAsia="Arial" w:hAnsi="Arial"/>
          <w:sz w:val="17"/>
          <w:szCs w:val="17"/>
          <w:color w:val="auto"/>
        </w:rPr>
      </w:pPr>
    </w:p>
    <w:p>
      <w:pPr>
        <w:ind w:left="440" w:right="220" w:hanging="435"/>
        <w:spacing w:after="0" w:line="229" w:lineRule="auto"/>
        <w:tabs>
          <w:tab w:leader="none" w:pos="315"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Arial" w:cs="Arial" w:eastAsia="Arial" w:hAnsi="Arial"/>
          <w:sz w:val="17"/>
          <w:szCs w:val="17"/>
          <w:color w:val="auto"/>
        </w:rPr>
      </w:pPr>
    </w:p>
    <w:p>
      <w:pPr>
        <w:ind w:left="860" w:right="120" w:hanging="428"/>
        <w:spacing w:after="0" w:line="229" w:lineRule="auto"/>
        <w:tabs>
          <w:tab w:leader="none" w:pos="743"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Arial" w:cs="Arial" w:eastAsia="Arial" w:hAnsi="Arial"/>
          <w:sz w:val="17"/>
          <w:szCs w:val="17"/>
          <w:color w:val="auto"/>
        </w:rPr>
      </w:pPr>
    </w:p>
    <w:p>
      <w:pPr>
        <w:ind w:left="860" w:right="100" w:hanging="428"/>
        <w:spacing w:after="0" w:line="229" w:lineRule="auto"/>
        <w:tabs>
          <w:tab w:leader="none" w:pos="753"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Arial" w:cs="Arial" w:eastAsia="Arial" w:hAnsi="Arial"/>
          <w:sz w:val="17"/>
          <w:szCs w:val="17"/>
          <w:color w:val="auto"/>
        </w:rPr>
      </w:pPr>
    </w:p>
    <w:p>
      <w:pPr>
        <w:ind w:left="860" w:right="120" w:hanging="428"/>
        <w:spacing w:after="0"/>
        <w:tabs>
          <w:tab w:leader="none" w:pos="743" w:val="left"/>
        </w:tabs>
        <w:numPr>
          <w:ilvl w:val="1"/>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Arial" w:cs="Arial" w:eastAsia="Arial" w:hAnsi="Arial"/>
          <w:sz w:val="17"/>
          <w:szCs w:val="17"/>
          <w:color w:val="auto"/>
        </w:rPr>
      </w:pPr>
    </w:p>
    <w:p>
      <w:pPr>
        <w:ind w:left="860" w:right="100" w:hanging="428"/>
        <w:spacing w:after="0" w:line="229" w:lineRule="auto"/>
        <w:tabs>
          <w:tab w:leader="none" w:pos="753" w:val="left"/>
        </w:tabs>
        <w:numPr>
          <w:ilvl w:val="1"/>
          <w:numId w:val="2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Arial" w:cs="Arial" w:eastAsia="Arial" w:hAnsi="Arial"/>
          <w:sz w:val="17"/>
          <w:szCs w:val="17"/>
          <w:color w:val="auto"/>
        </w:rPr>
      </w:pPr>
    </w:p>
    <w:p>
      <w:pPr>
        <w:ind w:left="440" w:right="660" w:hanging="435"/>
        <w:spacing w:after="0" w:line="270" w:lineRule="auto"/>
        <w:tabs>
          <w:tab w:leader="none" w:pos="315"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0" w:lineRule="exact"/>
        <w:rPr>
          <w:rFonts w:ascii="Arial" w:cs="Arial" w:eastAsia="Arial" w:hAnsi="Arial"/>
          <w:sz w:val="16"/>
          <w:szCs w:val="16"/>
          <w:color w:val="auto"/>
        </w:rPr>
      </w:pPr>
    </w:p>
    <w:p>
      <w:pPr>
        <w:ind w:left="860" w:right="100" w:hanging="428"/>
        <w:spacing w:after="0"/>
        <w:tabs>
          <w:tab w:leader="none" w:pos="733" w:val="left"/>
        </w:tabs>
        <w:numPr>
          <w:ilvl w:val="1"/>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Arial" w:cs="Arial" w:eastAsia="Arial" w:hAnsi="Arial"/>
          <w:sz w:val="17"/>
          <w:szCs w:val="17"/>
          <w:color w:val="auto"/>
        </w:rPr>
      </w:pPr>
    </w:p>
    <w:p>
      <w:pPr>
        <w:ind w:left="860" w:right="80" w:hanging="428"/>
        <w:spacing w:after="0"/>
        <w:tabs>
          <w:tab w:leader="none" w:pos="743" w:val="left"/>
        </w:tabs>
        <w:numPr>
          <w:ilvl w:val="1"/>
          <w:numId w:val="2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Date: May 9, 2022</w:t>
      </w:r>
    </w:p>
    <w:p>
      <w:pPr>
        <w:spacing w:after="0" w:line="236" w:lineRule="exact"/>
        <w:rPr>
          <w:sz w:val="20"/>
          <w:szCs w:val="20"/>
          <w:color w:val="auto"/>
        </w:rPr>
      </w:pPr>
    </w:p>
    <w:p>
      <w:pPr>
        <w:jc w:val="center"/>
        <w:ind w:right="6500"/>
        <w:spacing w:after="0"/>
        <w:rPr>
          <w:sz w:val="20"/>
          <w:szCs w:val="20"/>
          <w:color w:val="auto"/>
        </w:rPr>
      </w:pPr>
      <w:r>
        <w:rPr>
          <w:rFonts w:ascii="Arial" w:cs="Arial" w:eastAsia="Arial" w:hAnsi="Arial"/>
          <w:sz w:val="17"/>
          <w:szCs w:val="17"/>
          <w:color w:val="auto"/>
        </w:rPr>
        <w:t>/s/ L. Lynn Smull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301244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3012440" cy="8255"/>
                    </a:xfrm>
                    <a:prstGeom prst="rect">
                      <a:avLst/>
                    </a:prstGeom>
                    <a:noFill/>
                  </pic:spPr>
                </pic:pic>
              </a:graphicData>
            </a:graphic>
          </wp:anchor>
        </w:drawing>
      </w:r>
    </w:p>
    <w:p>
      <w:pPr>
        <w:spacing w:after="0" w:line="36" w:lineRule="exact"/>
        <w:rPr>
          <w:sz w:val="20"/>
          <w:szCs w:val="20"/>
          <w:color w:val="auto"/>
        </w:rPr>
      </w:pPr>
    </w:p>
    <w:p>
      <w:pPr>
        <w:jc w:val="center"/>
        <w:ind w:right="6500"/>
        <w:spacing w:after="0"/>
        <w:rPr>
          <w:sz w:val="20"/>
          <w:szCs w:val="20"/>
          <w:color w:val="auto"/>
        </w:rPr>
      </w:pPr>
      <w:r>
        <w:rPr>
          <w:rFonts w:ascii="Arial" w:cs="Arial" w:eastAsia="Arial" w:hAnsi="Arial"/>
          <w:sz w:val="14"/>
          <w:szCs w:val="14"/>
          <w:b w:val="1"/>
          <w:bCs w:val="1"/>
          <w:color w:val="auto"/>
        </w:rPr>
        <w:t>L. Lynn Smull</w:t>
      </w:r>
    </w:p>
    <w:p>
      <w:pPr>
        <w:spacing w:after="0" w:line="22" w:lineRule="exact"/>
        <w:rPr>
          <w:sz w:val="20"/>
          <w:szCs w:val="20"/>
          <w:color w:val="auto"/>
        </w:rPr>
      </w:pPr>
    </w:p>
    <w:p>
      <w:pPr>
        <w:jc w:val="center"/>
        <w:ind w:right="6500"/>
        <w:spacing w:after="0"/>
        <w:rPr>
          <w:sz w:val="20"/>
          <w:szCs w:val="20"/>
          <w:color w:val="auto"/>
        </w:rPr>
      </w:pPr>
      <w:r>
        <w:rPr>
          <w:rFonts w:ascii="Arial" w:cs="Arial" w:eastAsia="Arial" w:hAnsi="Arial"/>
          <w:sz w:val="14"/>
          <w:szCs w:val="14"/>
          <w:b w:val="1"/>
          <w:bCs w:val="1"/>
          <w:color w:val="auto"/>
        </w:rPr>
        <w:t>Chief Financial Officer</w:t>
      </w:r>
    </w:p>
    <w:p>
      <w:pPr>
        <w:spacing w:after="0" w:line="22" w:lineRule="exact"/>
        <w:rPr>
          <w:sz w:val="20"/>
          <w:szCs w:val="20"/>
          <w:color w:val="auto"/>
        </w:rPr>
      </w:pPr>
    </w:p>
    <w:p>
      <w:pPr>
        <w:jc w:val="center"/>
        <w:ind w:right="6500"/>
        <w:spacing w:after="0"/>
        <w:rPr>
          <w:sz w:val="20"/>
          <w:szCs w:val="20"/>
          <w:color w:val="auto"/>
        </w:rPr>
      </w:pPr>
      <w:r>
        <w:rPr>
          <w:rFonts w:ascii="Arial" w:cs="Arial" w:eastAsia="Arial" w:hAnsi="Arial"/>
          <w:sz w:val="14"/>
          <w:szCs w:val="14"/>
          <w:b w:val="1"/>
          <w:bCs w:val="1"/>
          <w:color w:val="auto"/>
        </w:rPr>
        <w:t>(Principal Accounting Officer)</w:t>
      </w:r>
    </w:p>
    <w:p>
      <w:pPr>
        <w:sectPr>
          <w:pgSz w:w="11900" w:h="16838" w:orient="portrait"/>
          <w:cols w:equalWidth="0" w:num="1">
            <w:col w:w="11240"/>
          </w:cols>
          <w:pgMar w:left="320" w:top="735"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7"/>
          <w:szCs w:val="17"/>
          <w:b w:val="1"/>
          <w:bCs w:val="1"/>
          <w:color w:val="auto"/>
        </w:rPr>
        <w:t>Exhibit 32.1</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 PURSUANT TO SECTION 906 OF THE SARBANES-OXLEY ACT OF 2002</w:t>
      </w: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70"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I, Patrick R. Gruber, Chief Executive Officer of Gevo, Inc. (the "Company"), and I, L. Lynn Smull, Chief Financial Officer of the Company, certify, pursuant to 18 U.S.C. Section 1350, as adopted pursuant to Section 906 of the Sarbanes-Oxley Act of 2002, that:</w:t>
      </w:r>
    </w:p>
    <w:p>
      <w:pPr>
        <w:spacing w:after="0" w:line="53" w:lineRule="exact"/>
        <w:rPr>
          <w:sz w:val="20"/>
          <w:szCs w:val="20"/>
          <w:color w:val="auto"/>
        </w:rPr>
      </w:pPr>
    </w:p>
    <w:p>
      <w:pPr>
        <w:ind w:right="760" w:firstLine="5"/>
        <w:spacing w:after="0"/>
        <w:tabs>
          <w:tab w:leader="none" w:pos="247"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quarter ended March 31, 2022 (the "Report"), fully complies with the requirements of Section 13(a) or 15(d) of the Securities Exchange Act of 1934, as amended; and</w:t>
      </w:r>
    </w:p>
    <w:p>
      <w:pPr>
        <w:spacing w:after="0" w:line="53" w:lineRule="exact"/>
        <w:rPr>
          <w:rFonts w:ascii="Arial" w:cs="Arial" w:eastAsia="Arial" w:hAnsi="Arial"/>
          <w:sz w:val="17"/>
          <w:szCs w:val="17"/>
          <w:color w:val="auto"/>
        </w:rPr>
      </w:pPr>
    </w:p>
    <w:p>
      <w:pPr>
        <w:ind w:right="420" w:firstLine="5"/>
        <w:spacing w:after="0"/>
        <w:tabs>
          <w:tab w:leader="none" w:pos="247"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for the period covered by the Report.</w:t>
      </w: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 May 9, 2022</w:t>
      </w:r>
    </w:p>
    <w:p>
      <w:pPr>
        <w:spacing w:after="0" w:line="200" w:lineRule="exact"/>
        <w:rPr>
          <w:sz w:val="20"/>
          <w:szCs w:val="20"/>
          <w:color w:val="auto"/>
        </w:rPr>
      </w:pPr>
    </w:p>
    <w:p>
      <w:pPr>
        <w:spacing w:after="0" w:line="297" w:lineRule="exact"/>
        <w:rPr>
          <w:sz w:val="20"/>
          <w:szCs w:val="20"/>
          <w:color w:val="auto"/>
        </w:rPr>
      </w:pPr>
    </w:p>
    <w:p>
      <w:pPr>
        <w:jc w:val="center"/>
        <w:ind w:right="6500"/>
        <w:spacing w:after="0"/>
        <w:rPr>
          <w:sz w:val="20"/>
          <w:szCs w:val="20"/>
          <w:color w:val="auto"/>
        </w:rPr>
      </w:pPr>
      <w:r>
        <w:rPr>
          <w:rFonts w:ascii="Arial" w:cs="Arial" w:eastAsia="Arial" w:hAnsi="Arial"/>
          <w:sz w:val="17"/>
          <w:szCs w:val="17"/>
          <w:color w:val="auto"/>
        </w:rPr>
        <w:t>/s/ Patrick R. Gruber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301244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3012440" cy="8255"/>
                    </a:xfrm>
                    <a:prstGeom prst="rect">
                      <a:avLst/>
                    </a:prstGeom>
                    <a:noFill/>
                  </pic:spPr>
                </pic:pic>
              </a:graphicData>
            </a:graphic>
          </wp:anchor>
        </w:drawing>
      </w:r>
    </w:p>
    <w:p>
      <w:pPr>
        <w:jc w:val="center"/>
        <w:ind w:right="6500"/>
        <w:spacing w:after="0"/>
        <w:rPr>
          <w:sz w:val="20"/>
          <w:szCs w:val="20"/>
          <w:color w:val="auto"/>
        </w:rPr>
      </w:pPr>
      <w:r>
        <w:rPr>
          <w:rFonts w:ascii="Arial" w:cs="Arial" w:eastAsia="Arial" w:hAnsi="Arial"/>
          <w:sz w:val="14"/>
          <w:szCs w:val="14"/>
          <w:b w:val="1"/>
          <w:bCs w:val="1"/>
          <w:color w:val="auto"/>
        </w:rPr>
        <w:t>Patrick R. Gruber</w:t>
      </w:r>
    </w:p>
    <w:p>
      <w:pPr>
        <w:jc w:val="center"/>
        <w:ind w:right="6500"/>
        <w:spacing w:after="0" w:line="194" w:lineRule="auto"/>
        <w:rPr>
          <w:sz w:val="20"/>
          <w:szCs w:val="20"/>
          <w:color w:val="auto"/>
        </w:rPr>
      </w:pPr>
      <w:r>
        <w:rPr>
          <w:rFonts w:ascii="Arial" w:cs="Arial" w:eastAsia="Arial" w:hAnsi="Arial"/>
          <w:sz w:val="14"/>
          <w:szCs w:val="14"/>
          <w:b w:val="1"/>
          <w:bCs w:val="1"/>
          <w:color w:val="auto"/>
        </w:rPr>
        <w:t>Chief Executive Officer</w:t>
      </w:r>
    </w:p>
    <w:p>
      <w:pPr>
        <w:spacing w:after="0" w:line="1" w:lineRule="exact"/>
        <w:rPr>
          <w:sz w:val="20"/>
          <w:szCs w:val="20"/>
          <w:color w:val="auto"/>
        </w:rPr>
      </w:pPr>
    </w:p>
    <w:p>
      <w:pPr>
        <w:jc w:val="center"/>
        <w:ind w:right="6500"/>
        <w:spacing w:after="0"/>
        <w:rPr>
          <w:sz w:val="20"/>
          <w:szCs w:val="20"/>
          <w:color w:val="auto"/>
        </w:rPr>
      </w:pPr>
      <w:r>
        <w:rPr>
          <w:rFonts w:ascii="Arial" w:cs="Arial" w:eastAsia="Arial" w:hAnsi="Arial"/>
          <w:sz w:val="14"/>
          <w:szCs w:val="14"/>
          <w:b w:val="1"/>
          <w:b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6500"/>
        <w:spacing w:after="0"/>
        <w:rPr>
          <w:sz w:val="20"/>
          <w:szCs w:val="20"/>
          <w:color w:val="auto"/>
        </w:rPr>
      </w:pPr>
      <w:r>
        <w:rPr>
          <w:rFonts w:ascii="Arial" w:cs="Arial" w:eastAsia="Arial" w:hAnsi="Arial"/>
          <w:sz w:val="17"/>
          <w:szCs w:val="17"/>
          <w:color w:val="auto"/>
        </w:rPr>
        <w:t>/s/ L. Lynn Smull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301244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3012440" cy="8255"/>
                    </a:xfrm>
                    <a:prstGeom prst="rect">
                      <a:avLst/>
                    </a:prstGeom>
                    <a:noFill/>
                  </pic:spPr>
                </pic:pic>
              </a:graphicData>
            </a:graphic>
          </wp:anchor>
        </w:drawing>
      </w:r>
    </w:p>
    <w:p>
      <w:pPr>
        <w:spacing w:after="0" w:line="36" w:lineRule="exact"/>
        <w:rPr>
          <w:sz w:val="20"/>
          <w:szCs w:val="20"/>
          <w:color w:val="auto"/>
        </w:rPr>
      </w:pPr>
    </w:p>
    <w:p>
      <w:pPr>
        <w:jc w:val="center"/>
        <w:ind w:right="6500"/>
        <w:spacing w:after="0"/>
        <w:rPr>
          <w:sz w:val="20"/>
          <w:szCs w:val="20"/>
          <w:color w:val="auto"/>
        </w:rPr>
      </w:pPr>
      <w:r>
        <w:rPr>
          <w:rFonts w:ascii="Arial" w:cs="Arial" w:eastAsia="Arial" w:hAnsi="Arial"/>
          <w:sz w:val="14"/>
          <w:szCs w:val="14"/>
          <w:b w:val="1"/>
          <w:bCs w:val="1"/>
          <w:color w:val="auto"/>
        </w:rPr>
        <w:t>L. Lynn Smull</w:t>
      </w:r>
    </w:p>
    <w:p>
      <w:pPr>
        <w:spacing w:after="0" w:line="22" w:lineRule="exact"/>
        <w:rPr>
          <w:sz w:val="20"/>
          <w:szCs w:val="20"/>
          <w:color w:val="auto"/>
        </w:rPr>
      </w:pPr>
    </w:p>
    <w:p>
      <w:pPr>
        <w:jc w:val="center"/>
        <w:ind w:right="6500"/>
        <w:spacing w:after="0"/>
        <w:rPr>
          <w:sz w:val="20"/>
          <w:szCs w:val="20"/>
          <w:color w:val="auto"/>
        </w:rPr>
      </w:pPr>
      <w:r>
        <w:rPr>
          <w:rFonts w:ascii="Arial" w:cs="Arial" w:eastAsia="Arial" w:hAnsi="Arial"/>
          <w:sz w:val="14"/>
          <w:szCs w:val="14"/>
          <w:b w:val="1"/>
          <w:bCs w:val="1"/>
          <w:color w:val="auto"/>
        </w:rPr>
        <w:t>Chief Financial Officer</w:t>
      </w:r>
    </w:p>
    <w:p>
      <w:pPr>
        <w:spacing w:after="0" w:line="22" w:lineRule="exact"/>
        <w:rPr>
          <w:sz w:val="20"/>
          <w:szCs w:val="20"/>
          <w:color w:val="auto"/>
        </w:rPr>
      </w:pPr>
    </w:p>
    <w:p>
      <w:pPr>
        <w:jc w:val="center"/>
        <w:ind w:right="6500"/>
        <w:spacing w:after="0"/>
        <w:rPr>
          <w:sz w:val="20"/>
          <w:szCs w:val="20"/>
          <w:color w:val="auto"/>
        </w:rPr>
      </w:pPr>
      <w:r>
        <w:rPr>
          <w:rFonts w:ascii="Arial" w:cs="Arial" w:eastAsia="Arial" w:hAnsi="Arial"/>
          <w:sz w:val="14"/>
          <w:szCs w:val="14"/>
          <w:b w:val="1"/>
          <w:bCs w:val="1"/>
          <w:color w:val="auto"/>
        </w:rPr>
        <w:t>(Principal Accounting Officer)</w:t>
      </w:r>
    </w:p>
    <w:sectPr>
      <w:pgSz w:w="11900" w:h="16838" w:orient="portrait"/>
      <w:cols w:equalWidth="0" w:num="1">
        <w:col w:w="11240"/>
      </w:cols>
      <w:pgMar w:left="320" w:top="7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2"/>
    </w:lvl>
  </w:abstractNum>
  <w:abstractNum w:abstractNumId="4">
    <w:nsid w:val="7FDCC233"/>
    <w:multiLevelType w:val="hybridMultilevel"/>
    <w:lvl w:ilvl="0">
      <w:lvlJc w:val="left"/>
      <w:lvlText w:val="%1."/>
      <w:numFmt w:val="decimal"/>
      <w:start w:val="3"/>
    </w:lvl>
  </w:abstractNum>
  <w:abstractNum w:abstractNumId="5">
    <w:nsid w:val="1BEFD79F"/>
    <w:multiLevelType w:val="hybridMultilevel"/>
    <w:lvl w:ilvl="0">
      <w:lvlJc w:val="left"/>
      <w:lvlText w:val="%1."/>
      <w:numFmt w:val="decimal"/>
      <w:start w:val="5"/>
    </w:lvl>
  </w:abstractNum>
  <w:abstractNum w:abstractNumId="6">
    <w:nsid w:val="41A7C4C9"/>
    <w:multiLevelType w:val="hybridMultilevel"/>
    <w:lvl w:ilvl="0">
      <w:lvlJc w:val="left"/>
      <w:lvlText w:val="%1."/>
      <w:numFmt w:val="decimal"/>
      <w:start w:val="6"/>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7"/>
    </w:lvl>
  </w:abstractNum>
  <w:abstractNum w:abstractNumId="10">
    <w:nsid w:val="519B500D"/>
    <w:multiLevelType w:val="hybridMultilevel"/>
    <w:lvl w:ilvl="0">
      <w:lvlJc w:val="left"/>
      <w:lvlText w:val="%1."/>
      <w:numFmt w:val="decimal"/>
      <w:start w:val="8"/>
    </w:lvl>
  </w:abstractNum>
  <w:abstractNum w:abstractNumId="11">
    <w:nsid w:val="431BD7B7"/>
    <w:multiLevelType w:val="hybridMultilevel"/>
    <w:lvl w:ilvl="0">
      <w:lvlJc w:val="left"/>
      <w:lvlText w:val="%1."/>
      <w:numFmt w:val="decimal"/>
      <w:start w:val="9"/>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1)"/>
      <w:numFmt w:val="lowerRoman"/>
      <w:start w:val="2"/>
    </w:lvl>
  </w:abstractNum>
  <w:abstractNum w:abstractNumId="17">
    <w:nsid w:val="628C895D"/>
    <w:multiLevelType w:val="hybridMultilevel"/>
    <w:lvl w:ilvl="0">
      <w:lvlJc w:val="left"/>
      <w:lvlText w:val="(%1)"/>
      <w:numFmt w:val="lowerRoman"/>
      <w:start w:val="6"/>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60" Type="http://schemas.openxmlformats.org/officeDocument/2006/relationships/hyperlink" Target="http://www.sec.gov/Archives/edgar/data/1392380/000119312511080096/dex31.htm" TargetMode="External"/><Relationship Id="rId61" Type="http://schemas.openxmlformats.org/officeDocument/2006/relationships/hyperlink" Target="https://www.sec.gov/ix?doc=/Archives/edgar/data/0001392380/000143774921027382/gevo20211122_8k.htm" TargetMode="External"/><Relationship Id="rId62" Type="http://schemas.openxmlformats.org/officeDocument/2006/relationships/hyperlink" Target="http://www.sec.gov/Archives/edgar/data/1392380/000119312511009935/dex41.htm" TargetMode="External"/><Relationship Id="rId63" Type="http://schemas.openxmlformats.org/officeDocument/2006/relationships/hyperlink" Target="http://www.sec.gov/Archives/edgar/data/1392380/000143774920014844/ex_193415.htm" TargetMode="External"/><Relationship Id="rId64" Type="http://schemas.openxmlformats.org/officeDocument/2006/relationships/hyperlink" Target="https://www.sec.gov/ix?doc=/Archives/edgar/data/0001392380/000143774922006828/gevo20220321_8k.htm" TargetMode="External"/><Relationship Id="rId65" Type="http://schemas.openxmlformats.org/officeDocument/2006/relationships/hyperlink" Target="https://www.sec.gov/ix?doc=/Archives/edgar/data/0001392380/000143774922006878/gevo20220316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2022-05-09T15:42:40Z</dcterms:created>
  <dcterms:modified xsi:type="dcterms:W3CDTF">2022-05-09T15:42:40Z</dcterms:modified>
</cp:coreProperties>
</file>