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880" w:right="1600" w:hanging="3872"/>
        <w:spacing w:after="0" w:line="500"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2880" w:right="1160" w:hanging="2872"/>
        <w:spacing w:after="0" w:line="493"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GEVO,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87-0747704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(State or other jurisdiction of</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incorporation or organization)</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630"/>
        </w:trPr>
        <w:tc>
          <w:tcPr>
            <w:tcW w:w="300" w:type="dxa"/>
            <w:vAlign w:val="bottom"/>
          </w:tcPr>
          <w:p>
            <w:pPr>
              <w:spacing w:after="0"/>
              <w:rPr>
                <w:sz w:val="24"/>
                <w:szCs w:val="24"/>
                <w:color w:val="auto"/>
              </w:rPr>
            </w:pPr>
          </w:p>
        </w:tc>
        <w:tc>
          <w:tcPr>
            <w:tcW w:w="4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345 Inverness Drive South, Building C, Suite 310</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0"/>
              </w:rPr>
              <w:t>Englewood, CO</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80112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(303) 858-8358</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89"/>
              </w:rPr>
              <w:t>(Registrant's telephone number,</w:t>
            </w:r>
          </w:p>
        </w:tc>
        <w:tc>
          <w:tcPr>
            <w:tcW w:w="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including area code)</w:t>
            </w:r>
          </w:p>
        </w:tc>
        <w:tc>
          <w:tcPr>
            <w:tcW w:w="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300" w:type="dxa"/>
            <w:vAlign w:val="bottom"/>
          </w:tcPr>
          <w:p>
            <w:pPr>
              <w:spacing w:after="0"/>
              <w:rPr>
                <w:sz w:val="24"/>
                <w:szCs w:val="24"/>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6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89"/>
              </w:rPr>
              <w:t>Title of Each Class</w:t>
            </w:r>
          </w:p>
        </w:tc>
        <w:tc>
          <w:tcPr>
            <w:tcW w:w="400" w:type="dxa"/>
            <w:vAlign w:val="bottom"/>
          </w:tcPr>
          <w:p>
            <w:pPr>
              <w:spacing w:after="0"/>
              <w:rPr>
                <w:sz w:val="24"/>
                <w:szCs w:val="24"/>
                <w:color w:val="auto"/>
              </w:rPr>
            </w:pPr>
          </w:p>
        </w:tc>
        <w:tc>
          <w:tcPr>
            <w:tcW w:w="19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Trading Symbol</w:t>
            </w:r>
          </w:p>
        </w:tc>
        <w:tc>
          <w:tcPr>
            <w:tcW w:w="4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GEVO</w:t>
            </w: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Nasdaq Capital Market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40" w:right="4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July 30, 2021, 197,214,586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11"/>
          </w:tcPr>
          <w:p>
            <w:pPr>
              <w:jc w:val="center"/>
              <w:ind w:right="3640"/>
              <w:spacing w:after="0"/>
              <w:rPr>
                <w:sz w:val="20"/>
                <w:szCs w:val="20"/>
                <w:color w:val="auto"/>
              </w:rPr>
            </w:pPr>
            <w:r>
              <w:rPr>
                <w:rFonts w:ascii="Arial" w:cs="Arial" w:eastAsia="Arial" w:hAnsi="Arial"/>
                <w:sz w:val="18"/>
                <w:szCs w:val="18"/>
                <w:b w:val="1"/>
                <w:bCs w:val="1"/>
                <w:color w:val="auto"/>
              </w:rPr>
              <w:t>GEVO, INC.</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1"/>
          </w:tcPr>
          <w:p>
            <w:pPr>
              <w:jc w:val="center"/>
              <w:ind w:right="3620"/>
              <w:spacing w:after="0"/>
              <w:rPr>
                <w:sz w:val="20"/>
                <w:szCs w:val="20"/>
                <w:color w:val="auto"/>
              </w:rPr>
            </w:pPr>
            <w:r>
              <w:rPr>
                <w:rFonts w:ascii="Arial" w:cs="Arial" w:eastAsia="Arial" w:hAnsi="Arial"/>
                <w:sz w:val="18"/>
                <w:szCs w:val="18"/>
                <w:b w:val="1"/>
                <w:bCs w:val="1"/>
                <w:color w:val="auto"/>
                <w:w w:val="99"/>
              </w:rPr>
              <w:t>FORM 10-Q</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40" w:type="dxa"/>
            <w:vAlign w:val="bottom"/>
            <w:gridSpan w:val="14"/>
          </w:tcPr>
          <w:p>
            <w:pPr>
              <w:jc w:val="center"/>
              <w:ind w:right="2320"/>
              <w:spacing w:after="0"/>
              <w:rPr>
                <w:sz w:val="20"/>
                <w:szCs w:val="20"/>
                <w:color w:val="auto"/>
              </w:rPr>
            </w:pPr>
            <w:r>
              <w:rPr>
                <w:rFonts w:ascii="Arial" w:cs="Arial" w:eastAsia="Arial" w:hAnsi="Arial"/>
                <w:sz w:val="18"/>
                <w:szCs w:val="18"/>
                <w:b w:val="1"/>
                <w:bCs w:val="1"/>
                <w:color w:val="auto"/>
                <w:w w:val="98"/>
              </w:rPr>
              <w:t>FOR THE QUARTERLY PERIOD ENDED JUNE 30,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11"/>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gridSpan w:val="5"/>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3480" w:type="dxa"/>
            <w:vAlign w:val="bottom"/>
            <w:gridSpan w:val="7"/>
            <w:vMerge w:val="restart"/>
          </w:tcPr>
          <w:p>
            <w:pPr>
              <w:spacing w:after="0"/>
              <w:rPr>
                <w:sz w:val="24"/>
                <w:szCs w:val="24"/>
                <w:color w:val="auto"/>
              </w:rPr>
            </w:pPr>
          </w:p>
        </w:tc>
        <w:tc>
          <w:tcPr>
            <w:tcW w:w="580" w:type="dxa"/>
            <w:vAlign w:val="bottom"/>
            <w:gridSpan w:val="5"/>
          </w:tcPr>
          <w:p>
            <w:pPr>
              <w:ind w:left="1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20" w:type="dxa"/>
            <w:vAlign w:val="bottom"/>
            <w:tcBorders>
              <w:bottom w:val="single" w:sz="8" w:color="0000EE"/>
            </w:tcBorders>
            <w:gridSpan w:val="5"/>
            <w:vMerge w:val="continue"/>
          </w:tcPr>
          <w:p>
            <w:pPr>
              <w:spacing w:after="0"/>
              <w:rPr>
                <w:sz w:val="15"/>
                <w:szCs w:val="15"/>
                <w:color w:val="auto"/>
              </w:rPr>
            </w:pPr>
          </w:p>
        </w:tc>
        <w:tc>
          <w:tcPr>
            <w:tcW w:w="3480" w:type="dxa"/>
            <w:vAlign w:val="bottom"/>
            <w:gridSpan w:val="7"/>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00" w:type="dxa"/>
            <w:vAlign w:val="bottom"/>
            <w:gridSpan w:val="4"/>
          </w:tcPr>
          <w:p>
            <w:pPr>
              <w:jc w:val="center"/>
              <w:ind w:left="11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2021 (unaudited) and December 31, 2020</w:t>
              </w:r>
            </w:hyperlink>
          </w:p>
        </w:tc>
        <w:tc>
          <w:tcPr>
            <w:tcW w:w="400" w:type="dxa"/>
            <w:vAlign w:val="bottom"/>
            <w:gridSpan w:val="4"/>
          </w:tcPr>
          <w:p>
            <w:pPr>
              <w:jc w:val="center"/>
              <w:ind w:left="1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June 30, 2021 and 2020 (unaudited)</w:t>
              </w:r>
            </w:hyperlink>
          </w:p>
        </w:tc>
        <w:tc>
          <w:tcPr>
            <w:tcW w:w="400" w:type="dxa"/>
            <w:vAlign w:val="bottom"/>
            <w:gridSpan w:val="4"/>
          </w:tcPr>
          <w:p>
            <w:pPr>
              <w:jc w:val="center"/>
              <w:ind w:left="11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420" w:type="dxa"/>
            <w:vAlign w:val="bottom"/>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(Loss) for the three and six months ended June 30, 2021 and 2020 (unaudited)</w:t>
              </w:r>
            </w:hyperlink>
          </w:p>
        </w:tc>
        <w:tc>
          <w:tcPr>
            <w:tcW w:w="100" w:type="dxa"/>
            <w:vAlign w:val="bottom"/>
          </w:tcPr>
          <w:p>
            <w:pPr>
              <w:spacing w:after="0"/>
              <w:rPr>
                <w:sz w:val="17"/>
                <w:szCs w:val="17"/>
                <w:color w:val="auto"/>
              </w:rPr>
            </w:pPr>
          </w:p>
        </w:tc>
        <w:tc>
          <w:tcPr>
            <w:tcW w:w="400" w:type="dxa"/>
            <w:vAlign w:val="bottom"/>
            <w:gridSpan w:val="4"/>
          </w:tcPr>
          <w:p>
            <w:pPr>
              <w:jc w:val="center"/>
              <w:ind w:left="11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420" w:type="dxa"/>
            <w:vAlign w:val="bottom"/>
            <w:gridSpan w:val="19"/>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Stockholders' Equity for the three and six months ended June 30, 2021 and 2020 (unaudited)</w:t>
              </w:r>
            </w:hyperlink>
          </w:p>
        </w:tc>
        <w:tc>
          <w:tcPr>
            <w:tcW w:w="100" w:type="dxa"/>
            <w:vAlign w:val="bottom"/>
          </w:tcPr>
          <w:p>
            <w:pPr>
              <w:spacing w:after="0"/>
              <w:rPr>
                <w:sz w:val="17"/>
                <w:szCs w:val="17"/>
                <w:color w:val="auto"/>
              </w:rPr>
            </w:pPr>
          </w:p>
        </w:tc>
        <w:tc>
          <w:tcPr>
            <w:tcW w:w="400" w:type="dxa"/>
            <w:vAlign w:val="bottom"/>
            <w:gridSpan w:val="4"/>
          </w:tcPr>
          <w:p>
            <w:pPr>
              <w:jc w:val="center"/>
              <w:ind w:left="11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8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six months ended June 30, 2021 and 2020 (unaudited)</w:t>
              </w:r>
            </w:hyperlink>
          </w:p>
        </w:tc>
        <w:tc>
          <w:tcPr>
            <w:tcW w:w="840" w:type="dxa"/>
            <w:vAlign w:val="bottom"/>
            <w:gridSpan w:val="2"/>
          </w:tcPr>
          <w:p>
            <w:pPr>
              <w:spacing w:after="0"/>
              <w:rPr>
                <w:sz w:val="17"/>
                <w:szCs w:val="17"/>
                <w:color w:val="auto"/>
              </w:rPr>
            </w:pPr>
          </w:p>
        </w:tc>
        <w:tc>
          <w:tcPr>
            <w:tcW w:w="400" w:type="dxa"/>
            <w:vAlign w:val="bottom"/>
            <w:gridSpan w:val="4"/>
          </w:tcPr>
          <w:p>
            <w:pPr>
              <w:jc w:val="center"/>
              <w:ind w:left="11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320" w:type="dxa"/>
            <w:vAlign w:val="bottom"/>
            <w:gridSpan w:val="1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2200" w:type="dxa"/>
            <w:vAlign w:val="bottom"/>
            <w:gridSpan w:val="4"/>
          </w:tcPr>
          <w:p>
            <w:pPr>
              <w:spacing w:after="0"/>
              <w:rPr>
                <w:sz w:val="17"/>
                <w:szCs w:val="17"/>
                <w:color w:val="auto"/>
              </w:rPr>
            </w:pPr>
          </w:p>
        </w:tc>
        <w:tc>
          <w:tcPr>
            <w:tcW w:w="400" w:type="dxa"/>
            <w:vAlign w:val="bottom"/>
            <w:gridSpan w:val="4"/>
          </w:tcPr>
          <w:p>
            <w:pPr>
              <w:jc w:val="center"/>
              <w:ind w:left="110"/>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580" w:type="dxa"/>
            <w:vAlign w:val="bottom"/>
            <w:gridSpan w:val="5"/>
          </w:tcPr>
          <w:p>
            <w:pPr>
              <w:jc w:val="cente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17"/>
                <w:szCs w:val="17"/>
                <w:color w:val="auto"/>
              </w:rPr>
            </w:pPr>
          </w:p>
        </w:tc>
        <w:tc>
          <w:tcPr>
            <w:tcW w:w="3060" w:type="dxa"/>
            <w:vAlign w:val="bottom"/>
            <w:gridSpan w:val="5"/>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40" w:type="dxa"/>
            <w:vAlign w:val="bottom"/>
            <w:tcBorders>
              <w:left w:val="single" w:sz="8" w:color="0000EE"/>
            </w:tcBorders>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40" w:type="dxa"/>
            <w:vAlign w:val="bottom"/>
            <w:gridSpan w:val="11"/>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5180" w:type="dxa"/>
            <w:vAlign w:val="bottom"/>
            <w:gridSpan w:val="9"/>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41</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1"/>
          </w:tcPr>
          <w:p>
            <w:pPr>
              <w:jc w:val="center"/>
              <w:ind w:right="364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2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Legal Proceedings</w:t>
              </w:r>
            </w:hyperlink>
          </w:p>
        </w:tc>
        <w:tc>
          <w:tcPr>
            <w:tcW w:w="1760" w:type="dxa"/>
            <w:vAlign w:val="bottom"/>
            <w:gridSpan w:val="5"/>
          </w:tcPr>
          <w:p>
            <w:pPr>
              <w:spacing w:after="0"/>
              <w:rPr>
                <w:sz w:val="24"/>
                <w:szCs w:val="24"/>
                <w:color w:val="auto"/>
              </w:rPr>
            </w:pPr>
          </w:p>
        </w:tc>
        <w:tc>
          <w:tcPr>
            <w:tcW w:w="2800" w:type="dxa"/>
            <w:vAlign w:val="bottom"/>
            <w:tcBorders>
              <w:top w:val="single" w:sz="8" w:color="0000EE"/>
            </w:tcBorders>
            <w:gridSpan w:val="3"/>
          </w:tcPr>
          <w:p>
            <w:pPr>
              <w:spacing w:after="0"/>
              <w:rPr>
                <w:sz w:val="24"/>
                <w:szCs w:val="24"/>
                <w:color w:val="auto"/>
              </w:rPr>
            </w:pPr>
          </w:p>
        </w:tc>
        <w:tc>
          <w:tcPr>
            <w:tcW w:w="3640" w:type="dxa"/>
            <w:vAlign w:val="bottom"/>
            <w:gridSpan w:val="8"/>
          </w:tcPr>
          <w:p>
            <w:pPr>
              <w:spacing w:after="0"/>
              <w:rPr>
                <w:sz w:val="24"/>
                <w:szCs w:val="24"/>
                <w:color w:val="auto"/>
              </w:rPr>
            </w:pPr>
          </w:p>
        </w:tc>
        <w:tc>
          <w:tcPr>
            <w:tcW w:w="580" w:type="dxa"/>
            <w:vAlign w:val="bottom"/>
            <w:gridSpan w:val="5"/>
          </w:tcPr>
          <w:p>
            <w:pPr>
              <w:jc w:val="cente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8200" w:type="dxa"/>
            <w:vAlign w:val="bottom"/>
            <w:gridSpan w:val="16"/>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52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5180" w:type="dxa"/>
            <w:vAlign w:val="bottom"/>
            <w:gridSpan w:val="9"/>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2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Mine Safety Disclosures</w:t>
              </w:r>
            </w:hyperlink>
          </w:p>
        </w:tc>
        <w:tc>
          <w:tcPr>
            <w:tcW w:w="540" w:type="dxa"/>
            <w:vAlign w:val="bottom"/>
          </w:tcPr>
          <w:p>
            <w:pPr>
              <w:spacing w:after="0"/>
              <w:rPr>
                <w:sz w:val="17"/>
                <w:szCs w:val="17"/>
                <w:color w:val="auto"/>
              </w:rPr>
            </w:pPr>
          </w:p>
        </w:tc>
        <w:tc>
          <w:tcPr>
            <w:tcW w:w="7200" w:type="dxa"/>
            <w:vAlign w:val="bottom"/>
            <w:gridSpan w:val="13"/>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7740" w:type="dxa"/>
            <w:vAlign w:val="bottom"/>
            <w:gridSpan w:val="14"/>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0" w:type="dxa"/>
            <w:vAlign w:val="bottom"/>
            <w:gridSpan w:val="1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8200" w:type="dxa"/>
            <w:vAlign w:val="bottom"/>
            <w:gridSpan w:val="16"/>
          </w:tcPr>
          <w:p>
            <w:pPr>
              <w:spacing w:after="0"/>
              <w:rPr>
                <w:sz w:val="17"/>
                <w:szCs w:val="17"/>
                <w:color w:val="auto"/>
              </w:rPr>
            </w:pPr>
          </w:p>
        </w:tc>
        <w:tc>
          <w:tcPr>
            <w:tcW w:w="580" w:type="dxa"/>
            <w:vAlign w:val="bottom"/>
            <w:gridSpan w:val="5"/>
          </w:tcPr>
          <w:p>
            <w:pPr>
              <w:jc w:val="cente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60" w:type="dxa"/>
            <w:vAlign w:val="bottom"/>
            <w:gridSpan w:val="1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52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580" w:type="dxa"/>
            <w:vAlign w:val="bottom"/>
            <w:gridSpan w:val="5"/>
          </w:tcPr>
          <w:p>
            <w:pPr>
              <w:jc w:val="cente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45</w:t>
              </w:r>
            </w:hyperlink>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20" w:type="dxa"/>
            <w:vAlign w:val="bottom"/>
            <w:gridSpan w:val="10"/>
          </w:tcPr>
          <w:p>
            <w:pPr>
              <w:jc w:val="center"/>
              <w:ind w:left="2230"/>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June 30, 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Marketable securities (current)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 (current)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83,270</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66,408</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175,169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right-of-use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right-of-use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685,674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152,099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16,393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Finance lease liabilities (current)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Loans payable - other (current)</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21,455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4,932</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2021 Bonds payable (long-term)</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payable - other (long-term)</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 (long-term)</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Common stock, $0.01 par value per share; 250,000,000 authorized; 197,964,476 and 128,138,311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issued and outstanding at June 30, 2021 and December 31, 2020,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643,269</w:t>
            </w:r>
          </w:p>
        </w:tc>
      </w:tr>
      <w:tr>
        <w:trPr>
          <w:trHeight w:val="229"/>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(526,482)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(498,172)</w:t>
            </w:r>
          </w:p>
        </w:tc>
      </w:tr>
      <w:tr>
        <w:trPr>
          <w:trHeight w:val="209"/>
        </w:trPr>
        <w:tc>
          <w:tcPr>
            <w:tcW w:w="8000" w:type="dxa"/>
            <w:vAlign w:val="bottom"/>
            <w:tcBorders>
              <w:top w:val="single" w:sz="8" w:color="CCEEFF"/>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576,123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146,379</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685,674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152,099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5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3,783</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Grant and other revenue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w:t>
            </w: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10,783</w:t>
            </w:r>
          </w:p>
        </w:tc>
      </w:tr>
      <w:tr>
        <w:trPr>
          <w:trHeight w:val="210"/>
        </w:trPr>
        <w:tc>
          <w:tcPr>
            <w:tcW w:w="5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(5,970)</w:t>
            </w:r>
          </w:p>
        </w:tc>
      </w:tr>
      <w:tr>
        <w:trPr>
          <w:trHeight w:val="209"/>
        </w:trPr>
        <w:tc>
          <w:tcPr>
            <w:tcW w:w="5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Preliminary stage project costs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8,199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w:t>
            </w:r>
          </w:p>
        </w:tc>
      </w:tr>
      <w:tr>
        <w:trPr>
          <w:trHeight w:val="210"/>
        </w:trPr>
        <w:tc>
          <w:tcPr>
            <w:tcW w:w="5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(13,271)</w:t>
            </w:r>
          </w:p>
        </w:tc>
      </w:tr>
      <w:tr>
        <w:trPr>
          <w:trHeight w:val="210"/>
        </w:trPr>
        <w:tc>
          <w:tcPr>
            <w:tcW w:w="5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Gain on forgiveness of SBA loan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(1,086)</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(Loss) on modification of 2020 Notes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2"/>
        </w:trPr>
        <w:tc>
          <w:tcPr>
            <w:tcW w:w="5940" w:type="dxa"/>
            <w:vAlign w:val="bottom"/>
          </w:tcPr>
          <w:p>
            <w:pPr>
              <w:ind w:left="180"/>
              <w:spacing w:after="0" w:line="201" w:lineRule="exact"/>
              <w:rPr>
                <w:sz w:val="20"/>
                <w:szCs w:val="20"/>
                <w:color w:val="auto"/>
              </w:rPr>
            </w:pPr>
            <w:r>
              <w:rPr>
                <w:rFonts w:ascii="Arial" w:cs="Arial" w:eastAsia="Arial" w:hAnsi="Arial"/>
                <w:sz w:val="18"/>
                <w:szCs w:val="18"/>
                <w:color w:val="auto"/>
              </w:rPr>
              <w:t>(Loss) from change in fair value of 2020/21 Notes embedded derivative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0"/>
        </w:trPr>
        <w:tc>
          <w:tcPr>
            <w:tcW w:w="5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5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(2,025)</w:t>
            </w:r>
          </w:p>
        </w:tc>
      </w:tr>
      <w:tr>
        <w:trPr>
          <w:trHeight w:val="209"/>
        </w:trPr>
        <w:tc>
          <w:tcPr>
            <w:tcW w:w="5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(18,253)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(28,310)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(15,296)</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w w:val="96"/>
              </w:rPr>
              <w:t>Weighted-average number of common shares outstanding - basic and diluted</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198,137,420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15,071,105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190,892,223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14,771,952</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GEVO, INC.</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gridSpan w:val="8"/>
          </w:tcPr>
          <w:p>
            <w:pPr>
              <w:jc w:val="center"/>
              <w:ind w:left="1190"/>
              <w:spacing w:after="0"/>
              <w:rPr>
                <w:sz w:val="20"/>
                <w:szCs w:val="20"/>
                <w:color w:val="auto"/>
              </w:rPr>
            </w:pPr>
            <w:r>
              <w:rPr>
                <w:rFonts w:ascii="Arial" w:cs="Arial" w:eastAsia="Arial" w:hAnsi="Arial"/>
                <w:sz w:val="18"/>
                <w:szCs w:val="18"/>
                <w:b w:val="1"/>
                <w:bCs w:val="1"/>
                <w:color w:val="auto"/>
                <w:w w:val="88"/>
              </w:rPr>
              <w:t>Consolidated Statements of Comprehensive Income (Loss)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1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(18,253)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(28,310)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(15,296)</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340"/>
              <w:spacing w:after="0"/>
              <w:rPr>
                <w:sz w:val="20"/>
                <w:szCs w:val="20"/>
                <w:color w:val="auto"/>
              </w:rPr>
            </w:pPr>
            <w:r>
              <w:rPr>
                <w:rFonts w:ascii="Arial" w:cs="Arial" w:eastAsia="Arial" w:hAnsi="Arial"/>
                <w:sz w:val="18"/>
                <w:szCs w:val="18"/>
                <w:color w:val="auto"/>
                <w:w w:val="93"/>
              </w:rPr>
              <w:t>Unrealized (losses) on available-for-sale securities, net of tax</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Total change in unrealized (losses) on marketable securities</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280" w:type="dxa"/>
            <w:vAlign w:val="bottom"/>
            <w:tcBorders>
              <w:top w:val="single" w:sz="8" w:color="CCEEFF"/>
            </w:tcBorders>
          </w:tcPr>
          <w:p>
            <w:pPr>
              <w:spacing w:after="0"/>
              <w:rPr>
                <w:sz w:val="19"/>
                <w:szCs w:val="19"/>
                <w:color w:val="auto"/>
              </w:rPr>
            </w:pPr>
          </w:p>
        </w:tc>
        <w:tc>
          <w:tcPr>
            <w:tcW w:w="364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(15,296)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8"/>
                <w:szCs w:val="18"/>
                <w:b w:val="1"/>
                <w:bCs w:val="1"/>
                <w:color w:val="auto"/>
              </w:rPr>
              <w:t>GEVO, INC.</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220" w:type="dxa"/>
            <w:vAlign w:val="bottom"/>
            <w:gridSpan w:val="12"/>
          </w:tcPr>
          <w:p>
            <w:pPr>
              <w:jc w:val="center"/>
              <w:ind w:left="9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00" w:type="dxa"/>
            <w:vAlign w:val="bottom"/>
            <w:gridSpan w:val="10"/>
          </w:tcPr>
          <w:p>
            <w:pPr>
              <w:jc w:val="center"/>
              <w:ind w:left="430"/>
              <w:spacing w:after="0"/>
              <w:rPr>
                <w:sz w:val="20"/>
                <w:szCs w:val="20"/>
                <w:color w:val="auto"/>
              </w:rPr>
            </w:pPr>
            <w:r>
              <w:rPr>
                <w:rFonts w:ascii="Arial" w:cs="Arial" w:eastAsia="Arial" w:hAnsi="Arial"/>
                <w:sz w:val="18"/>
                <w:szCs w:val="18"/>
                <w:b w:val="1"/>
                <w:bCs w:val="1"/>
                <w:color w:val="auto"/>
                <w:w w:val="88"/>
              </w:rPr>
              <w:t>(In thousands, except share amounts)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80" w:type="dxa"/>
            <w:vAlign w:val="bottom"/>
            <w:gridSpan w:val="6"/>
            <w:vMerge w:val="restart"/>
          </w:tcPr>
          <w:p>
            <w:pPr>
              <w:jc w:val="right"/>
              <w:ind w:right="760"/>
              <w:spacing w:after="0"/>
              <w:rPr>
                <w:sz w:val="20"/>
                <w:szCs w:val="20"/>
                <w:color w:val="auto"/>
              </w:rPr>
            </w:pPr>
            <w:r>
              <w:rPr>
                <w:rFonts w:ascii="Arial" w:cs="Arial" w:eastAsia="Arial" w:hAnsi="Arial"/>
                <w:sz w:val="18"/>
                <w:szCs w:val="18"/>
                <w:b w:val="1"/>
                <w:bCs w:val="1"/>
                <w:color w:val="auto"/>
              </w:rPr>
              <w:t>Common 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580" w:type="dxa"/>
            <w:vAlign w:val="bottom"/>
            <w:gridSpan w:val="6"/>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Comprehensive</w:t>
            </w: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Accumulated</w:t>
            </w:r>
          </w:p>
        </w:tc>
        <w:tc>
          <w:tcPr>
            <w:tcW w:w="40" w:type="dxa"/>
            <w:vAlign w:val="bottom"/>
          </w:tcPr>
          <w:p>
            <w:pPr>
              <w:spacing w:after="0"/>
              <w:rPr>
                <w:sz w:val="19"/>
                <w:szCs w:val="19"/>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128,138,311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643,269</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(498,172)</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146,379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net of issue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68,170,579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457,008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457,690</w:t>
            </w: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Issuance of common stock upon exercise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of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1,863,058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Issuance of common stock under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plans, net of taxes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(121,499)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198,050,449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1,101,939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(508,229)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595,691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net of issue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Issuance of common stock upon exercise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of warrants</w:t>
            </w:r>
          </w:p>
        </w:tc>
        <w:tc>
          <w:tcPr>
            <w:tcW w:w="112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Issuance of common stock under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plans, net of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(89,673)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(18,253)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(18,253)</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20" w:type="dxa"/>
            <w:vAlign w:val="bottom"/>
            <w:gridSpan w:val="2"/>
          </w:tcPr>
          <w:p>
            <w:pPr>
              <w:spacing w:after="0"/>
              <w:rPr>
                <w:sz w:val="20"/>
                <w:szCs w:val="20"/>
                <w:color w:val="auto"/>
              </w:rPr>
            </w:pPr>
            <w:r>
              <w:rPr>
                <w:rFonts w:ascii="Arial" w:cs="Arial" w:eastAsia="Arial" w:hAnsi="Arial"/>
                <w:sz w:val="18"/>
                <w:szCs w:val="18"/>
                <w:color w:val="auto"/>
              </w:rPr>
              <w:t>Balance, June 30, 2021</w:t>
            </w:r>
          </w:p>
        </w:tc>
        <w:tc>
          <w:tcPr>
            <w:tcW w:w="1120" w:type="dxa"/>
            <w:vAlign w:val="bottom"/>
          </w:tcPr>
          <w:p>
            <w:pPr>
              <w:jc w:val="right"/>
              <w:spacing w:after="0"/>
              <w:rPr>
                <w:sz w:val="20"/>
                <w:szCs w:val="20"/>
                <w:color w:val="auto"/>
              </w:rPr>
            </w:pPr>
            <w:r>
              <w:rPr>
                <w:rFonts w:ascii="Arial" w:cs="Arial" w:eastAsia="Arial" w:hAnsi="Arial"/>
                <w:sz w:val="18"/>
                <w:szCs w:val="18"/>
                <w:color w:val="auto"/>
              </w:rPr>
              <w:t>197,964,476</w:t>
            </w:r>
          </w:p>
        </w:tc>
        <w:tc>
          <w:tcPr>
            <w:tcW w:w="12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1,980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1,100,932</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(526,482)</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576,123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14,083,232</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530,349</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(457,986)</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72,504</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Issuance of common stock, net of issue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costs</w:t>
            </w:r>
          </w:p>
        </w:tc>
        <w:tc>
          <w:tcPr>
            <w:tcW w:w="1120" w:type="dxa"/>
            <w:vAlign w:val="bottom"/>
          </w:tcPr>
          <w:p>
            <w:pPr>
              <w:jc w:val="right"/>
              <w:spacing w:after="0"/>
              <w:rPr>
                <w:sz w:val="20"/>
                <w:szCs w:val="20"/>
                <w:color w:val="auto"/>
              </w:rPr>
            </w:pPr>
            <w:r>
              <w:rPr>
                <w:rFonts w:ascii="Arial" w:cs="Arial" w:eastAsia="Arial" w:hAnsi="Arial"/>
                <w:sz w:val="18"/>
                <w:szCs w:val="18"/>
                <w:color w:val="auto"/>
              </w:rPr>
              <w:t>425,776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2"/>
        </w:trPr>
        <w:tc>
          <w:tcPr>
            <w:tcW w:w="34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Issuance of common stock under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plans, net of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105,882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14,614,890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531,587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(467,239)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64,493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net of issue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Non-cash stock-based compensation</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under stock</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plans, net of taxes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(6,043)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Balance, June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15,514,098</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533,015</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(473,282)</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59,887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(28,310)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(15,296)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change in fair value of 2020/21 Notes embedded derivative liability</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on disposal of assets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forgiveness of SBA PPP loans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non-cash expenses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long-term liabilities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(1,475)</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jc w:val="center"/>
              <w:ind w:right="3990"/>
              <w:spacing w:after="0"/>
              <w:rPr>
                <w:sz w:val="20"/>
                <w:szCs w:val="20"/>
                <w:color w:val="auto"/>
              </w:rPr>
            </w:pPr>
            <w:r>
              <w:rPr>
                <w:rFonts w:ascii="Arial" w:cs="Arial" w:eastAsia="Arial" w:hAnsi="Arial"/>
                <w:sz w:val="18"/>
                <w:szCs w:val="18"/>
                <w:color w:val="auto"/>
                <w:w w:val="90"/>
              </w:rPr>
              <w:t>Net cash used in operating activities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(19,468)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(10,818)</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Acquisitions of property, plant and equipment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(422,362)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jc w:val="center"/>
              <w:ind w:right="4010"/>
              <w:spacing w:after="0"/>
              <w:rPr>
                <w:sz w:val="20"/>
                <w:szCs w:val="20"/>
                <w:color w:val="auto"/>
              </w:rPr>
            </w:pPr>
            <w:r>
              <w:rPr>
                <w:rFonts w:ascii="Arial" w:cs="Arial" w:eastAsia="Arial" w:hAnsi="Arial"/>
                <w:sz w:val="18"/>
                <w:szCs w:val="18"/>
                <w:color w:val="auto"/>
                <w:w w:val="90"/>
              </w:rPr>
              <w:t>Net cash used in investing activities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2021 Bonds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68,995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and equity offering costs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and common stock warrants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487,549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settlement of common stock under stock plans</w:t>
            </w:r>
          </w:p>
        </w:tc>
        <w:tc>
          <w:tcPr>
            <w:tcW w:w="3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loans payable - other</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SBA PPP loans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jc w:val="center"/>
              <w:ind w:right="3970"/>
              <w:spacing w:after="0"/>
              <w:rPr>
                <w:sz w:val="20"/>
                <w:szCs w:val="20"/>
                <w:color w:val="auto"/>
              </w:rPr>
            </w:pPr>
            <w:r>
              <w:rPr>
                <w:rFonts w:ascii="Arial" w:cs="Arial" w:eastAsia="Arial" w:hAnsi="Arial"/>
                <w:sz w:val="18"/>
                <w:szCs w:val="18"/>
                <w:color w:val="auto"/>
                <w:w w:val="91"/>
              </w:rPr>
              <w:t>Net cash provided by financing activities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(9,965)</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78,338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16,302</w:t>
            </w:r>
          </w:p>
        </w:tc>
      </w:tr>
      <w:tr>
        <w:trPr>
          <w:trHeight w:val="250"/>
        </w:trPr>
        <w:tc>
          <w:tcPr>
            <w:tcW w:w="128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832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See the accompanying Notes to the unaudited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Arial" w:cs="Arial" w:eastAsia="Arial" w:hAnsi="Arial"/>
                <w:sz w:val="18"/>
                <w:szCs w:val="18"/>
                <w:color w:val="auto"/>
                <w:w w:val="79"/>
              </w:rPr>
              <w:t>7</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of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411"/>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17,085</w:t>
            </w:r>
          </w:p>
        </w:tc>
        <w:tc>
          <w:tcPr>
            <w:tcW w:w="22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6,337</w:t>
            </w:r>
          </w:p>
        </w:tc>
      </w:tr>
      <w:tr>
        <w:trPr>
          <w:trHeight w:val="216"/>
        </w:trPr>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57,645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70,464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145,194</w:t>
            </w:r>
          </w:p>
        </w:tc>
        <w:tc>
          <w:tcPr>
            <w:tcW w:w="220" w:type="dxa"/>
            <w:vAlign w:val="bottom"/>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125"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300" w:type="dxa"/>
            <w:vAlign w:val="bottom"/>
          </w:tcPr>
          <w:p>
            <w:pPr>
              <w:spacing w:after="0"/>
              <w:rPr>
                <w:sz w:val="20"/>
                <w:szCs w:val="20"/>
                <w:color w:val="auto"/>
              </w:rPr>
            </w:pPr>
          </w:p>
        </w:tc>
        <w:tc>
          <w:tcPr>
            <w:tcW w:w="2940" w:type="dxa"/>
            <w:vAlign w:val="bottom"/>
            <w:gridSpan w:val="6"/>
          </w:tcPr>
          <w:p>
            <w:pPr>
              <w:ind w:left="22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8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Original issue discount paid with 2020/21 Notes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purchased with financing lease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Right-of-use asset purchased with operating lease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and Basis of Presentation</w:t>
      </w:r>
    </w:p>
    <w:p>
      <w:pPr>
        <w:spacing w:after="0" w:line="229"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i w:val="1"/>
          <w:iCs w:val="1"/>
          <w:color w:val="auto"/>
        </w:rPr>
        <w:t>Nature of Business</w:t>
      </w:r>
      <w:r>
        <w:rPr>
          <w:rFonts w:ascii="Arial" w:cs="Arial" w:eastAsia="Arial" w:hAnsi="Arial"/>
          <w:sz w:val="17"/>
          <w:szCs w:val="17"/>
          <w:color w:val="auto"/>
        </w:rPr>
        <w:t>. Gevo, Inc. (“Gevo” or the “Company,” which, unless otherwise indicated, refers to Gevo, Inc. and its subsidiaries), is a growth-oriented renewable fuels technology and development company that is commercializing the next generation of renewable low-carbon liquid transportation fuels, such as sustainable aviation fuel (“SAF”) and renewable isooctane (which the Company refers to as “renewable premium gasoline”), with the potential to achieve a “net-zero” greenhouse gas (“GHG”) footprint and address global needs of reducing GHG emissions with sustainable alternatives to petroleum fuels. Gevo is in the business of transforming carbon from the atmosphere using photosynthetic energy, wind energy and biogas energy into liquid hydrocarbons with a low or potentially “net-zero” GHG footprint.</w:t>
      </w:r>
    </w:p>
    <w:p>
      <w:pPr>
        <w:spacing w:after="0" w:line="178"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changes to planes or fuel systems. In addition to the potential of net-zero carbon emissions across the whole fuel life-cycle, Gevo's renewable fuels should eliminate other pollutants associated with the burning of traditional fossil fuels, such as particulates and sulfur, while delivering superior performance.</w:t>
      </w:r>
    </w:p>
    <w:p>
      <w:pPr>
        <w:spacing w:after="0" w:line="16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Gevo uses renewable resource-based raw materials as feedstocks. In the near-term, its feedstocks will primarily consist of non-food corn. As the Company's technology is applied globally, feedstocks can consist of sugar cane, molasses or other cellulosic sugars derived from wood, agricultural residues and waste. Gevo's patented fermentation yeast biocatalyst produces isobutanol, a four-carbon alcohol, via the fermentation of renewable plant biomass carbohydrates. The resulting renewable isobutanol has a variety of direct applications but, more importantly to Gevo's fundamental strategy, serves as a building block to make renewable premium gasoline and SAF using simple and common chemical conversion processes. The Company also plans to reduce or eliminate fossil-based process energy inputs by replacing them with renewable energy such as wind-powered electricity and renewable natural gas (“RNG”).</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Gevo's technology represents a new generation of renewable fuel technology that overcomes the limitations of first-generation renewable fuels.</w:t>
      </w:r>
    </w:p>
    <w:p>
      <w:pPr>
        <w:spacing w:after="0" w:line="248"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Ultimately, the Company believes that the attainment of profitable operations is dependent upon future events, including, but not limited to (i) the successful development of the Company's initial Net-Zero Project ("'Net-Zero 1 Project") and future projects for the production of energy dense liquid hydrocarbons using renewable energy and our proprietary technology; and (ii) the achievement of a level of revenues adequate to support its cost structure.</w:t>
      </w:r>
    </w:p>
    <w:p>
      <w:pPr>
        <w:spacing w:after="0" w:line="14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The novel coronavirus ("COVID-19") pandemic has had an adverse impact on global commercial activity, including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industry and its supply chain, and has contributed to significant volatility in financial markets. It has also resulted in increased travel restrictions and extended shutdowns of businesses in various industries including, among others, the airline industry, and significantly reduced overall economic output. It is possible that that the impact of the COVID-19 pandemic on general economic activity could continue to negatively impact the Company's revenue and operating results for 2021 and beyond. In light of the current and potential future disruption to its business operations and those of its customers, suppliers and other third parties with whom the Company does business, management considered the impact of the COVID-19 pandemic on the Company's business. The impact of the COVID-19 pandemic on the global transportation industry could continue to result in less demand for the Company's transportation fuel products, which could have a material adverse effect on the Company's business, financial condition and prospects for the foreseeable future.</w:t>
      </w:r>
    </w:p>
    <w:p>
      <w:pPr>
        <w:spacing w:after="0" w:line="19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During the first quarter of 2020, we suspended our ethanol production at our production facility in Luverne, Minnesota (the "Luverne Facility") due to COVID-19 and an unfavorable commodity environment, largely the result of greater corn costs as compared to national markets than the region has historically produced. The suspension of ethanol production and a reduction in the Company's workforce that occurred during the first quarter of 2020 due to the impact of COVID-19 had an adverse impact on the Company's financial results for the three and six months ended June 30, 2021, reducing revenue by 57% and 89% compared to the three and six months ended June 30, 2020, respectively. There is also a risk that COVID-19 could have a material adverse impact on the development of the Company's Net-Zero 1 Project, customer demand and cash flow, depending on the extent of our future production activities.</w:t>
      </w:r>
    </w:p>
    <w:p>
      <w:pPr>
        <w:spacing w:after="0" w:line="195"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three and six months ended June 30, 2021 and beyond as the COVID-19 pandemic has impacted the industries in which the Company operates. These estimates and assumptions include the collectability of billed receivables and the estimation of revenue and tangible assets. With regard to collectability, the Company believes it may face atypical delays in client payments going forward, but the Company has not experienced significant delays in collection as of June 30, 2021.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reduces demand for or the extent of SAF, isooctane and isooctene.</w:t>
      </w:r>
    </w:p>
    <w:p>
      <w:pPr>
        <w:spacing w:after="0" w:line="16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Asset, LLC (“Gevo Asset”), Gevo RNG Holdco, LLC ("Gevo RNG Holdco"), Gevo NW Iowa RNG, LLC ("Gevo RNG")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at June 30, 2021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2020.</w:t>
      </w:r>
    </w:p>
    <w:p>
      <w:pPr>
        <w:spacing w:after="0" w:line="18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The Company reclassified certain prior period amounts to conform to the current period presentation, including the categorization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preliminary stage project costs on the Consolidated Statements of Operations. These reclassifications had no impact on total revenues, total cost of goods sold, total operating expenses, net loss or stockholders' equity for any period.</w:t>
      </w:r>
    </w:p>
    <w:p>
      <w:pPr>
        <w:sectPr>
          <w:pgSz w:w="11900" w:h="16838" w:orient="portrait"/>
          <w:cols w:equalWidth="0" w:num="1">
            <w:col w:w="11240"/>
          </w:cols>
          <w:pgMar w:left="320" w:top="125" w:right="33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i w:val="1"/>
          <w:iCs w:val="1"/>
          <w:color w:val="auto"/>
        </w:rPr>
        <w:t xml:space="preserve">January 2021 Offering. </w:t>
      </w:r>
      <w:r>
        <w:rPr>
          <w:rFonts w:ascii="Arial" w:cs="Arial" w:eastAsia="Arial" w:hAnsi="Arial"/>
          <w:sz w:val="16"/>
          <w:szCs w:val="16"/>
          <w:color w:val="auto"/>
        </w:rPr>
        <w:t>On January 19, 2021, the Company completed a registered direct offering pursuant to a securities purchase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institutional and accredited investors providing for the issuance and sale by the Company of an aggregate of 43,750,000 shares of the Company’s common stock at a price of $8.00 per share (the “January 2021 Offering”). The net proceeds to the Company from the January 2021 Offering were approximately $321.9 million, after deducting placement agent fees and other estimated offering expenses payable by the Company.</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the Company commenced an at-the-market offering program, which allows it to sell and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from time-to-time. In December 2020, the at-the-market offering program was amended to increase the available capacity to $150.0 million.</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six months ended June 30, 2021, the Company issued 24,420,579 shares of common stock under the at-the-market offering program for total proceeds of $135.8 million, net of commissions and other offering related expenses. There were no shares issued during the three months ended June 30, 2021.</w:t>
      </w:r>
    </w:p>
    <w:p>
      <w:pPr>
        <w:spacing w:after="0" w:line="1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June 30, 2021, the Company has remaining capacity to issue up to approximately $10.6 million of common stock under the at-the-market offering program.</w:t>
      </w:r>
    </w:p>
    <w:p>
      <w:pPr>
        <w:spacing w:after="0" w:line="170"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i w:val="1"/>
          <w:iCs w:val="1"/>
          <w:color w:val="auto"/>
        </w:rPr>
        <w:t xml:space="preserve">2021 Bonds. </w:t>
      </w:r>
      <w:r>
        <w:rPr>
          <w:rFonts w:ascii="Arial" w:cs="Arial" w:eastAsia="Arial" w:hAnsi="Arial"/>
          <w:sz w:val="17"/>
          <w:szCs w:val="17"/>
          <w:color w:val="auto"/>
        </w:rPr>
        <w:t>On April 15, 2021, the Iowa Finance Authority (the “Authority”) issued an aggregate principal amount of $68,155,000 of its Solid</w:t>
      </w:r>
      <w:r>
        <w:rPr>
          <w:rFonts w:ascii="Arial" w:cs="Arial" w:eastAsia="Arial" w:hAnsi="Arial"/>
          <w:sz w:val="17"/>
          <w:szCs w:val="17"/>
          <w:i w:val="1"/>
          <w:iCs w:val="1"/>
          <w:color w:val="auto"/>
        </w:rPr>
        <w:t xml:space="preserve"> </w:t>
      </w:r>
      <w:r>
        <w:rPr>
          <w:rFonts w:ascii="Arial" w:cs="Arial" w:eastAsia="Arial" w:hAnsi="Arial"/>
          <w:sz w:val="17"/>
          <w:szCs w:val="17"/>
          <w:color w:val="auto"/>
        </w:rPr>
        <w:t>Waste Facility Revenue Bonds (Gevo NW Iowa RNG, LLC Renewable Natural Gas Project), Series 2021 (Green Bonds) (the “2021 Bonds”) in a public offering for the benefit of Gevo RNG (as defined below), a subsidiary of Gevo, to finance the construction of the Gevo RNG project.</w:t>
      </w:r>
    </w:p>
    <w:p>
      <w:pPr>
        <w:spacing w:after="0" w:line="16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2021 Bonds are reported at their amortized cost. The 2021 Bonds were issued at a premium of $0.8 million. Debt issuance costs totaled $2.8 million. The Company will amortize the debt issuance costs and the premium as a component of interest expense over the life of the related debt instrument using the interest method. The 2021 Bonds have been recorded as a long-term liability and will become current on the earlier of (i) one year prior to the Initial Mandatory Tender Date or (ii) upon the Company’s exercise of its call option to tender or redeem the Bonds. See Note 9, Debt, for further information.</w:t>
      </w:r>
    </w:p>
    <w:p>
      <w:pPr>
        <w:spacing w:after="0" w:line="18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Debt Issue Costs and Debt Discounts/Premiums</w:t>
      </w:r>
      <w:r>
        <w:rPr>
          <w:rFonts w:ascii="Arial" w:cs="Arial" w:eastAsia="Arial" w:hAnsi="Arial"/>
          <w:sz w:val="18"/>
          <w:szCs w:val="18"/>
          <w:color w:val="auto"/>
        </w:rPr>
        <w:t>. Debt issue costs are costs with third parties incurred in connection with the Company’s debt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financings that have been capitalized and are being amortized over the stated maturity period or estimated life of the related debt using the effective interest method. Debt issue costs are presented 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issue costs, discounts, and premiums is included in interest expense.</w:t>
      </w:r>
    </w:p>
    <w:p>
      <w:pPr>
        <w:spacing w:after="0" w:line="192"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i w:val="1"/>
          <w:iCs w:val="1"/>
          <w:color w:val="auto"/>
        </w:rPr>
        <w:t>Restricted Cash and Restricted Cash Equivalents</w:t>
      </w:r>
      <w:r>
        <w:rPr>
          <w:rFonts w:ascii="Arial" w:cs="Arial" w:eastAsia="Arial" w:hAnsi="Arial"/>
          <w:sz w:val="16"/>
          <w:szCs w:val="16"/>
          <w:color w:val="auto"/>
        </w:rPr>
        <w:t>. The Company’s restricted cash and restricted cash equivalents consists of unused proceeds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issuance of the 2021 Bonds which are restricted for the purpose of constructing the Gevo NW Iowa RNG, LLC Renewable Natural Gas Project as well as amounts pledged and assigned to Citibank, N.A., in its capacity as credit facility provider of the 2021 Bonds (the "Credit Facility Provider") as collateral for the reimbursement obligations of Gevo. As of June 30, 2021, the unused restricted bond proceeds of $56.9 million included in restricted cash is classified as current since the proceeds will be distributed within twelve months. As of June 30, 2021, the restricted collateral included in restricted</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cash totaled $71.3 million, $0.8 million of which secures interest payments to be made within twelve months and is classified as current. The Company is entitled to receive interest income on the restricted cash at an agreed rate of return of 0.10% but has no ability to direct the use of the restricted cash. See Note 9, Debt, for further information.</w:t>
      </w:r>
    </w:p>
    <w:p>
      <w:pPr>
        <w:spacing w:after="0" w:line="190"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The proceeds from issuance of the 2021 Bonds are maintained by the Trustee under a Trust Indenture dated April 15, 2021 and released to the Company only to pay costs of the construction of the biogas facility operated by Gevo RNG. See Note 9, Debt, for further information on the Trust Indenture. As the proceeds of the 2021 Bonds are restricted, the amounts from bond trustee are also considered to be restricted cash. Restricted cash is included with cash and cash equivalents on the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500"/>
              <w:spacing w:after="0"/>
              <w:rPr>
                <w:sz w:val="20"/>
                <w:szCs w:val="20"/>
                <w:color w:val="auto"/>
              </w:rPr>
            </w:pPr>
            <w:r>
              <w:rPr>
                <w:rFonts w:ascii="Arial" w:cs="Arial" w:eastAsia="Arial" w:hAnsi="Arial"/>
                <w:sz w:val="18"/>
                <w:szCs w:val="18"/>
                <w:color w:val="auto"/>
              </w:rPr>
              <w:t>The restricted cash held by the bond trustee as of June 30, 2021 is made up of the following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June 30, 2021</w:t>
            </w:r>
          </w:p>
        </w:tc>
      </w:tr>
      <w:tr>
        <w:trPr>
          <w:trHeight w:val="209"/>
        </w:trPr>
        <w:tc>
          <w:tcPr>
            <w:tcW w:w="9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Bond proceeds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68,995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Disbursement of funds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(12,080)</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Total restricted cash held by bond trustee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56,918</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The Company’s marketable securities consist of marketable debt securities and have been classified and accounted for</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available-for-sale. Management determines the appropriate classification of its investments at the time of purchase and reevaluates the classifications at each balance sheet date. 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 The Company’s marketable securities are carried at fair value, with unrealized gains and losses, net of taxes, reported as a component of accumulated other comprehensive income in shareholders’ equity, with the exception of unrealized losses believed to be other-than-temporary, which are reported in earnings in the current period. The cost of securities sold is based upon the specific identification method.</w:t>
      </w:r>
    </w:p>
    <w:p>
      <w:pPr>
        <w:sectPr>
          <w:pgSz w:w="11900" w:h="16838" w:orient="portrait"/>
          <w:cols w:equalWidth="0" w:num="1">
            <w:col w:w="11240"/>
          </w:cols>
          <w:pgMar w:left="320" w:top="125" w:right="339" w:bottom="345"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45" w:gutter="0" w:footer="0" w:header="0"/>
          <w:type w:val="continuous"/>
        </w:sectPr>
      </w:pPr>
    </w:p>
    <w:bookmarkStart w:id="12" w:name="page13"/>
    <w:bookmarkEnd w:id="12"/>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i w:val="1"/>
          <w:iCs w:val="1"/>
          <w:color w:val="auto"/>
        </w:rPr>
        <w:t xml:space="preserve">Leases, Right-of-Use Assets and Related Liabilities. </w:t>
      </w:r>
      <w:r>
        <w:rPr>
          <w:rFonts w:ascii="Arial" w:cs="Arial" w:eastAsia="Arial" w:hAnsi="Arial"/>
          <w:sz w:val="18"/>
          <w:szCs w:val="18"/>
          <w:color w:val="auto"/>
        </w:rPr>
        <w:t>The Company enters into various arrangements which constitute a lease as defined by ASC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 part of its ongoing business activities and operations. Leases represent a contract or part of a contract that conveys the right to control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19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and (5) the asset is of such a specialized nature that it is expected to have no alternative use to the lessor at the end of the lease term. If a lease does not meet any of these criteria, the lease is classified as an operating lease.</w:t>
      </w:r>
    </w:p>
    <w:p>
      <w:pPr>
        <w:spacing w:after="0" w:line="188"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 as further described in the significant accounting policy “Impairment of Property, Plant and Equipment” in the Company’s Annual Report on Form 10-K for the year ended December 31, 2020.</w:t>
      </w:r>
    </w:p>
    <w:p>
      <w:pPr>
        <w:spacing w:after="0" w:line="192"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Renewal options are included in the calculation of our right-of-use assets and lease liabilities when the Company’s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spacing w:after="0" w:line="18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Company has elected the practical expedient to account for the lease and non-lease components as a single lease component for our dairy lease and fuel supply asset class. This results in a significantly higher ROU assets and lease liabilities than if the Company had not elected this practical expedient.</w:t>
      </w:r>
    </w:p>
    <w:p>
      <w:pPr>
        <w:spacing w:after="0" w:line="184"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84"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i w:val="1"/>
          <w:iCs w:val="1"/>
          <w:color w:val="auto"/>
        </w:rPr>
        <w:t xml:space="preserve">Capitalized Internal-Use Software Costs. </w:t>
      </w:r>
      <w:r>
        <w:rPr>
          <w:rFonts w:ascii="Arial" w:cs="Arial" w:eastAsia="Arial" w:hAnsi="Arial"/>
          <w:sz w:val="18"/>
          <w:szCs w:val="18"/>
          <w:color w:val="auto"/>
        </w:rPr>
        <w:t>Software development costs are capitalized when module development begins, it is probable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will be completed, and the software will be used as intended. Costs associated with preliminary project stage activities, training, maintenance and all other post implementation stage activities are expensed as incurred. Internal-use software is amortized on a straight-line basis, generally over a three to five years. We evaluate the useful lives of these assets on an annual basis and test for impairment whenever events or changes in circumstances occur that could impact the recoverability of these assets.</w:t>
      </w:r>
    </w:p>
    <w:p>
      <w:pPr>
        <w:spacing w:after="0" w:line="188"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i w:val="1"/>
          <w:iCs w:val="1"/>
          <w:color w:val="auto"/>
        </w:rPr>
        <w:t xml:space="preserve">Borrowing Costs. </w:t>
      </w:r>
      <w:r>
        <w:rPr>
          <w:rFonts w:ascii="Arial" w:cs="Arial" w:eastAsia="Arial" w:hAnsi="Arial"/>
          <w:sz w:val="17"/>
          <w:szCs w:val="17"/>
          <w:color w:val="auto"/>
        </w:rPr>
        <w:t>The borrowing costs that are directly attributable to acquisition and construction of an asset that needs a substantially long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of time for its intended use commence to be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borrowing costs ceases when the asset under acquisition or construction becomes ready for its intended use and the borrowing costs incurred thereafter are recognized in profit or loss for the current period. Capitalization of borrowing costs is suspended during periods in which the acquisition or construction of an asset is interrupted abnormally and the interruption lasts for more than 3 months, until the acquisition or construction is resumed. Interest in the amount of $0.7 million was capitalized for the three and six months ended June 30, 2021. No interest was capitalized for the three and six months ended June 30, 2020.</w:t>
      </w:r>
    </w:p>
    <w:p>
      <w:pPr>
        <w:spacing w:after="0" w:line="17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i w:val="1"/>
          <w:iCs w:val="1"/>
          <w:color w:val="auto"/>
        </w:rPr>
        <w:t xml:space="preserve">Preliminary Stage Project Costs. </w:t>
      </w:r>
      <w:r>
        <w:rPr>
          <w:rFonts w:ascii="Arial" w:cs="Arial" w:eastAsia="Arial" w:hAnsi="Arial"/>
          <w:sz w:val="18"/>
          <w:szCs w:val="18"/>
          <w:color w:val="auto"/>
        </w:rPr>
        <w:t>Preliminary stage project costs consist of research and development expense in addition to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related to our RNG and Net-Zero projects.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198"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i w:val="1"/>
          <w:iCs w:val="1"/>
          <w:color w:val="auto"/>
        </w:rPr>
        <w:t xml:space="preserve">Concentration of Business Risk. </w:t>
      </w:r>
      <w:r>
        <w:rPr>
          <w:rFonts w:ascii="Arial" w:cs="Arial" w:eastAsia="Arial" w:hAnsi="Arial"/>
          <w:sz w:val="18"/>
          <w:szCs w:val="18"/>
          <w:color w:val="auto"/>
        </w:rPr>
        <w:t>As of June 30, 2021, two customers, HCS Group GmbH ("HCS") and Titan Aviation Fuel ("Titan"),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77% and 19%, or approximately 96% in total, of the Company's outstanding trade accounts receivable, respectively. As of December 31, 2020, HCS comprised approximately 79% of the Company's outstanding trade accounts receivable.</w:t>
      </w:r>
    </w:p>
    <w:p>
      <w:pPr>
        <w:spacing w:after="0" w:line="14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For the three months ended June 30, 2021, HCS, New Vision, LLC ("New Vision") and Titan accounted for approximately 55%, 14% and 13%, or approximately 82% in total, of the Company's consolidated revenue, respectively. For the three months ended June 30, 2020, HCS and Coryton Advanced Fuels Ltd ("Coryton") accounted for approximately 76% and 11%, or approximately 87% in total, of the Company's consolidated revenue, respectively. For the six months ended June 30, 2021, HCS, New Vision and Titan accounted for approximately 55%, 29% and 13%, or approximately 97% in total, of the Company's consolidated revenue, respectively. For the six months ended June 30, 2020 Eco-Energy, LLC ("Eco-Energy"), Purina Animal Nutrition, LLV ("Purina") and HCS accounted for approximately 60%, 17% and 16%, or approximately 93% in total, of the Company's consolidated revenue, respectively.</w:t>
      </w:r>
    </w:p>
    <w:p>
      <w:pPr>
        <w:spacing w:after="0" w:line="124"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Total, AvFuel, Wisconsin, HCS and Coryton are customers of the Company's Gevo segment. Juhl, New Vision, Eco-Energy and Purina are customers of the Company's Agri-Energy segment (see Note 14).</w:t>
      </w:r>
    </w:p>
    <w:p>
      <w:pPr>
        <w:spacing w:after="0" w:line="143" w:lineRule="exact"/>
        <w:rPr>
          <w:sz w:val="20"/>
          <w:szCs w:val="20"/>
          <w:color w:val="auto"/>
        </w:rPr>
      </w:pPr>
    </w:p>
    <w:p>
      <w:pPr>
        <w:ind w:right="360" w:firstLine="486"/>
        <w:spacing w:after="0" w:line="342" w:lineRule="auto"/>
        <w:rPr>
          <w:sz w:val="20"/>
          <w:szCs w:val="20"/>
          <w:color w:val="auto"/>
        </w:rPr>
      </w:pPr>
      <w:r>
        <w:rPr>
          <w:rFonts w:ascii="Arial" w:cs="Arial" w:eastAsia="Arial" w:hAnsi="Arial"/>
          <w:sz w:val="16"/>
          <w:szCs w:val="16"/>
          <w:i w:val="1"/>
          <w:iCs w:val="1"/>
          <w:color w:val="auto"/>
        </w:rPr>
        <w:t>Financial Condition</w:t>
      </w:r>
      <w:r>
        <w:rPr>
          <w:rFonts w:ascii="Arial" w:cs="Arial" w:eastAsia="Arial" w:hAnsi="Arial"/>
          <w:sz w:val="16"/>
          <w:szCs w:val="16"/>
          <w:color w:val="auto"/>
        </w:rPr>
        <w:t>. The Company has incurred consolidated net losses since inception and had a significant accumulated deficit as of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The Company’s cash and cash equivalents totaled $17.1 million, restricted cash totaled $128.1 million and marketable securities totaled $422.1</w:t>
      </w:r>
    </w:p>
    <w:p>
      <w:pPr>
        <w:sectPr>
          <w:pgSz w:w="11900" w:h="16875" w:orient="portrait"/>
          <w:cols w:equalWidth="0" w:num="1">
            <w:col w:w="11220"/>
          </w:cols>
          <w:pgMar w:left="320" w:top="125" w:right="359" w:bottom="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million as of June 30, 2021. Gevo expects to use its cash, cash equivalents, restricted cash and marketable securities for the following purposes:</w:t>
      </w:r>
    </w:p>
    <w:p>
      <w:pPr>
        <w:spacing w:after="0" w:line="35" w:lineRule="exact"/>
        <w:rPr>
          <w:sz w:val="20"/>
          <w:szCs w:val="20"/>
          <w:color w:val="auto"/>
        </w:rPr>
      </w:pPr>
    </w:p>
    <w:p>
      <w:pPr>
        <w:ind w:right="80" w:firstLine="8"/>
        <w:spacing w:after="0" w:line="25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new production facilities and to plan for expanded production to fulfill existing off-take agreements, including the Company's Net Zero Projects; (ii) development of the Luverne Facility; (iii) operating activities at the Company’s corporate headquarters in Colorado, including research and development work; (iv) development projects associated with the Company's RNG projects; (v) exploration of strategic alternatives and additional financings, including project financing; and (vi) future debt service obligations.</w:t>
      </w:r>
    </w:p>
    <w:p>
      <w:pPr>
        <w:spacing w:after="0" w:line="19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capital. Management intends to fund future operations through additional private and/or public offerings of debt or equity securities. In addition, the Company may seek additional capital through arrangements with strategic partners or from other sources, and it will continue to address its cost structure. Notwithstanding, there can be no assurance that the Company will be able to raise additional funds or achieve or sustain profitability or positive cash flows from operations. Management believes it has adequate cash to fund operations for at least one year from the date the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ind w:right="40" w:firstLine="475"/>
        <w:spacing w:after="0" w:line="257" w:lineRule="auto"/>
        <w:rPr>
          <w:sz w:val="20"/>
          <w:szCs w:val="20"/>
          <w:color w:val="auto"/>
        </w:rPr>
      </w:pPr>
      <w:r>
        <w:rPr>
          <w:rFonts w:ascii="Arial" w:cs="Arial" w:eastAsia="Arial" w:hAnsi="Arial"/>
          <w:sz w:val="18"/>
          <w:szCs w:val="18"/>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months ended June 30, 2021 and 2020 excluded common stock equivalents because the effect of their inclusion would be anti-dilutive or would decrease the reported loss per share.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4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Three and Six Months Ended June 30,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4880" w:type="dxa"/>
            <w:vAlign w:val="bottom"/>
            <w:gridSpan w:val="3"/>
          </w:tcPr>
          <w:p>
            <w:pPr>
              <w:jc w:val="right"/>
              <w:ind w:right="200"/>
              <w:spacing w:after="0"/>
              <w:rPr>
                <w:sz w:val="20"/>
                <w:szCs w:val="20"/>
                <w:color w:val="auto"/>
              </w:rPr>
            </w:pPr>
            <w:r>
              <w:rPr>
                <w:rFonts w:ascii="Arial" w:cs="Arial" w:eastAsia="Arial" w:hAnsi="Arial"/>
                <w:sz w:val="18"/>
                <w:szCs w:val="18"/>
                <w:color w:val="auto"/>
              </w:rPr>
              <w:t>42,494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50,812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 equity classified</w:t>
            </w:r>
          </w:p>
        </w:tc>
        <w:tc>
          <w:tcPr>
            <w:tcW w:w="4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90,608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Conversion of 2020/21 Notes</w:t>
            </w:r>
          </w:p>
        </w:tc>
        <w:tc>
          <w:tcPr>
            <w:tcW w:w="320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6,780,958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4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4880" w:type="dxa"/>
            <w:vAlign w:val="bottom"/>
            <w:gridSpan w:val="3"/>
          </w:tcPr>
          <w:p>
            <w:pPr>
              <w:jc w:val="right"/>
              <w:ind w:right="200"/>
              <w:spacing w:after="0"/>
              <w:rPr>
                <w:sz w:val="20"/>
                <w:szCs w:val="20"/>
                <w:color w:val="auto"/>
              </w:rPr>
            </w:pPr>
            <w:r>
              <w:rPr>
                <w:rFonts w:ascii="Arial" w:cs="Arial" w:eastAsia="Arial" w:hAnsi="Arial"/>
                <w:sz w:val="18"/>
                <w:szCs w:val="18"/>
                <w:color w:val="auto"/>
              </w:rPr>
              <w:t>67,739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67,739</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4880" w:type="dxa"/>
            <w:vAlign w:val="bottom"/>
            <w:gridSpan w:val="3"/>
          </w:tcPr>
          <w:p>
            <w:pPr>
              <w:jc w:val="right"/>
              <w:ind w:right="200"/>
              <w:spacing w:after="0"/>
              <w:rPr>
                <w:sz w:val="20"/>
                <w:szCs w:val="20"/>
                <w:color w:val="auto"/>
              </w:rPr>
            </w:pPr>
            <w:r>
              <w:rPr>
                <w:rFonts w:ascii="Arial" w:cs="Arial" w:eastAsia="Arial" w:hAnsi="Arial"/>
                <w:sz w:val="18"/>
                <w:szCs w:val="18"/>
                <w:color w:val="auto"/>
              </w:rPr>
              <w:t>202,356</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6,901,065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0" w:type="dxa"/>
            <w:vAlign w:val="bottom"/>
            <w:vMerge w:val="restart"/>
          </w:tcPr>
          <w:p>
            <w:pPr>
              <w:jc w:val="right"/>
              <w:ind w:right="2190"/>
              <w:spacing w:after="0"/>
              <w:rPr>
                <w:sz w:val="20"/>
                <w:szCs w:val="20"/>
                <w:color w:val="auto"/>
              </w:rPr>
            </w:pPr>
            <w:r>
              <w:rPr>
                <w:rFonts w:ascii="Arial" w:cs="Arial" w:eastAsia="Arial" w:hAnsi="Arial"/>
                <w:sz w:val="18"/>
                <w:szCs w:val="18"/>
                <w:color w:val="auto"/>
              </w:rPr>
              <w:t>11</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ind w:left="160"/>
        <w:spacing w:after="0"/>
        <w:rPr>
          <w:sz w:val="20"/>
          <w:szCs w:val="20"/>
          <w:color w:val="auto"/>
        </w:rPr>
      </w:pPr>
      <w:r>
        <w:rPr>
          <w:rFonts w:ascii="Arial" w:cs="Arial" w:eastAsia="Arial" w:hAnsi="Arial"/>
          <w:sz w:val="18"/>
          <w:szCs w:val="18"/>
          <w:u w:val="single" w:color="auto"/>
          <w:color w:val="auto"/>
        </w:rPr>
        <w:t>Table of Contents</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and Other Revenues</w:t>
      </w:r>
    </w:p>
    <w:p>
      <w:pPr>
        <w:spacing w:after="0" w:line="229" w:lineRule="exact"/>
        <w:rPr>
          <w:sz w:val="20"/>
          <w:szCs w:val="20"/>
          <w:color w:val="auto"/>
        </w:rPr>
      </w:pPr>
    </w:p>
    <w:p>
      <w:pPr>
        <w:ind w:right="240" w:firstLine="567"/>
        <w:spacing w:after="0" w:line="342" w:lineRule="auto"/>
        <w:rPr>
          <w:sz w:val="20"/>
          <w:szCs w:val="20"/>
          <w:color w:val="auto"/>
        </w:rPr>
      </w:pPr>
      <w:r>
        <w:rPr>
          <w:rFonts w:ascii="Arial" w:cs="Arial" w:eastAsia="Arial" w:hAnsi="Arial"/>
          <w:sz w:val="16"/>
          <w:szCs w:val="16"/>
          <w:color w:val="auto"/>
        </w:rPr>
        <w:t>The Company’s current and historical revenues have consisted of the following: (a) hydrocarbon revenue; (b) ethanol sales and related products revenue, net; and (c) grant and other revenue, which primarily has historically consisted of revenues from governmental and cooperative research grants.</w:t>
      </w:r>
    </w:p>
    <w:p>
      <w:pPr>
        <w:spacing w:after="0" w:line="124" w:lineRule="exact"/>
        <w:rPr>
          <w:sz w:val="20"/>
          <w:szCs w:val="20"/>
          <w:color w:val="auto"/>
        </w:rPr>
      </w:pPr>
    </w:p>
    <w:p>
      <w:pPr>
        <w:ind w:right="360" w:firstLine="567"/>
        <w:spacing w:after="0" w:line="263" w:lineRule="auto"/>
        <w:rPr>
          <w:sz w:val="20"/>
          <w:szCs w:val="20"/>
          <w:color w:val="auto"/>
        </w:rPr>
      </w:pPr>
      <w:r>
        <w:rPr>
          <w:rFonts w:ascii="Arial" w:cs="Arial" w:eastAsia="Arial" w:hAnsi="Arial"/>
          <w:sz w:val="18"/>
          <w:szCs w:val="18"/>
          <w:i w:val="1"/>
          <w:iCs w:val="1"/>
          <w:color w:val="auto"/>
        </w:rPr>
        <w:t xml:space="preserve">Hydrocarbon revenue. </w:t>
      </w:r>
      <w:r>
        <w:rPr>
          <w:rFonts w:ascii="Arial" w:cs="Arial" w:eastAsia="Arial" w:hAnsi="Arial"/>
          <w:sz w:val="18"/>
          <w:szCs w:val="18"/>
          <w:color w:val="auto"/>
        </w:rPr>
        <w:t>Hydrocarbon revenues include sales of SAF, isooctene and isooctane and are sold mostly on a free-on-board,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point basis. Each transaction occurs independent of any other sale, and once sold, there are no future obligations on the part of the Company to provide post-sale support or promises to deliver future goods or services.</w:t>
      </w:r>
    </w:p>
    <w:p>
      <w:pPr>
        <w:spacing w:after="0" w:line="184" w:lineRule="exact"/>
        <w:rPr>
          <w:sz w:val="20"/>
          <w:szCs w:val="20"/>
          <w:color w:val="auto"/>
        </w:rPr>
      </w:pPr>
    </w:p>
    <w:p>
      <w:pPr>
        <w:ind w:right="360" w:firstLine="567"/>
        <w:spacing w:after="0" w:line="311" w:lineRule="auto"/>
        <w:rPr>
          <w:sz w:val="20"/>
          <w:szCs w:val="20"/>
          <w:color w:val="auto"/>
        </w:rPr>
      </w:pPr>
      <w:r>
        <w:rPr>
          <w:rFonts w:ascii="Arial" w:cs="Arial" w:eastAsia="Arial" w:hAnsi="Arial"/>
          <w:sz w:val="16"/>
          <w:szCs w:val="16"/>
          <w:i w:val="1"/>
          <w:iCs w:val="1"/>
          <w:color w:val="auto"/>
        </w:rPr>
        <w:t xml:space="preserve">Ethanol sales and related products revenues. </w:t>
      </w:r>
      <w:r>
        <w:rPr>
          <w:rFonts w:ascii="Arial" w:cs="Arial" w:eastAsia="Arial" w:hAnsi="Arial"/>
          <w:sz w:val="16"/>
          <w:szCs w:val="16"/>
          <w:color w:val="auto"/>
        </w:rPr>
        <w:t>Ethanol sales and related products revenues are sold to customers on a free-on-board, shipping</w:t>
      </w:r>
      <w:r>
        <w:rPr>
          <w:rFonts w:ascii="Arial" w:cs="Arial" w:eastAsia="Arial" w:hAnsi="Arial"/>
          <w:sz w:val="16"/>
          <w:szCs w:val="16"/>
          <w:i w:val="1"/>
          <w:iCs w:val="1"/>
          <w:color w:val="auto"/>
        </w:rPr>
        <w:t xml:space="preserve"> </w:t>
      </w:r>
      <w:r>
        <w:rPr>
          <w:rFonts w:ascii="Arial" w:cs="Arial" w:eastAsia="Arial" w:hAnsi="Arial"/>
          <w:sz w:val="16"/>
          <w:szCs w:val="16"/>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49"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i w:val="1"/>
          <w:iCs w:val="1"/>
          <w:color w:val="auto"/>
        </w:rPr>
        <w:t xml:space="preserve">Grant and other revenues. </w:t>
      </w:r>
      <w:r>
        <w:rPr>
          <w:rFonts w:ascii="Arial" w:cs="Arial" w:eastAsia="Arial" w:hAnsi="Arial"/>
          <w:sz w:val="16"/>
          <w:szCs w:val="16"/>
          <w:color w:val="auto"/>
        </w:rPr>
        <w:t>Grant revenues have historically consisted of governmental and cooperative research grants. Other revenues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included occasional short-term (less than one-year) consulting services and leases of certain storage facilities located at the Luverne Facility.</w:t>
      </w:r>
    </w:p>
    <w:p>
      <w:pPr>
        <w:spacing w:after="0" w:line="124"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rPr>
              <w:t>Three Months Ended June 30, 2021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00" w:type="dxa"/>
            <w:vAlign w:val="bottom"/>
          </w:tcPr>
          <w:p>
            <w:pPr>
              <w:ind w:left="2080"/>
              <w:spacing w:after="0"/>
              <w:rPr>
                <w:sz w:val="20"/>
                <w:szCs w:val="20"/>
                <w:color w:val="auto"/>
              </w:rPr>
            </w:pPr>
            <w:r>
              <w:rPr>
                <w:rFonts w:ascii="Arial" w:cs="Arial" w:eastAsia="Arial" w:hAnsi="Arial"/>
                <w:sz w:val="18"/>
                <w:szCs w:val="18"/>
                <w:b w:val="1"/>
                <w:bCs w:val="1"/>
                <w:color w:val="auto"/>
              </w:rPr>
              <w:t>Major Goods/Service Line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Revenues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Hydrocarbon revenue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23"/>
        </w:trPr>
        <w:tc>
          <w:tcPr>
            <w:tcW w:w="6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6"/>
        </w:trPr>
        <w:tc>
          <w:tcPr>
            <w:tcW w:w="62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r>
      <w:tr>
        <w:trPr>
          <w:trHeight w:val="197"/>
        </w:trPr>
        <w:tc>
          <w:tcPr>
            <w:tcW w:w="6200" w:type="dxa"/>
            <w:vAlign w:val="bottom"/>
            <w:tcBorders>
              <w:top w:val="single" w:sz="8" w:color="CCEEFF"/>
              <w:bottom w:val="single" w:sz="8" w:color="auto"/>
            </w:tcBorders>
          </w:tcPr>
          <w:p>
            <w:pPr>
              <w:ind w:left="1880"/>
              <w:spacing w:after="0" w:line="196" w:lineRule="exact"/>
              <w:rPr>
                <w:sz w:val="20"/>
                <w:szCs w:val="20"/>
                <w:color w:val="auto"/>
              </w:rPr>
            </w:pPr>
            <w:r>
              <w:rPr>
                <w:rFonts w:ascii="Arial" w:cs="Arial" w:eastAsia="Arial" w:hAnsi="Arial"/>
                <w:sz w:val="18"/>
                <w:szCs w:val="18"/>
                <w:b w:val="1"/>
                <w:bCs w:val="1"/>
                <w:color w:val="auto"/>
              </w:rPr>
              <w:t>Timing of Revenue Recognition</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6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2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Major Goods/Service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26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Ethanol sales and related products,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Hydrocarbon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00" w:lineRule="exact"/>
        <w:rPr>
          <w:sz w:val="20"/>
          <w:szCs w:val="20"/>
          <w:color w:val="auto"/>
        </w:rPr>
      </w:pPr>
    </w:p>
    <w:p>
      <w:pPr>
        <w:spacing w:after="0" w:line="277" w:lineRule="exact"/>
        <w:rPr>
          <w:sz w:val="20"/>
          <w:szCs w:val="20"/>
          <w:color w:val="auto"/>
        </w:rPr>
      </w:pPr>
    </w:p>
    <w:p>
      <w:pPr>
        <w:ind w:right="1300" w:firstLine="1881"/>
        <w:spacing w:after="0" w:line="279" w:lineRule="auto"/>
        <w:rPr>
          <w:sz w:val="20"/>
          <w:szCs w:val="20"/>
          <w:color w:val="auto"/>
        </w:rPr>
      </w:pPr>
      <w:r>
        <w:rPr>
          <w:rFonts w:ascii="Arial" w:cs="Arial" w:eastAsia="Arial" w:hAnsi="Arial"/>
          <w:sz w:val="18"/>
          <w:szCs w:val="18"/>
          <w:b w:val="1"/>
          <w:bCs w:val="1"/>
          <w:color w:val="auto"/>
        </w:rPr>
        <w:t xml:space="preserve">Timing of Revenue Recognition </w:t>
      </w:r>
      <w:r>
        <w:rPr>
          <w:rFonts w:ascii="Arial" w:cs="Arial" w:eastAsia="Arial" w:hAnsi="Arial"/>
          <w:sz w:val="18"/>
          <w:szCs w:val="18"/>
          <w:color w:val="auto"/>
        </w:rPr>
        <w:t>Goods transferred at a point in time</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41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30"/>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42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-1137920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-863600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-581025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-280670</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6960" w:type="dxa"/>
            <w:vAlign w:val="bottom"/>
            <w:gridSpan w:val="2"/>
            <w:shd w:val="clear" w:color="auto" w:fill="CCEEFF"/>
          </w:tcPr>
          <w:p>
            <w:pPr>
              <w:jc w:val="right"/>
              <w:ind w:right="4780"/>
              <w:spacing w:after="0" w:line="199" w:lineRule="exact"/>
              <w:rPr>
                <w:sz w:val="20"/>
                <w:szCs w:val="20"/>
                <w:color w:val="auto"/>
              </w:rPr>
            </w:pPr>
            <w:r>
              <w:rPr>
                <w:rFonts w:ascii="Arial" w:cs="Arial" w:eastAsia="Arial" w:hAnsi="Arial"/>
                <w:sz w:val="18"/>
                <w:szCs w:val="18"/>
                <w:color w:val="auto"/>
                <w:w w:val="89"/>
              </w:rPr>
              <w:t>Services transferred over time</w:t>
            </w:r>
          </w:p>
        </w:tc>
        <w:tc>
          <w:tcPr>
            <w:tcW w:w="106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46</w:t>
            </w:r>
          </w:p>
        </w:tc>
      </w:tr>
      <w:tr>
        <w:trPr>
          <w:trHeight w:val="223"/>
        </w:trPr>
        <w:tc>
          <w:tcPr>
            <w:tcW w:w="63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6"/>
        </w:trPr>
        <w:tc>
          <w:tcPr>
            <w:tcW w:w="6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629"/>
        </w:trPr>
        <w:tc>
          <w:tcPr>
            <w:tcW w:w="632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12</w:t>
            </w: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rPr>
              <w:t>GEVO, INC.</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6"/>
          </w:tcPr>
          <w:p>
            <w:pPr>
              <w:jc w:val="center"/>
              <w:ind w:left="187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Six Months Ended June 30, 2021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4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Major Goods/Service Line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Revenues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09"/>
        </w:trPr>
        <w:tc>
          <w:tcPr>
            <w:tcW w:w="1280" w:type="dxa"/>
            <w:vAlign w:val="bottom"/>
            <w:tcBorders>
              <w:top w:val="single" w:sz="8" w:color="auto"/>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Hydrocarbon revenue</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23"/>
        </w:trPr>
        <w:tc>
          <w:tcPr>
            <w:tcW w:w="1280" w:type="dxa"/>
            <w:vAlign w:val="bottom"/>
            <w:tcBorders>
              <w:top w:val="single" w:sz="8" w:color="CCEEFF"/>
            </w:tcBorders>
          </w:tcPr>
          <w:p>
            <w:pPr>
              <w:spacing w:after="0"/>
              <w:rPr>
                <w:sz w:val="19"/>
                <w:szCs w:val="19"/>
                <w:color w:val="auto"/>
              </w:rPr>
            </w:pPr>
          </w:p>
        </w:tc>
        <w:tc>
          <w:tcPr>
            <w:tcW w:w="344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6"/>
        </w:trPr>
        <w:tc>
          <w:tcPr>
            <w:tcW w:w="1280" w:type="dxa"/>
            <w:vAlign w:val="bottom"/>
            <w:shd w:val="clear" w:color="auto" w:fill="CCEEFF"/>
          </w:tcPr>
          <w:p>
            <w:pPr>
              <w:spacing w:after="0"/>
              <w:rPr>
                <w:sz w:val="22"/>
                <w:szCs w:val="22"/>
                <w:color w:val="auto"/>
              </w:rPr>
            </w:pPr>
          </w:p>
        </w:tc>
        <w:tc>
          <w:tcPr>
            <w:tcW w:w="344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197"/>
        </w:trPr>
        <w:tc>
          <w:tcPr>
            <w:tcW w:w="1280" w:type="dxa"/>
            <w:vAlign w:val="bottom"/>
            <w:tcBorders>
              <w:top w:val="single" w:sz="8" w:color="CCEEFF"/>
              <w:bottom w:val="single" w:sz="8" w:color="auto"/>
            </w:tcBorders>
          </w:tcPr>
          <w:p>
            <w:pPr>
              <w:spacing w:after="0"/>
              <w:rPr>
                <w:sz w:val="17"/>
                <w:szCs w:val="17"/>
                <w:color w:val="auto"/>
              </w:rPr>
            </w:pPr>
          </w:p>
        </w:tc>
        <w:tc>
          <w:tcPr>
            <w:tcW w:w="3440" w:type="dxa"/>
            <w:vAlign w:val="bottom"/>
            <w:tcBorders>
              <w:top w:val="single" w:sz="8" w:color="CCEEFF"/>
              <w:bottom w:val="single" w:sz="8" w:color="auto"/>
            </w:tcBorders>
          </w:tcPr>
          <w:p>
            <w:pPr>
              <w:jc w:val="center"/>
              <w:ind w:left="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48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9"/>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Services transferred over time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23"/>
        </w:trPr>
        <w:tc>
          <w:tcPr>
            <w:tcW w:w="128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r>
      <w:tr>
        <w:trPr>
          <w:trHeight w:val="20"/>
        </w:trPr>
        <w:tc>
          <w:tcPr>
            <w:tcW w:w="1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Major Goods/Service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26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Ethanol sales and related products,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Hydrocarbon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00" w:lineRule="exact"/>
        <w:rPr>
          <w:sz w:val="20"/>
          <w:szCs w:val="20"/>
          <w:color w:val="auto"/>
        </w:rPr>
      </w:pPr>
    </w:p>
    <w:p>
      <w:pPr>
        <w:spacing w:after="0" w:line="277" w:lineRule="exact"/>
        <w:rPr>
          <w:sz w:val="20"/>
          <w:szCs w:val="20"/>
          <w:color w:val="auto"/>
        </w:rPr>
      </w:pPr>
    </w:p>
    <w:p>
      <w:pPr>
        <w:ind w:right="1300" w:firstLine="1881"/>
        <w:spacing w:after="0" w:line="279" w:lineRule="auto"/>
        <w:rPr>
          <w:sz w:val="20"/>
          <w:szCs w:val="20"/>
          <w:color w:val="auto"/>
        </w:rPr>
      </w:pPr>
      <w:r>
        <w:rPr>
          <w:rFonts w:ascii="Arial" w:cs="Arial" w:eastAsia="Arial" w:hAnsi="Arial"/>
          <w:sz w:val="18"/>
          <w:szCs w:val="18"/>
          <w:b w:val="1"/>
          <w:bCs w:val="1"/>
          <w:color w:val="auto"/>
        </w:rPr>
        <w:t xml:space="preserve">Timing of Revenue Recognition </w:t>
      </w:r>
      <w:r>
        <w:rPr>
          <w:rFonts w:ascii="Arial" w:cs="Arial" w:eastAsia="Arial" w:hAnsi="Arial"/>
          <w:sz w:val="18"/>
          <w:szCs w:val="18"/>
          <w:color w:val="auto"/>
        </w:rPr>
        <w:t>Goods transferred at a point in time</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Arial" w:cs="Arial" w:eastAsia="Arial" w:hAnsi="Arial"/>
          <w:sz w:val="18"/>
          <w:szCs w:val="18"/>
          <w:b w:val="1"/>
          <w:bCs w:val="1"/>
          <w:color w:val="auto"/>
        </w:rPr>
        <w:t>Six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41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3,783</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16"/>
        </w:trPr>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30"/>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42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4,767</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-1137920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-864235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-581025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-280670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600" w:space="720"/>
            <w:col w:w="49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6900" w:type="dxa"/>
            <w:vAlign w:val="bottom"/>
            <w:gridSpan w:val="2"/>
            <w:shd w:val="clear" w:color="auto" w:fill="CCEEFF"/>
          </w:tcPr>
          <w:p>
            <w:pPr>
              <w:jc w:val="right"/>
              <w:ind w:right="4720"/>
              <w:spacing w:after="0" w:line="199" w:lineRule="exact"/>
              <w:rPr>
                <w:sz w:val="20"/>
                <w:szCs w:val="20"/>
                <w:color w:val="auto"/>
              </w:rPr>
            </w:pPr>
            <w:r>
              <w:rPr>
                <w:rFonts w:ascii="Arial" w:cs="Arial" w:eastAsia="Arial" w:hAnsi="Arial"/>
                <w:sz w:val="18"/>
                <w:szCs w:val="18"/>
                <w:color w:val="auto"/>
                <w:w w:val="89"/>
              </w:rPr>
              <w:t>Services transferred over time</w:t>
            </w:r>
          </w:p>
        </w:tc>
        <w:tc>
          <w:tcPr>
            <w:tcW w:w="1120" w:type="dxa"/>
            <w:vAlign w:val="bottom"/>
            <w:gridSpan w:val="2"/>
            <w:shd w:val="clear" w:color="auto" w:fill="CCEEFF"/>
          </w:tcPr>
          <w:p>
            <w:pPr>
              <w:jc w:val="right"/>
              <w:ind w:right="240"/>
              <w:spacing w:after="0" w:line="199" w:lineRule="exact"/>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46</w:t>
            </w:r>
          </w:p>
        </w:tc>
      </w:tr>
      <w:tr>
        <w:trPr>
          <w:trHeight w:val="223"/>
        </w:trPr>
        <w:tc>
          <w:tcPr>
            <w:tcW w:w="632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6"/>
        </w:trPr>
        <w:tc>
          <w:tcPr>
            <w:tcW w:w="6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4,813</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w:t>
            </w:r>
          </w:p>
        </w:tc>
      </w:tr>
      <w:tr>
        <w:trPr>
          <w:trHeight w:val="628"/>
        </w:trPr>
        <w:tc>
          <w:tcPr>
            <w:tcW w:w="632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13</w:t>
            </w: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and six months ended June 30, 2021 and 2020, there were no contracts with customers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variable or for which there were multiple performance obligations for any given contract. Accordingly, the entire transaction price is allocated to the goods transferred. As of June 30, 2021 and December 31, 2020, there were no remaining unfulfilled or partially fulfilled performance obligations.</w:t>
      </w:r>
    </w:p>
    <w:p>
      <w:pPr>
        <w:spacing w:after="0" w:line="187"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All material contracts have payment terms of between one to three months and there are no return or refund rights.</w:t>
      </w:r>
    </w:p>
    <w:p>
      <w:pPr>
        <w:spacing w:after="0" w:line="18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three and six months ended June 30, 2021 and 2020, there were no contracts for which consideration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or for which there were multiple performance obligation for any given contract. Accordingly, the entire transaction price is allocated to the individual service performance obligation. As of June 30, 2021 and December 31, 2020, respectively, there were no material unfulfilled or partially fulfilled performance obligations.</w:t>
      </w:r>
    </w:p>
    <w:p>
      <w:pPr>
        <w:spacing w:after="0" w:line="18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i w:val="1"/>
          <w:iCs w:val="1"/>
          <w:color w:val="auto"/>
        </w:rPr>
        <w:t xml:space="preserve">Contract Assets and Trade Receivables. </w:t>
      </w:r>
      <w:r>
        <w:rPr>
          <w:rFonts w:ascii="Arial" w:cs="Arial" w:eastAsia="Arial" w:hAnsi="Arial"/>
          <w:sz w:val="18"/>
          <w:szCs w:val="18"/>
          <w:color w:val="auto"/>
        </w:rPr>
        <w:t>As of June 30, 2021 and December 31, 2020, there were no contract assets or liabilities as all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as of June 30, 2021 and December 31, 2020. The Company did not incur any impairment losses on any receivables as all amounts owed were paid or current as of June 30, 2021 or December 31, 2020.</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Right-of-Use Assets and Related Liabilities</w:t>
      </w:r>
    </w:p>
    <w:p>
      <w:pPr>
        <w:spacing w:after="0" w:line="229"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operating lease contracts for the Company are comprised of a facility and an equipment lease necessary to conduct the Company's day-to-day operations. The lease for the Company’s office and research facility in Englewood, Colorado expires January 2029. The lease for plant equipment used by Agri-Energy at the Luverne Facility expires August 2021. Neither of the operating leases contains an option to extend the lease that is reasonably certain to be exercised. All other operating leases qualified for the short-term scope exemption elected by the Company. The Company recognizes rent expense on its operating lease on a straight-line basis. The Company has elected the practical expedient to not separate lease components from non-lease components for these asset classes. As of June 30, 2021, right-of-use assets under operating leases totaling $1.8 million are included in "Operating right-of use assets," and related lease liabilities totaling $1.8 million are included in "Operating lease liabilities (long-term)”.</w:t>
      </w:r>
    </w:p>
    <w:p>
      <w:pPr>
        <w:spacing w:after="0" w:line="166" w:lineRule="exact"/>
        <w:rPr>
          <w:sz w:val="20"/>
          <w:szCs w:val="20"/>
          <w:color w:val="auto"/>
        </w:rPr>
      </w:pPr>
    </w:p>
    <w:p>
      <w:pPr>
        <w:ind w:left="160" w:right="20" w:firstLine="486"/>
        <w:spacing w:after="0" w:line="286" w:lineRule="auto"/>
        <w:rPr>
          <w:sz w:val="20"/>
          <w:szCs w:val="20"/>
          <w:color w:val="auto"/>
        </w:rPr>
      </w:pPr>
      <w:r>
        <w:rPr>
          <w:rFonts w:ascii="Arial" w:cs="Arial" w:eastAsia="Arial" w:hAnsi="Arial"/>
          <w:sz w:val="16"/>
          <w:szCs w:val="16"/>
          <w:color w:val="auto"/>
        </w:rPr>
        <w:t>The Company also has four finance leases for land under arrangements related to Gevo RNG. Under these contracts, the Company leases land from dairy farmers on which it is building three anaerobic digesters, related equipment and pipelines to condition raw biogas from cow manure provided by the farmers. The partially conditioned biogas will be transported from the three digester sites to a central gas upgrade system located at the fourth site that will upgrade the biogas to pipeline quality natural gas for sale. These leases expire at various dates between 2031 and 2047. Certain leases provide the Company with the right to terminate the lease prior to the stated lease expiration date; however, the Company is reasonably certain not to exercise such termination right and thus periods beyond this termination right have been recognized as part of the Company’s right-of-use assets and lease liabilities. In addition, some of these leases include renewal periods that have been deemed to be reasonably certain to be exercised and as such have been recognized as part of the Company’s right-of-use assets and lease liabilities. The Company has elected the practical expedient to not separate lease components from non-lease components for this dairy lease asset class and therefore, all amounts paid to the lessor under these arrangements for cow manure and nonlease services are classified as lease payments and included in the calculation of the right-of-use assets and lease liabilities. This results in significantly higher right-of-use assets and lease liabilities than if the Company did not elect this practical expedient. As of June 30, 2021, right-of-use assets under finance leases totaling $27.5 million are included in "Finance right-of-use assets," and related lease liabilities totaling $24.6 million are included in the Consolidated Balance Sheets as follows: $4.9 million of lease liabilities included in "Finance lease liabilities (current) and $19.7 million included in "Finance lease liabilities (long-term)".</w:t>
      </w:r>
    </w:p>
    <w:p>
      <w:pPr>
        <w:spacing w:after="0" w:line="171"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The Company began leasing its grain bins in Luverne, Minnesota in October 2020 through a short-term operating lease agreement which expires in July 2021. Rental income for the three and six months ended June 30, 2021 totaled $0.1 million and $0.1 million, respectively.</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 (dollars in thousands):</w:t>
      </w:r>
    </w:p>
    <w:p>
      <w:pPr>
        <w:sectPr>
          <w:pgSz w:w="11900" w:h="16838" w:orient="portrait"/>
          <w:cols w:equalWidth="0" w:num="1">
            <w:col w:w="10840"/>
          </w:cols>
          <w:pgMar w:left="320" w:top="125" w:right="7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 cost (1):</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right-of-use assets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on lease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cost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Short-Term lease cost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Variable lease cost (2)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627"/>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3,356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426"/>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3,949</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r>
      <w:tr>
        <w:trPr>
          <w:trHeight w:val="413"/>
        </w:trPr>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09"/>
        </w:trPr>
        <w:tc>
          <w:tcPr>
            <w:tcW w:w="32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-1687830</wp:posOffset>
            </wp:positionV>
            <wp:extent cx="677227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-1414145</wp:posOffset>
            </wp:positionV>
            <wp:extent cx="677227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-1139190</wp:posOffset>
            </wp:positionV>
            <wp:extent cx="677227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-864870</wp:posOffset>
            </wp:positionV>
            <wp:extent cx="67722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-582295</wp:posOffset>
            </wp:positionV>
            <wp:extent cx="677227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60" w:space="720"/>
            <w:col w:w="3460"/>
          </w:cols>
          <w:pgMar w:left="320" w:top="125" w:right="739" w:bottom="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Finance lease cost (1):</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right-of use assets</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80" w:type="dxa"/>
            <w:vAlign w:val="bottom"/>
          </w:tcPr>
          <w:p>
            <w:pPr>
              <w:ind w:left="500"/>
              <w:spacing w:after="0"/>
              <w:rPr>
                <w:sz w:val="20"/>
                <w:szCs w:val="20"/>
                <w:color w:val="auto"/>
              </w:rPr>
            </w:pPr>
            <w:r>
              <w:rPr>
                <w:rFonts w:ascii="Arial" w:cs="Arial" w:eastAsia="Arial" w:hAnsi="Arial"/>
                <w:sz w:val="18"/>
                <w:szCs w:val="18"/>
                <w:color w:val="auto"/>
              </w:rPr>
              <w:t>Interest on lease liabilities</w:t>
            </w: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cost</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Short-Term lease cost</w:t>
            </w: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cost (2)</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0"/>
        </w:trPr>
        <w:tc>
          <w:tcPr>
            <w:tcW w:w="73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80" w:firstLine="8"/>
        <w:spacing w:after="0" w:line="258"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lease costs are capitalized as a cost of constructing the facility included in "Property, plant and equipment, net" as the RNG facilities are still under construction</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amounts incurred in excess of minimum payments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cash flows from finance leases</w:t>
            </w:r>
          </w:p>
        </w:tc>
        <w:tc>
          <w:tcPr>
            <w:tcW w:w="18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tcPr>
          <w:p>
            <w:pPr>
              <w:ind w:left="660"/>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0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r>
      <w:tr>
        <w:trPr>
          <w:trHeight w:val="216"/>
        </w:trPr>
        <w:tc>
          <w:tcPr>
            <w:tcW w:w="6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cash flows from finance leases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3,046</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Right-of-use asset obtained in exchange for new finance lease liabilities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27,775</w:t>
            </w:r>
          </w:p>
        </w:tc>
        <w:tc>
          <w:tcPr>
            <w:tcW w:w="10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 obtained in exchange for new operating lease liabilities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1,562</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Weighted-average remaining lease term, finance lease (months)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218</w:t>
            </w:r>
          </w:p>
        </w:tc>
        <w:tc>
          <w:tcPr>
            <w:tcW w:w="10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operating leases (months)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Weighted-average discount rate - finance leases (3)</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discount rate - operating leases (3)</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right="32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discount rate used for operating leases is based on our implicit borrowing rate ("IBR") at the date the Company entered into the lease. The Company estimated the IBR based collateralized borrowings for similar terms and payments.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shows the future minimum payments under non-cancelable financing and operating leases at June 30, 2021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Operating Leases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Finance Leases</w:t>
            </w:r>
          </w:p>
        </w:tc>
      </w:tr>
      <w:tr>
        <w:trPr>
          <w:trHeight w:val="210"/>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7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4,473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18"/>
                <w:szCs w:val="18"/>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35,177</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Less: Amounts representing present value discounts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(10,574)</w:t>
            </w:r>
          </w:p>
        </w:tc>
      </w:tr>
      <w:tr>
        <w:trPr>
          <w:trHeight w:val="209"/>
        </w:trPr>
        <w:tc>
          <w:tcPr>
            <w:tcW w:w="7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24,603</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(4,888)</w:t>
            </w:r>
          </w:p>
        </w:tc>
      </w:tr>
      <w:tr>
        <w:trPr>
          <w:trHeight w:val="20"/>
        </w:trPr>
        <w:tc>
          <w:tcPr>
            <w:tcW w:w="7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Long-term portion</w:t>
            </w:r>
          </w:p>
        </w:tc>
        <w:tc>
          <w:tcPr>
            <w:tcW w:w="70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1,783</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19,715</w:t>
            </w:r>
          </w:p>
        </w:tc>
      </w:tr>
      <w:tr>
        <w:trPr>
          <w:trHeight w:val="20"/>
        </w:trPr>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320" w:top="125" w:right="7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840"/>
          </w:cols>
          <w:pgMar w:left="320" w:top="125" w:right="739"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8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Enzymes and other inputs</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Nutrients</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SAF, Isooctane and Isooctene</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Palladium</w:t>
            </w:r>
          </w:p>
        </w:tc>
        <w:tc>
          <w:tcPr>
            <w:tcW w:w="10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r>
      <w:tr>
        <w:trPr>
          <w:trHeight w:val="250"/>
        </w:trPr>
        <w:tc>
          <w:tcPr>
            <w:tcW w:w="8000" w:type="dxa"/>
            <w:vAlign w:val="bottom"/>
            <w:tcBorders>
              <w:top w:val="single" w:sz="8" w:color="CCEEFF"/>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r>
      <w:tr>
        <w:trPr>
          <w:trHeight w:val="413"/>
        </w:trPr>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Work in process inventory includes unfinished SAF, isooctane and isooctene inventory.</w:t>
            </w:r>
          </w:p>
        </w:tc>
        <w:tc>
          <w:tcPr>
            <w:tcW w:w="1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00" w:type="dxa"/>
            <w:vAlign w:val="bottom"/>
          </w:tcPr>
          <w:p>
            <w:pPr>
              <w:ind w:left="5540"/>
              <w:spacing w:after="0"/>
              <w:rPr>
                <w:sz w:val="20"/>
                <w:szCs w:val="20"/>
                <w:color w:val="auto"/>
              </w:rPr>
            </w:pPr>
            <w:r>
              <w:rPr>
                <w:rFonts w:ascii="Arial" w:cs="Arial" w:eastAsia="Arial" w:hAnsi="Arial"/>
                <w:sz w:val="18"/>
                <w:szCs w:val="18"/>
                <w:color w:val="auto"/>
              </w:rPr>
              <w:t>16</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Luverne retrofit asset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40" w:type="dxa"/>
            <w:vAlign w:val="bottom"/>
          </w:tcPr>
          <w:p>
            <w:pPr>
              <w:spacing w:after="0"/>
              <w:rPr>
                <w:sz w:val="18"/>
                <w:szCs w:val="18"/>
                <w:color w:val="auto"/>
              </w:rPr>
            </w:pP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70,820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70,820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Site improvements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7,157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Demonstration plant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office equipment and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28,122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13,132</w:t>
            </w:r>
          </w:p>
        </w:tc>
      </w:tr>
      <w:tr>
        <w:trPr>
          <w:trHeight w:val="210"/>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140,683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125,525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(59,117)</w:t>
            </w:r>
          </w:p>
        </w:tc>
      </w:tr>
      <w:tr>
        <w:trPr>
          <w:trHeight w:val="250"/>
        </w:trPr>
        <w:tc>
          <w:tcPr>
            <w:tcW w:w="64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79,243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recorded depreciation and amortization expense related to property, plant and equipment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1,575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09"/>
        </w:trPr>
        <w:tc>
          <w:tcPr>
            <w:tcW w:w="406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39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4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6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3,162</w:t>
            </w:r>
          </w:p>
        </w:tc>
      </w:tr>
      <w:tr>
        <w:trPr>
          <w:trHeight w:val="21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494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r>
      <w:tr>
        <w:trPr>
          <w:trHeight w:val="25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9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3,268</w:t>
            </w:r>
          </w:p>
        </w:tc>
      </w:tr>
      <w:tr>
        <w:trPr>
          <w:trHeight w:val="629"/>
        </w:trPr>
        <w:tc>
          <w:tcPr>
            <w:tcW w:w="406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17</w:t>
            </w: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warrants sold by the Company during the six months ended June 30, 2021.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pertaining to shares issued upon the exercise of warrants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Issued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upon Warrant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Exercises 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34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Issuance</w:t>
            </w:r>
          </w:p>
        </w:tc>
        <w:tc>
          <w:tcPr>
            <w:tcW w:w="10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Price as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Warrants 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 of</w:t>
            </w:r>
          </w:p>
        </w:tc>
      </w:tr>
      <w:tr>
        <w:trPr>
          <w:trHeight w:val="234"/>
        </w:trPr>
        <w:tc>
          <w:tcPr>
            <w:tcW w:w="34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June 30, 2021</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Issuance Date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2021</w:t>
            </w:r>
          </w:p>
        </w:tc>
      </w:tr>
      <w:tr>
        <w:trPr>
          <w:trHeight w:val="209"/>
        </w:trPr>
        <w:tc>
          <w:tcPr>
            <w:tcW w:w="34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Series I Warrants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9/13/2016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9/13/2021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35,368</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Series K Warrants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2/17/2017</w:t>
            </w:r>
          </w:p>
        </w:tc>
        <w:tc>
          <w:tcPr>
            <w:tcW w:w="22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2"/>
              </w:rPr>
              <w:t>2/17/2022</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315,986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308,860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7,126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Series 2020-A Warrants (1)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7/6/2020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7/6/2025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29,909,392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90,608</w:t>
            </w:r>
          </w:p>
        </w:tc>
      </w:tr>
      <w:tr>
        <w:trPr>
          <w:trHeight w:val="209"/>
        </w:trPr>
        <w:tc>
          <w:tcPr>
            <w:tcW w:w="34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30,351,354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30,218,252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133,102</w:t>
            </w:r>
          </w:p>
        </w:tc>
      </w:tr>
      <w:tr>
        <w:trPr>
          <w:trHeight w:val="413"/>
        </w:trPr>
        <w:tc>
          <w:tcPr>
            <w:tcW w:w="47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w w:val="93"/>
              </w:rPr>
              <w:t>(1)  The Series 2020-A Warrants are equity-classified warrants.</w:t>
            </w: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3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agreements governing the above warrants include the following terms:</w:t>
      </w:r>
    </w:p>
    <w:p>
      <w:pPr>
        <w:spacing w:after="0" w:line="225" w:lineRule="exact"/>
        <w:rPr>
          <w:sz w:val="20"/>
          <w:szCs w:val="20"/>
          <w:color w:val="auto"/>
        </w:rPr>
      </w:pPr>
    </w:p>
    <w:p>
      <w:pPr>
        <w:jc w:val="both"/>
        <w:ind w:left="380" w:right="160" w:hanging="129"/>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83" w:lineRule="exact"/>
        <w:rPr>
          <w:rFonts w:ascii="Arial" w:cs="Arial" w:eastAsia="Arial" w:hAnsi="Arial"/>
          <w:sz w:val="18"/>
          <w:szCs w:val="18"/>
          <w:color w:val="auto"/>
        </w:rPr>
      </w:pPr>
    </w:p>
    <w:p>
      <w:pPr>
        <w:ind w:left="380" w:right="220" w:hanging="116"/>
        <w:spacing w:after="0" w:line="263" w:lineRule="auto"/>
        <w:tabs>
          <w:tab w:leader="none" w:pos="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83" w:lineRule="exact"/>
        <w:rPr>
          <w:rFonts w:ascii="Arial" w:cs="Arial" w:eastAsia="Arial" w:hAnsi="Arial"/>
          <w:sz w:val="18"/>
          <w:szCs w:val="18"/>
          <w:color w:val="auto"/>
        </w:rPr>
      </w:pPr>
    </w:p>
    <w:p>
      <w:pPr>
        <w:ind w:left="380" w:right="120" w:hanging="129"/>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83" w:lineRule="exact"/>
        <w:rPr>
          <w:rFonts w:ascii="Arial" w:cs="Arial" w:eastAsia="Arial" w:hAnsi="Arial"/>
          <w:sz w:val="18"/>
          <w:szCs w:val="18"/>
          <w:color w:val="auto"/>
        </w:rPr>
      </w:pPr>
    </w:p>
    <w:p>
      <w:pPr>
        <w:ind w:left="400" w:right="80" w:hanging="149"/>
        <w:spacing w:after="0" w:line="271" w:lineRule="auto"/>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six months ended June 30, 2021, common stock was issued as a result of exercise of warrants as shown below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Proceeds</w:t>
            </w:r>
          </w:p>
        </w:tc>
        <w:tc>
          <w:tcPr>
            <w:tcW w:w="100" w:type="dxa"/>
            <w:vAlign w:val="bottom"/>
          </w:tcPr>
          <w:p>
            <w:pPr>
              <w:spacing w:after="0"/>
              <w:rPr>
                <w:sz w:val="20"/>
                <w:szCs w:val="20"/>
                <w:color w:val="auto"/>
              </w:rPr>
            </w:pPr>
          </w:p>
        </w:tc>
      </w:tr>
      <w:tr>
        <w:trPr>
          <w:trHeight w:val="210"/>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Series K Warrants</w:t>
            </w:r>
          </w:p>
        </w:tc>
        <w:tc>
          <w:tcPr>
            <w:tcW w:w="5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000" w:type="dxa"/>
            <w:vAlign w:val="bottom"/>
          </w:tcPr>
          <w:p>
            <w:pPr>
              <w:ind w:left="500"/>
              <w:spacing w:after="0"/>
              <w:rPr>
                <w:sz w:val="20"/>
                <w:szCs w:val="20"/>
                <w:color w:val="auto"/>
              </w:rPr>
            </w:pPr>
            <w:r>
              <w:rPr>
                <w:rFonts w:ascii="Arial" w:cs="Arial" w:eastAsia="Arial" w:hAnsi="Arial"/>
                <w:sz w:val="18"/>
                <w:szCs w:val="18"/>
                <w:color w:val="auto"/>
              </w:rPr>
              <w:t>Series 2020-A Warrants</w:t>
            </w:r>
          </w:p>
        </w:tc>
        <w:tc>
          <w:tcPr>
            <w:tcW w:w="40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r>
      <w:tr>
        <w:trPr>
          <w:trHeight w:val="249"/>
        </w:trPr>
        <w:tc>
          <w:tcPr>
            <w:tcW w:w="4000" w:type="dxa"/>
            <w:vAlign w:val="bottom"/>
            <w:shd w:val="clear" w:color="auto" w:fill="CCEEFF"/>
          </w:tcPr>
          <w:p>
            <w:pPr>
              <w:spacing w:after="0"/>
              <w:rPr>
                <w:sz w:val="21"/>
                <w:szCs w:val="21"/>
                <w:color w:val="auto"/>
              </w:rPr>
            </w:pPr>
          </w:p>
        </w:tc>
        <w:tc>
          <w:tcPr>
            <w:tcW w:w="5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1,866,758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413"/>
        </w:trPr>
        <w:tc>
          <w:tcPr>
            <w:tcW w:w="4000" w:type="dxa"/>
            <w:vAlign w:val="bottom"/>
            <w:tcBorders>
              <w:top w:val="single" w:sz="8" w:color="CCEEFF"/>
            </w:tcBorders>
          </w:tcPr>
          <w:p>
            <w:pPr>
              <w:spacing w:after="0"/>
              <w:rPr>
                <w:sz w:val="24"/>
                <w:szCs w:val="24"/>
                <w:color w:val="auto"/>
              </w:rPr>
            </w:pPr>
          </w:p>
        </w:tc>
        <w:tc>
          <w:tcPr>
            <w:tcW w:w="4000" w:type="dxa"/>
            <w:vAlign w:val="bottom"/>
            <w:tcBorders>
              <w:top w:val="single" w:sz="8" w:color="CCEEFF"/>
            </w:tcBorders>
          </w:tcPr>
          <w:p>
            <w:pPr>
              <w:jc w:val="right"/>
              <w:ind w:right="1950"/>
              <w:spacing w:after="0"/>
              <w:rPr>
                <w:sz w:val="20"/>
                <w:szCs w:val="20"/>
                <w:color w:val="auto"/>
              </w:rPr>
            </w:pPr>
            <w:r>
              <w:rPr>
                <w:rFonts w:ascii="Arial" w:cs="Arial" w:eastAsia="Arial" w:hAnsi="Arial"/>
                <w:sz w:val="18"/>
                <w:szCs w:val="18"/>
                <w:color w:val="auto"/>
              </w:rPr>
              <w:t>19</w:t>
            </w: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400" w:firstLine="475"/>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44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payable - trade</w:t>
            </w:r>
          </w:p>
        </w:tc>
        <w:tc>
          <w:tcPr>
            <w:tcW w:w="3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7,696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RNG accrued project costs</w:t>
            </w: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r>
      <w:tr>
        <w:trPr>
          <w:trHeight w:val="250"/>
        </w:trPr>
        <w:tc>
          <w:tcPr>
            <w:tcW w:w="4400" w:type="dxa"/>
            <w:vAlign w:val="bottom"/>
            <w:tcBorders>
              <w:top w:val="single" w:sz="8" w:color="CCEEFF"/>
            </w:tcBorders>
          </w:tcPr>
          <w:p>
            <w:pPr>
              <w:spacing w:after="0"/>
              <w:rPr>
                <w:sz w:val="21"/>
                <w:szCs w:val="21"/>
                <w:color w:val="auto"/>
              </w:rPr>
            </w:pPr>
          </w:p>
        </w:tc>
        <w:tc>
          <w:tcPr>
            <w:tcW w:w="37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3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w:t>
            </w:r>
          </w:p>
        </w:tc>
      </w:tr>
      <w:tr>
        <w:trPr>
          <w:trHeight w:val="413"/>
        </w:trPr>
        <w:tc>
          <w:tcPr>
            <w:tcW w:w="440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jc w:val="right"/>
              <w:ind w:right="2330"/>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Bond Issuance</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April 15, 2021, 2021 Bonds were issued totaling $68,155,000. The 2021 Bonds initially bear interest at the rate of 1.50% per annum during the Initial Term Rate Period (as defined in the hereinafter defined Indenture), payable semi-annually on January 1 and July 1 of each year, commencing on July 1, 2021, mature on April 1, 2042. The 2021 Bonds are callable on or after October 1, 2022, are remarketable, and are also subject to mandatory tender for purchase pursuant to the terms of the Indenture (as defined below).</w:t>
      </w:r>
    </w:p>
    <w:p>
      <w:pPr>
        <w:spacing w:after="0" w:line="18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2021 Bonds were issued under a Trust Indenture, dated as of April 1, 2021 (the “Indenture”), between the Authority and Citibank, N.A., as trustee (the “Trustee”). The principal of and the interest on the 2021 Bonds is payable solely from (i) payments to be made by Gevo RNG to the Trustee pursuant to a separate financing agreement, dated as of April 1, 2021 (the “Bond Financing Agreement”), between Gevo RNG and the Authority, (ii) all moneys received by the Authority or the Trustee in respect of payment of the loan of the proceeds of the 2021 Bonds from the Authority to Gevo RNG pursuant to the Bond Financing Agreement, (iii) all moneys and investments in the “Bond Fund” established and maintained by the Trustee pursuant to the Indenture, including without limitation moneys received by the Trustee pursuant to the Letter of Credit (as defined below), (iv) all moneys and investments in the “Project Fund” established and maintained by the Trustee pursuant to the Indenture from proceeds of the sale of the 2021 Bonds, and (v) all income and profit from the investment of the foregoing moneys, excluding any payments received by the Authority pursuant to rights of the Authority to receive certain additional payments and reimbursements of expenses as set forth in the Bond Financing Agreement. Pursuant to the Bond Financing Agreement, the proceeds of the 2021 Bonds will be loaned to Gevo RNG (1) to finance in part the construction of the biogas facility to be developed, designed, constructed, owned and operated by or on behalf of Gevo RNG,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natural gas and interconnect to Northern Natural Gas’ interstate pipeline and (D) other related improvements, (2) to capitalize a portion of the interest due on the 2021 Bonds during the Initial Term Rate Period to be used to reimburse the Credit Facility Provider (as defined below) for interest draws on the Letter of Credit during such period, and (3) to pay a portion of the costs of issuing the 2021 Bonds.</w:t>
      </w:r>
    </w:p>
    <w:p>
      <w:pPr>
        <w:spacing w:after="0" w:line="17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April 15, 2021, Gevo obtained a letter of credit for $71.2 million (the “Letter of Credit”) from the Credit Facility Provider, pursuant to the terms of a letter of credit reimbursement agreement dated as of April 1, 2021 (the “Reimbursement Agreement”), between Gevo and the Credit Facility Provider. The Letter of Credit will permit the Trustee to draw thereon in accordance with its terms in amounts sufficient to pay the principal and purchase price of the 2021 Bonds and up to 203 days’ interest on the 2021 Bonds. Pursuant to the terms of the Reimbursement Agreement, Gevo is obligated to reimburse the Credit Facility Provider for amounts drawn under the Letter of Credit. It is expected that payments of the principal and interest on the 2021 Bonds, and the purchase price of 2021 Bonds that are tendered for mandatory purchase and not remarketed, will be made by draws on the Letter of Credit. Gevo has pledged and assigned restricted cash to the Credit Facility Provider as security for the reimbursement obligations of Gevo pursuant to the Reimbursement Agreement in an amount equal to the principal amount of the 2021 Bonds plus three years of interest payments on the 2021 Bonds.</w:t>
      </w:r>
    </w:p>
    <w:p>
      <w:pPr>
        <w:spacing w:after="0" w:line="165"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Gevo anticipates remarketing the 2021 Bonds under revised terms that will include a long-term maturity date and be non-recourse to Gevo. Upon a successful remarketing, Gevo anticipates that the Letter of Credit, the Reimbursement Agreement, and the associated pledge of cash will be terminated.</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equipment loans are secured by the related equipment.</w:t>
      </w:r>
    </w:p>
    <w:p>
      <w:pPr>
        <w:spacing w:after="0" w:line="22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spacing w:after="0" w:line="143"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On April 15, 2021, the Small Business Administration forgave the entire balance of $0.5 million of the Company's and $0.1 million of Agri-Energy's loans and accrued interest obtained through the SBA PPP. The remaining SBA PPP loan for Agri-Energy totals $0.4 million, bears interest at 1.0% and matures in April 2025. Monthly payments of $8,000 began on June 5, 2021 and are payable through April 2025.</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the 2021 Bonds and Loans payable - other at June 30, 2021 and December 31, 2020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2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June 30, 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2021 Bonds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2042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SBA Loans</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2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8"/>
              </w:rPr>
              <w:t>April 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February   December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  to  5%</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2022 to 2024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loans payable - other</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Less current portion</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portion</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66,514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principal payments for the Company's long-term debt are as follows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2021 (remaining)</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66,688</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Included in the 2021 Bonds above is Bond Premium of $0.8 million and Debt Issuance Costs of $2.8 million in the principal portion. During the three months ended June 30, 2021, Bond Premium amortization was $0.1 million and Debt Issuance Cost amortization was $0.2 million based on the effective interest method and charged to interest expense as of June 30,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9"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i w:val="1"/>
          <w:iCs w:val="1"/>
          <w:color w:val="auto"/>
        </w:rPr>
        <w:t>2010 Stock Incentive Plan</w:t>
      </w:r>
      <w:r>
        <w:rPr>
          <w:rFonts w:ascii="Arial" w:cs="Arial" w:eastAsia="Arial" w:hAnsi="Arial"/>
          <w:sz w:val="17"/>
          <w:szCs w:val="17"/>
          <w:color w:val="auto"/>
        </w:rPr>
        <w:t>. In February 2011, the Company’s stockholders approved the Gevo, Inc. 2010 Stock Incentive Plan (as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to date, the "2010 Plan"). The 2010 Plan provided for the grant of non-qualified stock options, incentive stock options, stock appreciation rights, restricted stock awards, restricted stock units and other equity awards to employees and directors of the Company. On June 9, 2021, with approval of stockholders at the 2021 Annual Meeting of Stockholders, the 2010 Plan was amended and restated, which increased the number of shares of common stock reserved for issuance under the 2010 Plan to a total of 22,980,074 shares.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common stock activity during the six months ended June 30, 2021 consisted of the following:</w:t>
      </w:r>
    </w:p>
    <w:p>
      <w:pPr>
        <w:spacing w:after="0" w:line="225" w:lineRule="exact"/>
        <w:rPr>
          <w:sz w:val="20"/>
          <w:szCs w:val="20"/>
          <w:color w:val="auto"/>
        </w:rPr>
      </w:pPr>
    </w:p>
    <w:p>
      <w:pPr>
        <w:ind w:left="900" w:right="340" w:hanging="244"/>
        <w:spacing w:after="0" w:line="25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three months ended March 31, 2021, the Company cancelled 121,499 shares of common stock related to the unvested restricted stock awards due to the resignation of a director and an employee.</w:t>
      </w:r>
    </w:p>
    <w:p>
      <w:pPr>
        <w:spacing w:after="0" w:line="1" w:lineRule="exact"/>
        <w:rPr>
          <w:rFonts w:ascii="Arial" w:cs="Arial" w:eastAsia="Arial" w:hAnsi="Arial"/>
          <w:sz w:val="18"/>
          <w:szCs w:val="18"/>
          <w:color w:val="auto"/>
        </w:rPr>
      </w:pPr>
    </w:p>
    <w:p>
      <w:pPr>
        <w:ind w:left="900" w:right="460" w:hanging="244"/>
        <w:spacing w:after="0" w:line="25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three months ended June 30, 2021, the Company issued 23,795 restricted stock awards to its employees vesting immediately, 47,590 restricted stock awards vesting over two years, 39,860 restricted stock awards vesting over three years and 25,791 restricted stock awards vesting over four years.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withheld 226,709 shares of common stock to settle income taxes related to the vested restricted stock awards for certain employees during the three months ended June 30, 2021.</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2021, 17,441,531 shares remained available for awards under the 2010 Plan.</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June 30, 2021 are available for future issuance. The purchase price of the common stock under the ESPP is 85% of the lower of the fair market value of a share of common stock on the first or last day of the purchase period. There were no purchases of common stock under the ESPP during the six months ended June 30, 2021 or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 The Company records stock-based compensation expense during the requisite service period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granted to employees and non-employees.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7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9"/>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r>
      <w:tr>
        <w:trPr>
          <w:trHeight w:val="209"/>
        </w:trPr>
        <w:tc>
          <w:tcPr>
            <w:tcW w:w="59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40" w:firstLine="486"/>
        <w:spacing w:after="0" w:line="277"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stock incentive plans at June 30, 2021 and changes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Contractual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60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Term</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60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 (1)</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(years)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60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Options outstanding at December 31, 2020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1,552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556.13</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5,471.13</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60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June 30, 2021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197"/>
        </w:trPr>
        <w:tc>
          <w:tcPr>
            <w:tcW w:w="608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5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2021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197"/>
        </w:trPr>
        <w:tc>
          <w:tcPr>
            <w:tcW w:w="608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5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expected to vest at June 30, 2021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436.89</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540" w:right="4680" w:hanging="5402"/>
        <w:spacing w:after="0" w:line="778" w:lineRule="auto"/>
        <w:tabs>
          <w:tab w:leader="none" w:pos="44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Exercise price of options outstanding range from $20 to $99,300 as of June 30, 2021.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Non-vested restricted stock awards at June 30, 2021 and changes during the six months ended June 30,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80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137,036</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(646,588)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(120,808)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r>
      <w:tr>
        <w:trPr>
          <w:trHeight w:val="210"/>
        </w:trPr>
        <w:tc>
          <w:tcPr>
            <w:tcW w:w="80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Non-vested at June 30,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4,071,196</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The total fair value of restricted stock that vested during the six months ended June 30, 2021 was $1.4 million. As of June 30, 2021, the total unrecognized compensation expense, net of estimated forfeitures, relating to restricted stock awards was $2.2 million, which is expected to be recognized over the remaining weighted-average period of approximately 1.7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right="320" w:firstLine="475"/>
        <w:spacing w:after="0" w:line="286" w:lineRule="auto"/>
        <w:rPr>
          <w:sz w:val="20"/>
          <w:szCs w:val="20"/>
          <w:color w:val="auto"/>
        </w:rPr>
      </w:pPr>
      <w:r>
        <w:rPr>
          <w:rFonts w:ascii="Arial" w:cs="Arial" w:eastAsia="Arial" w:hAnsi="Arial"/>
          <w:sz w:val="17"/>
          <w:szCs w:val="17"/>
          <w:i w:val="1"/>
          <w:iCs w:val="1"/>
          <w:color w:val="auto"/>
        </w:rPr>
        <w:t>Legal Matters</w:t>
      </w:r>
      <w:r>
        <w:rPr>
          <w:rFonts w:ascii="Arial" w:cs="Arial" w:eastAsia="Arial" w:hAnsi="Arial"/>
          <w:sz w:val="17"/>
          <w:szCs w:val="17"/>
          <w:color w:val="auto"/>
        </w:rPr>
        <w:t>. From time to time, the Company has been, and may again become, involved in legal proceedings arising in the ordinary course of</w:t>
      </w:r>
      <w:r>
        <w:rPr>
          <w:rFonts w:ascii="Arial" w:cs="Arial" w:eastAsia="Arial" w:hAnsi="Arial"/>
          <w:sz w:val="17"/>
          <w:szCs w:val="17"/>
          <w:i w:val="1"/>
          <w:iCs w:val="1"/>
          <w:color w:val="auto"/>
        </w:rPr>
        <w:t xml:space="preserve"> </w:t>
      </w:r>
      <w:r>
        <w:rPr>
          <w:rFonts w:ascii="Arial" w:cs="Arial" w:eastAsia="Arial" w:hAnsi="Arial"/>
          <w:sz w:val="17"/>
          <w:szCs w:val="17"/>
          <w:color w:val="auto"/>
        </w:rPr>
        <w:t>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65"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 In the ordinary course of its business, the Company makes certain indemnities under which it may be required to make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relation to certain transactions. As of June 30, 2021, the Company did not have any liabilities associated with indemnities.</w:t>
      </w:r>
    </w:p>
    <w:p>
      <w:pPr>
        <w:spacing w:after="0" w:line="14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9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240" w:firstLine="475"/>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right="120" w:firstLine="475"/>
        <w:spacing w:after="0" w:line="34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carrying value and fair value, by fair value hierarchy, of the Company's financial instruments at June 30, 2021 and December 31, 2020, respectively,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0"/>
              </w:rPr>
              <w:t>Fair Value Measurements at June 30, 2021</w:t>
            </w:r>
          </w:p>
        </w:tc>
      </w:tr>
      <w:tr>
        <w:trPr>
          <w:trHeight w:val="234"/>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Quoted Prices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0"/>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58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288,551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5820" w:type="dxa"/>
            <w:vAlign w:val="bottom"/>
            <w:gridSpan w:val="3"/>
          </w:tcPr>
          <w:p>
            <w:pPr>
              <w:ind w:left="20"/>
              <w:spacing w:after="0"/>
              <w:rPr>
                <w:sz w:val="20"/>
                <w:szCs w:val="20"/>
                <w:color w:val="auto"/>
              </w:rPr>
            </w:pPr>
            <w:r>
              <w:rPr>
                <w:rFonts w:ascii="Arial" w:cs="Arial" w:eastAsia="Arial" w:hAnsi="Arial"/>
                <w:sz w:val="18"/>
                <w:szCs w:val="18"/>
                <w:color w:val="auto"/>
              </w:rPr>
              <w:t>U.S. Government-sponsored enterprise securities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133,504</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160" w:type="dxa"/>
            <w:vAlign w:val="bottom"/>
          </w:tcPr>
          <w:p>
            <w:pPr>
              <w:spacing w:after="0"/>
              <w:rPr>
                <w:sz w:val="15"/>
                <w:szCs w:val="15"/>
                <w:color w:val="auto"/>
              </w:rPr>
            </w:pPr>
          </w:p>
        </w:tc>
        <w:tc>
          <w:tcPr>
            <w:tcW w:w="582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Derivative warrant liability</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w:t>
            </w:r>
          </w:p>
        </w:tc>
      </w:tr>
      <w:tr>
        <w:trPr>
          <w:trHeight w:val="20"/>
        </w:trPr>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582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422,096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422,055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41</w:t>
            </w: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Nonrecurring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6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Palladium and finished goods inventory</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37"/>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0"/>
              </w:rPr>
              <w:t>Fair Value Measurements at December 31, 2020</w:t>
            </w:r>
          </w:p>
        </w:tc>
      </w:tr>
      <w:tr>
        <w:trPr>
          <w:trHeight w:val="234"/>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6"/>
              </w:rPr>
              <w:t>Quoted Prices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0"/>
        </w:trPr>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5820" w:type="dxa"/>
            <w:vAlign w:val="bottom"/>
            <w:gridSpan w:val="3"/>
          </w:tcPr>
          <w:p>
            <w:pPr>
              <w:ind w:left="20"/>
              <w:spacing w:after="0"/>
              <w:rPr>
                <w:sz w:val="20"/>
                <w:szCs w:val="20"/>
                <w:color w:val="auto"/>
              </w:rPr>
            </w:pPr>
            <w:r>
              <w:rPr>
                <w:rFonts w:ascii="Arial" w:cs="Arial" w:eastAsia="Arial" w:hAnsi="Arial"/>
                <w:sz w:val="18"/>
                <w:szCs w:val="18"/>
                <w:color w:val="auto"/>
              </w:rPr>
              <w:t>Derivative Warrant Liability</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31</w:t>
            </w: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Nonrecurring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6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Corn, palladium and finished goods inventory</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provides changes to those fair value measurements using Level 3 inputs for the six months ended June 30, 2021 (in thousands):</w:t>
      </w:r>
    </w:p>
    <w:p>
      <w:pPr>
        <w:spacing w:after="0" w:line="244"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Fair Value</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Measurements Using</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Significant</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Unobservable Inputs</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5715</wp:posOffset>
            </wp:positionV>
            <wp:extent cx="1089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jc w:val="center"/>
        <w:ind w:left="9240"/>
        <w:spacing w:after="0"/>
        <w:rPr>
          <w:sz w:val="20"/>
          <w:szCs w:val="20"/>
          <w:color w:val="auto"/>
        </w:rPr>
      </w:pPr>
      <w:r>
        <w:rPr>
          <w:rFonts w:ascii="Arial" w:cs="Arial" w:eastAsia="Arial" w:hAnsi="Arial"/>
          <w:sz w:val="18"/>
          <w:szCs w:val="18"/>
          <w:b w:val="1"/>
          <w:bCs w:val="1"/>
          <w:color w:val="auto"/>
        </w:rPr>
        <w:t>Derivative Warrant</w:t>
      </w:r>
    </w:p>
    <w:p>
      <w:pPr>
        <w:spacing w:after="0" w:line="23"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Liability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2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Total loss included in earnings</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79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Balance, June 30, 2021</w:t>
            </w:r>
          </w:p>
        </w:tc>
        <w:tc>
          <w:tcPr>
            <w:tcW w:w="2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00"/>
              <w:spacing w:after="0"/>
              <w:rPr>
                <w:sz w:val="20"/>
                <w:szCs w:val="20"/>
                <w:color w:val="auto"/>
              </w:rPr>
            </w:pPr>
            <w:r>
              <w:rPr>
                <w:rFonts w:ascii="Arial" w:cs="Arial" w:eastAsia="Arial" w:hAnsi="Arial"/>
                <w:sz w:val="18"/>
                <w:szCs w:val="18"/>
                <w:color w:val="auto"/>
              </w:rPr>
              <w:t>There were no transfers to or from Level 3 in the six months ended June 30, 2021.</w:t>
            </w:r>
          </w:p>
        </w:tc>
        <w:tc>
          <w:tcPr>
            <w:tcW w:w="1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Company's investment in Marketable securities is recorded at fair value based on quoted market prices. The Company believes that the carrying value of its Cash and cash equivalents, Restricted cash, Accounts receivable, Accounts payable and accrued liabilities and Loans Payable - Other approximate fair value due to their short maturities.</w:t>
      </w:r>
    </w:p>
    <w:p>
      <w:pPr>
        <w:spacing w:after="0" w:line="18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For the 2021 Bonds, the fair values are estimated using the Black-Derman-Toy interest rate lattice framework. The carrying values and estimated fair values of the 2021 bonds as of June 30,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920"/>
              <w:spacing w:after="0"/>
              <w:rPr>
                <w:sz w:val="20"/>
                <w:szCs w:val="20"/>
                <w:color w:val="auto"/>
              </w:rPr>
            </w:pPr>
            <w:r>
              <w:rPr>
                <w:rFonts w:ascii="Arial" w:cs="Arial" w:eastAsia="Arial" w:hAnsi="Arial"/>
                <w:sz w:val="18"/>
                <w:szCs w:val="18"/>
                <w:b w:val="1"/>
                <w:bCs w:val="1"/>
                <w:color w:val="auto"/>
              </w:rPr>
              <w:t>June 30, 2021</w:t>
            </w:r>
          </w:p>
        </w:tc>
      </w:tr>
      <w:tr>
        <w:trPr>
          <w:trHeight w:val="191"/>
        </w:trPr>
        <w:tc>
          <w:tcPr>
            <w:tcW w:w="7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Estimated Fair</w:t>
            </w:r>
          </w:p>
        </w:tc>
        <w:tc>
          <w:tcPr>
            <w:tcW w:w="100" w:type="dxa"/>
            <w:vAlign w:val="bottom"/>
          </w:tcPr>
          <w:p>
            <w:pPr>
              <w:spacing w:after="0"/>
              <w:rPr>
                <w:sz w:val="16"/>
                <w:szCs w:val="16"/>
                <w:color w:val="auto"/>
              </w:rPr>
            </w:pPr>
          </w:p>
        </w:tc>
      </w:t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7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2021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68,155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69,143</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75"/>
        <w:spacing w:after="0" w:line="286"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The Company records its corn and palladium inventory at fair value only when the Company’s cost of corn and palladium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exceeds the market value for corn and palladium. The Company determines the market value of corn and palladium based upon Level 1 inputs using quoted market prices. The Company records its hydrocarbon, isobutanol and ethanol inventory at market using Level 2 inputs.</w:t>
      </w:r>
    </w:p>
    <w:p>
      <w:pPr>
        <w:spacing w:after="0" w:line="165" w:lineRule="exact"/>
        <w:rPr>
          <w:sz w:val="20"/>
          <w:szCs w:val="20"/>
          <w:color w:val="auto"/>
        </w:rPr>
      </w:pPr>
    </w:p>
    <w:p>
      <w:pPr>
        <w:ind w:right="360" w:firstLine="475"/>
        <w:spacing w:after="0" w:line="277" w:lineRule="auto"/>
        <w:rPr>
          <w:sz w:val="20"/>
          <w:szCs w:val="20"/>
          <w:color w:val="auto"/>
        </w:rPr>
      </w:pPr>
      <w:r>
        <w:rPr>
          <w:rFonts w:ascii="Arial" w:cs="Arial" w:eastAsia="Arial" w:hAnsi="Arial"/>
          <w:sz w:val="18"/>
          <w:szCs w:val="18"/>
          <w:i w:val="1"/>
          <w:iCs w:val="1"/>
          <w:color w:val="auto"/>
        </w:rPr>
        <w:t>Derivative Warrant Liability</w:t>
      </w:r>
      <w:r>
        <w:rPr>
          <w:rFonts w:ascii="Arial" w:cs="Arial" w:eastAsia="Arial" w:hAnsi="Arial"/>
          <w:sz w:val="18"/>
          <w:szCs w:val="18"/>
          <w:color w:val="auto"/>
        </w:rPr>
        <w:t>. The Company valued the Series K Warrants using a Monte-Carlo model (Level 3) and other warrants using Black-Scholes models comprised of some inputs requiring the use of Monte-Carlo models (Level 3).</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not elected the fair value option for any of its instruments.</w:t>
      </w:r>
    </w:p>
    <w:p>
      <w:pPr>
        <w:spacing w:after="0" w:line="225" w:lineRule="exact"/>
        <w:rPr>
          <w:sz w:val="20"/>
          <w:szCs w:val="20"/>
          <w:color w:val="auto"/>
        </w:rPr>
      </w:pPr>
    </w:p>
    <w:p>
      <w:pPr>
        <w:jc w:val="both"/>
        <w:ind w:right="720" w:firstLine="486"/>
        <w:spacing w:after="0" w:line="342" w:lineRule="auto"/>
        <w:rPr>
          <w:sz w:val="20"/>
          <w:szCs w:val="20"/>
          <w:color w:val="auto"/>
        </w:rPr>
      </w:pPr>
      <w:r>
        <w:rPr>
          <w:rFonts w:ascii="Arial" w:cs="Arial" w:eastAsia="Arial" w:hAnsi="Arial"/>
          <w:sz w:val="16"/>
          <w:szCs w:val="16"/>
          <w:color w:val="auto"/>
        </w:rPr>
        <w:t>The Company's investments in marketable securities are stated at fair value and are available-for-sale. The Company had no investments in marketable securities at December 31, 2020. The following table summarizes the Company's investments in marketable securities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89"/>
              </w:rPr>
              <w:t>Available-for-Sale Securities at June 30, 2021</w:t>
            </w:r>
          </w:p>
        </w:tc>
      </w:tr>
      <w:tr>
        <w:trPr>
          <w:trHeight w:val="191"/>
        </w:trPr>
        <w:tc>
          <w:tcPr>
            <w:tcW w:w="5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Cost Basis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8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Short-term marketable securities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notes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Within one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201,160</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U.S. Government-sponsored enterprise securities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Within one year</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45,743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45,726</w:t>
            </w:r>
          </w:p>
        </w:tc>
      </w:tr>
      <w:tr>
        <w:trPr>
          <w:trHeight w:val="20"/>
        </w:trPr>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247,054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246,886</w:t>
            </w:r>
          </w:p>
        </w:tc>
      </w:tr>
      <w:tr>
        <w:trPr>
          <w:trHeight w:val="196"/>
        </w:trPr>
        <w:tc>
          <w:tcPr>
            <w:tcW w:w="58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marketable securities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U.S Treasury notes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Within two years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87,442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87,391</w:t>
            </w:r>
          </w:p>
        </w:tc>
      </w:tr>
      <w:tr>
        <w:trPr>
          <w:trHeight w:val="26"/>
        </w:trPr>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Government-sponsored enterprise securities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Within two years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87,866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87,778</w:t>
            </w:r>
          </w:p>
        </w:tc>
      </w:tr>
      <w:tr>
        <w:trPr>
          <w:trHeight w:val="20"/>
        </w:trPr>
        <w:tc>
          <w:tcPr>
            <w:tcW w:w="58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175,308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175,169</w:t>
            </w:r>
          </w:p>
        </w:tc>
      </w:tr>
      <w:tr>
        <w:trPr>
          <w:trHeight w:val="20"/>
        </w:trPr>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9" w:lineRule="exact"/>
        <w:rPr>
          <w:sz w:val="20"/>
          <w:szCs w:val="20"/>
          <w:color w:val="auto"/>
        </w:rPr>
      </w:pPr>
    </w:p>
    <w:p>
      <w:pPr>
        <w:ind w:firstLine="475"/>
        <w:spacing w:after="0" w:line="257" w:lineRule="auto"/>
        <w:rPr>
          <w:sz w:val="20"/>
          <w:szCs w:val="20"/>
          <w:color w:val="auto"/>
        </w:rPr>
      </w:pPr>
      <w:r>
        <w:rPr>
          <w:rFonts w:ascii="Arial" w:cs="Arial" w:eastAsia="Arial" w:hAnsi="Arial"/>
          <w:sz w:val="18"/>
          <w:szCs w:val="18"/>
          <w:color w:val="auto"/>
        </w:rPr>
        <w:t>The Company's chief operating decision maker is provided with and reviews a monthly executive package which separately identifies its business segments based on the nature of the products and services offered through each of its consolidated legal entities. In January 2021, the Company began to separately identify the Renewal Natural Gas Segment and Net-Zero Segment in the monthly executive package. As such, the Company has determined that it has four operating segments: (i) Gevo segment; (ii) Agri-Energy segment; (iii) Renewable Natural Gas segment; and (iv) Net-Zero segment. Transactions between segments are eliminated in consolidation.</w:t>
      </w:r>
    </w:p>
    <w:p>
      <w:pPr>
        <w:spacing w:after="0" w:line="188" w:lineRule="exact"/>
        <w:rPr>
          <w:sz w:val="20"/>
          <w:szCs w:val="20"/>
          <w:color w:val="auto"/>
        </w:rPr>
      </w:pPr>
    </w:p>
    <w:p>
      <w:pPr>
        <w:ind w:firstLine="475"/>
        <w:spacing w:after="0" w:line="279"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1" w:lineRule="exact"/>
        <w:rPr>
          <w:sz w:val="20"/>
          <w:szCs w:val="20"/>
          <w:color w:val="auto"/>
        </w:rPr>
      </w:pPr>
    </w:p>
    <w:p>
      <w:pPr>
        <w:ind w:right="20" w:firstLine="475"/>
        <w:spacing w:after="0" w:line="277" w:lineRule="auto"/>
        <w:rPr>
          <w:sz w:val="20"/>
          <w:szCs w:val="20"/>
          <w:color w:val="auto"/>
        </w:rPr>
      </w:pPr>
      <w:r>
        <w:rPr>
          <w:rFonts w:ascii="Arial" w:cs="Arial" w:eastAsia="Arial" w:hAnsi="Arial"/>
          <w:sz w:val="18"/>
          <w:szCs w:val="18"/>
          <w:b w:val="1"/>
          <w:bCs w:val="1"/>
          <w:i w:val="1"/>
          <w:iCs w:val="1"/>
          <w:color w:val="auto"/>
        </w:rPr>
        <w:t>Agri-Energy Segment</w:t>
      </w:r>
      <w:r>
        <w:rPr>
          <w:rFonts w:ascii="Arial" w:cs="Arial" w:eastAsia="Arial" w:hAnsi="Arial"/>
          <w:sz w:val="18"/>
          <w:szCs w:val="18"/>
          <w:color w:val="auto"/>
        </w:rPr>
        <w:t>. The Agri-Energy segment is currently responsible for the operation of the Company’s Luverne Facility and the production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isobutanol, ethanol and related products.</w:t>
      </w:r>
    </w:p>
    <w:p>
      <w:pPr>
        <w:spacing w:after="0" w:line="170" w:lineRule="exact"/>
        <w:rPr>
          <w:sz w:val="20"/>
          <w:szCs w:val="20"/>
          <w:color w:val="auto"/>
        </w:rPr>
      </w:pPr>
    </w:p>
    <w:p>
      <w:pPr>
        <w:ind w:right="260" w:firstLine="475"/>
        <w:spacing w:after="0" w:line="277" w:lineRule="auto"/>
        <w:rPr>
          <w:sz w:val="20"/>
          <w:szCs w:val="20"/>
          <w:color w:val="auto"/>
        </w:rPr>
      </w:pPr>
      <w:r>
        <w:rPr>
          <w:rFonts w:ascii="Arial" w:cs="Arial" w:eastAsia="Arial" w:hAnsi="Arial"/>
          <w:sz w:val="18"/>
          <w:szCs w:val="18"/>
          <w:b w:val="1"/>
          <w:bCs w:val="1"/>
          <w:i w:val="1"/>
          <w:iCs w:val="1"/>
          <w:color w:val="auto"/>
        </w:rPr>
        <w:t xml:space="preserve">Renewable Natural Gas Segment. </w:t>
      </w:r>
      <w:r>
        <w:rPr>
          <w:rFonts w:ascii="Arial" w:cs="Arial" w:eastAsia="Arial" w:hAnsi="Arial"/>
          <w:sz w:val="18"/>
          <w:szCs w:val="18"/>
          <w:color w:val="auto"/>
        </w:rPr>
        <w:t>The Renewable Natural Gas segment produces low-carbon methane from the manure of cows and pigs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energy.</w:t>
      </w:r>
    </w:p>
    <w:p>
      <w:pPr>
        <w:spacing w:after="0" w:line="170" w:lineRule="exact"/>
        <w:rPr>
          <w:sz w:val="20"/>
          <w:szCs w:val="20"/>
          <w:color w:val="auto"/>
        </w:rPr>
      </w:pPr>
    </w:p>
    <w:p>
      <w:pPr>
        <w:ind w:right="260" w:firstLine="475"/>
        <w:spacing w:after="0" w:line="342" w:lineRule="auto"/>
        <w:rPr>
          <w:sz w:val="20"/>
          <w:szCs w:val="20"/>
          <w:color w:val="auto"/>
        </w:rPr>
      </w:pPr>
      <w:r>
        <w:rPr>
          <w:rFonts w:ascii="Arial" w:cs="Arial" w:eastAsia="Arial" w:hAnsi="Arial"/>
          <w:sz w:val="16"/>
          <w:szCs w:val="16"/>
          <w:b w:val="1"/>
          <w:bCs w:val="1"/>
          <w:i w:val="1"/>
          <w:iCs w:val="1"/>
          <w:color w:val="auto"/>
        </w:rPr>
        <w:t xml:space="preserve">Net-Zero Segment. </w:t>
      </w:r>
      <w:r>
        <w:rPr>
          <w:rFonts w:ascii="Arial" w:cs="Arial" w:eastAsia="Arial" w:hAnsi="Arial"/>
          <w:sz w:val="16"/>
          <w:szCs w:val="16"/>
          <w:color w:val="auto"/>
        </w:rPr>
        <w:t>The Net-Zero segment is responsible for the production of energy dense liquid hydrocarbons using renewable energy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proprietary technology. The concept of a Net-Zero Project is to convert renewable energy (photosynthetic, wind, renewable natural gas, biogas).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firstLine="475"/>
        <w:spacing w:after="0" w:line="259" w:lineRule="auto"/>
        <w:rPr>
          <w:sz w:val="20"/>
          <w:szCs w:val="20"/>
          <w:color w:val="auto"/>
        </w:rPr>
      </w:pPr>
      <w:r>
        <w:rPr>
          <w:rFonts w:ascii="Arial" w:cs="Arial" w:eastAsia="Arial" w:hAnsi="Arial"/>
          <w:sz w:val="18"/>
          <w:szCs w:val="18"/>
          <w:color w:val="auto"/>
        </w:rPr>
        <w:t>The Company’s chief operating decision maker is provided with and reviews the financial results of each of the Company’s consolidated legal entities, Gevo, Inc. and Agri-Energy, LLC, as well as its Renewable Natural Gas and Net-Zero projects. The Company organizes its business segments based on the nature of the products and services offered through each of its consolidated legal entities. Substantially all revenue is earned and all assets are held in the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4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w:t>
            </w:r>
          </w:p>
        </w:tc>
      </w:tr>
      <w:tr>
        <w:trPr>
          <w:trHeight w:val="197"/>
        </w:trPr>
        <w:tc>
          <w:tcPr>
            <w:tcW w:w="44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(6,399)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(11,503)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(5,689)</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(7,206)</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(376)</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4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(13,271)</w:t>
            </w:r>
          </w:p>
        </w:tc>
      </w:tr>
      <w:tr>
        <w:trPr>
          <w:trHeight w:val="196"/>
        </w:trPr>
        <w:tc>
          <w:tcPr>
            <w:tcW w:w="44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r>
      <w:tr>
        <w:trPr>
          <w:trHeight w:val="196"/>
        </w:trPr>
        <w:tc>
          <w:tcPr>
            <w:tcW w:w="44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r>
      <w:tr>
        <w:trPr>
          <w:trHeight w:val="197"/>
        </w:trPr>
        <w:tc>
          <w:tcPr>
            <w:tcW w:w="44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Gevo</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11,932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17,101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14,418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w:t>
            </w:r>
          </w:p>
        </w:tc>
      </w:tr>
      <w:tr>
        <w:trPr>
          <w:trHeight w:val="197"/>
        </w:trPr>
        <w:tc>
          <w:tcPr>
            <w:tcW w:w="44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 by geographic area</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r>
      <w:tr>
        <w:trPr>
          <w:trHeight w:val="210"/>
        </w:trPr>
        <w:tc>
          <w:tcPr>
            <w:tcW w:w="44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w:t>
            </w:r>
          </w:p>
        </w:tc>
      </w:tr>
      <w:tr>
        <w:trPr>
          <w:trHeight w:val="413"/>
        </w:trPr>
        <w:tc>
          <w:tcPr>
            <w:tcW w:w="446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51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rPr>
              <w:t>GEVO, INC.</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Gevo</w:t>
            </w:r>
          </w:p>
        </w:tc>
        <w:tc>
          <w:tcPr>
            <w:tcW w:w="5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152,177</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Agri-Energy</w:t>
            </w: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120,765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131,893</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Renewable Natural Gas</w:t>
            </w:r>
          </w:p>
        </w:tc>
        <w:tc>
          <w:tcPr>
            <w:tcW w:w="4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Net-Zero</w:t>
            </w: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eliminations (1)</w:t>
            </w:r>
          </w:p>
        </w:tc>
        <w:tc>
          <w:tcPr>
            <w:tcW w:w="4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(120,662)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(131,971)</w:t>
            </w:r>
          </w:p>
        </w:tc>
      </w:tr>
      <w:tr>
        <w:trPr>
          <w:trHeight w:val="209"/>
        </w:trPr>
        <w:tc>
          <w:tcPr>
            <w:tcW w:w="12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(2)</w:t>
            </w:r>
          </w:p>
        </w:tc>
        <w:tc>
          <w:tcPr>
            <w:tcW w:w="4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685,674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77" w:lineRule="exact"/>
        <w:rPr>
          <w:sz w:val="20"/>
          <w:szCs w:val="20"/>
          <w:color w:val="auto"/>
        </w:rPr>
      </w:pPr>
    </w:p>
    <w:p>
      <w:pPr>
        <w:ind w:left="400" w:hanging="255"/>
        <w:spacing w:after="0"/>
        <w:tabs>
          <w:tab w:leader="none" w:pos="400" w:val="left"/>
        </w:tabs>
        <w:numPr>
          <w:ilvl w:val="0"/>
          <w:numId w:val="9"/>
        </w:numPr>
        <w:rPr>
          <w:rFonts w:ascii="Arial" w:cs="Arial" w:eastAsia="Arial" w:hAnsi="Arial"/>
          <w:sz w:val="29"/>
          <w:szCs w:val="29"/>
          <w:color w:val="auto"/>
          <w:vertAlign w:val="subscript"/>
        </w:rPr>
      </w:pPr>
      <w:r>
        <w:rPr>
          <w:rFonts w:ascii="Arial" w:cs="Arial" w:eastAsia="Arial" w:hAnsi="Arial"/>
          <w:sz w:val="15"/>
          <w:szCs w:val="15"/>
          <w:color w:val="auto"/>
        </w:rPr>
        <w:t>Includes</w:t>
      </w:r>
      <w:r>
        <w:rPr>
          <w:rFonts w:ascii="Arial" w:cs="Arial" w:eastAsia="Arial" w:hAnsi="Arial"/>
          <w:sz w:val="28"/>
          <w:szCs w:val="28"/>
          <w:color w:val="auto"/>
          <w:vertAlign w:val="subscript"/>
        </w:rPr>
        <w:t>sales.</w:t>
      </w:r>
      <w:r>
        <w:rPr>
          <w:rFonts w:ascii="Arial" w:cs="Arial" w:eastAsia="Arial" w:hAnsi="Arial"/>
          <w:sz w:val="15"/>
          <w:szCs w:val="15"/>
          <w:color w:val="auto"/>
        </w:rPr>
        <w:t xml:space="preserve"> no intercompany sales during the six months ended June 30, 2021 and $0.1 million for the year ended December 31, 2020 for hydrocarbon</w:t>
      </w:r>
    </w:p>
    <w:p>
      <w:pPr>
        <w:spacing w:after="0" w:line="137" w:lineRule="exact"/>
        <w:rPr>
          <w:rFonts w:ascii="Arial" w:cs="Arial" w:eastAsia="Arial" w:hAnsi="Arial"/>
          <w:sz w:val="29"/>
          <w:szCs w:val="29"/>
          <w:color w:val="auto"/>
          <w:vertAlign w:val="subscript"/>
        </w:rPr>
      </w:pPr>
    </w:p>
    <w:p>
      <w:pPr>
        <w:ind w:left="400" w:hanging="255"/>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 w:firstLine="486"/>
        <w:spacing w:after="0" w:line="28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our ability to finance and construct our Net-Zero 1 Project (as defined below) our ability to produce our products at our production facility in Luverne, Minnesota (the “Luverne Facility”) or elsewhere, our ability to meet production, financial and operational guidance, our strategy to pursue low-carbon or "net-zero" carbon renewable fuels for sale into California and elsewhere, our ability to replace our fossil-based energy sources with renewable energy sources at our Net-Zero 1 Project, our Luverne Facility and elsewhere, our ability and plans to construct a greenfield commercial hydrocarbon facility to produce sustainable aviation fuel ("SAF") and renewable premium gasoline/isooctane, our ability to raise additional funds to finance our business, our ability to perform under our existing offtake agreements and other supply agreements we may enter into in the future, our ability to successfully construct and operate our renewable natural gas ("RNG") project in Iowa, our ability to produce isobutanol and renewable hydrocarbon products at a commercial level and at a profit, achievement of advances in our technology platform, the availability of suitable and cost-competitive feedstocks, our ability to gain market acceptance for our products, the expected cost-competitiveness and relative performance attributes of our products,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2020 (our “Annual Report”), including Item 1A. "Risk Factors" of our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7" w:lineRule="exact"/>
        <w:rPr>
          <w:sz w:val="20"/>
          <w:szCs w:val="20"/>
          <w:color w:val="auto"/>
        </w:rPr>
      </w:pPr>
    </w:p>
    <w:p>
      <w:pPr>
        <w:jc w:val="both"/>
        <w:ind w:left="20" w:right="140" w:firstLine="313"/>
        <w:spacing w:after="0" w:line="311"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0" w:right="40" w:firstLine="486"/>
        <w:spacing w:after="0" w:line="275" w:lineRule="auto"/>
        <w:rPr>
          <w:sz w:val="20"/>
          <w:szCs w:val="20"/>
          <w:color w:val="auto"/>
        </w:rPr>
      </w:pPr>
      <w:r>
        <w:rPr>
          <w:rFonts w:ascii="Arial" w:cs="Arial" w:eastAsia="Arial" w:hAnsi="Arial"/>
          <w:sz w:val="17"/>
          <w:szCs w:val="17"/>
          <w:color w:val="auto"/>
        </w:rPr>
        <w:t>We are a growth-oriented renewable fuels technology and development company that is commercializing the next generation of renewable low-carbon liquid transportation fuels, such as sustainable aviation fuel and renewable isooctane (which we refer to as “renewable premium gasoline”), with the potential to achieve a “net zero” greenhouse gas ("GHG") footprint and address global needs of reducing GHG emissions with sustainable alternatives to petroleum fuels. We are in the business of transforming carbon from the atmosphere using photosynthetic energy, wind energy and biogas energy into liquid hydrocarbons with a low or potentially “net-zero” GHG footprint.</w:t>
      </w:r>
    </w:p>
    <w:p>
      <w:pPr>
        <w:spacing w:after="0" w:line="176" w:lineRule="exact"/>
        <w:rPr>
          <w:sz w:val="20"/>
          <w:szCs w:val="20"/>
          <w:color w:val="auto"/>
        </w:rPr>
      </w:pPr>
    </w:p>
    <w:p>
      <w:pPr>
        <w:ind w:left="20" w:firstLine="486"/>
        <w:spacing w:after="0" w:line="272" w:lineRule="auto"/>
        <w:rPr>
          <w:sz w:val="20"/>
          <w:szCs w:val="20"/>
          <w:color w:val="auto"/>
        </w:rPr>
      </w:pPr>
      <w:r>
        <w:rPr>
          <w:rFonts w:ascii="Arial" w:cs="Arial" w:eastAsia="Arial" w:hAnsi="Arial"/>
          <w:sz w:val="17"/>
          <w:szCs w:val="17"/>
          <w:color w:val="auto"/>
        </w:rPr>
        <w:t>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changes to planes or fuel systems. In addition to the potential of net-zero carbon emissions across the whole fuel life-cycle, our renewable fuels should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486"/>
        <w:spacing w:after="0" w:line="287" w:lineRule="auto"/>
        <w:rPr>
          <w:sz w:val="20"/>
          <w:szCs w:val="20"/>
          <w:color w:val="auto"/>
        </w:rPr>
      </w:pPr>
      <w:r>
        <w:rPr>
          <w:rFonts w:ascii="Arial" w:cs="Arial" w:eastAsia="Arial" w:hAnsi="Arial"/>
          <w:sz w:val="16"/>
          <w:szCs w:val="16"/>
          <w:color w:val="auto"/>
        </w:rPr>
        <w:t>We use renewable resource-based raw materials as feedstocks. In the near-term, our feedstocks will primarily consist of non-food corn residuals. As our technology is applied globally, feedstocks can consist of sugar cane, molasses or cellulosic sugars derived from wood, agricultural residues and waste. Our patented fermentation yeast biocatalyst produces isobutanol, a four-carbon alcohol, via the fermentation of renewable plant biomass carbohydrates.</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resulting renewable isobutanol has a variety of direct applications but, more importantly to our fundamental strategy, serves as a building block to make renewable premium gasoline, SAF, and other fuels and chemicals using simple and common chemical conversion processes. We also plan to reduce or eliminate fossil-based process energy inputs by replacing them with renewable energy such as wind-powered electricity and RNG.</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technology represents a new generation of renewable fuel technology that overcomes the limitations of first-generation renewable fuels.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Natural Gas Projects</w:t>
      </w:r>
    </w:p>
    <w:p>
      <w:pPr>
        <w:spacing w:after="0" w:line="22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In 2019, we began developing RNG projects. Animal manure can be digested anaerobically to produce RNG. RNG has value in markets such as California as well as in Gevo’s hydrocarbon production process by helping us achieve carbon negative GHG emissions on our renewable hydrocarbon products. The end products resulting from such a decarbonization process have lower carbon intensity scores and increased market value, in addition to having a more positive impact on the environment. We developed Gevo's initial RNG project, Gevo NW Iowa RNG, LLC (“Gevo RNG”), to generate RNG captured from dairy cow manure which will be supplied by three dairies located in Northwest Iowa totaling over 20,000 milking cows. When fully operational, the Gevo RNG project is expected to generate approximately 355,000 MMBtu of RNG per year. During the third quarter of 2021, Gevo entered into agreements with BP Canada Energy Marketing Corp. and BP Products North America Inc. (collectively, “bp” ) for the sale of Gevo RNG’s production. The RNG is expected to be sold into the California market under dispensing agreements bp has in place with Clean Energy Fuels Corp., the largest fueling infrastructure in the U.S. for RNG. We expect RNG sale revenues will benefit from California’s Low Carbon Fuel Standard program and the U.S. Environmental Protection Agency’s Renewable Identification Number program.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commenced its construction in April 2021. See “Recent Developments – 2021 Bonds” below for additional information. The Gevo RNG project is expected to begin producing RNG in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Net-Zero Projects</w:t>
      </w:r>
    </w:p>
    <w:p>
      <w:pPr>
        <w:spacing w:after="0" w:line="229"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early 2021, we announced the concept of “Net-Zero Projects” as a series of planned facilities to produce energy dense liquid hydrocarbons using renewable energy and our proprietary technology. The concept of a Net-Zero Project is to convert renewable energy (photosynthetic, wind, renewable natural gas, biogas) from a variety of sources into energy dense liquid hydrocarbons that behind when burned in traditional engines, have the potential to achieve net-zero GHG emissions across the whole lifecycle of the liquid fuel: from the way carbon is captured from the atmosphere, processed to make liquid fuel products, and including the end use (burning as a fuel for cars, planes, trucks, and ships). We announced that our initial Net-Zero project (“Net-Zero 1” Project) is currently planned to be constructed at Lake Preston, South Dakota. We expect that the Net-Zero 1 Project will have the capability to produce liquid hydrocarbons that when burned have a “net-zero” greenhouse gas footprint. We currently expect the Net-Zero 1 Project to have a capacity of approximately 46 MGPY of hydrocarbons (for renewable premium gasoline and SAF, backed by our current portfolio of take-or-pay contracts), to produce more than 340,000,000 pounds per year of high-value nutritional products for use in the food chain, to produce more than 30,000,000 pounds per year of corn oil, and to produce smaller volumes of excess isobutanol for sale in the market. We also expect that the Net-Zero 1 Project will utilize anaerobically digested biogas using process waste streams, behind-the-meter electricity from a related wind project for its process, and potentially RNG for its production process energy. Based on current engineering work completed to date, the fully-financed installed capital cost for the Net-Zero 1 Project is projected to be approximately $980 million including: (i) fermentation and hydrocarbon production facilities engineering, procurement and construction costs under a lump-sum turnkey format, (ii) pre-construction engineering costs, (iii) technology licensing costs, (iv) development, land, permitting and environmental costs, (v) outside-the-battery-limit capital expenditures, (vi) full plant staffing and training costs, (vii) startup and commissioning costs and (viii) all debt project financing costs including a provision for interest during construction and various funded debt reserves, and (ix) initial working capital and initial feedstock costs. The related wind power project and the combined water, waste-water treatment, and on site anaerobic digestion project are expected to be delivered under third-party build, own and operate models.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i w:val="1"/>
          <w:iCs w:val="1"/>
          <w:color w:val="auto"/>
        </w:rPr>
        <w:t xml:space="preserve">Luverne Facility Restart. </w:t>
      </w:r>
      <w:r>
        <w:rPr>
          <w:rFonts w:ascii="Arial" w:cs="Arial" w:eastAsia="Arial" w:hAnsi="Arial"/>
          <w:sz w:val="18"/>
          <w:szCs w:val="18"/>
          <w:color w:val="auto"/>
        </w:rPr>
        <w:t>On August 4, 2021, we announced that production operations at the Luverne Facility have re-commenced. The Luverne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expected to produce IBA that will be used as a feedstock for us to produce SAF and renewable premium gasoline to fulfill existing sales contracts. These renewable hydrocarbons will be produced in Silsbee, Texas at the South Hampton Resources, Inc. hydrocarbon production facility. We also expect to utilize some of the IBA produced to develop certain IBA specialty markets. In addition, the production operations at the Luverne Facility will allow us to test and evaluate certain potential unit operations that may be incorporated into the Net-Zero 1 Project. We do not expect to generate significant revenue from the operation of the Luverne Facility.</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2021 Bonds. </w:t>
      </w:r>
      <w:r>
        <w:rPr>
          <w:rFonts w:ascii="Arial" w:cs="Arial" w:eastAsia="Arial" w:hAnsi="Arial"/>
          <w:sz w:val="17"/>
          <w:szCs w:val="17"/>
          <w:color w:val="auto"/>
        </w:rPr>
        <w:t>On April 15, 2021, Gevo closed the offering of $68,155,000 in 2021 Bonds to finance the construction the Gevo RNG project.</w:t>
      </w:r>
    </w:p>
    <w:p>
      <w:pPr>
        <w:spacing w:after="0" w:line="23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proceeds of the 2021 Bonds offering, combined with Gevo equity, will be used to finance (1) the construction of the Gevo RNG project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RNG and interconnect to Northern Natural Gas’ interstate pipeline, and (D) other related improvements; (2) to capitalize a portion of the interest due on the bonds during the construction period; and (3) to pay a portion of the costs of issuing the bonds.</w:t>
      </w:r>
    </w:p>
    <w:p>
      <w:pPr>
        <w:spacing w:after="0" w:line="192" w:lineRule="exact"/>
        <w:rPr>
          <w:sz w:val="20"/>
          <w:szCs w:val="20"/>
          <w:color w:val="auto"/>
        </w:rPr>
      </w:pPr>
    </w:p>
    <w:p>
      <w:pPr>
        <w:jc w:val="both"/>
        <w:ind w:right="80" w:firstLine="494"/>
        <w:spacing w:after="0" w:line="286" w:lineRule="auto"/>
        <w:tabs>
          <w:tab w:leader="none" w:pos="861"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 Forgiveness. </w:t>
      </w:r>
      <w:r>
        <w:rPr>
          <w:rFonts w:ascii="Arial" w:cs="Arial" w:eastAsia="Arial" w:hAnsi="Arial"/>
          <w:sz w:val="17"/>
          <w:szCs w:val="17"/>
          <w:color w:val="auto"/>
        </w:rPr>
        <w:t>On April 15, 2021, the Small Business Administration forgave the entire balance of $0.5 million of the Company's and $0.1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Agri-Energy's loans and accrued interest obtained through the Small Business Administration's Paycheck Protection Program ("SBA PPP"). The remaining SBA PPP loan for Agri-Energy totals $0.4 million bears interest at 1.0% and matures in April 2025.</w:t>
      </w:r>
    </w:p>
    <w:p>
      <w:pPr>
        <w:spacing w:after="0" w:line="16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i w:val="1"/>
          <w:iCs w:val="1"/>
          <w:color w:val="auto"/>
        </w:rPr>
        <w:t xml:space="preserve">January 2021 Offering. </w:t>
      </w:r>
      <w:r>
        <w:rPr>
          <w:rFonts w:ascii="Arial" w:cs="Arial" w:eastAsia="Arial" w:hAnsi="Arial"/>
          <w:sz w:val="18"/>
          <w:szCs w:val="18"/>
          <w:color w:val="auto"/>
        </w:rPr>
        <w:t>On January 19, 2021, we completed a registered direct offering of an aggregate of 43,750,000 shares of common stock at a</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$8.00 per share. After deducting placement agent’s fees, advisory fees and other offering expenses payable by us, we received net proceeds of approximately $321.9 million.</w:t>
      </w:r>
    </w:p>
    <w:p>
      <w:pPr>
        <w:spacing w:after="0" w:line="1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i w:val="1"/>
          <w:iCs w:val="1"/>
          <w:color w:val="auto"/>
        </w:rPr>
        <w:t xml:space="preserve">Lake Preston Site. </w:t>
      </w:r>
      <w:r>
        <w:rPr>
          <w:rFonts w:ascii="Arial" w:cs="Arial" w:eastAsia="Arial" w:hAnsi="Arial"/>
          <w:sz w:val="18"/>
          <w:szCs w:val="18"/>
          <w:color w:val="auto"/>
        </w:rPr>
        <w:t>On December 21, 2020, we announced that we optioned the right to purchase approximately 240 acres of land near Lake Preston,</w:t>
      </w:r>
      <w:r>
        <w:rPr>
          <w:rFonts w:ascii="Arial" w:cs="Arial" w:eastAsia="Arial" w:hAnsi="Arial"/>
          <w:sz w:val="18"/>
          <w:szCs w:val="18"/>
          <w:i w:val="1"/>
          <w:iCs w:val="1"/>
          <w:color w:val="auto"/>
        </w:rPr>
        <w:t xml:space="preserve"> </w:t>
      </w:r>
      <w:r>
        <w:rPr>
          <w:rFonts w:ascii="Arial" w:cs="Arial" w:eastAsia="Arial" w:hAnsi="Arial"/>
          <w:sz w:val="18"/>
          <w:szCs w:val="18"/>
          <w:color w:val="auto"/>
        </w:rPr>
        <w:t>South Dakota (the “Lake Preston Site”). The Lake Preston Site is expected to be the location of the Net-Zero 1 Project. On March 24, 2021, we exercised our right to extend the option on the Lake Preston site until December 2022. We intend to make a decision on whether to exercise the purchase option on the Lake Preston Site in the future as part of the closing of financing for the project.</w:t>
      </w:r>
    </w:p>
    <w:p>
      <w:pPr>
        <w:spacing w:after="0" w:line="187"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During the six months ended June 30, 2021, we issued 24,420,579 shares of common stock under the at-the-market offering program for total proceeds of $135.8 million, net of commissions and other offering related expenses. There were no shares issued during the three months ended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The COVID-19 pandemic has had an adverse impact on global commercial activity, including the global transportation industry and its supply chain, and has contributed to significant volatility in financial markets. It has also resulted in increased travel restrictions and extended shutdowns of businesses in various industries including, among others, the airline industry, and significantly reduced overall economic output. It is possible that that the impact of the COVID-19 pandemic on general economic activity could continue to negatively impact our revenue and operating results for 2021 and beyond. In light of the current and potential future disruption to our business operations and those of its customers, suppliers and other third parties with whom we</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do business, we considered the impact of the COVID-19 pandemic on our business. The impact of the COVID-19 pandemic on the global transportation industry could continue to result in less demand for our transportation fuel products, which could have a material adverse effect on our business, financial condition and our prospects for the foreseeable future.</w:t>
      </w:r>
    </w:p>
    <w:p>
      <w:pPr>
        <w:spacing w:after="0" w:line="19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During the first quarter of 2020, we suspended our ethanol production at the Luverne Facility due to COVID-19 and an unfavorable commodity environment, largely the result of greater corn costs as compared to national markets than the region has historically produced. The suspension of ethanol production and a reduction in our workforce that occurred during the first quarter of 2020 due to the impact of COVID-19 had an adverse impact on our financial results for the three and six months ended June 30, 2021 reducing ethanol revenue by 100% and 100% compared to the three and six months ended June 30, 2020, respectively. There is also a risk that COVID-19 could have a material adverse impact on the development of our Net-Zero 1 Project, customer demand and cash flow, depending on the extent of our future production activities.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have incurred consolidated net losses since inception and we had a significant accumulated deficit as of June 30, 2021. Our cash, cash equivalents and restricted cash at June 30, 2021 totaled $145.2 million and marketable debt securities totaled $422.1 million, which is primarily being used for the following: (i) development of, and investment in, the Net Zero 1 hydrocarbon production facility; (ii) investment in the Gevo NW Iowa RNG facility; (iii) development of the Luverne Facility; (iv) identification of new production facilities and to plan for expanded production to fulfill existing off-take agreements; (vi) operating activities at the Company’s corporate headquarters in Colorado, including research and development work; (v) exploration of strategic alternatives and additional financings, including project financing; and (vi) future debt service obligations.</w:t>
      </w:r>
    </w:p>
    <w:p>
      <w:pPr>
        <w:spacing w:after="0" w:line="17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construction of Net-Zero</w:t>
      </w:r>
    </w:p>
    <w:p>
      <w:pPr>
        <w:ind w:right="180" w:firstLine="8"/>
        <w:spacing w:after="0" w:line="271"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 especially in light of the impact of the COVID-19 pandemic on us and the volatility in the financial markets in general.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1,404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9"/>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Preliminary stage project costs</w:t>
            </w:r>
          </w:p>
        </w:tc>
        <w:tc>
          <w:tcPr>
            <w:tcW w:w="24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5,472</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4,954</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16,650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(19,022)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forgiveness of SBA loans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modification of 2020 Notes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Gain from change in fair value of derivative warrant liability</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(Loss) from change in fair value of 2020/21 Notes embedded derivative liability</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769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(18,253)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(6,043)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(12,210)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As a result of COVID-19 and in response to an unfavorable commodity environment, we terminated ethanol and distiller's grains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at the Luverne Facility in March 2020. Revenue from the sale of ethanol, isobutanol and related products for the three months ended June 30, 2021 was nil, a decrease of $0.1 million compared to the three months ended June 30, 2020. Currently, our demonstration plant located at the South Hampton Resources, Inc. facility near Houston, Texas (the “South Hampton Facility”) is not producing renewable premium gasoline or SAF.</w:t>
      </w:r>
    </w:p>
    <w:p>
      <w:pPr>
        <w:spacing w:after="0" w:line="157" w:lineRule="exact"/>
        <w:rPr>
          <w:sz w:val="20"/>
          <w:szCs w:val="20"/>
          <w:color w:val="auto"/>
        </w:rPr>
      </w:pPr>
    </w:p>
    <w:p>
      <w:pPr>
        <w:ind w:right="20" w:firstLine="475"/>
        <w:spacing w:after="0" w:line="257" w:lineRule="auto"/>
        <w:rPr>
          <w:sz w:val="20"/>
          <w:szCs w:val="20"/>
          <w:color w:val="auto"/>
        </w:rPr>
      </w:pPr>
      <w:r>
        <w:rPr>
          <w:rFonts w:ascii="Arial" w:cs="Arial" w:eastAsia="Arial" w:hAnsi="Arial"/>
          <w:sz w:val="18"/>
          <w:szCs w:val="18"/>
          <w:color w:val="auto"/>
        </w:rPr>
        <w:t>The Luverne Facility re-commenced during July 2021. The Luverne Facility is expected to produce IBA that will be used as a feedstock for us to produce SAF and renewable premium gasoline to fulfill existing sales contracts. These renewable hydrocarbons will be produced at the South Hampton Facility. We also expect to utilize some of the IBA produced to develop certain IBA specialty markets. In addition, the production operations at the Luverne Facility will allow us to test and evaluate certain potential unit operations that may be incorporated into the Net-Zero 1 Project. We do not expect to generate significant revenue from the operation of the Luverne Facility.</w:t>
      </w:r>
    </w:p>
    <w:p>
      <w:pPr>
        <w:spacing w:after="0" w:line="188" w:lineRule="exact"/>
        <w:rPr>
          <w:sz w:val="20"/>
          <w:szCs w:val="20"/>
          <w:color w:val="auto"/>
        </w:rPr>
      </w:pPr>
    </w:p>
    <w:p>
      <w:pPr>
        <w:ind w:right="220" w:firstLine="475"/>
        <w:spacing w:after="0" w:line="277" w:lineRule="auto"/>
        <w:rPr>
          <w:sz w:val="20"/>
          <w:szCs w:val="20"/>
          <w:color w:val="auto"/>
        </w:rPr>
      </w:pPr>
      <w:r>
        <w:rPr>
          <w:rFonts w:ascii="Arial" w:cs="Arial" w:eastAsia="Arial" w:hAnsi="Arial"/>
          <w:sz w:val="18"/>
          <w:szCs w:val="18"/>
          <w:color w:val="auto"/>
        </w:rPr>
        <w:t>Hydrocarbon revenues are comprised of SAF, isooctane and isooctene sales. Hydrocarbon sales decreased by $0.5 million during the three months ended June 30, 2021 as a result of lower production volumes at the South Hampton Facility.</w:t>
      </w:r>
    </w:p>
    <w:p>
      <w:pPr>
        <w:spacing w:after="0" w:line="170" w:lineRule="exact"/>
        <w:rPr>
          <w:sz w:val="20"/>
          <w:szCs w:val="20"/>
          <w:color w:val="auto"/>
        </w:rPr>
      </w:pPr>
    </w:p>
    <w:p>
      <w:pPr>
        <w:ind w:right="40" w:firstLine="475"/>
        <w:spacing w:after="0" w:line="259"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$2.8 million during the three months ended June 30, 2021, compared with $2.6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an increase of approximately $0.2 million. We increased maintenance in preparation for isobutanol production that began in July 2021. Cost of goods sold included approximately $1.6 million associated with the maintenance of the Luverne Facility and approximately $1.2 million in depreciation expense during the three months ended June 30, 2021.</w:t>
      </w:r>
    </w:p>
    <w:p>
      <w:pPr>
        <w:sectPr>
          <w:pgSz w:w="11900" w:h="16838" w:orient="portrait"/>
          <w:cols w:equalWidth="0" w:num="1">
            <w:col w:w="11240"/>
          </w:cols>
          <w:pgMar w:left="320" w:top="10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475"/>
        <w:spacing w:after="0" w:line="263"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increased by approximately $0.7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with the three months ended June 30, 2020, due primarily to an increase in personnel and consulting expenses as we work to improve our process for growing and fermenting yeast strains.</w:t>
      </w:r>
    </w:p>
    <w:p>
      <w:pPr>
        <w:spacing w:after="0" w:line="184"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 increased by approximately $2.1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compared with the three months ended June 30, 2020, due primarily to increases in personnel, professional fees and insurance to support the growth in operations and an increase in consulting related to creating our first Environmental, Social and Governance ("ESG") report, which will be released during the third quarter 2021, and documenting our compliance with Section 404(b) of the Sarbanes-Oxley Act ("SOX").</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are related to our RNG and Net-Zero projects increased by approximately</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$5.3 million during the three months ended June 30, 2021, compared with the three months ended June 30, 2020, due primarily to an increase in consulting for preliminary engineering costs and personnel expenses to support the growth in business activity at our Net-Zero projects.</w:t>
      </w:r>
    </w:p>
    <w:p>
      <w:pPr>
        <w:spacing w:after="0" w:line="161"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i w:val="1"/>
          <w:iCs w:val="1"/>
          <w:color w:val="auto"/>
        </w:rPr>
        <w:t xml:space="preserve">Loss on disposal of assets. </w:t>
      </w:r>
      <w:r>
        <w:rPr>
          <w:rFonts w:ascii="Arial" w:cs="Arial" w:eastAsia="Arial" w:hAnsi="Arial"/>
          <w:sz w:val="16"/>
          <w:szCs w:val="16"/>
          <w:color w:val="auto"/>
        </w:rPr>
        <w:t>A s a result of discontinuing the production of ethanol at the Luverne Facility, we wrote-off $5.0 million of costs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construction of the fractionation equipment that was related to the production of ethanol during the three months ended June 30, 2021.</w:t>
      </w:r>
    </w:p>
    <w:p>
      <w:pPr>
        <w:spacing w:after="0" w:line="12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i w:val="1"/>
          <w:iCs w:val="1"/>
          <w:color w:val="auto"/>
        </w:rPr>
        <w:t>Gain on forgiveness of SBA loans</w:t>
      </w:r>
      <w:r>
        <w:rPr>
          <w:rFonts w:ascii="Arial" w:cs="Arial" w:eastAsia="Arial" w:hAnsi="Arial"/>
          <w:sz w:val="18"/>
          <w:szCs w:val="18"/>
          <w:color w:val="auto"/>
        </w:rPr>
        <w:t>. During the three months ended June 30, 2021, the Small Business Administration forgave the entire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$0.6 million of the Company's SBA PPP loans and accrued interest.</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during the three months ended June 30, 2021 decreased by $0.5 million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 due to the conversion of all of our then-outstanding 12% convertible senior secured notes due 2020/2021 (the "2020/21 Notes") to common stock during 2020.</w:t>
      </w:r>
    </w:p>
    <w:p>
      <w:pPr>
        <w:spacing w:after="0" w:line="184" w:lineRule="exact"/>
        <w:rPr>
          <w:sz w:val="20"/>
          <w:szCs w:val="20"/>
          <w:color w:val="auto"/>
        </w:rPr>
      </w:pPr>
    </w:p>
    <w:p>
      <w:pPr>
        <w:ind w:right="160" w:firstLine="475"/>
        <w:spacing w:after="0" w:line="277"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three months ended June 30, 2020, we incurred a $0.1 million of legal and professional fees to</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12% Convertible Senior Notes due 2020 (the " 2020 Notes") into the 2020/21 Notes.</w:t>
      </w:r>
    </w:p>
    <w:p>
      <w:pPr>
        <w:spacing w:after="0" w:line="170" w:lineRule="exact"/>
        <w:rPr>
          <w:sz w:val="20"/>
          <w:szCs w:val="20"/>
          <w:color w:val="auto"/>
        </w:rPr>
      </w:pPr>
    </w:p>
    <w:p>
      <w:pPr>
        <w:ind w:right="120" w:firstLine="475"/>
        <w:spacing w:after="0" w:line="308" w:lineRule="auto"/>
        <w:rPr>
          <w:sz w:val="20"/>
          <w:szCs w:val="20"/>
          <w:color w:val="auto"/>
        </w:rPr>
      </w:pPr>
      <w:r>
        <w:rPr>
          <w:rFonts w:ascii="Arial" w:cs="Arial" w:eastAsia="Arial" w:hAnsi="Arial"/>
          <w:sz w:val="17"/>
          <w:szCs w:val="17"/>
          <w:i w:val="1"/>
          <w:iCs w:val="1"/>
          <w:color w:val="auto"/>
        </w:rPr>
        <w:t xml:space="preserve">(Loss) from change in fair value of the 2020/21 Notes embedded derivative liability. </w:t>
      </w:r>
      <w:r>
        <w:rPr>
          <w:rFonts w:ascii="Arial" w:cs="Arial" w:eastAsia="Arial" w:hAnsi="Arial"/>
          <w:sz w:val="17"/>
          <w:szCs w:val="17"/>
          <w:color w:val="auto"/>
        </w:rPr>
        <w:t>We incurred no gain (loss) from the change in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2020/21 Notes in the three months ended June 30, 2021 since the 2020/21 Notes were converted to common stock in 2020.</w:t>
      </w:r>
    </w:p>
    <w:p>
      <w:pPr>
        <w:spacing w:after="0" w:line="146" w:lineRule="exact"/>
        <w:rPr>
          <w:sz w:val="20"/>
          <w:szCs w:val="20"/>
          <w:color w:val="auto"/>
        </w:rPr>
      </w:pPr>
    </w:p>
    <w:p>
      <w:pPr>
        <w:ind w:right="160" w:firstLine="475"/>
        <w:spacing w:after="0" w:line="277" w:lineRule="auto"/>
        <w:rPr>
          <w:sz w:val="20"/>
          <w:szCs w:val="20"/>
          <w:color w:val="auto"/>
        </w:rPr>
      </w:pPr>
      <w:r>
        <w:rPr>
          <w:rFonts w:ascii="Arial" w:cs="Arial" w:eastAsia="Arial" w:hAnsi="Arial"/>
          <w:sz w:val="18"/>
          <w:szCs w:val="18"/>
          <w:i w:val="1"/>
          <w:iCs w:val="1"/>
          <w:color w:val="auto"/>
        </w:rPr>
        <w:t>Other (expense) income</w:t>
      </w:r>
      <w:r>
        <w:rPr>
          <w:rFonts w:ascii="Arial" w:cs="Arial" w:eastAsia="Arial" w:hAnsi="Arial"/>
          <w:sz w:val="18"/>
          <w:szCs w:val="18"/>
          <w:color w:val="auto"/>
        </w:rPr>
        <w:t>. Other income during the three months ended June 30, 2021 was $0.1 million, an increase of $0.1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primarily due to income received on marketable securities and restricted cash.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8"/>
              </w:rPr>
              <w:t>Six Months Ended June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(5,995)</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2,782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Preliminary stage project costs</w:t>
            </w: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8,199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7,822</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24,627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17,326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(28,900)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(13,271)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(15,629)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forgiveness of SBA loan</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modification of 2020 Notes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(Loss) from change in fair value of 2020/21 Notes embedded derivative liability</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5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590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(28,310)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(15,296)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(13,014)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As a result of COVID-19 and in response to an unfavorable commodity environment, we terminated ethanol and distiller's grains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production at the Luverne Facility in March 2020. Revenue from the sale of ethanol, isobutanol and related products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was nil, a decrease of $3.8 million compared to the six months ended June 30, 2020. During the six months ended June 30, 2021, we did not sell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ethanol compared to 2.4 million gallons of ethanol sold in the six months ended June 30, 2020. Currently, the South Hampton Facility is not producing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renewable premium gasoline or SAF. We expect to produce isobutanol during 2021 to supply the South Hampton Facility so that renewable premium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gasoline or SAF can be produced in 2021.</w:t>
      </w:r>
    </w:p>
    <w:p>
      <w:pPr>
        <w:spacing w:after="0" w:line="21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Hydrocarbon revenues are comprised of SAF, isooctane and isooctene sales. Hydrocarbon sales decreased by $0.6 million during the six months ended June 30, 2021 as a result of lower production volumes at the South Hampton Facility.</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Luverne Facility re-commenced during July 2021. The Luverne Facility is expected to produce IBA that will be used as a feedstock for us to produce SAF and renewable premium gasoline to fulfill existing sales contracts. These renewable hydrocarbons will be produced at the South Hampton Facility. We also expect to utilize some of the IBA produced to develop certain IBA specialty markets. In addition, the production operations at the Luverne Facility will allow us to test and evaluate certain potential unit operations that may be incorporated into the Net-Zero 1 Project. We do not expect to generate significant revenue from the operation of the Luverne Facility.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was $4.8 million during the six months ended June 30, 2021, compared with $10.8 million during the</w:t>
      </w:r>
    </w:p>
    <w:p>
      <w:pPr>
        <w:spacing w:after="0" w:line="3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six months ended June 30, 2020, a decrease of approximately $6.0 million, primarily the result of terminating ethanol production in March 2020 as a result of COVID-19 and in response to an unfavorable commodity environment. Cost of goods sold included approximately $2.5 million associated with the maintenance of the Luverne Facility and approximately $2.3 million in depreciation expense during the six months ended June 30, 2021.</w:t>
      </w:r>
    </w:p>
    <w:p>
      <w:pPr>
        <w:spacing w:after="0" w:line="17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Prior to the Luverne Facility restarting production, cost of goods sold was primarily comprised of costs to process SAF, isooctane and isooctene at our South Hampton Facility as well as costs to maintain the Luverne Facility.</w:t>
      </w:r>
    </w:p>
    <w:p>
      <w:pPr>
        <w:sectPr>
          <w:pgSz w:w="11900" w:h="16838" w:orient="portrait"/>
          <w:cols w:equalWidth="0" w:num="1">
            <w:col w:w="11240"/>
          </w:cols>
          <w:pgMar w:left="320" w:top="10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00" w:firstLine="486"/>
        <w:spacing w:after="0" w:line="263"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increased by approximately $1.5 million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with the six months ended June 30, 2020, due primarily to an increase in personnel and consulting expenses as we work to improve our process for growing and fermenting yeast strains.</w:t>
      </w:r>
    </w:p>
    <w:p>
      <w:pPr>
        <w:spacing w:after="0" w:line="18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$3.4 million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2021, compared with the six months ended June 30, 2020, due primarily to increases in personnel, professional fees and insurance to support the growth in operations and an increase in consulting related to creating our first ESG report, which will be released during the third quarter 2021, and documenting our compliance with Section 404(b) of SOX.</w:t>
      </w:r>
    </w:p>
    <w:p>
      <w:pPr>
        <w:spacing w:after="0" w:line="187"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i w:val="1"/>
          <w:iCs w:val="1"/>
          <w:color w:val="auto"/>
        </w:rPr>
        <w:t>Preliminary stage project costs</w:t>
      </w:r>
      <w:r>
        <w:rPr>
          <w:rFonts w:ascii="Arial" w:cs="Arial" w:eastAsia="Arial" w:hAnsi="Arial"/>
          <w:sz w:val="18"/>
          <w:szCs w:val="18"/>
          <w:color w:val="auto"/>
        </w:rPr>
        <w:t>. Preliminary stage project costs increased by approximately $7.8 million during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six months ended June 30, 2020, due primarily to increased consulting and research and development expenses related to our RNG and Net-Zero projects.</w:t>
      </w:r>
    </w:p>
    <w:p>
      <w:pPr>
        <w:spacing w:after="0" w:line="184"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i w:val="1"/>
          <w:iCs w:val="1"/>
          <w:color w:val="auto"/>
        </w:rPr>
        <w:t xml:space="preserve">Loss on disposal of assets. </w:t>
      </w:r>
      <w:r>
        <w:rPr>
          <w:rFonts w:ascii="Arial" w:cs="Arial" w:eastAsia="Arial" w:hAnsi="Arial"/>
          <w:sz w:val="17"/>
          <w:szCs w:val="17"/>
          <w:color w:val="auto"/>
        </w:rPr>
        <w:t>A s a result of discontinuing the production of ethanol at the Luverne Facility, we wrote-off $5.0 million of costs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construction of the fractionation equipment that was related to the production of ethanol during the six months ended June 30, 2021. </w:t>
      </w:r>
      <w:r>
        <w:rPr>
          <w:rFonts w:ascii="Arial" w:cs="Arial" w:eastAsia="Arial" w:hAnsi="Arial"/>
          <w:sz w:val="17"/>
          <w:szCs w:val="17"/>
          <w:i w:val="1"/>
          <w:iCs w:val="1"/>
          <w:color w:val="auto"/>
        </w:rPr>
        <w:t>.</w:t>
      </w:r>
    </w:p>
    <w:p>
      <w:pPr>
        <w:spacing w:after="0" w:line="146"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i w:val="1"/>
          <w:iCs w:val="1"/>
          <w:color w:val="auto"/>
        </w:rPr>
        <w:t>Gain on forgiveness of SBA loans</w:t>
      </w:r>
      <w:r>
        <w:rPr>
          <w:rFonts w:ascii="Arial" w:cs="Arial" w:eastAsia="Arial" w:hAnsi="Arial"/>
          <w:sz w:val="18"/>
          <w:szCs w:val="18"/>
          <w:color w:val="auto"/>
        </w:rPr>
        <w:t>. During the six months ended June 30, 2021, the Small Business Administration forgave the entire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$0.6 million of the Company's SBA PPP loans and accrued interest.</w:t>
      </w:r>
    </w:p>
    <w:p>
      <w:pPr>
        <w:spacing w:after="0" w:line="17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six months ended June 30, 2021 decreased by $1.1 million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due to the conversion the 2020/21 Notes to common stock during 2020.</w:t>
      </w:r>
    </w:p>
    <w:p>
      <w:pPr>
        <w:spacing w:after="0" w:line="17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six months ended June 30, 2020, we incurred a $0.7 million of legal and professional fees to</w:t>
      </w:r>
      <w:r>
        <w:rPr>
          <w:rFonts w:ascii="Arial" w:cs="Arial" w:eastAsia="Arial" w:hAnsi="Arial"/>
          <w:sz w:val="18"/>
          <w:szCs w:val="18"/>
          <w:i w:val="1"/>
          <w:iCs w:val="1"/>
          <w:color w:val="auto"/>
        </w:rPr>
        <w:t xml:space="preserve"> </w:t>
      </w:r>
      <w:r>
        <w:rPr>
          <w:rFonts w:ascii="Arial" w:cs="Arial" w:eastAsia="Arial" w:hAnsi="Arial"/>
          <w:sz w:val="18"/>
          <w:szCs w:val="18"/>
          <w:color w:val="auto"/>
        </w:rPr>
        <w:t>modify the 2020 Notes into the 2020/21 Notes.</w:t>
      </w:r>
    </w:p>
    <w:p>
      <w:pPr>
        <w:spacing w:after="0" w:line="170"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i w:val="1"/>
          <w:iCs w:val="1"/>
          <w:color w:val="auto"/>
        </w:rPr>
        <w:t xml:space="preserve">(Loss) gain from change in fair value of the 2020/21 Notes embedded derivative liability. </w:t>
      </w:r>
      <w:r>
        <w:rPr>
          <w:rFonts w:ascii="Arial" w:cs="Arial" w:eastAsia="Arial" w:hAnsi="Arial"/>
          <w:sz w:val="17"/>
          <w:szCs w:val="17"/>
          <w:color w:val="auto"/>
        </w:rPr>
        <w:t>We incurred no gain (loss) from the change in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2020/21 Notes during the six months ended June 30, 2021 since the 2020/21 Notes were converted to common stock in 2020.</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Other (expense) income</w:t>
      </w:r>
      <w:r>
        <w:rPr>
          <w:rFonts w:ascii="Arial" w:cs="Arial" w:eastAsia="Arial" w:hAnsi="Arial"/>
          <w:sz w:val="17"/>
          <w:szCs w:val="17"/>
          <w:color w:val="auto"/>
        </w:rPr>
        <w:t>. Other income during the six months ended June 30, 2021 decreased $0.1 million compared to the six months ended</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June 30, 2020, primarily due to income received on marketable securities and restricted cash offset by the write-off of prepaid finance costs during the three months ended March 31, 2021 not associated with the final financing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Our revenues are primarily derived from: (i) the sale of isobutanol and related products; (ii) hydrocarbon sales consisting primarily of the sale of SAF and isooctane derived from our isobutanol for purposes of certification and testing; and (iii) government grants and research and development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b w:val="1"/>
          <w:bCs w:val="1"/>
          <w:i w:val="1"/>
          <w:iCs w:val="1"/>
          <w:color w:val="auto"/>
        </w:rPr>
        <w:t xml:space="preserve">Cost of Goods Sold. </w:t>
      </w:r>
      <w:r>
        <w:rPr>
          <w:rFonts w:ascii="Arial" w:cs="Arial" w:eastAsia="Arial" w:hAnsi="Arial"/>
          <w:sz w:val="16"/>
          <w:szCs w:val="16"/>
          <w:color w:val="auto"/>
        </w:rPr>
        <w:t>Our cost of goods sold consists primarily of costs directly associated with the production of isobutanol at the Luverne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production of biojet fuel and isooctane at the South Hampton Facility. Such costs include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costs consist of expenses incurred to identify, develop and test our technologies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expenses consist of personnel costs (including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8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Preliminary Stage Project Costs. </w:t>
      </w:r>
      <w:r>
        <w:rPr>
          <w:rFonts w:ascii="Arial" w:cs="Arial" w:eastAsia="Arial" w:hAnsi="Arial"/>
          <w:sz w:val="18"/>
          <w:szCs w:val="18"/>
          <w:color w:val="auto"/>
        </w:rPr>
        <w:t>Preliminary stage project costs consist of research and development expense in addition to selling, general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related to our RNG and Net-Zero projects.</w:t>
      </w:r>
    </w:p>
    <w:p>
      <w:pPr>
        <w:spacing w:after="0" w:line="1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SBA loan has a fixed interest rate of 1%. Our equipment loans have rates between 4% and 5%. Our finance leases have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5% and 21%. Our 2021 Bonds have a fixed interest rate of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of June 30, 2021, we had cash and cash equivalents totaling $17.1 million, restricted cash totaling $128.1 million and marketable securities totaling $422.1 million.</w:t>
      </w:r>
    </w:p>
    <w:p>
      <w:pPr>
        <w:spacing w:after="0" w:line="170"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isobutanol and related products from renewable feedstocks. We have incurred losses since inception and expect to incur losses through at least 2022. We have financed our operations primarily with proceeds from multiple sales of equity and debt securities, borrowings under debt facilities and product sales.</w:t>
      </w:r>
    </w:p>
    <w:p>
      <w:pPr>
        <w:spacing w:after="0" w:line="171" w:lineRule="exact"/>
        <w:rPr>
          <w:sz w:val="20"/>
          <w:szCs w:val="20"/>
          <w:color w:val="auto"/>
        </w:rPr>
      </w:pPr>
    </w:p>
    <w:p>
      <w:pPr>
        <w:ind w:right="18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capabilities,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construction of production facilities.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incurred consolidated net losses since inception and has a significant accumulated deficit as of June 30,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600" w:type="dxa"/>
            <w:vAlign w:val="bottom"/>
            <w:gridSpan w:val="5"/>
          </w:tcPr>
          <w:p>
            <w:pPr>
              <w:ind w:left="500"/>
              <w:spacing w:after="0"/>
              <w:rPr>
                <w:sz w:val="20"/>
                <w:szCs w:val="20"/>
                <w:color w:val="auto"/>
              </w:rPr>
            </w:pPr>
            <w:r>
              <w:rPr>
                <w:rFonts w:ascii="Arial" w:cs="Arial" w:eastAsia="Arial" w:hAnsi="Arial"/>
                <w:sz w:val="18"/>
                <w:szCs w:val="18"/>
                <w:color w:val="auto"/>
                <w:w w:val="95"/>
              </w:rPr>
              <w:t>The following table sets forth the major sources and uses of cash for each of the periods set forth below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(19,468)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(10,818)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(436,529)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(1,607)</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522,854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80" w:firstLine="486"/>
        <w:spacing w:after="0" w:line="311" w:lineRule="auto"/>
        <w:rPr>
          <w:sz w:val="20"/>
          <w:szCs w:val="20"/>
          <w:color w:val="auto"/>
        </w:rPr>
      </w:pPr>
      <w:r>
        <w:rPr>
          <w:rFonts w:ascii="Arial" w:cs="Arial" w:eastAsia="Arial" w:hAnsi="Arial"/>
          <w:sz w:val="16"/>
          <w:szCs w:val="16"/>
          <w:color w:val="auto"/>
        </w:rPr>
        <w:t>Our primary uses of cash from operating activities are personnel related expenses and research and development-related expenses including costs incurred under development agreements, costs of licensing of technology, legal-related costs, expenses for production of isobutanol, ethanol and related products, logistics and further processing of isobutanol and ethanol at the Luverne Facility and for the operation of our South Hampton Facility.</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2021, net cash used for operating activities was $19.5 million compared to $10.8 million for the</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six months ended June 30, 2020. The $8.7 million decrease in operating cash flows was primarily due to increased engineering and development fees on our RNG and Net-Zero projects, increases in personnel expenses to support the growth in business activity, and consulting and professional fees to support the preparation of our first ESG report and compliance with Section 404(b) of SOX.</w:t>
      </w:r>
    </w:p>
    <w:p>
      <w:pPr>
        <w:spacing w:after="0" w:line="19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During the first quarter of 2020, we suspended our ethanol production at the Luverne Facility due to COVID-19 and an unfavorable commodity environment, largely the result of greater corn costs as compared to national markets than the region has historically produced. We have been maintaining the Luverne Facility in preparation for isobutanol production, which began in July 2021.</w:t>
      </w:r>
    </w:p>
    <w:p>
      <w:pPr>
        <w:spacing w:after="0" w:line="184"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currently plan to spend approximately $337 million for engineering, development, long-lead equipment deposits, debt financing costs, and project construction equity investment commitments over the next 12 months for the Net-Zero 1 Project.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During the six months ended June 30, 2021, we used $436.5 million in cash for investing activities, of which $422.4 million related to purchasing marketable securities and $14.2 million primarily related to construction in process attributable to the Gevo RNG project. We are constructing the Gevo RNG project in 2021 and expect to invest an additional $57 million to complete the Gevo RNG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six months ended June 30, 2021, we generated $522.9 million in cash from financing activities, which primarily consisted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$321.9 million from the sale of common stock and warrants in the January 2021 Offering, $135.8 million of net proceeds under our "at-the-market"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offering program and $69.0 million from the 2021 Bonds proceeds offset by $2.8 million of debt issuance costs related to the 2021 Bonds.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During the six months ended June 30, 2021, we received notices of exercise from holders of our Series 2020-A Warrants to issue an aggregate of 1,866,558 shares of common stock for total gross proceeds of approximately $1.1 million. Following these exercises, Series 2020-A Warrants to purchase 90,608 shares of our common stock remain outstanding at an exercise price of $0.60 per share.</w:t>
      </w:r>
    </w:p>
    <w:p>
      <w:pPr>
        <w:spacing w:after="0" w:line="184" w:lineRule="exact"/>
        <w:rPr>
          <w:sz w:val="20"/>
          <w:szCs w:val="20"/>
          <w:color w:val="auto"/>
        </w:rPr>
      </w:pPr>
    </w:p>
    <w:p>
      <w:pPr>
        <w:ind w:right="1000" w:firstLine="486"/>
        <w:spacing w:after="0" w:line="27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December 2020, the at-the-market offering program was amended to provide available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$150.0 million.</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six months ended June 30, 2021, we issued 24,420,579 shares of common stock under the at-the-market offering program for total proceeds of $135.8 million, net of commissions and other offering related expenses. As of June 30, 2021, we have remaining capacity to issue up to approximately $10.6 million of common stock under the at-the-market offering program.</w:t>
      </w:r>
    </w:p>
    <w:p>
      <w:pPr>
        <w:spacing w:after="0" w:line="184"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The financing leases pay interest between 5% and 21%, have total annual payments ranging from $0.9 million to $3.4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mature at various dates through May 2047.</w:t>
      </w:r>
    </w:p>
    <w:p>
      <w:pPr>
        <w:spacing w:after="0" w:line="17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i w:val="1"/>
          <w:iCs w:val="1"/>
          <w:color w:val="auto"/>
        </w:rPr>
        <w:t xml:space="preserve">2021 Bonds. </w:t>
      </w:r>
      <w:r>
        <w:rPr>
          <w:rFonts w:ascii="Arial" w:cs="Arial" w:eastAsia="Arial" w:hAnsi="Arial"/>
          <w:sz w:val="17"/>
          <w:szCs w:val="17"/>
          <w:color w:val="auto"/>
        </w:rPr>
        <w:t>On April 15, 2021, the Company closed the 2021 Bonds offering totaling $68,155,000 to finance the construction of the Gevo RNG</w:t>
      </w:r>
      <w:r>
        <w:rPr>
          <w:rFonts w:ascii="Arial" w:cs="Arial" w:eastAsia="Arial" w:hAnsi="Arial"/>
          <w:sz w:val="17"/>
          <w:szCs w:val="17"/>
          <w:i w:val="1"/>
          <w:iCs w:val="1"/>
          <w:color w:val="auto"/>
        </w:rPr>
        <w:t xml:space="preserve"> </w:t>
      </w:r>
      <w:r>
        <w:rPr>
          <w:rFonts w:ascii="Arial" w:cs="Arial" w:eastAsia="Arial" w:hAnsi="Arial"/>
          <w:sz w:val="17"/>
          <w:szCs w:val="17"/>
          <w:color w:val="auto"/>
        </w:rPr>
        <w:t>project. The proceeds of the 2021 Bonds, combined with Gevo equity, will be used to finance (1) the construction of the Gevo RNG project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RNG and interconnect to Northern Natural Gas’ interstate pipeline, and (D) other related improvements; (2) to capitalize a portion of the interest due on the 2021 Bonds during the construction period; and (3) to pay a portion of the costs of issuing the 2021 Bonds. The draw down on the receivable from bond trustee funds were used to offset the investing activities above related to construction in process attributable to the Gevo RNG project.</w:t>
      </w:r>
    </w:p>
    <w:p>
      <w:pPr>
        <w:spacing w:after="0" w:line="17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i w:val="1"/>
          <w:iCs w:val="1"/>
          <w:color w:val="auto"/>
        </w:rPr>
        <w:t xml:space="preserve">Loans Payable - Other. </w:t>
      </w:r>
      <w:r>
        <w:rPr>
          <w:rFonts w:ascii="Arial" w:cs="Arial" w:eastAsia="Arial" w:hAnsi="Arial"/>
          <w:sz w:val="18"/>
          <w:szCs w:val="18"/>
          <w:color w:val="auto"/>
        </w:rPr>
        <w:t>The equipment notes pay interest between 4% and 5%, have total monthly payments of $0.01 million and mature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December 2024. The equipment loans are secured by the related equipment.</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 April 2020, the Company and Agri-Energy each entered into a loan agreement with Live Oak Banking Company, pursuant to which the Company and Agri-Energy obtained loans from the SBA PPP totaling $1.0 million in the aggregate.</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 April 15, 2021, the Small Business Administration forgave the entire balance of $0.5 million of the Company's and $0.1 million of Agri-Energy's loans and accrued interest obtained through the SBA PPP. The remaining SBA PPP loan for Agri-Energy totals $0.4 million, bears interest at 1.0% and matures in April 2025. Monthly payments of $8,000 began on June 5, 2021 and are payable through April 2025.</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i w:val="1"/>
          <w:iCs w:val="1"/>
          <w:color w:val="auto"/>
        </w:rPr>
        <w:t xml:space="preserve">Leases, Right-of-Use Assets and Related Liabilities. </w:t>
      </w:r>
      <w:r>
        <w:rPr>
          <w:rFonts w:ascii="Arial" w:cs="Arial" w:eastAsia="Arial" w:hAnsi="Arial"/>
          <w:sz w:val="16"/>
          <w:szCs w:val="16"/>
          <w:color w:val="auto"/>
        </w:rPr>
        <w:t>We enter into various arrangements which constitute a lease as defined by ASC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our right to use an underlying asset for the term of the contract; and (b) a corresponding lease liability which represents our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16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and (5) the asset is of such a specialized nature that it is expected to have no alternative use to the lessor at the end of the lease term. If a lease does not meet any of these criteria, the lease is classified as an operating lease.</w:t>
      </w:r>
    </w:p>
    <w:p>
      <w:pPr>
        <w:spacing w:after="0" w:line="18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Lease liabilities are initially measured at the lease commencement date based on the present value of lease payments over the lease term, discounted using an estimate of our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 as further described in the significant accounting policy “Impairment of Property, Plant and Equipment” in our Annual Report on Form 10-K for the year ended December 31, 2020.</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Renewal options are included in the calculation of our right-of-use assets and lease liabilities when we determine that the option is reasonably certain of exercise based on an analysis of the relevant facts and circumstances. Certain of our leases require variable lease payments that do not depend on an index or rate and such payments are excluded from the calculation of the right-of-use asset and lease liability and are recognized as variable lease cost when incurred.</w:t>
      </w:r>
    </w:p>
    <w:p>
      <w:pPr>
        <w:spacing w:after="0" w:line="187"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We have elected the practical expedient to account for the lease and non-lease components as a single lease component for our dairy lease and fuel supply asset class. This results in a significantly higher ROU assets and lease liabilities than if the Company had not elected this practical expedient.</w:t>
      </w:r>
    </w:p>
    <w:p>
      <w:pPr>
        <w:spacing w:after="0" w:line="124" w:lineRule="exact"/>
        <w:rPr>
          <w:sz w:val="20"/>
          <w:szCs w:val="20"/>
          <w:color w:val="auto"/>
        </w:rPr>
      </w:pPr>
    </w:p>
    <w:p>
      <w:pPr>
        <w:ind w:left="160" w:right="140" w:firstLine="486"/>
        <w:spacing w:after="0" w:line="263" w:lineRule="auto"/>
        <w:rPr>
          <w:sz w:val="20"/>
          <w:szCs w:val="20"/>
          <w:color w:val="auto"/>
        </w:rPr>
      </w:pPr>
      <w:r>
        <w:rPr>
          <w:rFonts w:ascii="Arial" w:cs="Arial" w:eastAsia="Arial" w:hAnsi="Arial"/>
          <w:sz w:val="18"/>
          <w:szCs w:val="18"/>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84" w:lineRule="exact"/>
        <w:rPr>
          <w:sz w:val="20"/>
          <w:szCs w:val="20"/>
          <w:color w:val="auto"/>
        </w:rPr>
      </w:pPr>
    </w:p>
    <w:p>
      <w:pPr>
        <w:ind w:right="80" w:firstLine="475"/>
        <w:spacing w:after="0" w:line="277" w:lineRule="auto"/>
        <w:rPr>
          <w:sz w:val="20"/>
          <w:szCs w:val="20"/>
          <w:color w:val="auto"/>
        </w:rPr>
      </w:pPr>
      <w:r>
        <w:rPr>
          <w:rFonts w:ascii="Arial" w:cs="Arial" w:eastAsia="Arial" w:hAnsi="Arial"/>
          <w:sz w:val="18"/>
          <w:szCs w:val="18"/>
          <w:color w:val="auto"/>
        </w:rPr>
        <w:t>For a description of our other critical accounting policies and estimates that affect our significant judgments and estimates used in the preparation of our consolidated financial statements, refer to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2021, we did not have any material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75"/>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ind w:right="40" w:firstLine="475"/>
        <w:spacing w:after="0" w:line="291" w:lineRule="auto"/>
        <w:rPr>
          <w:sz w:val="20"/>
          <w:szCs w:val="20"/>
          <w:color w:val="auto"/>
        </w:rPr>
      </w:pPr>
      <w:r>
        <w:rPr>
          <w:rFonts w:ascii="Arial" w:cs="Arial" w:eastAsia="Arial" w:hAnsi="Arial"/>
          <w:sz w:val="16"/>
          <w:szCs w:val="16"/>
          <w:color w:val="auto"/>
        </w:rPr>
        <w:t>Management, including the participation of our Chief Executive Officer and our Chief Financial Officer, conducted an evaluation (pursuant to Rule 13a-15(b) of the Exchange Act) of the effectiveness of our disclosure controls and procedures as of the end of the period covered by this Report. Based on this evaluation, our Chief Executive Officer and Chief Financial Officer concluded that our disclosure controls and procedures were effective as of June 30, 2021.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substantially completed the implementation of our new Enterprise Resource Planning (“ERP”) system during our fiscal quarter ended June 30,</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2021. The implementation of that ERP system is expected to, among other things, improve user access security and automate a number of accounting, back office and reporting processes and activities, thereby decreasing the amount of manual processes previously required. Except for the implementation of the new ERP system, there was no change in our internal control over financial reporting that occurred during the period ended June 30, 2021, that materially affected, or is reasonably likely to materially affect, our internal control over financial reporting. For the quarter ended June 30, 2021, there was no change in our internal control over financial reporting that materially affected, or is reasonably likely to materially affect, our internal control over financial reporting</w:t>
      </w:r>
    </w:p>
    <w:p>
      <w:pPr>
        <w:sectPr>
          <w:pgSz w:w="11900" w:h="16838" w:orient="portrait"/>
          <w:cols w:equalWidth="0" w:num="1">
            <w:col w:w="11240"/>
          </w:cols>
          <w:pgMar w:left="320" w:top="125" w:right="339" w:bottom="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60" w:firstLine="475"/>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and we are not aware of any pending or threatened litigation against us that we believe could have a material adverse effect on our business, operating results, financial condition or cash flows.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You should carefully consider the risk factors discussed in Part I, Item 1A. “Risk Factors” in our Annual Report, which could materially affect our business, financial condition, cash flows or future results.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will be unable to issue sufficient additional shares for future capital raising transactions or strategic transactions unless we obtain stockholder approval to amend our certificate of incorporation to increase the number of authorized shares of our common stock available for issuance.</w:t>
      </w:r>
    </w:p>
    <w:p>
      <w:pPr>
        <w:spacing w:after="0" w:line="18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250,000,000 authorized shares of common stock. As of July 30, 2021, we had 197,214,586 shares of common stock outstanding and 17,441,531 shares of common stock reserved for future issuance related to the Gevo, Inc. 2010 Stock Incentive Plan and warrants. As a result, as of July 30, 2021, we had approximately 35,343,883 shares of authorized shares of common stock available for future issuance. We operate in a capital-intensive industry and we do not believe we have sufficient unissued shares of common stock for future issuances to raise funds to execute on our business plans. Having additional authorized common stock available is critical to our continued efforts to pursue our strategic goals and we will be limited by the number of shares available for future capital raising transactions or business development transactions unless we obtain stockholder approval of an amendment to our certificate of incorporation to increase the number of authorized shares of common stock. We plan to solicit the approval of our stockholders to amend our certificate of incorporation to increase the number of authorized shares of common stock, but we cannot be certain that our stockholders will approve the amendment, particularly since we have a large retail stockholder base as of July 30, 2021. A delay in securing, or a failure to secure, stockholder approval to amend our certificate of incorporation could cause a delay in our future capital raising, collaboration, partnership or other strategic transactions, and may have a material adverse effect on our business and financial condition.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Average 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Paid per 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April 1, 2021 - April 30, 2021 (1)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3,517</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May 1, 2021 - May 31, 2021</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June 1, 2021 - June 30, 2021 (1)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223,192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226,709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4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56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561"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Included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Herewith</w:t>
            </w:r>
          </w:p>
        </w:tc>
      </w:tr>
      <w:tr>
        <w:trPr>
          <w:trHeight w:val="189"/>
        </w:trPr>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72"/>
        </w:trPr>
        <w:tc>
          <w:tcPr>
            <w:tcW w:w="34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60" w:type="dxa"/>
            <w:vAlign w:val="bottom"/>
            <w:tcBorders>
              <w:bottom w:val="single" w:sz="8" w:color="0000EE"/>
            </w:tcBorders>
            <w:gridSpan w:val="9"/>
          </w:tcPr>
          <w:p>
            <w:pPr>
              <w:spacing w:after="0" w:line="172"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Amended and Restated Certificate of Incorporation of Gevo,</w:t>
              </w:r>
            </w:hyperlink>
          </w:p>
        </w:tc>
        <w:tc>
          <w:tcPr>
            <w:tcW w:w="2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3.1</w:t>
            </w: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March 29, 2011</w:t>
            </w: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3.2</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10, 2013</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April 22,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3.5</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4"/>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6, 2017</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1440" w:type="dxa"/>
            <w:vAlign w:val="bottom"/>
            <w:tcBorders>
              <w:top w:val="single" w:sz="8" w:color="0000EE"/>
              <w:bottom w:val="single" w:sz="8" w:color="auto"/>
            </w:tcBorders>
          </w:tcPr>
          <w:p>
            <w:pPr>
              <w:spacing w:after="0"/>
              <w:rPr>
                <w:sz w:val="3"/>
                <w:szCs w:val="3"/>
                <w:color w:val="auto"/>
              </w:rPr>
            </w:pPr>
          </w:p>
        </w:tc>
        <w:tc>
          <w:tcPr>
            <w:tcW w:w="1260" w:type="dxa"/>
            <w:vAlign w:val="bottom"/>
            <w:tcBorders>
              <w:top w:val="single" w:sz="8" w:color="0000EE"/>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49"/>
        </w:trPr>
        <w:tc>
          <w:tcPr>
            <w:tcW w:w="3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780" w:type="dxa"/>
            <w:vAlign w:val="bottom"/>
            <w:tcBorders>
              <w:bottom w:val="single" w:sz="8" w:color="0000EE"/>
            </w:tcBorders>
            <w:gridSpan w:val="6"/>
          </w:tcPr>
          <w:p>
            <w:pPr>
              <w:spacing w:after="0" w:line="150" w:lineRule="exact"/>
              <w:rPr>
                <w:rFonts w:ascii="Arial" w:cs="Arial" w:eastAsia="Arial" w:hAnsi="Arial"/>
                <w:sz w:val="17"/>
                <w:szCs w:val="17"/>
                <w:color w:val="0000EE"/>
                <w:w w:val="95"/>
              </w:rPr>
            </w:pPr>
            <w:hyperlink r:id="rId70">
              <w:r>
                <w:rPr>
                  <w:rFonts w:ascii="Arial" w:cs="Arial" w:eastAsia="Arial" w:hAnsi="Arial"/>
                  <w:sz w:val="17"/>
                  <w:szCs w:val="17"/>
                  <w:color w:val="0000EE"/>
                  <w:w w:val="95"/>
                </w:rPr>
                <w:t>Certificate of Amendment to Amended and Restated</w:t>
              </w:r>
            </w:hyperlink>
          </w:p>
        </w:tc>
        <w:tc>
          <w:tcPr>
            <w:tcW w:w="800" w:type="dxa"/>
            <w:vAlign w:val="bottom"/>
            <w:tcBorders>
              <w:right w:val="single" w:sz="8" w:color="auto"/>
            </w:tcBorders>
            <w:gridSpan w:val="4"/>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3"/>
              </w:rPr>
              <w:t>June 4, 2018</w:t>
            </w:r>
          </w:p>
        </w:tc>
        <w:tc>
          <w:tcPr>
            <w:tcW w:w="1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2"/>
              </w:rPr>
              <w:t>3.1</w:t>
            </w:r>
          </w:p>
        </w:tc>
        <w:tc>
          <w:tcPr>
            <w:tcW w:w="1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3.6</w:t>
            </w: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3.7</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10"/>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Amended and Restated Bylaws of Gevo, Inc.</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29, 2011</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10"/>
          </w:tcPr>
          <w:p>
            <w:pPr>
              <w:spacing w:after="0"/>
              <w:rPr>
                <w:rFonts w:ascii="Arial" w:cs="Arial" w:eastAsia="Arial" w:hAnsi="Arial"/>
                <w:sz w:val="18"/>
                <w:szCs w:val="18"/>
                <w:color w:val="0000EE"/>
              </w:rPr>
            </w:pPr>
            <w:hyperlink r:id="rId72">
              <w:r>
                <w:rPr>
                  <w:rFonts w:ascii="Arial" w:cs="Arial" w:eastAsia="Arial" w:hAnsi="Arial"/>
                  <w:sz w:val="18"/>
                  <w:szCs w:val="18"/>
                  <w:color w:val="0000EE"/>
                </w:rPr>
                <w:t>Form of Gevo, Inc. Common Stock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1"/>
              </w:rPr>
              <w:t>333-168792</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January 19, 2011</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31"/>
        </w:trPr>
        <w:tc>
          <w:tcPr>
            <w:tcW w:w="340" w:type="dxa"/>
            <w:vAlign w:val="bottom"/>
            <w:tcBorders>
              <w:left w:val="single" w:sz="8" w:color="auto"/>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1440" w:type="dxa"/>
            <w:vAlign w:val="bottom"/>
            <w:tcBorders>
              <w:top w:val="single" w:sz="8" w:color="0000EE"/>
              <w:bottom w:val="single" w:sz="8" w:color="auto"/>
            </w:tcBorders>
          </w:tcPr>
          <w:p>
            <w:pPr>
              <w:spacing w:after="0"/>
              <w:rPr>
                <w:sz w:val="2"/>
                <w:szCs w:val="2"/>
                <w:color w:val="auto"/>
              </w:rPr>
            </w:pPr>
          </w:p>
        </w:tc>
        <w:tc>
          <w:tcPr>
            <w:tcW w:w="12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388"/>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4.2†</w:t>
            </w:r>
          </w:p>
        </w:tc>
        <w:tc>
          <w:tcPr>
            <w:tcW w:w="6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10"/>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Stock Issuance and Stockholder’s Rights Agreement, dated</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1"/>
              </w:rPr>
              <w:t>333-168792</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12, 2010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July 12, 2005, by and between Gevo, Inc. and California</w:t>
              </w:r>
            </w:hyperlink>
          </w:p>
        </w:tc>
        <w:tc>
          <w:tcPr>
            <w:tcW w:w="180" w:type="dxa"/>
            <w:vAlign w:val="bottom"/>
            <w:tcBorders>
              <w:top w:val="single" w:sz="8" w:color="0000EE"/>
            </w:tcBorders>
          </w:tcPr>
          <w:p>
            <w:pPr>
              <w:spacing w:after="0"/>
              <w:rPr>
                <w:sz w:val="17"/>
                <w:szCs w:val="17"/>
                <w:color w:val="auto"/>
              </w:rPr>
            </w:pPr>
          </w:p>
        </w:tc>
        <w:tc>
          <w:tcPr>
            <w:tcW w:w="340" w:type="dxa"/>
            <w:vAlign w:val="bottom"/>
            <w:tcBorders>
              <w:right w:val="single" w:sz="8" w:color="auto"/>
            </w:tcBorders>
            <w:gridSpan w:val="2"/>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Institute of Technology.</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40" w:type="dxa"/>
            <w:vAlign w:val="bottom"/>
            <w:gridSpan w:val="12"/>
          </w:tcPr>
          <w:p>
            <w:pPr>
              <w:jc w:val="right"/>
              <w:ind w:right="1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340" w:type="dxa"/>
            <w:vAlign w:val="bottom"/>
            <w:gridSpan w:val="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Table of Contents</w:t>
              </w:r>
            </w:hyperlink>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3"/>
        </w:trPr>
        <w:tc>
          <w:tcPr>
            <w:tcW w:w="340" w:type="dxa"/>
            <w:vAlign w:val="bottom"/>
            <w:tcBorders>
              <w:top w:val="single" w:sz="8" w:color="0000EE"/>
              <w:bottom w:val="single" w:sz="8" w:color="auto"/>
            </w:tcBorders>
          </w:tcPr>
          <w:p>
            <w:pPr>
              <w:spacing w:after="0"/>
              <w:rPr>
                <w:sz w:val="23"/>
                <w:szCs w:val="23"/>
                <w:color w:val="auto"/>
              </w:rPr>
            </w:pPr>
          </w:p>
        </w:tc>
        <w:tc>
          <w:tcPr>
            <w:tcW w:w="78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0000EE"/>
            </w:tcBorders>
          </w:tcPr>
          <w:p>
            <w:pPr>
              <w:spacing w:after="0"/>
              <w:rPr>
                <w:sz w:val="23"/>
                <w:szCs w:val="23"/>
                <w:color w:val="auto"/>
              </w:rPr>
            </w:pPr>
          </w:p>
        </w:tc>
        <w:tc>
          <w:tcPr>
            <w:tcW w:w="60" w:type="dxa"/>
            <w:vAlign w:val="bottom"/>
            <w:tcBorders>
              <w:top w:val="single" w:sz="8" w:color="0000EE"/>
              <w:bottom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154"/>
        </w:trPr>
        <w:tc>
          <w:tcPr>
            <w:tcW w:w="1120" w:type="dxa"/>
            <w:vAlign w:val="bottom"/>
            <w:tcBorders>
              <w:top w:val="single" w:sz="8" w:color="auto"/>
              <w:left w:val="single" w:sz="8" w:color="auto"/>
              <w:right w:val="single" w:sz="8" w:color="auto"/>
            </w:tcBorders>
            <w:gridSpan w:val="2"/>
          </w:tcPr>
          <w:p>
            <w:pPr>
              <w:ind w:left="20"/>
              <w:spacing w:after="0" w:line="154" w:lineRule="exact"/>
              <w:rPr>
                <w:sz w:val="20"/>
                <w:szCs w:val="20"/>
                <w:color w:val="auto"/>
              </w:rPr>
            </w:pPr>
            <w:r>
              <w:rPr>
                <w:rFonts w:ascii="Arial" w:cs="Arial" w:eastAsia="Arial" w:hAnsi="Arial"/>
                <w:sz w:val="17"/>
                <w:szCs w:val="17"/>
                <w:b w:val="1"/>
                <w:bCs w:val="1"/>
                <w:color w:val="auto"/>
              </w:rPr>
              <w:t>Exhibit</w:t>
            </w:r>
          </w:p>
        </w:tc>
        <w:tc>
          <w:tcPr>
            <w:tcW w:w="10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right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rPr>
              <w:t>Filed</w:t>
            </w:r>
          </w:p>
        </w:tc>
      </w:tr>
      <w:tr>
        <w:trPr>
          <w:trHeight w:val="251"/>
        </w:trPr>
        <w:tc>
          <w:tcPr>
            <w:tcW w:w="1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3"/>
        </w:trPr>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2"/>
              </w:rPr>
              <w:t>File No.</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ind w:left="60"/>
              <w:spacing w:after="0" w:line="193" w:lineRule="exact"/>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4.3</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3"/>
          </w:tcPr>
          <w:p>
            <w:pPr>
              <w:spacing w:after="0"/>
              <w:rPr>
                <w:rFonts w:ascii="Arial" w:cs="Arial" w:eastAsia="Arial" w:hAnsi="Arial"/>
                <w:sz w:val="18"/>
                <w:szCs w:val="18"/>
                <w:color w:val="0000EE"/>
              </w:rPr>
            </w:pPr>
            <w:hyperlink r:id="rId74">
              <w:r>
                <w:rPr>
                  <w:rFonts w:ascii="Arial" w:cs="Arial" w:eastAsia="Arial" w:hAnsi="Arial"/>
                  <w:sz w:val="18"/>
                  <w:szCs w:val="18"/>
                  <w:color w:val="0000EE"/>
                </w:rPr>
                <w:t>Form of Series I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September 15, 2016</w:t>
            </w: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3"/>
          </w:tcPr>
          <w:p>
            <w:pPr>
              <w:spacing w:after="0"/>
              <w:rPr>
                <w:rFonts w:ascii="Arial" w:cs="Arial" w:eastAsia="Arial" w:hAnsi="Arial"/>
                <w:sz w:val="18"/>
                <w:szCs w:val="18"/>
                <w:color w:val="0000EE"/>
              </w:rPr>
            </w:pPr>
            <w:hyperlink r:id="rId75">
              <w:r>
                <w:rPr>
                  <w:rFonts w:ascii="Arial" w:cs="Arial" w:eastAsia="Arial" w:hAnsi="Arial"/>
                  <w:sz w:val="18"/>
                  <w:szCs w:val="18"/>
                  <w:color w:val="0000EE"/>
                </w:rPr>
                <w:t>Form of Series K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February 22, 2017</w:t>
            </w: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40"/>
        </w:trPr>
        <w:tc>
          <w:tcPr>
            <w:tcW w:w="3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720" w:type="dxa"/>
            <w:vAlign w:val="bottom"/>
            <w:tcBorders>
              <w:top w:val="single" w:sz="8" w:color="0000EE"/>
              <w:bottom w:val="single" w:sz="8" w:color="auto"/>
            </w:tcBorders>
          </w:tcPr>
          <w:p>
            <w:pPr>
              <w:spacing w:after="0"/>
              <w:rPr>
                <w:sz w:val="3"/>
                <w:szCs w:val="3"/>
                <w:color w:val="auto"/>
              </w:rPr>
            </w:pPr>
          </w:p>
        </w:tc>
        <w:tc>
          <w:tcPr>
            <w:tcW w:w="1400" w:type="dxa"/>
            <w:vAlign w:val="bottom"/>
            <w:tcBorders>
              <w:top w:val="single" w:sz="8" w:color="0000EE"/>
              <w:bottom w:val="single" w:sz="8" w:color="auto"/>
            </w:tcBorders>
          </w:tcPr>
          <w:p>
            <w:pPr>
              <w:spacing w:after="0"/>
              <w:rPr>
                <w:sz w:val="3"/>
                <w:szCs w:val="3"/>
                <w:color w:val="auto"/>
              </w:rPr>
            </w:pPr>
          </w:p>
        </w:tc>
        <w:tc>
          <w:tcPr>
            <w:tcW w:w="16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50"/>
        </w:trPr>
        <w:tc>
          <w:tcPr>
            <w:tcW w:w="3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color w:val="auto"/>
              </w:rPr>
              <w:t>4.5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13"/>
          </w:tcPr>
          <w:p>
            <w:pPr>
              <w:spacing w:after="0" w:line="150" w:lineRule="exact"/>
              <w:rPr>
                <w:rFonts w:ascii="Arial" w:cs="Arial" w:eastAsia="Arial" w:hAnsi="Arial"/>
                <w:sz w:val="17"/>
                <w:szCs w:val="17"/>
                <w:color w:val="0000EE"/>
              </w:rPr>
            </w:pPr>
            <w:hyperlink r:id="rId76">
              <w:r>
                <w:rPr>
                  <w:rFonts w:ascii="Arial" w:cs="Arial" w:eastAsia="Arial" w:hAnsi="Arial"/>
                  <w:sz w:val="17"/>
                  <w:szCs w:val="17"/>
                  <w:color w:val="0000EE"/>
                </w:rPr>
                <w:t>Form of Series 2020-A Warrant to Purchase Common Stock.</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ind w:right="11"/>
              <w:spacing w:after="0" w:line="150" w:lineRule="exact"/>
              <w:rPr>
                <w:sz w:val="20"/>
                <w:szCs w:val="20"/>
                <w:color w:val="auto"/>
              </w:rPr>
            </w:pPr>
            <w:r>
              <w:rPr>
                <w:rFonts w:ascii="Arial" w:cs="Arial" w:eastAsia="Arial" w:hAnsi="Arial"/>
                <w:sz w:val="17"/>
                <w:szCs w:val="17"/>
                <w:color w:val="auto"/>
                <w:w w:val="95"/>
              </w:rPr>
              <w:t>001-35073</w:t>
            </w:r>
          </w:p>
        </w:tc>
        <w:tc>
          <w:tcPr>
            <w:tcW w:w="8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July 8, 2020</w:t>
            </w:r>
          </w:p>
        </w:tc>
        <w:tc>
          <w:tcPr>
            <w:tcW w:w="1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4.1</w:t>
            </w:r>
          </w:p>
        </w:tc>
        <w:tc>
          <w:tcPr>
            <w:tcW w:w="1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3"/>
          </w:tcPr>
          <w:p>
            <w:pPr>
              <w:spacing w:after="0" w:line="169"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Bond Financing Agreement, dated as of April 1, 2021, by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April 15,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420" w:type="dxa"/>
            <w:vAlign w:val="bottom"/>
            <w:tcBorders>
              <w:top w:val="single" w:sz="8" w:color="0000EE"/>
            </w:tcBorders>
            <w:gridSpan w:val="11"/>
          </w:tcPr>
          <w:p>
            <w:pPr>
              <w:spacing w:after="0" w:line="196"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between Gevo NW Iowa RNG, LLC and the Iowa Finance</w:t>
              </w:r>
            </w:hyperlink>
          </w:p>
        </w:tc>
        <w:tc>
          <w:tcPr>
            <w:tcW w:w="220" w:type="dxa"/>
            <w:vAlign w:val="bottom"/>
            <w:tcBorders>
              <w:right w:val="single" w:sz="8" w:color="auto"/>
            </w:tcBorders>
            <w:gridSpan w:val="2"/>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2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Authority.</w:t>
              </w:r>
            </w:hyperlink>
          </w:p>
        </w:tc>
        <w:tc>
          <w:tcPr>
            <w:tcW w:w="440" w:type="dxa"/>
            <w:vAlign w:val="bottom"/>
            <w:tcBorders>
              <w:right w:val="single" w:sz="8" w:color="auto"/>
            </w:tcBorders>
            <w:gridSpan w:val="7"/>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bottom w:val="single" w:sz="8" w:color="0000EE"/>
              <w:right w:val="single" w:sz="8" w:color="auto"/>
            </w:tcBorders>
            <w:gridSpan w:val="13"/>
          </w:tcPr>
          <w:p>
            <w:pPr>
              <w:spacing w:after="0" w:line="169"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Letter of Credit Reimbursement Agreement, dated as of April 1,</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April 15,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3"/>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2021, by and between Gevo, Inc. and Citibank, N.A.</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3"/>
          </w:tcPr>
          <w:p>
            <w:pPr>
              <w:spacing w:after="0" w:line="169" w:lineRule="exact"/>
              <w:rPr>
                <w:rFonts w:ascii="Arial" w:cs="Arial" w:eastAsia="Arial" w:hAnsi="Arial"/>
                <w:sz w:val="18"/>
                <w:szCs w:val="18"/>
                <w:color w:val="0000EE"/>
                <w:w w:val="94"/>
              </w:rPr>
            </w:pPr>
            <w:hyperlink r:id="rId79">
              <w:r>
                <w:rPr>
                  <w:rFonts w:ascii="Arial" w:cs="Arial" w:eastAsia="Arial" w:hAnsi="Arial"/>
                  <w:sz w:val="18"/>
                  <w:szCs w:val="18"/>
                  <w:color w:val="0000EE"/>
                  <w:w w:val="94"/>
                </w:rPr>
                <w:t>Gevo, Inc Amended and Restated 2010 Stock Incentive Plan</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June 10,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3"/>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Section 302 Certification of the Principal Executive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Section 302 Certification of the Principal Financial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580" w:type="dxa"/>
            <w:vAlign w:val="bottom"/>
            <w:tcBorders>
              <w:bottom w:val="single" w:sz="8" w:color="0000EE"/>
            </w:tcBorders>
            <w:gridSpan w:val="12"/>
          </w:tcPr>
          <w:p>
            <w:pPr>
              <w:spacing w:after="0" w:line="170"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Section 906 Certification of the Principal Executive Officer and</w:t>
              </w:r>
            </w:hyperlink>
          </w:p>
        </w:tc>
        <w:tc>
          <w:tcPr>
            <w:tcW w:w="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Principal Financial Officer.**</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w w:val="93"/>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w w:val="98"/>
              </w:rPr>
              <w:t>of Gevo, Inc. for the quarterly period ended June 30, 2021,</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w w:val="92"/>
              </w:rPr>
              <w:t>formatted in Inline XBRL: (i) the Consolidated Balance Sheets,</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(ii) 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w w:val="93"/>
              </w:rPr>
              <w:t>Consolidated Statements of Cash Flows, and (iv)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3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8"/>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right"/>
              <w:ind w:right="471"/>
              <w:spacing w:after="0"/>
              <w:rPr>
                <w:sz w:val="20"/>
                <w:szCs w:val="20"/>
                <w:color w:val="auto"/>
              </w:rPr>
            </w:pPr>
            <w:r>
              <w:rPr>
                <w:rFonts w:ascii="Arial" w:cs="Arial" w:eastAsia="Arial" w:hAnsi="Arial"/>
                <w:sz w:val="17"/>
                <w:szCs w:val="17"/>
                <w:color w:val="auto"/>
                <w:w w:val="70"/>
              </w:rPr>
              <w:t>104</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3"/>
          </w:tcPr>
          <w:p>
            <w:pPr>
              <w:spacing w:after="0" w:line="199" w:lineRule="exact"/>
              <w:rPr>
                <w:sz w:val="20"/>
                <w:szCs w:val="20"/>
                <w:color w:val="auto"/>
              </w:rPr>
            </w:pPr>
            <w:r>
              <w:rPr>
                <w:rFonts w:ascii="Arial" w:cs="Arial" w:eastAsia="Arial" w:hAnsi="Arial"/>
                <w:sz w:val="18"/>
                <w:szCs w:val="18"/>
                <w:color w:val="auto"/>
                <w:w w:val="97"/>
              </w:rPr>
              <w:t>Cover Page Interactive Data File (formatted as Inline XBRL</w:t>
            </w: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27"/>
        </w:trPr>
        <w:tc>
          <w:tcPr>
            <w:tcW w:w="3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and contained in Exhibit 101)</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2"/>
          <w:szCs w:val="22"/>
          <w:color w:val="auto"/>
        </w:rPr>
        <w:t>+</w:t>
      </w:r>
      <w:r>
        <w:rPr>
          <w:rFonts w:ascii="Arial" w:cs="Arial" w:eastAsia="Arial" w:hAnsi="Arial"/>
          <w:sz w:val="16"/>
          <w:szCs w:val="16"/>
          <w:color w:val="auto"/>
        </w:rPr>
        <w:t>Confidential portions of the exhibit have been redacted from the filed version of the exhibit and are marked with a ***.</w:t>
      </w:r>
    </w:p>
    <w:p>
      <w:pPr>
        <w:spacing w:after="0" w:line="19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7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031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Carolyn M. Romero, CPA</w:t>
      </w:r>
    </w:p>
    <w:p>
      <w:pPr>
        <w:spacing w:after="0" w:line="9"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12, 2021</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60"/>
          </w:cols>
          <w:pgMar w:left="320" w:top="125" w:right="8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680" w:hanging="412"/>
        <w:spacing w:after="0" w:line="263"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900" w:hanging="412"/>
        <w:spacing w:after="0" w:line="34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840" w:hanging="412"/>
        <w:spacing w:after="0" w:line="291"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820" w:hanging="414"/>
        <w:spacing w:after="0" w:line="286" w:lineRule="auto"/>
        <w:tabs>
          <w:tab w:leader="none" w:pos="8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720" w:hanging="414"/>
        <w:spacing w:after="0" w:line="263"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40" w:right="780" w:hanging="414"/>
        <w:spacing w:after="0" w:line="263"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40" w:right="840" w:hanging="414"/>
        <w:spacing w:after="0" w:line="286" w:lineRule="auto"/>
        <w:tabs>
          <w:tab w:leader="none" w:pos="8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800" w:hanging="412"/>
        <w:spacing w:after="0" w:line="263"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40" w:right="780" w:hanging="414"/>
        <w:spacing w:after="0" w:line="342" w:lineRule="auto"/>
        <w:tabs>
          <w:tab w:leader="none" w:pos="8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020" w:hanging="414"/>
        <w:spacing w:after="0" w:line="277" w:lineRule="auto"/>
        <w:tabs>
          <w:tab w:leader="none" w:pos="8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12, 2021</w:t>
      </w:r>
    </w:p>
    <w:p>
      <w:pPr>
        <w:spacing w:after="0" w:line="200" w:lineRule="exact"/>
        <w:rPr>
          <w:sz w:val="20"/>
          <w:szCs w:val="20"/>
          <w:color w:val="auto"/>
        </w:rPr>
      </w:pPr>
    </w:p>
    <w:p>
      <w:pPr>
        <w:spacing w:after="0" w:line="24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6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52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5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L. Lynn Smull, certify that:</w:t>
      </w:r>
    </w:p>
    <w:p>
      <w:pPr>
        <w:spacing w:after="0" w:line="225"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1040" w:hanging="412"/>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1040" w:hanging="412"/>
        <w:spacing w:after="0" w:line="34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980" w:hanging="412"/>
        <w:spacing w:after="0" w:line="291"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960" w:hanging="414"/>
        <w:spacing w:after="0" w:line="286" w:lineRule="auto"/>
        <w:tabs>
          <w:tab w:leader="none" w:pos="8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340" w:hanging="414"/>
        <w:spacing w:after="0" w:line="286" w:lineRule="auto"/>
        <w:tabs>
          <w:tab w:leader="none" w:pos="8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840" w:right="1120" w:hanging="414"/>
        <w:spacing w:after="0" w:line="263"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40" w:right="980" w:hanging="414"/>
        <w:spacing w:after="0" w:line="286" w:lineRule="auto"/>
        <w:tabs>
          <w:tab w:leader="none" w:pos="8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400" w:hanging="412"/>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40" w:right="980" w:hanging="414"/>
        <w:spacing w:after="0" w:line="342" w:lineRule="auto"/>
        <w:tabs>
          <w:tab w:leader="none" w:pos="8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160" w:hanging="414"/>
        <w:spacing w:after="0" w:line="277"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12, 2021</w:t>
      </w: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772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01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Patrick R. Gruber, Chief Executive Officer of Gevo, Inc. (the “Registrant”), and I, L. Lynn Smull, Chief Financial Officer of the Registrant, certify, pursuant to 18 U.S.C. Section 1350, as adopted pursuant to Section 906 of the Sarbanes-Oxley Act of 2002, that:</w:t>
      </w:r>
    </w:p>
    <w:p>
      <w:pPr>
        <w:spacing w:after="0" w:line="170" w:lineRule="exact"/>
        <w:rPr>
          <w:sz w:val="20"/>
          <w:szCs w:val="20"/>
          <w:color w:val="auto"/>
        </w:rPr>
      </w:pPr>
    </w:p>
    <w:p>
      <w:pPr>
        <w:ind w:right="50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upperLetter"/>
      <w:start w:val="68"/>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65" Type="http://schemas.openxmlformats.org/officeDocument/2006/relationships/hyperlink" Target="http://www.sec.gov/Archives/edgar/data/1392380/000119312511080096/dex31.htm" TargetMode="External"/><Relationship Id="rId66" Type="http://schemas.openxmlformats.org/officeDocument/2006/relationships/hyperlink" Target="http://www.sec.gov/Archives/edgar/data/1392380/000119312513253079/d551467dex31.htm" TargetMode="External"/><Relationship Id="rId67" Type="http://schemas.openxmlformats.org/officeDocument/2006/relationships/hyperlink" Target="http://www.sec.gov/Archives/edgar/data/1392380/000119312514264256/d755894dex31.htm" TargetMode="External"/><Relationship Id="rId68" Type="http://schemas.openxmlformats.org/officeDocument/2006/relationships/hyperlink" Target="http://www.sec.gov/Archives/edgar/data/1392380/000119312515141952/d913731dex31.htm" TargetMode="External"/><Relationship Id="rId69" Type="http://schemas.openxmlformats.org/officeDocument/2006/relationships/hyperlink" Target="http://www.sec.gov/Archives/edgar/data/1392380/000119312517004580/d318985dex31.htm" TargetMode="External"/><Relationship Id="rId70" Type="http://schemas.openxmlformats.org/officeDocument/2006/relationships/hyperlink" Target="http://www.sec.gov/Archives/edgar/data/1392380/000143774918011163/ex_115837.htm" TargetMode="External"/><Relationship Id="rId71" Type="http://schemas.openxmlformats.org/officeDocument/2006/relationships/hyperlink" Target="http://www.sec.gov/Archives/edgar/data/1392380/000119312511080096/dex32.htm" TargetMode="External"/><Relationship Id="rId72" Type="http://schemas.openxmlformats.org/officeDocument/2006/relationships/hyperlink" Target="http://www.sec.gov/Archives/edgar/data/1392380/000119312511009935/dex41.htm" TargetMode="External"/><Relationship Id="rId73" Type="http://schemas.openxmlformats.org/officeDocument/2006/relationships/hyperlink" Target="http://www.sec.gov/Archives/edgar/data/1392380/000119312510187275/dex43.htm" TargetMode="External"/><Relationship Id="rId74" Type="http://schemas.openxmlformats.org/officeDocument/2006/relationships/hyperlink" Target="http://www.sec.gov/Archives/edgar/data/1392380/000119312516711029/d256125dex41.htm" TargetMode="External"/><Relationship Id="rId75" Type="http://schemas.openxmlformats.org/officeDocument/2006/relationships/hyperlink" Target="http://www.sec.gov/Archives/edgar/data/1392380/000119312517052235/d350599dex41.htm" TargetMode="External"/><Relationship Id="rId76" Type="http://schemas.openxmlformats.org/officeDocument/2006/relationships/hyperlink" Target="http://www.sec.gov/Archives/edgar/data/1392380/000143774920014844/ex_193415.htm" TargetMode="External"/><Relationship Id="rId77" Type="http://schemas.openxmlformats.org/officeDocument/2006/relationships/hyperlink" Target="http://www.sec.gov/Archives/edgar/data/1392380/000143774921009027/ex_240957.htm" TargetMode="External"/><Relationship Id="rId78" Type="http://schemas.openxmlformats.org/officeDocument/2006/relationships/hyperlink" Target="http://www.sec.gov/Archives/edgar/data/1392380/000143774921009027/ex_240958.htm" TargetMode="External"/><Relationship Id="rId79" Type="http://schemas.openxmlformats.org/officeDocument/2006/relationships/hyperlink" Target="http://www.sec.gov/Archives/edgar/data/1392380/000143774921014595/ex_2566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2021-08-13T05:25:45Z</dcterms:created>
  <dcterms:modified xsi:type="dcterms:W3CDTF">2021-08-13T05:25:45Z</dcterms:modified>
</cp:coreProperties>
</file>