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320"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4C4C4C"/>
        </w:rPr>
        <w:t>UNITED STATES</w:t>
      </w:r>
    </w:p>
    <w:p>
      <w:pPr>
        <w:spacing w:after="0" w:line="1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4C4C4C"/>
        </w:rPr>
        <w:t>SECURITIES AND EXCHANGE COMMISSION</w:t>
      </w:r>
    </w:p>
    <w:p>
      <w:pPr>
        <w:spacing w:after="0" w:line="23"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4C4C4C"/>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233045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900"/>
        <w:spacing w:after="0"/>
        <w:rPr>
          <w:sz w:val="20"/>
          <w:szCs w:val="20"/>
          <w:color w:val="auto"/>
        </w:rPr>
      </w:pPr>
      <w:r>
        <w:rPr>
          <w:rFonts w:ascii="Trebuchet MS" w:cs="Trebuchet MS" w:eastAsia="Trebuchet MS" w:hAnsi="Trebuchet MS"/>
          <w:sz w:val="25"/>
          <w:szCs w:val="25"/>
          <w:b w:val="1"/>
          <w:bCs w:val="1"/>
          <w:color w:val="4C4C4C"/>
        </w:rPr>
        <w:t>SCHEDULE 14A</w:t>
      </w:r>
      <w:r>
        <w:rPr>
          <w:rFonts w:ascii="Arial" w:cs="Arial" w:eastAsia="Arial" w:hAnsi="Arial"/>
          <w:sz w:val="17"/>
          <w:szCs w:val="17"/>
          <w:b w:val="1"/>
          <w:bCs w:val="1"/>
          <w:color w:val="4C4C4C"/>
        </w:rPr>
        <w:t>​</w:t>
      </w:r>
    </w:p>
    <w:p>
      <w:pPr>
        <w:spacing w:after="0" w:line="78"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4C4C4C"/>
        </w:rPr>
        <w:t>Proxy Statement Pursuant to Section 14(a) of the</w:t>
      </w:r>
    </w:p>
    <w:p>
      <w:pPr>
        <w:spacing w:after="0" w:line="1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4C4C4C"/>
        </w:rPr>
        <w:t>Securities Exchange Act of 1934</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4C4C4C"/>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233045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4C4C4C"/>
        </w:rPr>
        <w:t xml:space="preserve">Filed by the Registrant </w:t>
      </w:r>
      <w:r>
        <w:rPr>
          <w:rFonts w:ascii="MS PGothic" w:cs="MS PGothic" w:eastAsia="MS PGothic" w:hAnsi="MS PGothic"/>
          <w:sz w:val="18"/>
          <w:szCs w:val="18"/>
          <w:color w:val="4C4C4C"/>
        </w:rPr>
        <w:t>☒</w:t>
      </w:r>
    </w:p>
    <w:p>
      <w:pPr>
        <w:spacing w:after="0" w:line="185"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4C4C4C"/>
        </w:rPr>
        <w:t xml:space="preserve">Filed by a Party other than the Registrant </w:t>
      </w:r>
      <w:r>
        <w:rPr>
          <w:rFonts w:ascii="MS PGothic" w:cs="MS PGothic" w:eastAsia="MS PGothic" w:hAnsi="MS PGothic"/>
          <w:sz w:val="18"/>
          <w:szCs w:val="18"/>
          <w:color w:val="4C4C4C"/>
        </w:rPr>
        <w:t>☐</w:t>
      </w:r>
    </w:p>
    <w:p>
      <w:pPr>
        <w:spacing w:after="0" w:line="250" w:lineRule="exact"/>
        <w:rPr>
          <w:sz w:val="24"/>
          <w:szCs w:val="24"/>
          <w:color w:val="auto"/>
        </w:rPr>
      </w:pPr>
    </w:p>
    <w:p>
      <w:pPr>
        <w:ind w:left="1260"/>
        <w:spacing w:after="0"/>
        <w:rPr>
          <w:sz w:val="20"/>
          <w:szCs w:val="20"/>
          <w:color w:val="auto"/>
        </w:rPr>
      </w:pPr>
      <w:r>
        <w:rPr>
          <w:rFonts w:ascii="Arial" w:cs="Arial" w:eastAsia="Arial" w:hAnsi="Arial"/>
          <w:sz w:val="18"/>
          <w:szCs w:val="18"/>
          <w:color w:val="4C4C4C"/>
        </w:rPr>
        <w:t>Check the appropriate box:</w:t>
      </w:r>
    </w:p>
    <w:p>
      <w:pPr>
        <w:spacing w:after="0" w:line="185"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4C4C4C"/>
        </w:rPr>
      </w:pPr>
      <w:r>
        <w:rPr>
          <w:rFonts w:ascii="Arial" w:cs="Arial" w:eastAsia="Arial" w:hAnsi="Arial"/>
          <w:sz w:val="18"/>
          <w:szCs w:val="18"/>
          <w:color w:val="4C4C4C"/>
        </w:rPr>
        <w:t>Preliminary Proxy Statement</w:t>
      </w:r>
    </w:p>
    <w:p>
      <w:pPr>
        <w:spacing w:after="0" w:line="184" w:lineRule="exact"/>
        <w:rPr>
          <w:rFonts w:ascii="MS PGothic" w:cs="MS PGothic" w:eastAsia="MS PGothic" w:hAnsi="MS PGothic"/>
          <w:sz w:val="18"/>
          <w:szCs w:val="18"/>
          <w:color w:val="4C4C4C"/>
        </w:rPr>
      </w:pPr>
    </w:p>
    <w:p>
      <w:pPr>
        <w:ind w:left="1620" w:hanging="360"/>
        <w:spacing w:after="0"/>
        <w:tabs>
          <w:tab w:leader="none" w:pos="1620" w:val="left"/>
        </w:tabs>
        <w:numPr>
          <w:ilvl w:val="0"/>
          <w:numId w:val="1"/>
        </w:numPr>
        <w:rPr>
          <w:rFonts w:ascii="MS PGothic" w:cs="MS PGothic" w:eastAsia="MS PGothic" w:hAnsi="MS PGothic"/>
          <w:sz w:val="18"/>
          <w:szCs w:val="18"/>
          <w:color w:val="4C4C4C"/>
        </w:rPr>
      </w:pPr>
      <w:r>
        <w:rPr>
          <w:rFonts w:ascii="Arial" w:cs="Arial" w:eastAsia="Arial" w:hAnsi="Arial"/>
          <w:sz w:val="18"/>
          <w:szCs w:val="18"/>
          <w:color w:val="4C4C4C"/>
        </w:rPr>
        <w:t>Confidential, for Use of the Commission Only (as permitted by Rule 14a-6(e)(2))</w:t>
      </w:r>
    </w:p>
    <w:p>
      <w:pPr>
        <w:spacing w:after="0" w:line="19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4C4C4C"/>
        </w:rPr>
      </w:pPr>
      <w:r>
        <w:rPr>
          <w:rFonts w:ascii="Arial" w:cs="Arial" w:eastAsia="Arial" w:hAnsi="Arial"/>
          <w:sz w:val="18"/>
          <w:szCs w:val="18"/>
          <w:color w:val="4C4C4C"/>
        </w:rPr>
        <w:t>Definitive Proxy Statement</w:t>
      </w:r>
    </w:p>
    <w:p>
      <w:pPr>
        <w:spacing w:after="0" w:line="173"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4C4C4C"/>
        </w:rPr>
      </w:pPr>
      <w:r>
        <w:rPr>
          <w:rFonts w:ascii="Arial" w:cs="Arial" w:eastAsia="Arial" w:hAnsi="Arial"/>
          <w:sz w:val="18"/>
          <w:szCs w:val="18"/>
          <w:color w:val="4C4C4C"/>
        </w:rPr>
        <w:t>Definitive Additional Materials</w:t>
      </w:r>
    </w:p>
    <w:p>
      <w:pPr>
        <w:spacing w:after="0" w:line="198" w:lineRule="exact"/>
        <w:rPr>
          <w:rFonts w:ascii="MS PGothic" w:cs="MS PGothic" w:eastAsia="MS PGothic" w:hAnsi="MS PGothic"/>
          <w:sz w:val="18"/>
          <w:szCs w:val="18"/>
          <w:color w:val="4C4C4C"/>
        </w:rPr>
      </w:pPr>
    </w:p>
    <w:p>
      <w:pPr>
        <w:ind w:left="1620" w:hanging="360"/>
        <w:spacing w:after="0"/>
        <w:tabs>
          <w:tab w:leader="none" w:pos="1620" w:val="left"/>
        </w:tabs>
        <w:numPr>
          <w:ilvl w:val="0"/>
          <w:numId w:val="3"/>
        </w:numPr>
        <w:rPr>
          <w:rFonts w:ascii="MS PGothic" w:cs="MS PGothic" w:eastAsia="MS PGothic" w:hAnsi="MS PGothic"/>
          <w:sz w:val="18"/>
          <w:szCs w:val="18"/>
          <w:color w:val="4C4C4C"/>
        </w:rPr>
      </w:pPr>
      <w:r>
        <w:rPr>
          <w:rFonts w:ascii="Arial" w:cs="Arial" w:eastAsia="Arial" w:hAnsi="Arial"/>
          <w:sz w:val="18"/>
          <w:szCs w:val="18"/>
          <w:color w:val="4C4C4C"/>
        </w:rPr>
        <w:t>Soliciting Material under § 240.14a-12</w:t>
      </w:r>
    </w:p>
    <w:p>
      <w:pPr>
        <w:spacing w:after="0" w:line="198" w:lineRule="exact"/>
        <w:rPr>
          <w:sz w:val="24"/>
          <w:szCs w:val="24"/>
          <w:color w:val="auto"/>
        </w:rPr>
      </w:pPr>
    </w:p>
    <w:p>
      <w:pPr>
        <w:jc w:val="center"/>
        <w:ind w:right="-900"/>
        <w:spacing w:after="0"/>
        <w:rPr>
          <w:sz w:val="20"/>
          <w:szCs w:val="20"/>
          <w:color w:val="auto"/>
        </w:rPr>
      </w:pPr>
      <w:r>
        <w:rPr>
          <w:rFonts w:ascii="Trebuchet MS" w:cs="Trebuchet MS" w:eastAsia="Trebuchet MS" w:hAnsi="Trebuchet MS"/>
          <w:sz w:val="32"/>
          <w:szCs w:val="32"/>
          <w:b w:val="1"/>
          <w:bCs w:val="1"/>
          <w:color w:val="4C4C4C"/>
        </w:rPr>
        <w:t>Gevo, Inc.</w:t>
      </w:r>
      <w:r>
        <w:rPr>
          <w:rFonts w:ascii="Arial" w:cs="Arial" w:eastAsia="Arial" w:hAnsi="Arial"/>
          <w:sz w:val="17"/>
          <w:szCs w:val="17"/>
          <w:b w:val="1"/>
          <w:bCs w:val="1"/>
          <w:color w:val="4C4C4C"/>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76200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55"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4C4C4C"/>
        </w:rPr>
        <w:t>(Name of Registrant as Specified in its Charter)</w:t>
      </w:r>
    </w:p>
    <w:p>
      <w:pPr>
        <w:spacing w:after="0" w:line="191" w:lineRule="exact"/>
        <w:rPr>
          <w:sz w:val="24"/>
          <w:szCs w:val="24"/>
          <w:color w:val="auto"/>
        </w:rPr>
      </w:pPr>
    </w:p>
    <w:p>
      <w:pPr>
        <w:ind w:left="1260"/>
        <w:spacing w:after="0"/>
        <w:rPr>
          <w:sz w:val="20"/>
          <w:szCs w:val="20"/>
          <w:color w:val="auto"/>
        </w:rPr>
      </w:pPr>
      <w:r>
        <w:rPr>
          <w:rFonts w:ascii="Arial" w:cs="Arial" w:eastAsia="Arial" w:hAnsi="Arial"/>
          <w:sz w:val="18"/>
          <w:szCs w:val="18"/>
          <w:color w:val="4C4C4C"/>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35560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1"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4C4C4C"/>
        </w:rPr>
        <w:t>(Name of Person(s) Filing Proxy Statement, if other than the Registrant)</w:t>
      </w:r>
    </w:p>
    <w:p>
      <w:pPr>
        <w:spacing w:after="0" w:line="191" w:lineRule="exact"/>
        <w:rPr>
          <w:sz w:val="24"/>
          <w:szCs w:val="24"/>
          <w:color w:val="auto"/>
        </w:rPr>
      </w:pPr>
    </w:p>
    <w:p>
      <w:pPr>
        <w:ind w:left="1260"/>
        <w:spacing w:after="0"/>
        <w:rPr>
          <w:sz w:val="20"/>
          <w:szCs w:val="20"/>
          <w:color w:val="auto"/>
        </w:rPr>
      </w:pPr>
      <w:r>
        <w:rPr>
          <w:rFonts w:ascii="Arial" w:cs="Arial" w:eastAsia="Arial" w:hAnsi="Arial"/>
          <w:sz w:val="18"/>
          <w:szCs w:val="18"/>
          <w:color w:val="4C4C4C"/>
        </w:rPr>
        <w:t>Payment of Filing Fee (Check the appropriate box):</w:t>
      </w:r>
    </w:p>
    <w:p>
      <w:pPr>
        <w:spacing w:after="0" w:line="185"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4C4C4C"/>
        </w:rPr>
      </w:pPr>
      <w:r>
        <w:rPr>
          <w:rFonts w:ascii="Arial" w:cs="Arial" w:eastAsia="Arial" w:hAnsi="Arial"/>
          <w:sz w:val="18"/>
          <w:szCs w:val="18"/>
          <w:color w:val="4C4C4C"/>
        </w:rPr>
        <w:t>No fee required.</w:t>
      </w:r>
    </w:p>
    <w:p>
      <w:pPr>
        <w:spacing w:after="0" w:line="19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4C4C4C"/>
        </w:rPr>
      </w:pPr>
      <w:r>
        <w:rPr>
          <w:rFonts w:ascii="Arial" w:cs="Arial" w:eastAsia="Arial" w:hAnsi="Arial"/>
          <w:sz w:val="18"/>
          <w:szCs w:val="18"/>
          <w:color w:val="4C4C4C"/>
        </w:rPr>
        <w:t>Fee paid previously with preliminary materials.</w:t>
      </w:r>
    </w:p>
    <w:p>
      <w:pPr>
        <w:spacing w:after="0" w:line="184" w:lineRule="exact"/>
        <w:rPr>
          <w:rFonts w:ascii="MS PGothic" w:cs="MS PGothic" w:eastAsia="MS PGothic" w:hAnsi="MS PGothic"/>
          <w:sz w:val="18"/>
          <w:szCs w:val="18"/>
          <w:color w:val="4C4C4C"/>
        </w:rPr>
      </w:pPr>
    </w:p>
    <w:p>
      <w:pPr>
        <w:ind w:left="1620" w:right="499" w:hanging="360"/>
        <w:spacing w:after="0" w:line="259" w:lineRule="auto"/>
        <w:tabs>
          <w:tab w:leader="none" w:pos="1620" w:val="left"/>
        </w:tabs>
        <w:numPr>
          <w:ilvl w:val="0"/>
          <w:numId w:val="5"/>
        </w:numPr>
        <w:rPr>
          <w:rFonts w:ascii="MS PGothic" w:cs="MS PGothic" w:eastAsia="MS PGothic" w:hAnsi="MS PGothic"/>
          <w:sz w:val="18"/>
          <w:szCs w:val="18"/>
          <w:color w:val="4C4C4C"/>
        </w:rPr>
      </w:pPr>
      <w:r>
        <w:rPr>
          <w:rFonts w:ascii="Arial" w:cs="Arial" w:eastAsia="Arial" w:hAnsi="Arial"/>
          <w:sz w:val="18"/>
          <w:szCs w:val="18"/>
          <w:color w:val="4C4C4C"/>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2082800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535305</wp:posOffset>
            </wp:positionV>
            <wp:extent cx="154305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840"/>
        <w:spacing w:after="0"/>
        <w:rPr>
          <w:sz w:val="20"/>
          <w:szCs w:val="20"/>
          <w:color w:val="auto"/>
        </w:rPr>
      </w:pPr>
      <w:r>
        <w:rPr>
          <w:rFonts w:ascii="Trebuchet MS" w:cs="Trebuchet MS" w:eastAsia="Trebuchet MS" w:hAnsi="Trebuchet MS"/>
          <w:sz w:val="18"/>
          <w:szCs w:val="18"/>
          <w:color w:val="4C4C4C"/>
        </w:rPr>
        <w:t>345 Inverness Drive South</w:t>
      </w:r>
    </w:p>
    <w:p>
      <w:pPr>
        <w:spacing w:after="0" w:line="7" w:lineRule="exact"/>
        <w:rPr>
          <w:sz w:val="20"/>
          <w:szCs w:val="20"/>
          <w:color w:val="auto"/>
        </w:rPr>
      </w:pPr>
    </w:p>
    <w:p>
      <w:pPr>
        <w:jc w:val="center"/>
        <w:ind w:right="-840"/>
        <w:spacing w:after="0"/>
        <w:rPr>
          <w:sz w:val="20"/>
          <w:szCs w:val="20"/>
          <w:color w:val="auto"/>
        </w:rPr>
      </w:pPr>
      <w:r>
        <w:rPr>
          <w:rFonts w:ascii="Trebuchet MS" w:cs="Trebuchet MS" w:eastAsia="Trebuchet MS" w:hAnsi="Trebuchet MS"/>
          <w:sz w:val="18"/>
          <w:szCs w:val="18"/>
          <w:color w:val="4C4C4C"/>
        </w:rPr>
        <w:t>Building C, Suite 310</w:t>
      </w:r>
    </w:p>
    <w:p>
      <w:pPr>
        <w:spacing w:after="0" w:line="7" w:lineRule="exact"/>
        <w:rPr>
          <w:sz w:val="20"/>
          <w:szCs w:val="20"/>
          <w:color w:val="auto"/>
        </w:rPr>
      </w:pPr>
    </w:p>
    <w:p>
      <w:pPr>
        <w:jc w:val="center"/>
        <w:ind w:right="-840"/>
        <w:spacing w:after="0"/>
        <w:rPr>
          <w:sz w:val="20"/>
          <w:szCs w:val="20"/>
          <w:color w:val="auto"/>
        </w:rPr>
      </w:pPr>
      <w:r>
        <w:rPr>
          <w:rFonts w:ascii="Trebuchet MS" w:cs="Trebuchet MS" w:eastAsia="Trebuchet MS" w:hAnsi="Trebuchet MS"/>
          <w:sz w:val="18"/>
          <w:szCs w:val="18"/>
          <w:color w:val="4C4C4C"/>
        </w:rPr>
        <w:t>Englewood, Colorado 80112</w:t>
      </w:r>
    </w:p>
    <w:p>
      <w:pPr>
        <w:spacing w:after="0" w:line="7" w:lineRule="exact"/>
        <w:rPr>
          <w:sz w:val="20"/>
          <w:szCs w:val="20"/>
          <w:color w:val="auto"/>
        </w:rPr>
      </w:pPr>
    </w:p>
    <w:p>
      <w:pPr>
        <w:jc w:val="center"/>
        <w:ind w:right="-840"/>
        <w:spacing w:after="0"/>
        <w:rPr>
          <w:sz w:val="20"/>
          <w:szCs w:val="20"/>
          <w:color w:val="auto"/>
        </w:rPr>
      </w:pPr>
      <w:r>
        <w:rPr>
          <w:rFonts w:ascii="Trebuchet MS" w:cs="Trebuchet MS" w:eastAsia="Trebuchet MS" w:hAnsi="Trebuchet MS"/>
          <w:sz w:val="18"/>
          <w:szCs w:val="18"/>
          <w:color w:val="4C4C4C"/>
        </w:rPr>
        <w:t>(303) 858-8358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521208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488315"/>
                    </a:xfrm>
                    <a:prstGeom prst="rect">
                      <a:avLst/>
                    </a:prstGeom>
                    <a:noFill/>
                  </pic:spPr>
                </pic:pic>
              </a:graphicData>
            </a:graphic>
          </wp:anchor>
        </w:drawing>
      </w:r>
    </w:p>
    <w:p>
      <w:pPr>
        <w:spacing w:after="0" w:line="281" w:lineRule="exact"/>
        <w:rPr>
          <w:sz w:val="20"/>
          <w:szCs w:val="20"/>
          <w:color w:val="auto"/>
        </w:rPr>
      </w:pPr>
    </w:p>
    <w:p>
      <w:pPr>
        <w:jc w:val="center"/>
        <w:ind w:right="-760"/>
        <w:spacing w:after="0"/>
        <w:rPr>
          <w:sz w:val="20"/>
          <w:szCs w:val="20"/>
          <w:color w:val="auto"/>
        </w:rPr>
      </w:pPr>
      <w:r>
        <w:rPr>
          <w:rFonts w:ascii="Trebuchet MS" w:cs="Trebuchet MS" w:eastAsia="Trebuchet MS" w:hAnsi="Trebuchet MS"/>
          <w:sz w:val="28"/>
          <w:szCs w:val="28"/>
          <w:b w:val="1"/>
          <w:bCs w:val="1"/>
          <w:color w:val="FFFFFF"/>
        </w:rPr>
        <w:t xml:space="preserve">NOTICE OF 2026 ANNUAL </w:t>
      </w:r>
      <w:r>
        <w:rPr>
          <w:rFonts w:ascii="Arial" w:cs="Arial" w:eastAsia="Arial" w:hAnsi="Arial"/>
          <w:sz w:val="26"/>
          <w:szCs w:val="26"/>
          <w:b w:val="1"/>
          <w:bCs w:val="1"/>
          <w:color w:val="FFFFFF"/>
        </w:rPr>
        <w:t>M</w:t>
      </w:r>
      <w:r>
        <w:rPr>
          <w:rFonts w:ascii="Trebuchet MS" w:cs="Trebuchet MS" w:eastAsia="Trebuchet MS" w:hAnsi="Trebuchet MS"/>
          <w:sz w:val="28"/>
          <w:szCs w:val="28"/>
          <w:b w:val="1"/>
          <w:bCs w:val="1"/>
          <w:color w:val="FFFFFF"/>
        </w:rPr>
        <w:t>EETING OF STOCKHOLDERS</w:t>
      </w:r>
    </w:p>
    <w:p>
      <w:pPr>
        <w:spacing w:after="0" w:line="9" w:lineRule="exact"/>
        <w:rPr>
          <w:sz w:val="20"/>
          <w:szCs w:val="20"/>
          <w:color w:val="auto"/>
        </w:rPr>
      </w:pPr>
    </w:p>
    <w:p>
      <w:pPr>
        <w:jc w:val="center"/>
        <w:ind w:right="-840"/>
        <w:spacing w:after="0"/>
        <w:rPr>
          <w:sz w:val="20"/>
          <w:szCs w:val="20"/>
          <w:color w:val="auto"/>
        </w:rPr>
      </w:pPr>
      <w:r>
        <w:rPr>
          <w:rFonts w:ascii="Trebuchet MS" w:cs="Trebuchet MS" w:eastAsia="Trebuchet MS" w:hAnsi="Trebuchet MS"/>
          <w:sz w:val="29"/>
          <w:szCs w:val="29"/>
          <w:b w:val="1"/>
          <w:bCs w:val="1"/>
          <w:color w:val="FFFFFF"/>
        </w:rPr>
        <w:t xml:space="preserve">TO BE HELD ON </w:t>
      </w:r>
      <w:r>
        <w:rPr>
          <w:rFonts w:ascii="Arial" w:cs="Arial" w:eastAsia="Arial" w:hAnsi="Arial"/>
          <w:sz w:val="27"/>
          <w:szCs w:val="27"/>
          <w:b w:val="1"/>
          <w:bCs w:val="1"/>
          <w:color w:val="FFFFFF"/>
        </w:rPr>
        <w:t>M</w:t>
      </w:r>
      <w:r>
        <w:rPr>
          <w:rFonts w:ascii="Trebuchet MS" w:cs="Trebuchet MS" w:eastAsia="Trebuchet MS" w:hAnsi="Trebuchet MS"/>
          <w:sz w:val="29"/>
          <w:szCs w:val="29"/>
          <w:b w:val="1"/>
          <w:bCs w:val="1"/>
          <w:color w:val="FFFFFF"/>
        </w:rPr>
        <w:t>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266700</wp:posOffset>
            </wp:positionV>
            <wp:extent cx="5212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color w:val="346094"/>
        </w:rPr>
        <w:t>WHEN</w:t>
      </w:r>
    </w:p>
    <w:p>
      <w:pPr>
        <w:spacing w:after="0" w:line="13"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color w:val="4C4C4C"/>
        </w:rPr>
        <w:t xml:space="preserve">Wednesday, </w:t>
      </w:r>
      <w:r>
        <w:rPr>
          <w:rFonts w:ascii="Arial" w:cs="Arial" w:eastAsia="Arial" w:hAnsi="Arial"/>
          <w:sz w:val="18"/>
          <w:szCs w:val="18"/>
          <w:color w:val="4C4C4C"/>
        </w:rPr>
        <w:t>M</w:t>
      </w:r>
      <w:r>
        <w:rPr>
          <w:rFonts w:ascii="Trebuchet MS" w:cs="Trebuchet MS" w:eastAsia="Trebuchet MS" w:hAnsi="Trebuchet MS"/>
          <w:sz w:val="18"/>
          <w:szCs w:val="18"/>
          <w:color w:val="4C4C4C"/>
        </w:rPr>
        <w:t>ay 20, 2026</w:t>
      </w:r>
    </w:p>
    <w:p>
      <w:pPr>
        <w:spacing w:after="0" w:line="18"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color w:val="4C4C4C"/>
        </w:rPr>
        <w:t xml:space="preserve">2:00 p.m., </w:t>
      </w:r>
      <w:r>
        <w:rPr>
          <w:rFonts w:ascii="Arial" w:cs="Arial" w:eastAsia="Arial" w:hAnsi="Arial"/>
          <w:sz w:val="18"/>
          <w:szCs w:val="18"/>
          <w:color w:val="4C4C4C"/>
        </w:rPr>
        <w:t>M</w:t>
      </w:r>
      <w:r>
        <w:rPr>
          <w:rFonts w:ascii="Trebuchet MS" w:cs="Trebuchet MS" w:eastAsia="Trebuchet MS" w:hAnsi="Trebuchet MS"/>
          <w:sz w:val="18"/>
          <w:szCs w:val="18"/>
          <w:color w:val="4C4C4C"/>
        </w:rPr>
        <w:t>ountain Time</w:t>
      </w: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color w:val="346094"/>
        </w:rPr>
        <w:t>WHERE</w:t>
      </w:r>
    </w:p>
    <w:p>
      <w:pPr>
        <w:spacing w:after="0" w:line="13"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color w:val="4C4C4C"/>
        </w:rPr>
        <w:t>Online at:</w:t>
      </w:r>
    </w:p>
    <w:p>
      <w:pPr>
        <w:spacing w:after="0" w:line="7"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color w:val="346094"/>
        </w:rPr>
        <w:t>www.virtualshareholdermeeting.com/GEVO2026</w:t>
      </w:r>
    </w:p>
    <w:p>
      <w:pPr>
        <w:spacing w:after="0" w:line="200" w:lineRule="exact"/>
        <w:rPr>
          <w:sz w:val="20"/>
          <w:szCs w:val="20"/>
          <w:color w:val="auto"/>
        </w:rPr>
      </w:pPr>
    </w:p>
    <w:p>
      <w:pPr>
        <w:spacing w:after="0" w:line="245"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color w:val="346094"/>
        </w:rPr>
        <w:t>RECORD DATE</w:t>
      </w:r>
    </w:p>
    <w:p>
      <w:pPr>
        <w:spacing w:after="0" w:line="13" w:lineRule="exact"/>
        <w:rPr>
          <w:sz w:val="20"/>
          <w:szCs w:val="20"/>
          <w:color w:val="auto"/>
        </w:rPr>
      </w:pPr>
    </w:p>
    <w:p>
      <w:pPr>
        <w:jc w:val="center"/>
        <w:ind w:left="260"/>
        <w:spacing w:after="0"/>
        <w:rPr>
          <w:sz w:val="20"/>
          <w:szCs w:val="20"/>
          <w:color w:val="auto"/>
        </w:rPr>
      </w:pPr>
      <w:r>
        <w:rPr>
          <w:rFonts w:ascii="Trebuchet MS" w:cs="Trebuchet MS" w:eastAsia="Trebuchet MS" w:hAnsi="Trebuchet MS"/>
          <w:sz w:val="17"/>
          <w:szCs w:val="17"/>
          <w:color w:val="4C4C4C"/>
        </w:rPr>
        <w:t xml:space="preserve">Close of business on </w:t>
      </w:r>
      <w:r>
        <w:rPr>
          <w:rFonts w:ascii="Arial" w:cs="Arial" w:eastAsia="Arial" w:hAnsi="Arial"/>
          <w:sz w:val="17"/>
          <w:szCs w:val="17"/>
          <w:color w:val="4C4C4C"/>
        </w:rPr>
        <w:t>M</w:t>
      </w:r>
      <w:r>
        <w:rPr>
          <w:rFonts w:ascii="Trebuchet MS" w:cs="Trebuchet MS" w:eastAsia="Trebuchet MS" w:hAnsi="Trebuchet MS"/>
          <w:sz w:val="17"/>
          <w:szCs w:val="17"/>
          <w:color w:val="4C4C4C"/>
        </w:rPr>
        <w:t>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1045210</wp:posOffset>
            </wp:positionV>
            <wp:extent cx="25374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8" w:right="519"/>
        <w:spacing w:after="0" w:line="286" w:lineRule="auto"/>
        <w:rPr>
          <w:sz w:val="20"/>
          <w:szCs w:val="20"/>
          <w:color w:val="auto"/>
        </w:rPr>
      </w:pPr>
      <w:r>
        <w:rPr>
          <w:rFonts w:ascii="Trebuchet MS" w:cs="Trebuchet MS" w:eastAsia="Trebuchet MS" w:hAnsi="Trebuchet MS"/>
          <w:sz w:val="18"/>
          <w:szCs w:val="18"/>
          <w:b w:val="1"/>
          <w:bCs w:val="1"/>
          <w:color w:val="346094"/>
        </w:rPr>
        <w:t xml:space="preserve">THE ANNUAL </w:t>
      </w:r>
      <w:r>
        <w:rPr>
          <w:rFonts w:ascii="Arial" w:cs="Arial" w:eastAsia="Arial" w:hAnsi="Arial"/>
          <w:sz w:val="18"/>
          <w:szCs w:val="18"/>
          <w:b w:val="1"/>
          <w:bCs w:val="1"/>
          <w:color w:val="346094"/>
        </w:rPr>
        <w:t>M</w:t>
      </w:r>
      <w:r>
        <w:rPr>
          <w:rFonts w:ascii="Trebuchet MS" w:cs="Trebuchet MS" w:eastAsia="Trebuchet MS" w:hAnsi="Trebuchet MS"/>
          <w:sz w:val="18"/>
          <w:szCs w:val="18"/>
          <w:b w:val="1"/>
          <w:bCs w:val="1"/>
          <w:color w:val="346094"/>
        </w:rPr>
        <w:t>EETING WILL BE HELD FOR THE FOLLOWING PURPOSES:</w:t>
      </w:r>
    </w:p>
    <w:p>
      <w:pPr>
        <w:spacing w:after="0" w:line="67" w:lineRule="exact"/>
        <w:rPr>
          <w:sz w:val="20"/>
          <w:szCs w:val="20"/>
          <w:color w:val="auto"/>
        </w:rPr>
      </w:pPr>
    </w:p>
    <w:p>
      <w:pPr>
        <w:ind w:left="368" w:right="519" w:hanging="368"/>
        <w:spacing w:after="0" w:line="258" w:lineRule="auto"/>
        <w:tabs>
          <w:tab w:leader="none" w:pos="368" w:val="left"/>
        </w:tabs>
        <w:numPr>
          <w:ilvl w:val="0"/>
          <w:numId w:val="6"/>
        </w:numPr>
        <w:rPr>
          <w:rFonts w:ascii="Trebuchet MS" w:cs="Trebuchet MS" w:eastAsia="Trebuchet MS" w:hAnsi="Trebuchet MS"/>
          <w:sz w:val="18"/>
          <w:szCs w:val="18"/>
          <w:color w:val="4C4C4C"/>
        </w:rPr>
      </w:pPr>
      <w:r>
        <w:rPr>
          <w:rFonts w:ascii="Trebuchet MS" w:cs="Trebuchet MS" w:eastAsia="Trebuchet MS" w:hAnsi="Trebuchet MS"/>
          <w:sz w:val="18"/>
          <w:szCs w:val="18"/>
          <w:color w:val="4C4C4C"/>
        </w:rPr>
        <w:t xml:space="preserve">To elect three Class I directors to our Board of Directors to serve until the 2029 Annual </w:t>
      </w:r>
      <w:r>
        <w:rPr>
          <w:rFonts w:ascii="Arial" w:cs="Arial" w:eastAsia="Arial" w:hAnsi="Arial"/>
          <w:sz w:val="18"/>
          <w:szCs w:val="18"/>
          <w:color w:val="4C4C4C"/>
        </w:rPr>
        <w:t>M</w:t>
      </w:r>
      <w:r>
        <w:rPr>
          <w:rFonts w:ascii="Trebuchet MS" w:cs="Trebuchet MS" w:eastAsia="Trebuchet MS" w:hAnsi="Trebuchet MS"/>
          <w:sz w:val="18"/>
          <w:szCs w:val="18"/>
          <w:color w:val="4C4C4C"/>
        </w:rPr>
        <w:t>eeting of Stockholders;</w:t>
      </w:r>
    </w:p>
    <w:p>
      <w:pPr>
        <w:spacing w:after="0" w:line="95" w:lineRule="exact"/>
        <w:rPr>
          <w:rFonts w:ascii="Trebuchet MS" w:cs="Trebuchet MS" w:eastAsia="Trebuchet MS" w:hAnsi="Trebuchet MS"/>
          <w:sz w:val="18"/>
          <w:szCs w:val="18"/>
          <w:color w:val="4C4C4C"/>
        </w:rPr>
      </w:pPr>
    </w:p>
    <w:p>
      <w:pPr>
        <w:ind w:left="368" w:right="659" w:hanging="368"/>
        <w:spacing w:after="0" w:line="250" w:lineRule="auto"/>
        <w:tabs>
          <w:tab w:leader="none" w:pos="368" w:val="left"/>
        </w:tabs>
        <w:numPr>
          <w:ilvl w:val="0"/>
          <w:numId w:val="6"/>
        </w:numPr>
        <w:rPr>
          <w:rFonts w:ascii="Trebuchet MS" w:cs="Trebuchet MS" w:eastAsia="Trebuchet MS" w:hAnsi="Trebuchet MS"/>
          <w:sz w:val="18"/>
          <w:szCs w:val="18"/>
          <w:color w:val="4C4C4C"/>
        </w:rPr>
      </w:pPr>
      <w:r>
        <w:rPr>
          <w:rFonts w:ascii="Trebuchet MS" w:cs="Trebuchet MS" w:eastAsia="Trebuchet MS" w:hAnsi="Trebuchet MS"/>
          <w:sz w:val="18"/>
          <w:szCs w:val="18"/>
          <w:color w:val="4C4C4C"/>
        </w:rPr>
        <w:t>To ratify the appointment of Deloitte &amp; Touche LLP as our independent registered public accounting firm for the fiscal year ending December 31, 2026;</w:t>
      </w:r>
    </w:p>
    <w:p>
      <w:pPr>
        <w:spacing w:after="0" w:line="101" w:lineRule="exact"/>
        <w:rPr>
          <w:rFonts w:ascii="Trebuchet MS" w:cs="Trebuchet MS" w:eastAsia="Trebuchet MS" w:hAnsi="Trebuchet MS"/>
          <w:sz w:val="18"/>
          <w:szCs w:val="18"/>
          <w:color w:val="4C4C4C"/>
        </w:rPr>
      </w:pPr>
    </w:p>
    <w:p>
      <w:pPr>
        <w:jc w:val="both"/>
        <w:ind w:left="368" w:right="759" w:hanging="368"/>
        <w:spacing w:after="0" w:line="251" w:lineRule="auto"/>
        <w:tabs>
          <w:tab w:leader="none" w:pos="368" w:val="left"/>
        </w:tabs>
        <w:numPr>
          <w:ilvl w:val="0"/>
          <w:numId w:val="6"/>
        </w:numPr>
        <w:rPr>
          <w:rFonts w:ascii="Trebuchet MS" w:cs="Trebuchet MS" w:eastAsia="Trebuchet MS" w:hAnsi="Trebuchet MS"/>
          <w:sz w:val="18"/>
          <w:szCs w:val="18"/>
          <w:color w:val="4C4C4C"/>
        </w:rPr>
      </w:pPr>
      <w:r>
        <w:rPr>
          <w:rFonts w:ascii="Trebuchet MS" w:cs="Trebuchet MS" w:eastAsia="Trebuchet MS" w:hAnsi="Trebuchet MS"/>
          <w:sz w:val="18"/>
          <w:szCs w:val="18"/>
          <w:color w:val="4C4C4C"/>
        </w:rPr>
        <w:t>To cast an advisory (non-binding) vote to approve the compensation of our named executive officers; and</w:t>
      </w:r>
    </w:p>
    <w:p>
      <w:pPr>
        <w:spacing w:after="0" w:line="100" w:lineRule="exact"/>
        <w:rPr>
          <w:rFonts w:ascii="Trebuchet MS" w:cs="Trebuchet MS" w:eastAsia="Trebuchet MS" w:hAnsi="Trebuchet MS"/>
          <w:sz w:val="18"/>
          <w:szCs w:val="18"/>
          <w:color w:val="4C4C4C"/>
        </w:rPr>
      </w:pPr>
    </w:p>
    <w:p>
      <w:pPr>
        <w:ind w:left="368" w:right="659" w:hanging="368"/>
        <w:spacing w:after="0" w:line="255" w:lineRule="auto"/>
        <w:tabs>
          <w:tab w:leader="none" w:pos="368" w:val="left"/>
        </w:tabs>
        <w:numPr>
          <w:ilvl w:val="0"/>
          <w:numId w:val="6"/>
        </w:numPr>
        <w:rPr>
          <w:rFonts w:ascii="Trebuchet MS" w:cs="Trebuchet MS" w:eastAsia="Trebuchet MS" w:hAnsi="Trebuchet MS"/>
          <w:sz w:val="18"/>
          <w:szCs w:val="18"/>
          <w:color w:val="4C4C4C"/>
        </w:rPr>
      </w:pPr>
      <w:r>
        <w:rPr>
          <w:rFonts w:ascii="Trebuchet MS" w:cs="Trebuchet MS" w:eastAsia="Trebuchet MS" w:hAnsi="Trebuchet MS"/>
          <w:sz w:val="18"/>
          <w:szCs w:val="18"/>
          <w:color w:val="4C4C4C"/>
        </w:rPr>
        <w:t xml:space="preserve">To transact such other business as may properly come before the Annual </w:t>
      </w:r>
      <w:r>
        <w:rPr>
          <w:rFonts w:ascii="Arial" w:cs="Arial" w:eastAsia="Arial" w:hAnsi="Arial"/>
          <w:sz w:val="18"/>
          <w:szCs w:val="18"/>
          <w:color w:val="4C4C4C"/>
        </w:rPr>
        <w:t>M</w:t>
      </w:r>
      <w:r>
        <w:rPr>
          <w:rFonts w:ascii="Trebuchet MS" w:cs="Trebuchet MS" w:eastAsia="Trebuchet MS" w:hAnsi="Trebuchet MS"/>
          <w:sz w:val="18"/>
          <w:szCs w:val="18"/>
          <w:color w:val="4C4C4C"/>
        </w:rPr>
        <w:t>eeting and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25374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312"/>
            <w:col w:w="4407"/>
          </w:cols>
          <w:pgMar w:left="580" w:top="97" w:right="1440"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To the Stockholders of Gevo, Inc.:</w:t>
      </w:r>
    </w:p>
    <w:p>
      <w:pPr>
        <w:spacing w:after="0" w:line="193" w:lineRule="exact"/>
        <w:rPr>
          <w:sz w:val="20"/>
          <w:szCs w:val="20"/>
          <w:color w:val="auto"/>
        </w:rPr>
      </w:pPr>
    </w:p>
    <w:p>
      <w:pPr>
        <w:ind w:left="1260" w:right="559"/>
        <w:spacing w:after="0" w:line="262" w:lineRule="auto"/>
        <w:rPr>
          <w:sz w:val="20"/>
          <w:szCs w:val="20"/>
          <w:color w:val="auto"/>
        </w:rPr>
      </w:pPr>
      <w:r>
        <w:rPr>
          <w:rFonts w:ascii="Trebuchet MS" w:cs="Trebuchet MS" w:eastAsia="Trebuchet MS" w:hAnsi="Trebuchet MS"/>
          <w:sz w:val="18"/>
          <w:szCs w:val="18"/>
          <w:color w:val="4C4C4C"/>
        </w:rPr>
        <w:t xml:space="preserve">The 2026 Annual </w:t>
      </w:r>
      <w:r>
        <w:rPr>
          <w:rFonts w:ascii="Arial" w:cs="Arial" w:eastAsia="Arial" w:hAnsi="Arial"/>
          <w:sz w:val="18"/>
          <w:szCs w:val="18"/>
          <w:color w:val="4C4C4C"/>
        </w:rPr>
        <w:t>M</w:t>
      </w:r>
      <w:r>
        <w:rPr>
          <w:rFonts w:ascii="Trebuchet MS" w:cs="Trebuchet MS" w:eastAsia="Trebuchet MS" w:hAnsi="Trebuchet MS"/>
          <w:sz w:val="18"/>
          <w:szCs w:val="18"/>
          <w:color w:val="4C4C4C"/>
        </w:rPr>
        <w:t xml:space="preserve">eeting of Stockholders (the “Annual </w:t>
      </w:r>
      <w:r>
        <w:rPr>
          <w:rFonts w:ascii="Arial" w:cs="Arial" w:eastAsia="Arial" w:hAnsi="Arial"/>
          <w:sz w:val="18"/>
          <w:szCs w:val="18"/>
          <w:color w:val="4C4C4C"/>
        </w:rPr>
        <w:t>M</w:t>
      </w:r>
      <w:r>
        <w:rPr>
          <w:rFonts w:ascii="Trebuchet MS" w:cs="Trebuchet MS" w:eastAsia="Trebuchet MS" w:hAnsi="Trebuchet MS"/>
          <w:sz w:val="18"/>
          <w:szCs w:val="18"/>
          <w:color w:val="4C4C4C"/>
        </w:rPr>
        <w:t xml:space="preserve">eeting”) of Gevo, Inc. (the “Company,” “we,” “us” or “our”) will be held at 2:00 p.m., </w:t>
      </w:r>
      <w:r>
        <w:rPr>
          <w:rFonts w:ascii="Arial" w:cs="Arial" w:eastAsia="Arial" w:hAnsi="Arial"/>
          <w:sz w:val="18"/>
          <w:szCs w:val="18"/>
          <w:color w:val="4C4C4C"/>
        </w:rPr>
        <w:t>M</w:t>
      </w:r>
      <w:r>
        <w:rPr>
          <w:rFonts w:ascii="Trebuchet MS" w:cs="Trebuchet MS" w:eastAsia="Trebuchet MS" w:hAnsi="Trebuchet MS"/>
          <w:sz w:val="18"/>
          <w:szCs w:val="18"/>
          <w:color w:val="4C4C4C"/>
        </w:rPr>
        <w:t xml:space="preserve">ountain Time, on Wednesday, </w:t>
      </w:r>
      <w:r>
        <w:rPr>
          <w:rFonts w:ascii="Arial" w:cs="Arial" w:eastAsia="Arial" w:hAnsi="Arial"/>
          <w:sz w:val="18"/>
          <w:szCs w:val="18"/>
          <w:color w:val="4C4C4C"/>
        </w:rPr>
        <w:t>M</w:t>
      </w:r>
      <w:r>
        <w:rPr>
          <w:rFonts w:ascii="Trebuchet MS" w:cs="Trebuchet MS" w:eastAsia="Trebuchet MS" w:hAnsi="Trebuchet MS"/>
          <w:sz w:val="18"/>
          <w:szCs w:val="18"/>
          <w:color w:val="4C4C4C"/>
        </w:rPr>
        <w:t xml:space="preserve">ay 20, 2026. The Annual </w:t>
      </w:r>
      <w:r>
        <w:rPr>
          <w:rFonts w:ascii="Arial" w:cs="Arial" w:eastAsia="Arial" w:hAnsi="Arial"/>
          <w:sz w:val="18"/>
          <w:szCs w:val="18"/>
          <w:color w:val="4C4C4C"/>
        </w:rPr>
        <w:t>M</w:t>
      </w:r>
      <w:r>
        <w:rPr>
          <w:rFonts w:ascii="Trebuchet MS" w:cs="Trebuchet MS" w:eastAsia="Trebuchet MS" w:hAnsi="Trebuchet MS"/>
          <w:sz w:val="18"/>
          <w:szCs w:val="18"/>
          <w:color w:val="4C4C4C"/>
        </w:rPr>
        <w:t xml:space="preserve">eeting will be held entirely online via live audio webcast to allow for greater stockholder attendance and to reduce the carbon footprint that is required for travel to, and in-person attendance at, the Annual </w:t>
      </w:r>
      <w:r>
        <w:rPr>
          <w:rFonts w:ascii="Arial" w:cs="Arial" w:eastAsia="Arial" w:hAnsi="Arial"/>
          <w:sz w:val="18"/>
          <w:szCs w:val="18"/>
          <w:color w:val="4C4C4C"/>
        </w:rPr>
        <w:t>M</w:t>
      </w:r>
      <w:r>
        <w:rPr>
          <w:rFonts w:ascii="Trebuchet MS" w:cs="Trebuchet MS" w:eastAsia="Trebuchet MS" w:hAnsi="Trebuchet MS"/>
          <w:sz w:val="18"/>
          <w:szCs w:val="18"/>
          <w:color w:val="4C4C4C"/>
        </w:rPr>
        <w:t xml:space="preserve">eeting. The Annual </w:t>
      </w:r>
      <w:r>
        <w:rPr>
          <w:rFonts w:ascii="Arial" w:cs="Arial" w:eastAsia="Arial" w:hAnsi="Arial"/>
          <w:sz w:val="18"/>
          <w:szCs w:val="18"/>
          <w:color w:val="4C4C4C"/>
        </w:rPr>
        <w:t>M</w:t>
      </w:r>
      <w:r>
        <w:rPr>
          <w:rFonts w:ascii="Trebuchet MS" w:cs="Trebuchet MS" w:eastAsia="Trebuchet MS" w:hAnsi="Trebuchet MS"/>
          <w:sz w:val="18"/>
          <w:szCs w:val="18"/>
          <w:color w:val="4C4C4C"/>
        </w:rPr>
        <w:t xml:space="preserve">eeting may be accessed at </w:t>
      </w:r>
      <w:r>
        <w:rPr>
          <w:rFonts w:ascii="Trebuchet MS" w:cs="Trebuchet MS" w:eastAsia="Trebuchet MS" w:hAnsi="Trebuchet MS"/>
          <w:sz w:val="18"/>
          <w:szCs w:val="18"/>
          <w:i w:val="1"/>
          <w:iCs w:val="1"/>
          <w:color w:val="4C4C4C"/>
        </w:rPr>
        <w:t>www.virtualshareholdermeeting.com/GEVO2026</w:t>
      </w:r>
      <w:r>
        <w:rPr>
          <w:rFonts w:ascii="Trebuchet MS" w:cs="Trebuchet MS" w:eastAsia="Trebuchet MS" w:hAnsi="Trebuchet MS"/>
          <w:sz w:val="18"/>
          <w:szCs w:val="18"/>
          <w:color w:val="4C4C4C"/>
        </w:rPr>
        <w:t>, where you will be able to listen to the Annual</w:t>
      </w:r>
      <w:r>
        <w:rPr>
          <w:rFonts w:ascii="Trebuchet MS" w:cs="Trebuchet MS" w:eastAsia="Trebuchet MS" w:hAnsi="Trebuchet MS"/>
          <w:sz w:val="18"/>
          <w:szCs w:val="18"/>
          <w:i w:val="1"/>
          <w:iCs w:val="1"/>
          <w:color w:val="4C4C4C"/>
        </w:rPr>
        <w:t xml:space="preserve"> </w:t>
      </w:r>
      <w:r>
        <w:rPr>
          <w:rFonts w:ascii="Arial" w:cs="Arial" w:eastAsia="Arial" w:hAnsi="Arial"/>
          <w:sz w:val="18"/>
          <w:szCs w:val="18"/>
          <w:color w:val="4C4C4C"/>
        </w:rPr>
        <w:t>M</w:t>
      </w:r>
      <w:r>
        <w:rPr>
          <w:rFonts w:ascii="Trebuchet MS" w:cs="Trebuchet MS" w:eastAsia="Trebuchet MS" w:hAnsi="Trebuchet MS"/>
          <w:sz w:val="18"/>
          <w:szCs w:val="18"/>
          <w:color w:val="4C4C4C"/>
        </w:rPr>
        <w:t>eeting live, submit questions and vote. We have designed the virtual Annual</w:t>
      </w:r>
      <w:r>
        <w:rPr>
          <w:rFonts w:ascii="Arial" w:cs="Arial" w:eastAsia="Arial" w:hAnsi="Arial"/>
          <w:sz w:val="18"/>
          <w:szCs w:val="18"/>
          <w:color w:val="4C4C4C"/>
        </w:rPr>
        <w:t xml:space="preserve"> M</w:t>
      </w:r>
      <w:r>
        <w:rPr>
          <w:rFonts w:ascii="Trebuchet MS" w:cs="Trebuchet MS" w:eastAsia="Trebuchet MS" w:hAnsi="Trebuchet MS"/>
          <w:sz w:val="18"/>
          <w:szCs w:val="18"/>
          <w:color w:val="4C4C4C"/>
        </w:rPr>
        <w:t>eeting to provide</w:t>
      </w:r>
      <w:r>
        <w:rPr>
          <w:rFonts w:ascii="Arial" w:cs="Arial" w:eastAsia="Arial" w:hAnsi="Arial"/>
          <w:sz w:val="18"/>
          <w:szCs w:val="18"/>
          <w:color w:val="4C4C4C"/>
        </w:rPr>
        <w:t xml:space="preserve"> </w:t>
      </w:r>
      <w:r>
        <w:rPr>
          <w:rFonts w:ascii="Trebuchet MS" w:cs="Trebuchet MS" w:eastAsia="Trebuchet MS" w:hAnsi="Trebuchet MS"/>
          <w:sz w:val="18"/>
          <w:szCs w:val="18"/>
          <w:color w:val="4C4C4C"/>
        </w:rPr>
        <w:t xml:space="preserve">stockholders with substantially the same opportunities to participate as if the Annual </w:t>
      </w:r>
      <w:r>
        <w:rPr>
          <w:rFonts w:ascii="Arial" w:cs="Arial" w:eastAsia="Arial" w:hAnsi="Arial"/>
          <w:sz w:val="18"/>
          <w:szCs w:val="18"/>
          <w:color w:val="4C4C4C"/>
        </w:rPr>
        <w:t>M</w:t>
      </w:r>
      <w:r>
        <w:rPr>
          <w:rFonts w:ascii="Trebuchet MS" w:cs="Trebuchet MS" w:eastAsia="Trebuchet MS" w:hAnsi="Trebuchet MS"/>
          <w:sz w:val="18"/>
          <w:szCs w:val="18"/>
          <w:color w:val="4C4C4C"/>
        </w:rPr>
        <w:t>eeting were held in person.</w:t>
      </w:r>
    </w:p>
    <w:p>
      <w:pPr>
        <w:spacing w:after="0" w:line="147" w:lineRule="exact"/>
        <w:rPr>
          <w:sz w:val="20"/>
          <w:szCs w:val="20"/>
          <w:color w:val="auto"/>
        </w:rPr>
      </w:pPr>
    </w:p>
    <w:p>
      <w:pPr>
        <w:ind w:left="1260" w:right="459"/>
        <w:spacing w:after="0" w:line="268" w:lineRule="auto"/>
        <w:rPr>
          <w:sz w:val="20"/>
          <w:szCs w:val="20"/>
          <w:color w:val="auto"/>
        </w:rPr>
      </w:pPr>
      <w:r>
        <w:rPr>
          <w:rFonts w:ascii="Trebuchet MS" w:cs="Trebuchet MS" w:eastAsia="Trebuchet MS" w:hAnsi="Trebuchet MS"/>
          <w:sz w:val="18"/>
          <w:szCs w:val="18"/>
          <w:color w:val="4C4C4C"/>
        </w:rPr>
        <w:t xml:space="preserve">If you owned our common stock at the close of business on </w:t>
      </w:r>
      <w:r>
        <w:rPr>
          <w:rFonts w:ascii="Arial" w:cs="Arial" w:eastAsia="Arial" w:hAnsi="Arial"/>
          <w:sz w:val="18"/>
          <w:szCs w:val="18"/>
          <w:color w:val="4C4C4C"/>
        </w:rPr>
        <w:t>M</w:t>
      </w:r>
      <w:r>
        <w:rPr>
          <w:rFonts w:ascii="Trebuchet MS" w:cs="Trebuchet MS" w:eastAsia="Trebuchet MS" w:hAnsi="Trebuchet MS"/>
          <w:sz w:val="18"/>
          <w:szCs w:val="18"/>
          <w:color w:val="4C4C4C"/>
        </w:rPr>
        <w:t xml:space="preserve">arch 26, 2026, you may virtually attend and vote at the Annual </w:t>
      </w:r>
      <w:r>
        <w:rPr>
          <w:rFonts w:ascii="Arial" w:cs="Arial" w:eastAsia="Arial" w:hAnsi="Arial"/>
          <w:sz w:val="18"/>
          <w:szCs w:val="18"/>
          <w:color w:val="4C4C4C"/>
        </w:rPr>
        <w:t>M</w:t>
      </w:r>
      <w:r>
        <w:rPr>
          <w:rFonts w:ascii="Trebuchet MS" w:cs="Trebuchet MS" w:eastAsia="Trebuchet MS" w:hAnsi="Trebuchet MS"/>
          <w:sz w:val="18"/>
          <w:szCs w:val="18"/>
          <w:color w:val="4C4C4C"/>
        </w:rPr>
        <w:t xml:space="preserve">eeting. A list of stockholders eligible to vote at the Annual </w:t>
      </w:r>
      <w:r>
        <w:rPr>
          <w:rFonts w:ascii="Arial" w:cs="Arial" w:eastAsia="Arial" w:hAnsi="Arial"/>
          <w:sz w:val="18"/>
          <w:szCs w:val="18"/>
          <w:color w:val="4C4C4C"/>
        </w:rPr>
        <w:t>M</w:t>
      </w:r>
      <w:r>
        <w:rPr>
          <w:rFonts w:ascii="Trebuchet MS" w:cs="Trebuchet MS" w:eastAsia="Trebuchet MS" w:hAnsi="Trebuchet MS"/>
          <w:sz w:val="18"/>
          <w:szCs w:val="18"/>
          <w:color w:val="4C4C4C"/>
        </w:rPr>
        <w:t xml:space="preserve">eeting will be available for review during our regular business hours at our headquarters in Englewood, Colorado for the ten days prior to the date of the Annual </w:t>
      </w:r>
      <w:r>
        <w:rPr>
          <w:rFonts w:ascii="Arial" w:cs="Arial" w:eastAsia="Arial" w:hAnsi="Arial"/>
          <w:sz w:val="18"/>
          <w:szCs w:val="18"/>
          <w:color w:val="4C4C4C"/>
        </w:rPr>
        <w:t>M</w:t>
      </w:r>
      <w:r>
        <w:rPr>
          <w:rFonts w:ascii="Trebuchet MS" w:cs="Trebuchet MS" w:eastAsia="Trebuchet MS" w:hAnsi="Trebuchet MS"/>
          <w:sz w:val="18"/>
          <w:szCs w:val="18"/>
          <w:color w:val="4C4C4C"/>
        </w:rPr>
        <w:t xml:space="preserve">eeting for any purpose related to the Annual </w:t>
      </w:r>
      <w:r>
        <w:rPr>
          <w:rFonts w:ascii="Arial" w:cs="Arial" w:eastAsia="Arial" w:hAnsi="Arial"/>
          <w:sz w:val="18"/>
          <w:szCs w:val="18"/>
          <w:color w:val="4C4C4C"/>
        </w:rPr>
        <w:t>M</w:t>
      </w:r>
      <w:r>
        <w:rPr>
          <w:rFonts w:ascii="Trebuchet MS" w:cs="Trebuchet MS" w:eastAsia="Trebuchet MS" w:hAnsi="Trebuchet MS"/>
          <w:sz w:val="18"/>
          <w:szCs w:val="18"/>
          <w:color w:val="4C4C4C"/>
        </w:rPr>
        <w:t>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664210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56" w:lineRule="auto"/>
        <w:rPr>
          <w:sz w:val="20"/>
          <w:szCs w:val="20"/>
          <w:color w:val="auto"/>
        </w:rPr>
      </w:pPr>
      <w:r>
        <w:rPr>
          <w:rFonts w:ascii="Trebuchet MS" w:cs="Trebuchet MS" w:eastAsia="Trebuchet MS" w:hAnsi="Trebuchet MS"/>
          <w:sz w:val="18"/>
          <w:szCs w:val="18"/>
          <w:b w:val="1"/>
          <w:bCs w:val="1"/>
          <w:color w:val="4C4C4C"/>
        </w:rPr>
        <w:t xml:space="preserve">Your vote is important. Whether or not you plan to virtually attend the Annual </w:t>
      </w:r>
      <w:r>
        <w:rPr>
          <w:rFonts w:ascii="Arial" w:cs="Arial" w:eastAsia="Arial" w:hAnsi="Arial"/>
          <w:sz w:val="18"/>
          <w:szCs w:val="18"/>
          <w:b w:val="1"/>
          <w:bCs w:val="1"/>
          <w:color w:val="4C4C4C"/>
        </w:rPr>
        <w:t>M</w:t>
      </w:r>
      <w:r>
        <w:rPr>
          <w:rFonts w:ascii="Trebuchet MS" w:cs="Trebuchet MS" w:eastAsia="Trebuchet MS" w:hAnsi="Trebuchet MS"/>
          <w:sz w:val="18"/>
          <w:szCs w:val="18"/>
          <w:b w:val="1"/>
          <w:bCs w:val="1"/>
          <w:color w:val="4C4C4C"/>
        </w:rPr>
        <w:t xml:space="preserve">eeting, we hope that you will vote as soon as possible. You may vote your shares via a toll-free telephone number or over the Internet. If you received a proxy card or voting instruction card by mail, you may submit your proxy card or voting instruction card by completing, signing, dating and mailing your proxy card or voting instruction card in the envelope provided. Any stockholder virtually attending the Annual </w:t>
      </w:r>
      <w:r>
        <w:rPr>
          <w:rFonts w:ascii="Arial" w:cs="Arial" w:eastAsia="Arial" w:hAnsi="Arial"/>
          <w:sz w:val="18"/>
          <w:szCs w:val="18"/>
          <w:b w:val="1"/>
          <w:bCs w:val="1"/>
          <w:color w:val="4C4C4C"/>
        </w:rPr>
        <w:t>M</w:t>
      </w:r>
      <w:r>
        <w:rPr>
          <w:rFonts w:ascii="Trebuchet MS" w:cs="Trebuchet MS" w:eastAsia="Trebuchet MS" w:hAnsi="Trebuchet MS"/>
          <w:sz w:val="18"/>
          <w:szCs w:val="18"/>
          <w:b w:val="1"/>
          <w:bCs w:val="1"/>
          <w:color w:val="4C4C4C"/>
        </w:rPr>
        <w:t xml:space="preserve">eeting may vote electronically at the Annual </w:t>
      </w:r>
      <w:r>
        <w:rPr>
          <w:rFonts w:ascii="Arial" w:cs="Arial" w:eastAsia="Arial" w:hAnsi="Arial"/>
          <w:sz w:val="18"/>
          <w:szCs w:val="18"/>
          <w:b w:val="1"/>
          <w:bCs w:val="1"/>
          <w:color w:val="4C4C4C"/>
        </w:rPr>
        <w:t>M</w:t>
      </w:r>
      <w:r>
        <w:rPr>
          <w:rFonts w:ascii="Trebuchet MS" w:cs="Trebuchet MS" w:eastAsia="Trebuchet MS" w:hAnsi="Trebuchet MS"/>
          <w:sz w:val="18"/>
          <w:szCs w:val="18"/>
          <w:b w:val="1"/>
          <w:bCs w:val="1"/>
          <w:color w:val="4C4C4C"/>
        </w:rPr>
        <w:t>eeting, even if you have already returned a proxy card or voting instruction card.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color w:val="4C4C4C"/>
        </w:rPr>
        <w:t>April 9, 2026</w:t>
      </w:r>
    </w:p>
    <w:p>
      <w:pPr>
        <w:spacing w:after="0" w:line="7"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color w:val="4C4C4C"/>
        </w:rPr>
        <w:t>Englewood, Colorado</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rebuchet MS" w:cs="Trebuchet MS" w:eastAsia="Trebuchet MS" w:hAnsi="Trebuchet MS"/>
          <w:sz w:val="17"/>
          <w:szCs w:val="17"/>
          <w:color w:val="4C4C4C"/>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85090</wp:posOffset>
            </wp:positionV>
            <wp:extent cx="1397000"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97000" cy="3346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4C4C4C"/>
        </w:rPr>
        <w:t xml:space="preserve">E. Cabell </w:t>
      </w:r>
      <w:r>
        <w:rPr>
          <w:rFonts w:ascii="Arial" w:cs="Arial" w:eastAsia="Arial" w:hAnsi="Arial"/>
          <w:sz w:val="18"/>
          <w:szCs w:val="18"/>
          <w:color w:val="4C4C4C"/>
        </w:rPr>
        <w:t>M</w:t>
      </w:r>
      <w:r>
        <w:rPr>
          <w:rFonts w:ascii="Trebuchet MS" w:cs="Trebuchet MS" w:eastAsia="Trebuchet MS" w:hAnsi="Trebuchet MS"/>
          <w:sz w:val="18"/>
          <w:szCs w:val="18"/>
          <w:color w:val="4C4C4C"/>
        </w:rPr>
        <w:t>assey</w:t>
      </w:r>
    </w:p>
    <w:p>
      <w:pPr>
        <w:spacing w:after="0" w:line="32" w:lineRule="exact"/>
        <w:rPr>
          <w:sz w:val="20"/>
          <w:szCs w:val="20"/>
          <w:color w:val="auto"/>
        </w:rPr>
      </w:pPr>
    </w:p>
    <w:p>
      <w:pPr>
        <w:sectPr>
          <w:pgSz w:w="11900" w:h="16838" w:orient="portrait"/>
          <w:cols w:equalWidth="0" w:num="2">
            <w:col w:w="5180" w:space="720"/>
            <w:col w:w="39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346094"/>
        </w:rPr>
        <w:t>​</w:t>
      </w:r>
    </w:p>
    <w:p>
      <w:pPr>
        <w:spacing w:after="0" w:line="20" w:lineRule="exact"/>
        <w:rPr>
          <w:sz w:val="20"/>
          <w:szCs w:val="20"/>
          <w:color w:val="auto"/>
        </w:rPr>
      </w:pPr>
      <w:r>
        <w:rPr>
          <w:sz w:val="20"/>
          <w:szCs w:val="20"/>
          <w:color w:val="auto"/>
        </w:rPr>
        <w:br w:type="column"/>
      </w:r>
    </w:p>
    <w:p>
      <w:pPr>
        <w:ind w:left="4100"/>
        <w:spacing w:after="0"/>
        <w:rPr>
          <w:sz w:val="20"/>
          <w:szCs w:val="20"/>
          <w:color w:val="auto"/>
        </w:rPr>
      </w:pPr>
      <w:r>
        <w:rPr>
          <w:rFonts w:ascii="Trebuchet MS" w:cs="Trebuchet MS" w:eastAsia="Trebuchet MS" w:hAnsi="Trebuchet MS"/>
          <w:sz w:val="18"/>
          <w:szCs w:val="18"/>
          <w:i w:val="1"/>
          <w:iCs w:val="1"/>
          <w:color w:val="4C4C4C"/>
        </w:rPr>
        <w:t>Vice President, Legal and Corporate</w:t>
      </w:r>
    </w:p>
    <w:p>
      <w:pPr>
        <w:spacing w:after="0" w:line="7" w:lineRule="exact"/>
        <w:rPr>
          <w:sz w:val="20"/>
          <w:szCs w:val="20"/>
          <w:color w:val="auto"/>
        </w:rPr>
      </w:pPr>
    </w:p>
    <w:p>
      <w:pPr>
        <w:ind w:left="4100"/>
        <w:spacing w:after="0"/>
        <w:rPr>
          <w:sz w:val="20"/>
          <w:szCs w:val="20"/>
          <w:color w:val="auto"/>
        </w:rPr>
      </w:pPr>
      <w:r>
        <w:rPr>
          <w:rFonts w:ascii="Trebuchet MS" w:cs="Trebuchet MS" w:eastAsia="Trebuchet MS" w:hAnsi="Trebuchet MS"/>
          <w:sz w:val="18"/>
          <w:szCs w:val="18"/>
          <w:i w:val="1"/>
          <w:iCs w:val="1"/>
          <w:color w:val="4C4C4C"/>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111760</wp:posOffset>
            </wp:positionV>
            <wp:extent cx="5212080"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540385"/>
                    </a:xfrm>
                    <a:prstGeom prst="rect">
                      <a:avLst/>
                    </a:prstGeom>
                    <a:noFill/>
                  </pic:spPr>
                </pic:pic>
              </a:graphicData>
            </a:graphic>
          </wp:anchor>
        </w:drawing>
      </w:r>
    </w:p>
    <w:p>
      <w:pPr>
        <w:spacing w:after="0" w:line="295" w:lineRule="exact"/>
        <w:rPr>
          <w:sz w:val="20"/>
          <w:szCs w:val="20"/>
          <w:color w:val="auto"/>
        </w:rPr>
      </w:pPr>
    </w:p>
    <w:p>
      <w:pPr>
        <w:jc w:val="center"/>
        <w:ind w:right="959"/>
        <w:spacing w:after="0"/>
        <w:rPr>
          <w:sz w:val="20"/>
          <w:szCs w:val="20"/>
          <w:color w:val="auto"/>
        </w:rPr>
      </w:pPr>
      <w:r>
        <w:rPr>
          <w:rFonts w:ascii="Arial" w:cs="Arial" w:eastAsia="Arial" w:hAnsi="Arial"/>
          <w:sz w:val="14"/>
          <w:szCs w:val="14"/>
          <w:b w:val="1"/>
          <w:bCs w:val="1"/>
          <w:color w:val="346094"/>
        </w:rPr>
        <w:t>IMPORTANT NOTICE REGARDING INTERNET AVAILABILITY OF PROXY MATERIALS FOR</w:t>
      </w:r>
    </w:p>
    <w:p>
      <w:pPr>
        <w:spacing w:after="0" w:line="10" w:lineRule="exact"/>
        <w:rPr>
          <w:sz w:val="20"/>
          <w:szCs w:val="20"/>
          <w:color w:val="auto"/>
        </w:rPr>
      </w:pPr>
    </w:p>
    <w:p>
      <w:pPr>
        <w:jc w:val="center"/>
        <w:ind w:right="959"/>
        <w:spacing w:after="0"/>
        <w:rPr>
          <w:sz w:val="20"/>
          <w:szCs w:val="20"/>
          <w:color w:val="auto"/>
        </w:rPr>
      </w:pPr>
      <w:r>
        <w:rPr>
          <w:rFonts w:ascii="Arial" w:cs="Arial" w:eastAsia="Arial" w:hAnsi="Arial"/>
          <w:sz w:val="14"/>
          <w:szCs w:val="14"/>
          <w:b w:val="1"/>
          <w:bCs w:val="1"/>
          <w:color w:val="346094"/>
        </w:rPr>
        <w:t>THE ANNUAL MEETING TO BE HELD ON MAY 20, 2026:</w:t>
      </w:r>
    </w:p>
    <w:p>
      <w:pPr>
        <w:spacing w:after="0" w:line="1" w:lineRule="exact"/>
        <w:rPr>
          <w:sz w:val="20"/>
          <w:szCs w:val="20"/>
          <w:color w:val="auto"/>
        </w:rPr>
      </w:pPr>
    </w:p>
    <w:p>
      <w:pPr>
        <w:spacing w:after="0"/>
        <w:rPr>
          <w:sz w:val="20"/>
          <w:szCs w:val="20"/>
          <w:color w:val="auto"/>
        </w:rPr>
      </w:pPr>
      <w:r>
        <w:rPr>
          <w:rFonts w:ascii="Trebuchet MS" w:cs="Trebuchet MS" w:eastAsia="Trebuchet MS" w:hAnsi="Trebuchet MS"/>
          <w:sz w:val="14"/>
          <w:szCs w:val="14"/>
          <w:color w:val="4C4C4C"/>
        </w:rPr>
        <w:t xml:space="preserve">The Notice, 2025 Annual Report, proxy statement and proxy card are available online at </w:t>
      </w:r>
      <w:r>
        <w:rPr>
          <w:rFonts w:ascii="Trebuchet MS" w:cs="Trebuchet MS" w:eastAsia="Trebuchet MS" w:hAnsi="Trebuchet MS"/>
          <w:sz w:val="14"/>
          <w:szCs w:val="14"/>
          <w:u w:val="single" w:color="auto"/>
          <w:color w:val="346094"/>
        </w:rPr>
        <w:t>www.proxyvote.com</w:t>
      </w:r>
      <w:r>
        <w:rPr>
          <w:rFonts w:ascii="Trebuchet MS" w:cs="Trebuchet MS" w:eastAsia="Trebuchet MS" w:hAnsi="Trebuchet MS"/>
          <w:sz w:val="14"/>
          <w:szCs w:val="14"/>
          <w:color w:val="34609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5584825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1360" w:space="440"/>
            <w:col w:w="80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960"/>
        <w:spacing w:after="0"/>
        <w:rPr>
          <w:sz w:val="20"/>
          <w:szCs w:val="20"/>
          <w:color w:val="auto"/>
        </w:rPr>
      </w:pPr>
      <w:r>
        <w:rPr>
          <w:rFonts w:ascii="Trebuchet MS" w:cs="Trebuchet MS" w:eastAsia="Trebuchet MS" w:hAnsi="Trebuchet MS"/>
          <w:sz w:val="29"/>
          <w:szCs w:val="29"/>
          <w:b w:val="1"/>
          <w:bCs w:val="1"/>
          <w:color w:val="FFFFFF"/>
        </w:rPr>
        <w:t>TABLE OF CONTENTS</w:t>
      </w:r>
    </w:p>
    <w:p>
      <w:pPr>
        <w:spacing w:after="0" w:line="358" w:lineRule="exact"/>
        <w:rPr>
          <w:sz w:val="20"/>
          <w:szCs w:val="20"/>
          <w:color w:val="auto"/>
        </w:rPr>
      </w:pPr>
    </w:p>
    <w:tbl>
      <w:tblPr>
        <w:tblLayout w:type="fixed"/>
        <w:tblInd w:w="1260" w:type="dxa"/>
        <w:tblCellMar>
          <w:top w:w="0" w:type="dxa"/>
          <w:left w:w="0" w:type="dxa"/>
          <w:bottom w:w="0" w:type="dxa"/>
          <w:right w:w="0" w:type="dxa"/>
        </w:tblCellMar>
      </w:tblPr>
      <w:tr>
        <w:trPr>
          <w:trHeight w:val="177"/>
        </w:trPr>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gridSpan w:val="4"/>
          </w:tcPr>
          <w:p>
            <w:pPr>
              <w:ind w:left="600"/>
              <w:spacing w:after="0"/>
              <w:rPr>
                <w:sz w:val="20"/>
                <w:szCs w:val="20"/>
                <w:color w:val="auto"/>
              </w:rPr>
            </w:pPr>
            <w:r>
              <w:rPr>
                <w:rFonts w:ascii="Trebuchet MS" w:cs="Trebuchet MS" w:eastAsia="Trebuchet MS" w:hAnsi="Trebuchet MS"/>
                <w:sz w:val="14"/>
                <w:szCs w:val="14"/>
                <w:b w:val="1"/>
                <w:bCs w:val="1"/>
                <w:color w:val="346094"/>
                <w:w w:val="97"/>
              </w:rPr>
              <w:t>Page</w:t>
            </w:r>
          </w:p>
        </w:tc>
      </w:tr>
      <w:tr>
        <w:trPr>
          <w:trHeight w:val="299"/>
        </w:trPr>
        <w:tc>
          <w:tcPr>
            <w:tcW w:w="3880" w:type="dxa"/>
            <w:vAlign w:val="bottom"/>
            <w:tcBorders>
              <w:bottom w:val="single" w:sz="8" w:color="346094"/>
            </w:tcBorders>
            <w:gridSpan w:val="35"/>
          </w:tcPr>
          <w:p>
            <w:pPr>
              <w:spacing w:after="0"/>
              <w:rPr>
                <w:sz w:val="20"/>
                <w:szCs w:val="20"/>
                <w:color w:val="auto"/>
              </w:rPr>
            </w:pPr>
            <w:r>
              <w:rPr>
                <w:rFonts w:ascii="Arial" w:cs="Arial" w:eastAsia="Arial" w:hAnsi="Arial"/>
                <w:sz w:val="18"/>
                <w:szCs w:val="18"/>
                <w:color w:val="346094"/>
              </w:rPr>
              <w:t>Information Concerning Solicitation and Voting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gridSpan w:val="2"/>
          </w:tcPr>
          <w:p>
            <w:pPr>
              <w:ind w:left="620"/>
              <w:spacing w:after="0"/>
              <w:rPr>
                <w:sz w:val="20"/>
                <w:szCs w:val="20"/>
                <w:color w:val="auto"/>
              </w:rPr>
            </w:pPr>
            <w:r>
              <w:rPr>
                <w:rFonts w:ascii="Arial" w:cs="Arial" w:eastAsia="Arial" w:hAnsi="Arial"/>
                <w:sz w:val="18"/>
                <w:szCs w:val="18"/>
                <w:color w:val="4C4C4C"/>
              </w:rPr>
              <w:t>​</w:t>
            </w: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5"/>
                <w:szCs w:val="15"/>
                <w:color w:val="4C4C4C"/>
                <w:w w:val="71"/>
              </w:rPr>
              <w:t>1</w:t>
            </w:r>
          </w:p>
        </w:tc>
        <w:tc>
          <w:tcPr>
            <w:tcW w:w="40" w:type="dxa"/>
            <w:vAlign w:val="bottom"/>
          </w:tcPr>
          <w:p>
            <w:pPr>
              <w:spacing w:after="0"/>
              <w:rPr>
                <w:sz w:val="24"/>
                <w:szCs w:val="24"/>
                <w:color w:val="auto"/>
              </w:rPr>
            </w:pPr>
          </w:p>
        </w:tc>
      </w:tr>
      <w:tr>
        <w:trPr>
          <w:trHeight w:val="236"/>
        </w:trPr>
        <w:tc>
          <w:tcPr>
            <w:tcW w:w="328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7"/>
              </w:rPr>
              <w:t>Questions and Answers About the Annual</w:t>
            </w:r>
          </w:p>
        </w:tc>
        <w:tc>
          <w:tcPr>
            <w:tcW w:w="60" w:type="dxa"/>
            <w:vAlign w:val="bottom"/>
          </w:tcPr>
          <w:p>
            <w:pPr>
              <w:spacing w:after="0"/>
              <w:rPr>
                <w:sz w:val="20"/>
                <w:szCs w:val="20"/>
                <w:color w:val="auto"/>
              </w:rPr>
            </w:pPr>
          </w:p>
        </w:tc>
        <w:tc>
          <w:tcPr>
            <w:tcW w:w="660" w:type="dxa"/>
            <w:vAlign w:val="bottom"/>
            <w:tcBorders>
              <w:bottom w:val="single" w:sz="8" w:color="346094"/>
            </w:tcBorders>
            <w:gridSpan w:val="10"/>
          </w:tcPr>
          <w:p>
            <w:pPr>
              <w:spacing w:after="0"/>
              <w:rPr>
                <w:sz w:val="20"/>
                <w:szCs w:val="20"/>
                <w:color w:val="auto"/>
              </w:rPr>
            </w:pPr>
            <w:r>
              <w:rPr>
                <w:rFonts w:ascii="Arial" w:cs="Arial" w:eastAsia="Arial" w:hAnsi="Arial"/>
                <w:sz w:val="18"/>
                <w:szCs w:val="18"/>
                <w:color w:val="346094"/>
                <w:w w:val="99"/>
              </w:rPr>
              <w:t>Meeting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gridSpan w:val="2"/>
          </w:tcPr>
          <w:p>
            <w:pPr>
              <w:ind w:left="620"/>
              <w:spacing w:after="0"/>
              <w:rPr>
                <w:sz w:val="20"/>
                <w:szCs w:val="20"/>
                <w:color w:val="auto"/>
              </w:rPr>
            </w:pPr>
            <w:r>
              <w:rPr>
                <w:rFonts w:ascii="Arial" w:cs="Arial" w:eastAsia="Arial" w:hAnsi="Arial"/>
                <w:sz w:val="18"/>
                <w:szCs w:val="18"/>
                <w:color w:val="4C4C4C"/>
              </w:rPr>
              <w:t>​</w:t>
            </w: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5"/>
                <w:szCs w:val="15"/>
                <w:color w:val="4C4C4C"/>
                <w:w w:val="71"/>
              </w:rPr>
              <w:t>1</w:t>
            </w:r>
          </w:p>
        </w:tc>
        <w:tc>
          <w:tcPr>
            <w:tcW w:w="40" w:type="dxa"/>
            <w:vAlign w:val="bottom"/>
          </w:tcPr>
          <w:p>
            <w:pPr>
              <w:spacing w:after="0"/>
              <w:rPr>
                <w:sz w:val="20"/>
                <w:szCs w:val="20"/>
                <w:color w:val="auto"/>
              </w:rPr>
            </w:pPr>
          </w:p>
        </w:tc>
      </w:tr>
      <w:tr>
        <w:trPr>
          <w:trHeight w:val="264"/>
        </w:trPr>
        <w:tc>
          <w:tcPr>
            <w:tcW w:w="7080" w:type="dxa"/>
            <w:vAlign w:val="bottom"/>
            <w:gridSpan w:val="45"/>
          </w:tcPr>
          <w:p>
            <w:pPr>
              <w:spacing w:after="0"/>
              <w:rPr>
                <w:sz w:val="20"/>
                <w:szCs w:val="20"/>
                <w:color w:val="auto"/>
              </w:rPr>
            </w:pPr>
            <w:r>
              <w:rPr>
                <w:rFonts w:ascii="Arial" w:cs="Arial" w:eastAsia="Arial" w:hAnsi="Arial"/>
                <w:sz w:val="22"/>
                <w:szCs w:val="22"/>
                <w:b w:val="1"/>
                <w:bCs w:val="1"/>
                <w:color w:val="346094"/>
              </w:rPr>
              <w:t>PROPOSAL 1 — </w:t>
            </w:r>
            <w:r>
              <w:rPr>
                <w:rFonts w:ascii="Arial" w:cs="Arial" w:eastAsia="Arial" w:hAnsi="Arial"/>
                <w:sz w:val="22"/>
                <w:szCs w:val="22"/>
                <w:color w:val="346094"/>
              </w:rPr>
              <w:t>ELECTION OF DIRECTORS</w:t>
            </w:r>
            <w:r>
              <w:rPr>
                <w:rFonts w:ascii="Arial" w:cs="Arial" w:eastAsia="Arial" w:hAnsi="Arial"/>
                <w:sz w:val="17"/>
                <w:szCs w:val="17"/>
                <w:color w:val="4C4C4C"/>
              </w:rPr>
              <w:t>​</w:t>
            </w:r>
          </w:p>
        </w:tc>
        <w:tc>
          <w:tcPr>
            <w:tcW w:w="800" w:type="dxa"/>
            <w:vAlign w:val="bottom"/>
            <w:gridSpan w:val="2"/>
          </w:tcPr>
          <w:p>
            <w:pPr>
              <w:ind w:left="620"/>
              <w:spacing w:after="0"/>
              <w:rPr>
                <w:sz w:val="20"/>
                <w:szCs w:val="20"/>
                <w:color w:val="auto"/>
              </w:rPr>
            </w:pPr>
            <w:r>
              <w:rPr>
                <w:rFonts w:ascii="Arial" w:cs="Arial" w:eastAsia="Arial" w:hAnsi="Arial"/>
                <w:sz w:val="18"/>
                <w:szCs w:val="18"/>
                <w:color w:val="4C4C4C"/>
              </w:rPr>
              <w:t>​</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4C4C4C"/>
                <w:w w:val="71"/>
              </w:rPr>
              <w:t>7</w:t>
            </w:r>
          </w:p>
        </w:tc>
      </w:tr>
      <w:tr>
        <w:trPr>
          <w:trHeight w:val="20"/>
        </w:trPr>
        <w:tc>
          <w:tcPr>
            <w:tcW w:w="180" w:type="dxa"/>
            <w:vAlign w:val="bottom"/>
            <w:shd w:val="clear" w:color="auto" w:fill="346094"/>
          </w:tcPr>
          <w:p>
            <w:pPr>
              <w:spacing w:after="0" w:line="20" w:lineRule="exact"/>
              <w:rPr>
                <w:sz w:val="1"/>
                <w:szCs w:val="1"/>
                <w:color w:val="auto"/>
              </w:rPr>
            </w:pPr>
          </w:p>
        </w:tc>
        <w:tc>
          <w:tcPr>
            <w:tcW w:w="260" w:type="dxa"/>
            <w:vAlign w:val="bottom"/>
            <w:shd w:val="clear" w:color="auto" w:fill="346094"/>
          </w:tcPr>
          <w:p>
            <w:pPr>
              <w:spacing w:after="0" w:line="20" w:lineRule="exact"/>
              <w:rPr>
                <w:sz w:val="1"/>
                <w:szCs w:val="1"/>
                <w:color w:val="auto"/>
              </w:rPr>
            </w:pPr>
          </w:p>
        </w:tc>
        <w:tc>
          <w:tcPr>
            <w:tcW w:w="200" w:type="dxa"/>
            <w:vAlign w:val="bottom"/>
            <w:shd w:val="clear" w:color="auto" w:fill="346094"/>
          </w:tcPr>
          <w:p>
            <w:pPr>
              <w:spacing w:after="0" w:line="20" w:lineRule="exact"/>
              <w:rPr>
                <w:sz w:val="1"/>
                <w:szCs w:val="1"/>
                <w:color w:val="auto"/>
              </w:rPr>
            </w:pPr>
          </w:p>
        </w:tc>
        <w:tc>
          <w:tcPr>
            <w:tcW w:w="60" w:type="dxa"/>
            <w:vAlign w:val="bottom"/>
            <w:shd w:val="clear" w:color="auto" w:fill="346094"/>
          </w:tcPr>
          <w:p>
            <w:pPr>
              <w:spacing w:after="0" w:line="20" w:lineRule="exact"/>
              <w:rPr>
                <w:sz w:val="1"/>
                <w:szCs w:val="1"/>
                <w:color w:val="auto"/>
              </w:rPr>
            </w:pPr>
          </w:p>
        </w:tc>
        <w:tc>
          <w:tcPr>
            <w:tcW w:w="120" w:type="dxa"/>
            <w:vAlign w:val="bottom"/>
            <w:shd w:val="clear" w:color="auto" w:fill="346094"/>
          </w:tcPr>
          <w:p>
            <w:pPr>
              <w:spacing w:after="0" w:line="20" w:lineRule="exact"/>
              <w:rPr>
                <w:sz w:val="1"/>
                <w:szCs w:val="1"/>
                <w:color w:val="auto"/>
              </w:rPr>
            </w:pPr>
          </w:p>
        </w:tc>
        <w:tc>
          <w:tcPr>
            <w:tcW w:w="20" w:type="dxa"/>
            <w:vAlign w:val="bottom"/>
            <w:shd w:val="clear" w:color="auto" w:fill="346094"/>
          </w:tcPr>
          <w:p>
            <w:pPr>
              <w:spacing w:after="0" w:line="20" w:lineRule="exact"/>
              <w:rPr>
                <w:sz w:val="1"/>
                <w:szCs w:val="1"/>
                <w:color w:val="auto"/>
              </w:rPr>
            </w:pPr>
          </w:p>
        </w:tc>
        <w:tc>
          <w:tcPr>
            <w:tcW w:w="340" w:type="dxa"/>
            <w:vAlign w:val="bottom"/>
            <w:shd w:val="clear" w:color="auto" w:fill="346094"/>
          </w:tcPr>
          <w:p>
            <w:pPr>
              <w:spacing w:after="0" w:line="20" w:lineRule="exact"/>
              <w:rPr>
                <w:sz w:val="1"/>
                <w:szCs w:val="1"/>
                <w:color w:val="auto"/>
              </w:rPr>
            </w:pPr>
          </w:p>
        </w:tc>
        <w:tc>
          <w:tcPr>
            <w:tcW w:w="300" w:type="dxa"/>
            <w:vAlign w:val="bottom"/>
            <w:shd w:val="clear" w:color="auto" w:fill="346094"/>
          </w:tcPr>
          <w:p>
            <w:pPr>
              <w:spacing w:after="0" w:line="20" w:lineRule="exact"/>
              <w:rPr>
                <w:sz w:val="1"/>
                <w:szCs w:val="1"/>
                <w:color w:val="auto"/>
              </w:rPr>
            </w:pPr>
          </w:p>
        </w:tc>
        <w:tc>
          <w:tcPr>
            <w:tcW w:w="20" w:type="dxa"/>
            <w:vAlign w:val="bottom"/>
            <w:shd w:val="clear" w:color="auto" w:fill="346094"/>
          </w:tcPr>
          <w:p>
            <w:pPr>
              <w:spacing w:after="0" w:line="20" w:lineRule="exact"/>
              <w:rPr>
                <w:sz w:val="1"/>
                <w:szCs w:val="1"/>
                <w:color w:val="auto"/>
              </w:rPr>
            </w:pPr>
          </w:p>
        </w:tc>
        <w:tc>
          <w:tcPr>
            <w:tcW w:w="260" w:type="dxa"/>
            <w:vAlign w:val="bottom"/>
            <w:shd w:val="clear" w:color="auto" w:fill="346094"/>
          </w:tcPr>
          <w:p>
            <w:pPr>
              <w:spacing w:after="0" w:line="20" w:lineRule="exact"/>
              <w:rPr>
                <w:sz w:val="1"/>
                <w:szCs w:val="1"/>
                <w:color w:val="auto"/>
              </w:rPr>
            </w:pPr>
          </w:p>
        </w:tc>
        <w:tc>
          <w:tcPr>
            <w:tcW w:w="80" w:type="dxa"/>
            <w:vAlign w:val="bottom"/>
            <w:shd w:val="clear" w:color="auto" w:fill="346094"/>
          </w:tcPr>
          <w:p>
            <w:pPr>
              <w:spacing w:after="0" w:line="20" w:lineRule="exact"/>
              <w:rPr>
                <w:sz w:val="1"/>
                <w:szCs w:val="1"/>
                <w:color w:val="auto"/>
              </w:rPr>
            </w:pPr>
          </w:p>
        </w:tc>
        <w:tc>
          <w:tcPr>
            <w:tcW w:w="120" w:type="dxa"/>
            <w:vAlign w:val="bottom"/>
            <w:shd w:val="clear" w:color="auto" w:fill="346094"/>
          </w:tcPr>
          <w:p>
            <w:pPr>
              <w:spacing w:after="0" w:line="20" w:lineRule="exact"/>
              <w:rPr>
                <w:sz w:val="1"/>
                <w:szCs w:val="1"/>
                <w:color w:val="auto"/>
              </w:rPr>
            </w:pPr>
          </w:p>
        </w:tc>
        <w:tc>
          <w:tcPr>
            <w:tcW w:w="20" w:type="dxa"/>
            <w:vAlign w:val="bottom"/>
            <w:shd w:val="clear" w:color="auto" w:fill="346094"/>
          </w:tcPr>
          <w:p>
            <w:pPr>
              <w:spacing w:after="0" w:line="20" w:lineRule="exact"/>
              <w:rPr>
                <w:sz w:val="1"/>
                <w:szCs w:val="1"/>
                <w:color w:val="auto"/>
              </w:rPr>
            </w:pPr>
          </w:p>
        </w:tc>
        <w:tc>
          <w:tcPr>
            <w:tcW w:w="40" w:type="dxa"/>
            <w:vAlign w:val="bottom"/>
            <w:shd w:val="clear" w:color="auto" w:fill="346094"/>
          </w:tcPr>
          <w:p>
            <w:pPr>
              <w:spacing w:after="0" w:line="20" w:lineRule="exact"/>
              <w:rPr>
                <w:sz w:val="1"/>
                <w:szCs w:val="1"/>
                <w:color w:val="auto"/>
              </w:rPr>
            </w:pPr>
          </w:p>
        </w:tc>
        <w:tc>
          <w:tcPr>
            <w:tcW w:w="340" w:type="dxa"/>
            <w:vAlign w:val="bottom"/>
            <w:shd w:val="clear" w:color="auto" w:fill="346094"/>
          </w:tcPr>
          <w:p>
            <w:pPr>
              <w:spacing w:after="0" w:line="20" w:lineRule="exact"/>
              <w:rPr>
                <w:sz w:val="1"/>
                <w:szCs w:val="1"/>
                <w:color w:val="auto"/>
              </w:rPr>
            </w:pPr>
          </w:p>
        </w:tc>
        <w:tc>
          <w:tcPr>
            <w:tcW w:w="20" w:type="dxa"/>
            <w:vAlign w:val="bottom"/>
            <w:shd w:val="clear" w:color="auto" w:fill="346094"/>
          </w:tcPr>
          <w:p>
            <w:pPr>
              <w:spacing w:after="0" w:line="20" w:lineRule="exact"/>
              <w:rPr>
                <w:sz w:val="1"/>
                <w:szCs w:val="1"/>
                <w:color w:val="auto"/>
              </w:rPr>
            </w:pPr>
          </w:p>
        </w:tc>
        <w:tc>
          <w:tcPr>
            <w:tcW w:w="20" w:type="dxa"/>
            <w:vAlign w:val="bottom"/>
            <w:shd w:val="clear" w:color="auto" w:fill="346094"/>
          </w:tcPr>
          <w:p>
            <w:pPr>
              <w:spacing w:after="0" w:line="20" w:lineRule="exact"/>
              <w:rPr>
                <w:sz w:val="1"/>
                <w:szCs w:val="1"/>
                <w:color w:val="auto"/>
              </w:rPr>
            </w:pPr>
          </w:p>
        </w:tc>
        <w:tc>
          <w:tcPr>
            <w:tcW w:w="40" w:type="dxa"/>
            <w:vAlign w:val="bottom"/>
            <w:shd w:val="clear" w:color="auto" w:fill="346094"/>
          </w:tcPr>
          <w:p>
            <w:pPr>
              <w:spacing w:after="0" w:line="20" w:lineRule="exact"/>
              <w:rPr>
                <w:sz w:val="1"/>
                <w:szCs w:val="1"/>
                <w:color w:val="auto"/>
              </w:rPr>
            </w:pPr>
          </w:p>
        </w:tc>
        <w:tc>
          <w:tcPr>
            <w:tcW w:w="420" w:type="dxa"/>
            <w:vAlign w:val="bottom"/>
            <w:shd w:val="clear" w:color="auto" w:fill="346094"/>
          </w:tcPr>
          <w:p>
            <w:pPr>
              <w:spacing w:after="0" w:line="20" w:lineRule="exact"/>
              <w:rPr>
                <w:sz w:val="1"/>
                <w:szCs w:val="1"/>
                <w:color w:val="auto"/>
              </w:rPr>
            </w:pPr>
          </w:p>
        </w:tc>
        <w:tc>
          <w:tcPr>
            <w:tcW w:w="100" w:type="dxa"/>
            <w:vAlign w:val="bottom"/>
            <w:tcBorders>
              <w:right w:val="single" w:sz="8" w:color="346094"/>
            </w:tcBorders>
            <w:shd w:val="clear" w:color="auto" w:fill="346094"/>
          </w:tcPr>
          <w:p>
            <w:pPr>
              <w:spacing w:after="0" w:line="20" w:lineRule="exact"/>
              <w:rPr>
                <w:sz w:val="1"/>
                <w:szCs w:val="1"/>
                <w:color w:val="auto"/>
              </w:rPr>
            </w:pPr>
          </w:p>
        </w:tc>
        <w:tc>
          <w:tcPr>
            <w:tcW w:w="60" w:type="dxa"/>
            <w:vAlign w:val="bottom"/>
            <w:shd w:val="clear" w:color="auto" w:fill="346094"/>
          </w:tcPr>
          <w:p>
            <w:pPr>
              <w:spacing w:after="0" w:line="20" w:lineRule="exact"/>
              <w:rPr>
                <w:sz w:val="1"/>
                <w:szCs w:val="1"/>
                <w:color w:val="auto"/>
              </w:rPr>
            </w:pPr>
          </w:p>
        </w:tc>
        <w:tc>
          <w:tcPr>
            <w:tcW w:w="20" w:type="dxa"/>
            <w:vAlign w:val="bottom"/>
            <w:shd w:val="clear" w:color="auto" w:fill="346094"/>
          </w:tcPr>
          <w:p>
            <w:pPr>
              <w:spacing w:after="0" w:line="20" w:lineRule="exact"/>
              <w:rPr>
                <w:sz w:val="1"/>
                <w:szCs w:val="1"/>
                <w:color w:val="auto"/>
              </w:rPr>
            </w:pPr>
          </w:p>
        </w:tc>
        <w:tc>
          <w:tcPr>
            <w:tcW w:w="20" w:type="dxa"/>
            <w:vAlign w:val="bottom"/>
            <w:shd w:val="clear" w:color="auto" w:fill="346094"/>
          </w:tcPr>
          <w:p>
            <w:pPr>
              <w:spacing w:after="0" w:line="20" w:lineRule="exact"/>
              <w:rPr>
                <w:sz w:val="1"/>
                <w:szCs w:val="1"/>
                <w:color w:val="auto"/>
              </w:rPr>
            </w:pPr>
          </w:p>
        </w:tc>
        <w:tc>
          <w:tcPr>
            <w:tcW w:w="60" w:type="dxa"/>
            <w:vAlign w:val="bottom"/>
            <w:shd w:val="clear" w:color="auto" w:fill="346094"/>
          </w:tcPr>
          <w:p>
            <w:pPr>
              <w:spacing w:after="0" w:line="20" w:lineRule="exact"/>
              <w:rPr>
                <w:sz w:val="1"/>
                <w:szCs w:val="1"/>
                <w:color w:val="auto"/>
              </w:rPr>
            </w:pPr>
          </w:p>
        </w:tc>
        <w:tc>
          <w:tcPr>
            <w:tcW w:w="40" w:type="dxa"/>
            <w:vAlign w:val="bottom"/>
            <w:shd w:val="clear" w:color="auto" w:fill="346094"/>
          </w:tcPr>
          <w:p>
            <w:pPr>
              <w:spacing w:after="0" w:line="20" w:lineRule="exact"/>
              <w:rPr>
                <w:sz w:val="1"/>
                <w:szCs w:val="1"/>
                <w:color w:val="auto"/>
              </w:rPr>
            </w:pPr>
          </w:p>
        </w:tc>
        <w:tc>
          <w:tcPr>
            <w:tcW w:w="220" w:type="dxa"/>
            <w:vAlign w:val="bottom"/>
            <w:gridSpan w:val="3"/>
            <w:shd w:val="clear" w:color="auto" w:fill="346094"/>
          </w:tcPr>
          <w:p>
            <w:pPr>
              <w:spacing w:after="0" w:line="20" w:lineRule="exact"/>
              <w:rPr>
                <w:sz w:val="1"/>
                <w:szCs w:val="1"/>
                <w:color w:val="auto"/>
              </w:rPr>
            </w:pPr>
          </w:p>
        </w:tc>
        <w:tc>
          <w:tcPr>
            <w:tcW w:w="60" w:type="dxa"/>
            <w:vAlign w:val="bottom"/>
            <w:shd w:val="clear" w:color="auto" w:fill="346094"/>
          </w:tcPr>
          <w:p>
            <w:pPr>
              <w:spacing w:after="0" w:line="20" w:lineRule="exact"/>
              <w:rPr>
                <w:sz w:val="1"/>
                <w:szCs w:val="1"/>
                <w:color w:val="auto"/>
              </w:rPr>
            </w:pPr>
          </w:p>
        </w:tc>
        <w:tc>
          <w:tcPr>
            <w:tcW w:w="60" w:type="dxa"/>
            <w:vAlign w:val="bottom"/>
            <w:shd w:val="clear" w:color="auto" w:fill="346094"/>
          </w:tcPr>
          <w:p>
            <w:pPr>
              <w:spacing w:after="0" w:line="20" w:lineRule="exact"/>
              <w:rPr>
                <w:sz w:val="1"/>
                <w:szCs w:val="1"/>
                <w:color w:val="auto"/>
              </w:rPr>
            </w:pPr>
          </w:p>
        </w:tc>
        <w:tc>
          <w:tcPr>
            <w:tcW w:w="80" w:type="dxa"/>
            <w:vAlign w:val="bottom"/>
            <w:shd w:val="clear" w:color="auto" w:fill="346094"/>
          </w:tcPr>
          <w:p>
            <w:pPr>
              <w:spacing w:after="0" w:line="20" w:lineRule="exact"/>
              <w:rPr>
                <w:sz w:val="1"/>
                <w:szCs w:val="1"/>
                <w:color w:val="auto"/>
              </w:rPr>
            </w:pPr>
          </w:p>
        </w:tc>
        <w:tc>
          <w:tcPr>
            <w:tcW w:w="100" w:type="dxa"/>
            <w:vAlign w:val="bottom"/>
            <w:shd w:val="clear" w:color="auto" w:fill="346094"/>
          </w:tcPr>
          <w:p>
            <w:pPr>
              <w:spacing w:after="0" w:line="20" w:lineRule="exact"/>
              <w:rPr>
                <w:sz w:val="1"/>
                <w:szCs w:val="1"/>
                <w:color w:val="auto"/>
              </w:rPr>
            </w:pPr>
          </w:p>
        </w:tc>
        <w:tc>
          <w:tcPr>
            <w:tcW w:w="20" w:type="dxa"/>
            <w:vAlign w:val="bottom"/>
            <w:shd w:val="clear" w:color="auto" w:fill="346094"/>
          </w:tcPr>
          <w:p>
            <w:pPr>
              <w:spacing w:after="0" w:line="20" w:lineRule="exact"/>
              <w:rPr>
                <w:sz w:val="1"/>
                <w:szCs w:val="1"/>
                <w:color w:val="auto"/>
              </w:rPr>
            </w:pPr>
          </w:p>
        </w:tc>
        <w:tc>
          <w:tcPr>
            <w:tcW w:w="60" w:type="dxa"/>
            <w:vAlign w:val="bottom"/>
            <w:shd w:val="clear" w:color="auto" w:fill="346094"/>
          </w:tcPr>
          <w:p>
            <w:pPr>
              <w:spacing w:after="0" w:line="20" w:lineRule="exact"/>
              <w:rPr>
                <w:sz w:val="1"/>
                <w:szCs w:val="1"/>
                <w:color w:val="auto"/>
              </w:rPr>
            </w:pPr>
          </w:p>
        </w:tc>
        <w:tc>
          <w:tcPr>
            <w:tcW w:w="120" w:type="dxa"/>
            <w:vAlign w:val="bottom"/>
            <w:tcBorders>
              <w:right w:val="single" w:sz="8" w:color="346094"/>
            </w:tcBorders>
            <w:shd w:val="clear" w:color="auto" w:fill="34609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C4C4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7080" w:type="dxa"/>
            <w:vAlign w:val="bottom"/>
            <w:gridSpan w:val="45"/>
          </w:tcPr>
          <w:p>
            <w:pPr>
              <w:spacing w:after="0" w:line="237" w:lineRule="exact"/>
              <w:rPr>
                <w:sz w:val="20"/>
                <w:szCs w:val="20"/>
                <w:color w:val="auto"/>
              </w:rPr>
            </w:pPr>
            <w:r>
              <w:rPr>
                <w:rFonts w:ascii="Arial" w:cs="Arial" w:eastAsia="Arial" w:hAnsi="Arial"/>
                <w:sz w:val="22"/>
                <w:szCs w:val="22"/>
                <w:b w:val="1"/>
                <w:bCs w:val="1"/>
                <w:color w:val="346094"/>
                <w:w w:val="97"/>
              </w:rPr>
              <w:t>PROPOSAL 2 — </w:t>
            </w:r>
            <w:r>
              <w:rPr>
                <w:rFonts w:ascii="Arial" w:cs="Arial" w:eastAsia="Arial" w:hAnsi="Arial"/>
                <w:sz w:val="22"/>
                <w:szCs w:val="22"/>
                <w:color w:val="346094"/>
                <w:w w:val="97"/>
              </w:rPr>
              <w:t>RATIFICATION OF APPOINT</w:t>
            </w:r>
            <w:r>
              <w:rPr>
                <w:rFonts w:ascii="Arial" w:cs="Arial" w:eastAsia="Arial" w:hAnsi="Arial"/>
                <w:sz w:val="20"/>
                <w:szCs w:val="20"/>
                <w:color w:val="346094"/>
                <w:w w:val="97"/>
              </w:rPr>
              <w:t>M</w:t>
            </w:r>
            <w:r>
              <w:rPr>
                <w:rFonts w:ascii="Arial" w:cs="Arial" w:eastAsia="Arial" w:hAnsi="Arial"/>
                <w:sz w:val="22"/>
                <w:szCs w:val="22"/>
                <w:color w:val="0000EE"/>
                <w:w w:val="97"/>
              </w:rPr>
              <w:t>ENT OF INDEPENDENT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180" w:type="dxa"/>
            <w:vAlign w:val="bottom"/>
            <w:tcBorders>
              <w:top w:val="single" w:sz="8" w:color="346094"/>
            </w:tcBorders>
          </w:tcPr>
          <w:p>
            <w:pPr>
              <w:spacing w:after="0"/>
              <w:rPr>
                <w:sz w:val="19"/>
                <w:szCs w:val="19"/>
                <w:color w:val="auto"/>
              </w:rPr>
            </w:pPr>
          </w:p>
        </w:tc>
        <w:tc>
          <w:tcPr>
            <w:tcW w:w="4000" w:type="dxa"/>
            <w:vAlign w:val="bottom"/>
            <w:tcBorders>
              <w:top w:val="single" w:sz="8" w:color="346094"/>
            </w:tcBorders>
            <w:gridSpan w:val="39"/>
          </w:tcPr>
          <w:p>
            <w:pPr>
              <w:spacing w:after="0" w:line="223" w:lineRule="exact"/>
              <w:rPr>
                <w:sz w:val="20"/>
                <w:szCs w:val="20"/>
                <w:color w:val="auto"/>
              </w:rPr>
            </w:pPr>
            <w:r>
              <w:rPr>
                <w:rFonts w:ascii="Arial" w:cs="Arial" w:eastAsia="Arial" w:hAnsi="Arial"/>
                <w:sz w:val="22"/>
                <w:szCs w:val="22"/>
                <w:color w:val="0000EE"/>
                <w:w w:val="90"/>
              </w:rPr>
              <w:t>REGISTERED PUBLIC ACCOUNTING FIR</w:t>
            </w:r>
            <w:r>
              <w:rPr>
                <w:rFonts w:ascii="Arial" w:cs="Arial" w:eastAsia="Arial" w:hAnsi="Arial"/>
                <w:sz w:val="20"/>
                <w:szCs w:val="20"/>
                <w:color w:val="346094"/>
                <w:w w:val="90"/>
              </w:rPr>
              <w:t>M</w:t>
            </w:r>
            <w:r>
              <w:rPr>
                <w:rFonts w:ascii="Arial" w:cs="Arial" w:eastAsia="Arial" w:hAnsi="Arial"/>
                <w:sz w:val="17"/>
                <w:szCs w:val="17"/>
                <w:color w:val="4C4C4C"/>
                <w:w w:val="90"/>
              </w:rPr>
              <w:t>​</w:t>
            </w:r>
          </w:p>
        </w:tc>
        <w:tc>
          <w:tcPr>
            <w:tcW w:w="2100" w:type="dxa"/>
            <w:vAlign w:val="bottom"/>
            <w:tcBorders>
              <w:top w:val="single" w:sz="8" w:color="0000EE"/>
            </w:tcBorders>
            <w:gridSpan w:val="4"/>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gridSpan w:val="4"/>
          </w:tcPr>
          <w:p>
            <w:pPr>
              <w:jc w:val="right"/>
              <w:ind w:right="40"/>
              <w:spacing w:after="0" w:line="223" w:lineRule="exact"/>
              <w:rPr>
                <w:sz w:val="20"/>
                <w:szCs w:val="20"/>
                <w:color w:val="auto"/>
              </w:rPr>
            </w:pPr>
            <w:r>
              <w:rPr>
                <w:rFonts w:ascii="Arial" w:cs="Arial" w:eastAsia="Arial" w:hAnsi="Arial"/>
                <w:sz w:val="22"/>
                <w:szCs w:val="22"/>
                <w:color w:val="346094"/>
              </w:rPr>
              <w:t>​</w:t>
            </w:r>
            <w:r>
              <w:rPr>
                <w:rFonts w:ascii="Arial" w:cs="Arial" w:eastAsia="Arial" w:hAnsi="Arial"/>
                <w:sz w:val="17"/>
                <w:szCs w:val="17"/>
                <w:color w:val="4C4C4C"/>
              </w:rPr>
              <w:t>13</w:t>
            </w:r>
          </w:p>
        </w:tc>
      </w:tr>
      <w:tr>
        <w:trPr>
          <w:trHeight w:val="20"/>
        </w:trPr>
        <w:tc>
          <w:tcPr>
            <w:tcW w:w="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346094"/>
            </w:tcBorders>
            <w:shd w:val="clear" w:color="auto" w:fill="0000EE"/>
          </w:tcPr>
          <w:p>
            <w:pPr>
              <w:spacing w:after="0" w:line="20" w:lineRule="exact"/>
              <w:rPr>
                <w:sz w:val="1"/>
                <w:szCs w:val="1"/>
                <w:color w:val="auto"/>
              </w:rPr>
            </w:pPr>
          </w:p>
        </w:tc>
        <w:tc>
          <w:tcPr>
            <w:tcW w:w="100" w:type="dxa"/>
            <w:vAlign w:val="bottom"/>
            <w:shd w:val="clear" w:color="auto" w:fill="34609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4C4C4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960" w:type="dxa"/>
            <w:vAlign w:val="bottom"/>
            <w:tcBorders>
              <w:bottom w:val="single" w:sz="8" w:color="346094"/>
            </w:tcBorders>
            <w:gridSpan w:val="12"/>
          </w:tcPr>
          <w:p>
            <w:pPr>
              <w:spacing w:after="0"/>
              <w:rPr>
                <w:sz w:val="20"/>
                <w:szCs w:val="20"/>
                <w:color w:val="auto"/>
              </w:rPr>
            </w:pPr>
            <w:r>
              <w:rPr>
                <w:rFonts w:ascii="Arial" w:cs="Arial" w:eastAsia="Arial" w:hAnsi="Arial"/>
                <w:sz w:val="18"/>
                <w:szCs w:val="18"/>
                <w:color w:val="346094"/>
              </w:rPr>
              <w:t>Audit Committee Report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16</w:t>
            </w:r>
          </w:p>
        </w:tc>
        <w:tc>
          <w:tcPr>
            <w:tcW w:w="40" w:type="dxa"/>
            <w:vAlign w:val="bottom"/>
          </w:tcPr>
          <w:p>
            <w:pPr>
              <w:spacing w:after="0"/>
              <w:rPr>
                <w:sz w:val="21"/>
                <w:szCs w:val="21"/>
                <w:color w:val="auto"/>
              </w:rPr>
            </w:pPr>
          </w:p>
        </w:tc>
      </w:tr>
      <w:tr>
        <w:trPr>
          <w:trHeight w:val="277"/>
        </w:trPr>
        <w:tc>
          <w:tcPr>
            <w:tcW w:w="7080" w:type="dxa"/>
            <w:vAlign w:val="bottom"/>
            <w:gridSpan w:val="45"/>
          </w:tcPr>
          <w:p>
            <w:pPr>
              <w:spacing w:after="0"/>
              <w:rPr>
                <w:sz w:val="20"/>
                <w:szCs w:val="20"/>
                <w:color w:val="auto"/>
              </w:rPr>
            </w:pPr>
            <w:r>
              <w:rPr>
                <w:rFonts w:ascii="Arial" w:cs="Arial" w:eastAsia="Arial" w:hAnsi="Arial"/>
                <w:sz w:val="22"/>
                <w:szCs w:val="22"/>
                <w:b w:val="1"/>
                <w:bCs w:val="1"/>
                <w:color w:val="346094"/>
                <w:w w:val="85"/>
              </w:rPr>
              <w:t>PROPOSAL 3 — </w:t>
            </w:r>
            <w:r>
              <w:rPr>
                <w:rFonts w:ascii="Arial" w:cs="Arial" w:eastAsia="Arial" w:hAnsi="Arial"/>
                <w:sz w:val="22"/>
                <w:szCs w:val="22"/>
                <w:color w:val="346094"/>
                <w:w w:val="85"/>
              </w:rPr>
              <w:t>ADVISORY VOTE TO APPROVE THE CO</w:t>
            </w:r>
            <w:r>
              <w:rPr>
                <w:rFonts w:ascii="Arial" w:cs="Arial" w:eastAsia="Arial" w:hAnsi="Arial"/>
                <w:sz w:val="20"/>
                <w:szCs w:val="20"/>
                <w:color w:val="346094"/>
                <w:w w:val="85"/>
              </w:rPr>
              <w:t>M</w:t>
            </w:r>
            <w:r>
              <w:rPr>
                <w:rFonts w:ascii="Arial" w:cs="Arial" w:eastAsia="Arial" w:hAnsi="Arial"/>
                <w:sz w:val="22"/>
                <w:szCs w:val="22"/>
                <w:color w:val="0000EE"/>
                <w:w w:val="85"/>
              </w:rPr>
              <w:t>PENSATION OF OUR</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180" w:type="dxa"/>
            <w:vAlign w:val="bottom"/>
            <w:tcBorders>
              <w:top w:val="single" w:sz="8" w:color="346094"/>
            </w:tcBorders>
          </w:tcPr>
          <w:p>
            <w:pPr>
              <w:spacing w:after="0"/>
              <w:rPr>
                <w:sz w:val="19"/>
                <w:szCs w:val="19"/>
                <w:color w:val="auto"/>
              </w:rPr>
            </w:pPr>
          </w:p>
        </w:tc>
        <w:tc>
          <w:tcPr>
            <w:tcW w:w="5060" w:type="dxa"/>
            <w:vAlign w:val="bottom"/>
            <w:tcBorders>
              <w:top w:val="single" w:sz="8" w:color="346094"/>
            </w:tcBorders>
            <w:gridSpan w:val="42"/>
          </w:tcPr>
          <w:p>
            <w:pPr>
              <w:spacing w:after="0" w:line="223" w:lineRule="exact"/>
              <w:rPr>
                <w:sz w:val="20"/>
                <w:szCs w:val="20"/>
                <w:color w:val="auto"/>
              </w:rPr>
            </w:pPr>
            <w:r>
              <w:rPr>
                <w:rFonts w:ascii="Arial" w:cs="Arial" w:eastAsia="Arial" w:hAnsi="Arial"/>
                <w:sz w:val="22"/>
                <w:szCs w:val="22"/>
                <w:color w:val="0000EE"/>
              </w:rPr>
              <w:t>NA</w:t>
            </w:r>
            <w:r>
              <w:rPr>
                <w:rFonts w:ascii="Arial" w:cs="Arial" w:eastAsia="Arial" w:hAnsi="Arial"/>
                <w:sz w:val="20"/>
                <w:szCs w:val="20"/>
                <w:color w:val="346094"/>
              </w:rPr>
              <w:t>M</w:t>
            </w:r>
            <w:r>
              <w:rPr>
                <w:rFonts w:ascii="Arial" w:cs="Arial" w:eastAsia="Arial" w:hAnsi="Arial"/>
                <w:sz w:val="22"/>
                <w:szCs w:val="22"/>
                <w:color w:val="346094"/>
              </w:rPr>
              <w:t>ED EXECUTIVE OFFICERS</w:t>
            </w:r>
            <w:r>
              <w:rPr>
                <w:rFonts w:ascii="Arial" w:cs="Arial" w:eastAsia="Arial" w:hAnsi="Arial"/>
                <w:sz w:val="17"/>
                <w:szCs w:val="17"/>
                <w:color w:val="4C4C4C"/>
              </w:rPr>
              <w:t>​</w:t>
            </w:r>
          </w:p>
        </w:tc>
        <w:tc>
          <w:tcPr>
            <w:tcW w:w="1840" w:type="dxa"/>
            <w:vAlign w:val="bottom"/>
            <w:tcBorders>
              <w:top w:val="single" w:sz="8" w:color="0000EE"/>
            </w:tcBorders>
            <w:gridSpan w:val="2"/>
          </w:tcPr>
          <w:p>
            <w:pPr>
              <w:spacing w:after="0"/>
              <w:rPr>
                <w:sz w:val="19"/>
                <w:szCs w:val="19"/>
                <w:color w:val="auto"/>
              </w:rPr>
            </w:pPr>
          </w:p>
        </w:tc>
        <w:tc>
          <w:tcPr>
            <w:tcW w:w="920" w:type="dxa"/>
            <w:vAlign w:val="bottom"/>
            <w:gridSpan w:val="4"/>
          </w:tcPr>
          <w:p>
            <w:pPr>
              <w:jc w:val="right"/>
              <w:ind w:right="40"/>
              <w:spacing w:after="0" w:line="223" w:lineRule="exact"/>
              <w:rPr>
                <w:sz w:val="20"/>
                <w:szCs w:val="20"/>
                <w:color w:val="auto"/>
              </w:rPr>
            </w:pPr>
            <w:r>
              <w:rPr>
                <w:rFonts w:ascii="Arial" w:cs="Arial" w:eastAsia="Arial" w:hAnsi="Arial"/>
                <w:sz w:val="22"/>
                <w:szCs w:val="22"/>
                <w:color w:val="346094"/>
              </w:rPr>
              <w:t>​</w:t>
            </w:r>
            <w:r>
              <w:rPr>
                <w:rFonts w:ascii="Arial" w:cs="Arial" w:eastAsia="Arial" w:hAnsi="Arial"/>
                <w:sz w:val="17"/>
                <w:szCs w:val="17"/>
                <w:color w:val="4C4C4C"/>
              </w:rPr>
              <w:t>17</w:t>
            </w:r>
          </w:p>
        </w:tc>
      </w:tr>
      <w:tr>
        <w:trPr>
          <w:trHeight w:val="20"/>
        </w:trPr>
        <w:tc>
          <w:tcPr>
            <w:tcW w:w="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346094"/>
          </w:tcPr>
          <w:p>
            <w:pPr>
              <w:spacing w:after="0" w:line="20" w:lineRule="exact"/>
              <w:rPr>
                <w:sz w:val="1"/>
                <w:szCs w:val="1"/>
                <w:color w:val="auto"/>
              </w:rPr>
            </w:pPr>
          </w:p>
        </w:tc>
        <w:tc>
          <w:tcPr>
            <w:tcW w:w="60" w:type="dxa"/>
            <w:vAlign w:val="bottom"/>
            <w:shd w:val="clear" w:color="auto" w:fill="346094"/>
          </w:tcPr>
          <w:p>
            <w:pPr>
              <w:spacing w:after="0" w:line="20" w:lineRule="exact"/>
              <w:rPr>
                <w:sz w:val="1"/>
                <w:szCs w:val="1"/>
                <w:color w:val="auto"/>
              </w:rPr>
            </w:pPr>
          </w:p>
        </w:tc>
        <w:tc>
          <w:tcPr>
            <w:tcW w:w="120" w:type="dxa"/>
            <w:vAlign w:val="bottom"/>
            <w:shd w:val="clear" w:color="auto" w:fill="346094"/>
          </w:tcPr>
          <w:p>
            <w:pPr>
              <w:spacing w:after="0" w:line="20" w:lineRule="exact"/>
              <w:rPr>
                <w:sz w:val="1"/>
                <w:szCs w:val="1"/>
                <w:color w:val="auto"/>
              </w:rPr>
            </w:pPr>
          </w:p>
        </w:tc>
        <w:tc>
          <w:tcPr>
            <w:tcW w:w="20" w:type="dxa"/>
            <w:vAlign w:val="bottom"/>
            <w:shd w:val="clear" w:color="auto" w:fill="346094"/>
          </w:tcPr>
          <w:p>
            <w:pPr>
              <w:spacing w:after="0" w:line="20" w:lineRule="exact"/>
              <w:rPr>
                <w:sz w:val="1"/>
                <w:szCs w:val="1"/>
                <w:color w:val="auto"/>
              </w:rPr>
            </w:pPr>
          </w:p>
        </w:tc>
        <w:tc>
          <w:tcPr>
            <w:tcW w:w="340" w:type="dxa"/>
            <w:vAlign w:val="bottom"/>
            <w:shd w:val="clear" w:color="auto" w:fill="346094"/>
          </w:tcPr>
          <w:p>
            <w:pPr>
              <w:spacing w:after="0" w:line="20" w:lineRule="exact"/>
              <w:rPr>
                <w:sz w:val="1"/>
                <w:szCs w:val="1"/>
                <w:color w:val="auto"/>
              </w:rPr>
            </w:pPr>
          </w:p>
        </w:tc>
        <w:tc>
          <w:tcPr>
            <w:tcW w:w="300" w:type="dxa"/>
            <w:vAlign w:val="bottom"/>
            <w:shd w:val="clear" w:color="auto" w:fill="346094"/>
          </w:tcPr>
          <w:p>
            <w:pPr>
              <w:spacing w:after="0" w:line="20" w:lineRule="exact"/>
              <w:rPr>
                <w:sz w:val="1"/>
                <w:szCs w:val="1"/>
                <w:color w:val="auto"/>
              </w:rPr>
            </w:pPr>
          </w:p>
        </w:tc>
        <w:tc>
          <w:tcPr>
            <w:tcW w:w="20" w:type="dxa"/>
            <w:vAlign w:val="bottom"/>
            <w:shd w:val="clear" w:color="auto" w:fill="346094"/>
          </w:tcPr>
          <w:p>
            <w:pPr>
              <w:spacing w:after="0" w:line="20" w:lineRule="exact"/>
              <w:rPr>
                <w:sz w:val="1"/>
                <w:szCs w:val="1"/>
                <w:color w:val="auto"/>
              </w:rPr>
            </w:pPr>
          </w:p>
        </w:tc>
        <w:tc>
          <w:tcPr>
            <w:tcW w:w="260" w:type="dxa"/>
            <w:vAlign w:val="bottom"/>
            <w:shd w:val="clear" w:color="auto" w:fill="346094"/>
          </w:tcPr>
          <w:p>
            <w:pPr>
              <w:spacing w:after="0" w:line="20" w:lineRule="exact"/>
              <w:rPr>
                <w:sz w:val="1"/>
                <w:szCs w:val="1"/>
                <w:color w:val="auto"/>
              </w:rPr>
            </w:pPr>
          </w:p>
        </w:tc>
        <w:tc>
          <w:tcPr>
            <w:tcW w:w="80" w:type="dxa"/>
            <w:vAlign w:val="bottom"/>
            <w:shd w:val="clear" w:color="auto" w:fill="346094"/>
          </w:tcPr>
          <w:p>
            <w:pPr>
              <w:spacing w:after="0" w:line="20" w:lineRule="exact"/>
              <w:rPr>
                <w:sz w:val="1"/>
                <w:szCs w:val="1"/>
                <w:color w:val="auto"/>
              </w:rPr>
            </w:pPr>
          </w:p>
        </w:tc>
        <w:tc>
          <w:tcPr>
            <w:tcW w:w="140" w:type="dxa"/>
            <w:vAlign w:val="bottom"/>
            <w:gridSpan w:val="2"/>
            <w:shd w:val="clear" w:color="auto" w:fill="346094"/>
          </w:tcPr>
          <w:p>
            <w:pPr>
              <w:spacing w:after="0" w:line="20" w:lineRule="exact"/>
              <w:rPr>
                <w:sz w:val="1"/>
                <w:szCs w:val="1"/>
                <w:color w:val="auto"/>
              </w:rPr>
            </w:pPr>
          </w:p>
        </w:tc>
        <w:tc>
          <w:tcPr>
            <w:tcW w:w="40" w:type="dxa"/>
            <w:vAlign w:val="bottom"/>
            <w:shd w:val="clear" w:color="auto" w:fill="346094"/>
          </w:tcPr>
          <w:p>
            <w:pPr>
              <w:spacing w:after="0" w:line="20" w:lineRule="exact"/>
              <w:rPr>
                <w:sz w:val="1"/>
                <w:szCs w:val="1"/>
                <w:color w:val="auto"/>
              </w:rPr>
            </w:pPr>
          </w:p>
        </w:tc>
        <w:tc>
          <w:tcPr>
            <w:tcW w:w="340" w:type="dxa"/>
            <w:vAlign w:val="bottom"/>
            <w:shd w:val="clear" w:color="auto" w:fill="346094"/>
          </w:tcPr>
          <w:p>
            <w:pPr>
              <w:spacing w:after="0" w:line="20" w:lineRule="exact"/>
              <w:rPr>
                <w:sz w:val="1"/>
                <w:szCs w:val="1"/>
                <w:color w:val="auto"/>
              </w:rPr>
            </w:pPr>
          </w:p>
        </w:tc>
        <w:tc>
          <w:tcPr>
            <w:tcW w:w="20" w:type="dxa"/>
            <w:vAlign w:val="bottom"/>
            <w:shd w:val="clear" w:color="auto" w:fill="346094"/>
          </w:tcPr>
          <w:p>
            <w:pPr>
              <w:spacing w:after="0" w:line="20" w:lineRule="exact"/>
              <w:rPr>
                <w:sz w:val="1"/>
                <w:szCs w:val="1"/>
                <w:color w:val="auto"/>
              </w:rPr>
            </w:pPr>
          </w:p>
        </w:tc>
        <w:tc>
          <w:tcPr>
            <w:tcW w:w="20" w:type="dxa"/>
            <w:vAlign w:val="bottom"/>
            <w:shd w:val="clear" w:color="auto" w:fill="346094"/>
          </w:tcPr>
          <w:p>
            <w:pPr>
              <w:spacing w:after="0" w:line="20" w:lineRule="exact"/>
              <w:rPr>
                <w:sz w:val="1"/>
                <w:szCs w:val="1"/>
                <w:color w:val="auto"/>
              </w:rPr>
            </w:pPr>
          </w:p>
        </w:tc>
        <w:tc>
          <w:tcPr>
            <w:tcW w:w="40" w:type="dxa"/>
            <w:vAlign w:val="bottom"/>
            <w:shd w:val="clear" w:color="auto" w:fill="346094"/>
          </w:tcPr>
          <w:p>
            <w:pPr>
              <w:spacing w:after="0" w:line="20" w:lineRule="exact"/>
              <w:rPr>
                <w:sz w:val="1"/>
                <w:szCs w:val="1"/>
                <w:color w:val="auto"/>
              </w:rPr>
            </w:pPr>
          </w:p>
        </w:tc>
        <w:tc>
          <w:tcPr>
            <w:tcW w:w="420" w:type="dxa"/>
            <w:vAlign w:val="bottom"/>
            <w:shd w:val="clear" w:color="auto" w:fill="346094"/>
          </w:tcPr>
          <w:p>
            <w:pPr>
              <w:spacing w:after="0" w:line="20" w:lineRule="exact"/>
              <w:rPr>
                <w:sz w:val="1"/>
                <w:szCs w:val="1"/>
                <w:color w:val="auto"/>
              </w:rPr>
            </w:pPr>
          </w:p>
        </w:tc>
        <w:tc>
          <w:tcPr>
            <w:tcW w:w="100" w:type="dxa"/>
            <w:vAlign w:val="bottom"/>
            <w:tcBorders>
              <w:right w:val="single" w:sz="8" w:color="346094"/>
            </w:tcBorders>
            <w:shd w:val="clear" w:color="auto" w:fill="34609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4C4C4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80" w:type="dxa"/>
            <w:vAlign w:val="bottom"/>
            <w:tcBorders>
              <w:bottom w:val="single" w:sz="8" w:color="346094"/>
            </w:tcBorders>
            <w:gridSpan w:val="32"/>
          </w:tcPr>
          <w:p>
            <w:pPr>
              <w:spacing w:after="0"/>
              <w:rPr>
                <w:sz w:val="20"/>
                <w:szCs w:val="20"/>
                <w:color w:val="auto"/>
              </w:rPr>
            </w:pPr>
            <w:r>
              <w:rPr>
                <w:rFonts w:ascii="Arial" w:cs="Arial" w:eastAsia="Arial" w:hAnsi="Arial"/>
                <w:sz w:val="18"/>
                <w:szCs w:val="18"/>
                <w:color w:val="346094"/>
                <w:w w:val="99"/>
              </w:rPr>
              <w:t>Board of Directors and Corporate Governance</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19</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6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6"/>
              </w:rPr>
              <w:t>General</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19</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8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Director Independence</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19</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22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Board Leadership Structure</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19</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22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6"/>
              </w:rPr>
              <w:t>Board Role in Risk Oversight</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20</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Board</w:t>
            </w:r>
          </w:p>
        </w:tc>
        <w:tc>
          <w:tcPr>
            <w:tcW w:w="60" w:type="dxa"/>
            <w:vAlign w:val="bottom"/>
          </w:tcPr>
          <w:p>
            <w:pPr>
              <w:spacing w:after="0"/>
              <w:rPr>
                <w:sz w:val="21"/>
                <w:szCs w:val="21"/>
                <w:color w:val="auto"/>
              </w:rPr>
            </w:pPr>
          </w:p>
        </w:tc>
        <w:tc>
          <w:tcPr>
            <w:tcW w:w="140" w:type="dxa"/>
            <w:vAlign w:val="bottom"/>
            <w:tcBorders>
              <w:bottom w:val="single" w:sz="8" w:color="4C4C4C"/>
            </w:tcBorders>
            <w:gridSpan w:val="2"/>
          </w:tcPr>
          <w:p>
            <w:pPr>
              <w:spacing w:after="0"/>
              <w:rPr>
                <w:sz w:val="20"/>
                <w:szCs w:val="20"/>
                <w:color w:val="auto"/>
              </w:rPr>
            </w:pPr>
            <w:r>
              <w:rPr>
                <w:rFonts w:ascii="Arial" w:cs="Arial" w:eastAsia="Arial" w:hAnsi="Arial"/>
                <w:sz w:val="18"/>
                <w:szCs w:val="18"/>
                <w:color w:val="4C4C4C"/>
                <w:w w:val="79"/>
              </w:rPr>
              <w:t>M</w:t>
            </w:r>
          </w:p>
        </w:tc>
        <w:tc>
          <w:tcPr>
            <w:tcW w:w="254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eetings and Annual Stockholder</w:t>
            </w:r>
          </w:p>
        </w:tc>
        <w:tc>
          <w:tcPr>
            <w:tcW w:w="60" w:type="dxa"/>
            <w:vAlign w:val="bottom"/>
          </w:tcPr>
          <w:p>
            <w:pPr>
              <w:spacing w:after="0"/>
              <w:rPr>
                <w:sz w:val="21"/>
                <w:szCs w:val="21"/>
                <w:color w:val="auto"/>
              </w:rPr>
            </w:pPr>
          </w:p>
        </w:tc>
        <w:tc>
          <w:tcPr>
            <w:tcW w:w="140" w:type="dxa"/>
            <w:vAlign w:val="bottom"/>
            <w:tcBorders>
              <w:bottom w:val="single" w:sz="8" w:color="4C4C4C"/>
            </w:tcBorders>
            <w:gridSpan w:val="2"/>
          </w:tcPr>
          <w:p>
            <w:pPr>
              <w:spacing w:after="0"/>
              <w:rPr>
                <w:sz w:val="20"/>
                <w:szCs w:val="20"/>
                <w:color w:val="auto"/>
              </w:rPr>
            </w:pPr>
            <w:r>
              <w:rPr>
                <w:rFonts w:ascii="Arial" w:cs="Arial" w:eastAsia="Arial" w:hAnsi="Arial"/>
                <w:sz w:val="18"/>
                <w:szCs w:val="18"/>
                <w:color w:val="4C4C4C"/>
                <w:w w:val="79"/>
              </w:rPr>
              <w:t>M</w:t>
            </w:r>
          </w:p>
        </w:tc>
        <w:tc>
          <w:tcPr>
            <w:tcW w:w="5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6"/>
              </w:rPr>
              <w:t>eetings</w:t>
            </w:r>
          </w:p>
        </w:tc>
        <w:tc>
          <w:tcPr>
            <w:tcW w:w="16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20</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332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color w:val="0000EE"/>
                <w:w w:val="99"/>
              </w:rPr>
              <w:t>Information Regarding Board Committees</w:t>
            </w:r>
          </w:p>
        </w:tc>
        <w:tc>
          <w:tcPr>
            <w:tcW w:w="20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26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20</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288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rPr>
              <w:t>Consideration of Director Nominees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gridSpan w:val="8"/>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26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24</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3580" w:type="dxa"/>
            <w:vAlign w:val="bottom"/>
            <w:tcBorders>
              <w:bottom w:val="single" w:sz="8" w:color="0000EE"/>
            </w:tcBorders>
            <w:gridSpan w:val="33"/>
          </w:tcPr>
          <w:p>
            <w:pPr>
              <w:spacing w:after="0"/>
              <w:rPr>
                <w:sz w:val="20"/>
                <w:szCs w:val="20"/>
                <w:color w:val="auto"/>
              </w:rPr>
            </w:pPr>
            <w:r>
              <w:rPr>
                <w:rFonts w:ascii="Arial" w:cs="Arial" w:eastAsia="Arial" w:hAnsi="Arial"/>
                <w:sz w:val="18"/>
                <w:szCs w:val="18"/>
                <w:color w:val="0000EE"/>
              </w:rPr>
              <w:t>Stockholder Communications with the Board</w:t>
            </w:r>
          </w:p>
        </w:tc>
        <w:tc>
          <w:tcPr>
            <w:tcW w:w="12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26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26</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294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6"/>
              </w:rPr>
              <w:t>Code of Business Conduct and Ethics</w:t>
            </w:r>
          </w:p>
        </w:tc>
        <w:tc>
          <w:tcPr>
            <w:tcW w:w="40" w:type="dxa"/>
            <w:vAlign w:val="bottom"/>
          </w:tcPr>
          <w:p>
            <w:pPr>
              <w:spacing w:after="0"/>
              <w:rPr>
                <w:sz w:val="21"/>
                <w:szCs w:val="21"/>
                <w:color w:val="auto"/>
              </w:rPr>
            </w:pPr>
          </w:p>
        </w:tc>
        <w:tc>
          <w:tcPr>
            <w:tcW w:w="540" w:type="dxa"/>
            <w:vAlign w:val="bottom"/>
            <w:gridSpan w:val="8"/>
          </w:tcPr>
          <w:p>
            <w:pPr>
              <w:spacing w:after="0"/>
              <w:rPr>
                <w:sz w:val="21"/>
                <w:szCs w:val="21"/>
                <w:color w:val="auto"/>
              </w:rPr>
            </w:pPr>
          </w:p>
        </w:tc>
        <w:tc>
          <w:tcPr>
            <w:tcW w:w="180" w:type="dxa"/>
            <w:vAlign w:val="bottom"/>
            <w:gridSpan w:val="2"/>
          </w:tcPr>
          <w:p>
            <w:pPr>
              <w:spacing w:after="0"/>
              <w:rPr>
                <w:sz w:val="21"/>
                <w:szCs w:val="21"/>
                <w:color w:val="auto"/>
              </w:rPr>
            </w:pPr>
          </w:p>
        </w:tc>
        <w:tc>
          <w:tcPr>
            <w:tcW w:w="180" w:type="dxa"/>
            <w:vAlign w:val="bottom"/>
            <w:gridSpan w:val="3"/>
          </w:tcPr>
          <w:p>
            <w:pPr>
              <w:spacing w:after="0"/>
              <w:rPr>
                <w:sz w:val="21"/>
                <w:szCs w:val="21"/>
                <w:color w:val="auto"/>
              </w:rPr>
            </w:pPr>
          </w:p>
        </w:tc>
        <w:tc>
          <w:tcPr>
            <w:tcW w:w="26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27</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22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7"/>
              </w:rPr>
              <w:t>Stock Ownership Guidelines</w:t>
            </w:r>
          </w:p>
        </w:tc>
        <w:tc>
          <w:tcPr>
            <w:tcW w:w="4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3"/>
          </w:tcPr>
          <w:p>
            <w:pPr>
              <w:spacing w:after="0"/>
              <w:rPr>
                <w:sz w:val="21"/>
                <w:szCs w:val="21"/>
                <w:color w:val="auto"/>
              </w:rPr>
            </w:pPr>
          </w:p>
        </w:tc>
        <w:tc>
          <w:tcPr>
            <w:tcW w:w="540" w:type="dxa"/>
            <w:vAlign w:val="bottom"/>
            <w:gridSpan w:val="8"/>
          </w:tcPr>
          <w:p>
            <w:pPr>
              <w:spacing w:after="0"/>
              <w:rPr>
                <w:sz w:val="21"/>
                <w:szCs w:val="21"/>
                <w:color w:val="auto"/>
              </w:rPr>
            </w:pPr>
          </w:p>
        </w:tc>
        <w:tc>
          <w:tcPr>
            <w:tcW w:w="180" w:type="dxa"/>
            <w:vAlign w:val="bottom"/>
            <w:gridSpan w:val="2"/>
          </w:tcPr>
          <w:p>
            <w:pPr>
              <w:spacing w:after="0"/>
              <w:rPr>
                <w:sz w:val="21"/>
                <w:szCs w:val="21"/>
                <w:color w:val="auto"/>
              </w:rPr>
            </w:pPr>
          </w:p>
        </w:tc>
        <w:tc>
          <w:tcPr>
            <w:tcW w:w="180" w:type="dxa"/>
            <w:vAlign w:val="bottom"/>
            <w:gridSpan w:val="3"/>
          </w:tcPr>
          <w:p>
            <w:pPr>
              <w:spacing w:after="0"/>
              <w:rPr>
                <w:sz w:val="21"/>
                <w:szCs w:val="21"/>
                <w:color w:val="auto"/>
              </w:rPr>
            </w:pPr>
          </w:p>
        </w:tc>
        <w:tc>
          <w:tcPr>
            <w:tcW w:w="26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27</w:t>
            </w:r>
          </w:p>
        </w:tc>
        <w:tc>
          <w:tcPr>
            <w:tcW w:w="40" w:type="dxa"/>
            <w:vAlign w:val="bottom"/>
          </w:tcPr>
          <w:p>
            <w:pPr>
              <w:spacing w:after="0"/>
              <w:rPr>
                <w:sz w:val="21"/>
                <w:szCs w:val="21"/>
                <w:color w:val="auto"/>
              </w:rPr>
            </w:pPr>
          </w:p>
        </w:tc>
      </w:tr>
      <w:tr>
        <w:trPr>
          <w:trHeight w:val="250"/>
        </w:trPr>
        <w:tc>
          <w:tcPr>
            <w:tcW w:w="1840" w:type="dxa"/>
            <w:vAlign w:val="bottom"/>
            <w:tcBorders>
              <w:bottom w:val="single" w:sz="8" w:color="346094"/>
            </w:tcBorders>
            <w:gridSpan w:val="11"/>
          </w:tcPr>
          <w:p>
            <w:pPr>
              <w:spacing w:after="0"/>
              <w:rPr>
                <w:sz w:val="20"/>
                <w:szCs w:val="20"/>
                <w:color w:val="auto"/>
              </w:rPr>
            </w:pPr>
            <w:r>
              <w:rPr>
                <w:rFonts w:ascii="Arial" w:cs="Arial" w:eastAsia="Arial" w:hAnsi="Arial"/>
                <w:sz w:val="18"/>
                <w:szCs w:val="18"/>
                <w:color w:val="346094"/>
                <w:w w:val="98"/>
              </w:rPr>
              <w:t>Director Compensation</w:t>
            </w:r>
          </w:p>
        </w:tc>
        <w:tc>
          <w:tcPr>
            <w:tcW w:w="140" w:type="dxa"/>
            <w:vAlign w:val="bottom"/>
            <w:gridSpan w:val="2"/>
          </w:tcPr>
          <w:p>
            <w:pPr>
              <w:spacing w:after="0"/>
              <w:rPr>
                <w:sz w:val="21"/>
                <w:szCs w:val="21"/>
                <w:color w:val="auto"/>
              </w:rPr>
            </w:pPr>
          </w:p>
        </w:tc>
        <w:tc>
          <w:tcPr>
            <w:tcW w:w="380" w:type="dxa"/>
            <w:vAlign w:val="bottom"/>
            <w:gridSpan w:val="2"/>
          </w:tcPr>
          <w:p>
            <w:pPr>
              <w:spacing w:after="0"/>
              <w:rPr>
                <w:sz w:val="21"/>
                <w:szCs w:val="21"/>
                <w:color w:val="auto"/>
              </w:rPr>
            </w:pPr>
          </w:p>
        </w:tc>
        <w:tc>
          <w:tcPr>
            <w:tcW w:w="500" w:type="dxa"/>
            <w:vAlign w:val="bottom"/>
            <w:gridSpan w:val="4"/>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3"/>
          </w:tcPr>
          <w:p>
            <w:pPr>
              <w:spacing w:after="0"/>
              <w:rPr>
                <w:sz w:val="21"/>
                <w:szCs w:val="21"/>
                <w:color w:val="auto"/>
              </w:rPr>
            </w:pPr>
          </w:p>
        </w:tc>
        <w:tc>
          <w:tcPr>
            <w:tcW w:w="540" w:type="dxa"/>
            <w:vAlign w:val="bottom"/>
            <w:gridSpan w:val="8"/>
          </w:tcPr>
          <w:p>
            <w:pPr>
              <w:spacing w:after="0"/>
              <w:rPr>
                <w:sz w:val="21"/>
                <w:szCs w:val="21"/>
                <w:color w:val="auto"/>
              </w:rPr>
            </w:pPr>
          </w:p>
        </w:tc>
        <w:tc>
          <w:tcPr>
            <w:tcW w:w="180" w:type="dxa"/>
            <w:vAlign w:val="bottom"/>
            <w:gridSpan w:val="2"/>
          </w:tcPr>
          <w:p>
            <w:pPr>
              <w:spacing w:after="0"/>
              <w:rPr>
                <w:sz w:val="21"/>
                <w:szCs w:val="21"/>
                <w:color w:val="auto"/>
              </w:rPr>
            </w:pPr>
          </w:p>
        </w:tc>
        <w:tc>
          <w:tcPr>
            <w:tcW w:w="180" w:type="dxa"/>
            <w:vAlign w:val="bottom"/>
            <w:gridSpan w:val="3"/>
          </w:tcPr>
          <w:p>
            <w:pPr>
              <w:spacing w:after="0"/>
              <w:rPr>
                <w:sz w:val="21"/>
                <w:szCs w:val="21"/>
                <w:color w:val="auto"/>
              </w:rPr>
            </w:pPr>
          </w:p>
        </w:tc>
        <w:tc>
          <w:tcPr>
            <w:tcW w:w="26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28</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3700" w:type="dxa"/>
            <w:vAlign w:val="bottom"/>
            <w:tcBorders>
              <w:bottom w:val="single" w:sz="8" w:color="0000EE"/>
            </w:tcBorders>
            <w:gridSpan w:val="34"/>
          </w:tcPr>
          <w:p>
            <w:pPr>
              <w:spacing w:after="0"/>
              <w:rPr>
                <w:sz w:val="20"/>
                <w:szCs w:val="20"/>
                <w:color w:val="auto"/>
              </w:rPr>
            </w:pPr>
            <w:r>
              <w:rPr>
                <w:rFonts w:ascii="Arial" w:cs="Arial" w:eastAsia="Arial" w:hAnsi="Arial"/>
                <w:sz w:val="18"/>
                <w:szCs w:val="18"/>
                <w:color w:val="0000EE"/>
              </w:rPr>
              <w:t>Non-Employee Director Compensation Policy</w:t>
            </w:r>
          </w:p>
        </w:tc>
        <w:tc>
          <w:tcPr>
            <w:tcW w:w="180" w:type="dxa"/>
            <w:vAlign w:val="bottom"/>
            <w:gridSpan w:val="3"/>
          </w:tcPr>
          <w:p>
            <w:pPr>
              <w:spacing w:after="0"/>
              <w:rPr>
                <w:sz w:val="21"/>
                <w:szCs w:val="21"/>
                <w:color w:val="auto"/>
              </w:rPr>
            </w:pPr>
          </w:p>
        </w:tc>
        <w:tc>
          <w:tcPr>
            <w:tcW w:w="26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28</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27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8"/>
              </w:rPr>
              <w:t>2025 Director Compensation Table</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3"/>
          </w:tcPr>
          <w:p>
            <w:pPr>
              <w:spacing w:after="0"/>
              <w:rPr>
                <w:sz w:val="21"/>
                <w:szCs w:val="21"/>
                <w:color w:val="auto"/>
              </w:rPr>
            </w:pPr>
          </w:p>
        </w:tc>
        <w:tc>
          <w:tcPr>
            <w:tcW w:w="540" w:type="dxa"/>
            <w:vAlign w:val="bottom"/>
            <w:gridSpan w:val="8"/>
          </w:tcPr>
          <w:p>
            <w:pPr>
              <w:spacing w:after="0"/>
              <w:rPr>
                <w:sz w:val="21"/>
                <w:szCs w:val="21"/>
                <w:color w:val="auto"/>
              </w:rPr>
            </w:pPr>
          </w:p>
        </w:tc>
        <w:tc>
          <w:tcPr>
            <w:tcW w:w="180" w:type="dxa"/>
            <w:vAlign w:val="bottom"/>
            <w:gridSpan w:val="2"/>
          </w:tcPr>
          <w:p>
            <w:pPr>
              <w:spacing w:after="0"/>
              <w:rPr>
                <w:sz w:val="21"/>
                <w:szCs w:val="21"/>
                <w:color w:val="auto"/>
              </w:rPr>
            </w:pPr>
          </w:p>
        </w:tc>
        <w:tc>
          <w:tcPr>
            <w:tcW w:w="180" w:type="dxa"/>
            <w:vAlign w:val="bottom"/>
            <w:gridSpan w:val="3"/>
          </w:tcPr>
          <w:p>
            <w:pPr>
              <w:spacing w:after="0"/>
              <w:rPr>
                <w:sz w:val="21"/>
                <w:szCs w:val="21"/>
                <w:color w:val="auto"/>
              </w:rPr>
            </w:pPr>
          </w:p>
        </w:tc>
        <w:tc>
          <w:tcPr>
            <w:tcW w:w="26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28</w:t>
            </w:r>
          </w:p>
        </w:tc>
        <w:tc>
          <w:tcPr>
            <w:tcW w:w="40" w:type="dxa"/>
            <w:vAlign w:val="bottom"/>
          </w:tcPr>
          <w:p>
            <w:pPr>
              <w:spacing w:after="0"/>
              <w:rPr>
                <w:sz w:val="21"/>
                <w:szCs w:val="21"/>
                <w:color w:val="auto"/>
              </w:rPr>
            </w:pPr>
          </w:p>
        </w:tc>
      </w:tr>
      <w:tr>
        <w:trPr>
          <w:trHeight w:val="250"/>
        </w:trPr>
        <w:tc>
          <w:tcPr>
            <w:tcW w:w="1480" w:type="dxa"/>
            <w:vAlign w:val="bottom"/>
            <w:tcBorders>
              <w:bottom w:val="single" w:sz="8" w:color="346094"/>
            </w:tcBorders>
            <w:gridSpan w:val="8"/>
          </w:tcPr>
          <w:p>
            <w:pPr>
              <w:spacing w:after="0"/>
              <w:rPr>
                <w:sz w:val="20"/>
                <w:szCs w:val="20"/>
                <w:color w:val="auto"/>
              </w:rPr>
            </w:pPr>
            <w:r>
              <w:rPr>
                <w:rFonts w:ascii="Arial" w:cs="Arial" w:eastAsia="Arial" w:hAnsi="Arial"/>
                <w:sz w:val="18"/>
                <w:szCs w:val="18"/>
                <w:color w:val="346094"/>
              </w:rPr>
              <w:t>Executive Officers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3"/>
          </w:tcPr>
          <w:p>
            <w:pPr>
              <w:spacing w:after="0"/>
              <w:rPr>
                <w:sz w:val="21"/>
                <w:szCs w:val="21"/>
                <w:color w:val="auto"/>
              </w:rPr>
            </w:pPr>
          </w:p>
        </w:tc>
        <w:tc>
          <w:tcPr>
            <w:tcW w:w="380" w:type="dxa"/>
            <w:vAlign w:val="bottom"/>
            <w:gridSpan w:val="2"/>
          </w:tcPr>
          <w:p>
            <w:pPr>
              <w:spacing w:after="0"/>
              <w:rPr>
                <w:sz w:val="21"/>
                <w:szCs w:val="21"/>
                <w:color w:val="auto"/>
              </w:rPr>
            </w:pPr>
          </w:p>
        </w:tc>
        <w:tc>
          <w:tcPr>
            <w:tcW w:w="500" w:type="dxa"/>
            <w:vAlign w:val="bottom"/>
            <w:gridSpan w:val="4"/>
          </w:tcPr>
          <w:p>
            <w:pPr>
              <w:spacing w:after="0"/>
              <w:rPr>
                <w:sz w:val="21"/>
                <w:szCs w:val="21"/>
                <w:color w:val="auto"/>
              </w:rPr>
            </w:pPr>
          </w:p>
        </w:tc>
        <w:tc>
          <w:tcPr>
            <w:tcW w:w="1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3"/>
          </w:tcPr>
          <w:p>
            <w:pPr>
              <w:spacing w:after="0"/>
              <w:rPr>
                <w:sz w:val="21"/>
                <w:szCs w:val="21"/>
                <w:color w:val="auto"/>
              </w:rPr>
            </w:pPr>
          </w:p>
        </w:tc>
        <w:tc>
          <w:tcPr>
            <w:tcW w:w="540" w:type="dxa"/>
            <w:vAlign w:val="bottom"/>
            <w:gridSpan w:val="8"/>
          </w:tcPr>
          <w:p>
            <w:pPr>
              <w:spacing w:after="0"/>
              <w:rPr>
                <w:sz w:val="21"/>
                <w:szCs w:val="21"/>
                <w:color w:val="auto"/>
              </w:rPr>
            </w:pPr>
          </w:p>
        </w:tc>
        <w:tc>
          <w:tcPr>
            <w:tcW w:w="180" w:type="dxa"/>
            <w:vAlign w:val="bottom"/>
            <w:gridSpan w:val="2"/>
          </w:tcPr>
          <w:p>
            <w:pPr>
              <w:spacing w:after="0"/>
              <w:rPr>
                <w:sz w:val="21"/>
                <w:szCs w:val="21"/>
                <w:color w:val="auto"/>
              </w:rPr>
            </w:pPr>
          </w:p>
        </w:tc>
        <w:tc>
          <w:tcPr>
            <w:tcW w:w="180" w:type="dxa"/>
            <w:vAlign w:val="bottom"/>
            <w:gridSpan w:val="3"/>
          </w:tcPr>
          <w:p>
            <w:pPr>
              <w:spacing w:after="0"/>
              <w:rPr>
                <w:sz w:val="21"/>
                <w:szCs w:val="21"/>
                <w:color w:val="auto"/>
              </w:rPr>
            </w:pPr>
          </w:p>
        </w:tc>
        <w:tc>
          <w:tcPr>
            <w:tcW w:w="26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30</w:t>
            </w:r>
          </w:p>
        </w:tc>
        <w:tc>
          <w:tcPr>
            <w:tcW w:w="40" w:type="dxa"/>
            <w:vAlign w:val="bottom"/>
          </w:tcPr>
          <w:p>
            <w:pPr>
              <w:spacing w:after="0"/>
              <w:rPr>
                <w:sz w:val="21"/>
                <w:szCs w:val="21"/>
                <w:color w:val="auto"/>
              </w:rPr>
            </w:pPr>
          </w:p>
        </w:tc>
      </w:tr>
      <w:tr>
        <w:trPr>
          <w:trHeight w:val="250"/>
        </w:trPr>
        <w:tc>
          <w:tcPr>
            <w:tcW w:w="3040" w:type="dxa"/>
            <w:vAlign w:val="bottom"/>
            <w:tcBorders>
              <w:bottom w:val="single" w:sz="8" w:color="346094"/>
            </w:tcBorders>
            <w:gridSpan w:val="22"/>
          </w:tcPr>
          <w:p>
            <w:pPr>
              <w:spacing w:after="0"/>
              <w:rPr>
                <w:sz w:val="20"/>
                <w:szCs w:val="20"/>
                <w:color w:val="auto"/>
              </w:rPr>
            </w:pPr>
            <w:r>
              <w:rPr>
                <w:rFonts w:ascii="Arial" w:cs="Arial" w:eastAsia="Arial" w:hAnsi="Arial"/>
                <w:sz w:val="18"/>
                <w:szCs w:val="18"/>
                <w:color w:val="346094"/>
                <w:w w:val="95"/>
              </w:rPr>
              <w:t>Compensation Discussion and Analysis</w:t>
            </w:r>
          </w:p>
        </w:tc>
        <w:tc>
          <w:tcPr>
            <w:tcW w:w="120" w:type="dxa"/>
            <w:vAlign w:val="bottom"/>
            <w:gridSpan w:val="3"/>
          </w:tcPr>
          <w:p>
            <w:pPr>
              <w:spacing w:after="0"/>
              <w:rPr>
                <w:sz w:val="21"/>
                <w:szCs w:val="21"/>
                <w:color w:val="auto"/>
              </w:rPr>
            </w:pPr>
          </w:p>
        </w:tc>
        <w:tc>
          <w:tcPr>
            <w:tcW w:w="540" w:type="dxa"/>
            <w:vAlign w:val="bottom"/>
            <w:gridSpan w:val="8"/>
          </w:tcPr>
          <w:p>
            <w:pPr>
              <w:spacing w:after="0"/>
              <w:rPr>
                <w:sz w:val="21"/>
                <w:szCs w:val="21"/>
                <w:color w:val="auto"/>
              </w:rPr>
            </w:pPr>
          </w:p>
        </w:tc>
        <w:tc>
          <w:tcPr>
            <w:tcW w:w="180" w:type="dxa"/>
            <w:vAlign w:val="bottom"/>
            <w:gridSpan w:val="2"/>
          </w:tcPr>
          <w:p>
            <w:pPr>
              <w:spacing w:after="0"/>
              <w:rPr>
                <w:sz w:val="21"/>
                <w:szCs w:val="21"/>
                <w:color w:val="auto"/>
              </w:rPr>
            </w:pPr>
          </w:p>
        </w:tc>
        <w:tc>
          <w:tcPr>
            <w:tcW w:w="180" w:type="dxa"/>
            <w:vAlign w:val="bottom"/>
            <w:gridSpan w:val="3"/>
          </w:tcPr>
          <w:p>
            <w:pPr>
              <w:spacing w:after="0"/>
              <w:rPr>
                <w:sz w:val="21"/>
                <w:szCs w:val="21"/>
                <w:color w:val="auto"/>
              </w:rPr>
            </w:pPr>
          </w:p>
        </w:tc>
        <w:tc>
          <w:tcPr>
            <w:tcW w:w="26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32</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0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rPr>
              <w:t>Introduction</w:t>
            </w:r>
          </w:p>
        </w:tc>
        <w:tc>
          <w:tcPr>
            <w:tcW w:w="32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3"/>
          </w:tcPr>
          <w:p>
            <w:pPr>
              <w:spacing w:after="0"/>
              <w:rPr>
                <w:sz w:val="21"/>
                <w:szCs w:val="21"/>
                <w:color w:val="auto"/>
              </w:rPr>
            </w:pPr>
          </w:p>
        </w:tc>
        <w:tc>
          <w:tcPr>
            <w:tcW w:w="380" w:type="dxa"/>
            <w:vAlign w:val="bottom"/>
            <w:gridSpan w:val="2"/>
          </w:tcPr>
          <w:p>
            <w:pPr>
              <w:spacing w:after="0"/>
              <w:rPr>
                <w:sz w:val="21"/>
                <w:szCs w:val="21"/>
                <w:color w:val="auto"/>
              </w:rPr>
            </w:pPr>
          </w:p>
        </w:tc>
        <w:tc>
          <w:tcPr>
            <w:tcW w:w="500" w:type="dxa"/>
            <w:vAlign w:val="bottom"/>
            <w:gridSpan w:val="4"/>
          </w:tcPr>
          <w:p>
            <w:pPr>
              <w:spacing w:after="0"/>
              <w:rPr>
                <w:sz w:val="21"/>
                <w:szCs w:val="21"/>
                <w:color w:val="auto"/>
              </w:rPr>
            </w:pPr>
          </w:p>
        </w:tc>
        <w:tc>
          <w:tcPr>
            <w:tcW w:w="160" w:type="dxa"/>
            <w:vAlign w:val="bottom"/>
            <w:gridSpan w:val="2"/>
          </w:tcPr>
          <w:p>
            <w:pPr>
              <w:spacing w:after="0"/>
              <w:rPr>
                <w:sz w:val="21"/>
                <w:szCs w:val="21"/>
                <w:color w:val="auto"/>
              </w:rPr>
            </w:pPr>
          </w:p>
        </w:tc>
        <w:tc>
          <w:tcPr>
            <w:tcW w:w="140" w:type="dxa"/>
            <w:vAlign w:val="bottom"/>
            <w:gridSpan w:val="4"/>
          </w:tcPr>
          <w:p>
            <w:pPr>
              <w:spacing w:after="0"/>
              <w:rPr>
                <w:sz w:val="21"/>
                <w:szCs w:val="21"/>
                <w:color w:val="auto"/>
              </w:rPr>
            </w:pPr>
          </w:p>
        </w:tc>
        <w:tc>
          <w:tcPr>
            <w:tcW w:w="540" w:type="dxa"/>
            <w:vAlign w:val="bottom"/>
            <w:gridSpan w:val="8"/>
          </w:tcPr>
          <w:p>
            <w:pPr>
              <w:spacing w:after="0"/>
              <w:rPr>
                <w:sz w:val="21"/>
                <w:szCs w:val="21"/>
                <w:color w:val="auto"/>
              </w:rPr>
            </w:pPr>
          </w:p>
        </w:tc>
        <w:tc>
          <w:tcPr>
            <w:tcW w:w="180" w:type="dxa"/>
            <w:vAlign w:val="bottom"/>
            <w:gridSpan w:val="2"/>
          </w:tcPr>
          <w:p>
            <w:pPr>
              <w:spacing w:after="0"/>
              <w:rPr>
                <w:sz w:val="21"/>
                <w:szCs w:val="21"/>
                <w:color w:val="auto"/>
              </w:rPr>
            </w:pPr>
          </w:p>
        </w:tc>
        <w:tc>
          <w:tcPr>
            <w:tcW w:w="180" w:type="dxa"/>
            <w:vAlign w:val="bottom"/>
            <w:gridSpan w:val="3"/>
          </w:tcPr>
          <w:p>
            <w:pPr>
              <w:spacing w:after="0"/>
              <w:rPr>
                <w:sz w:val="21"/>
                <w:szCs w:val="21"/>
                <w:color w:val="auto"/>
              </w:rPr>
            </w:pPr>
          </w:p>
        </w:tc>
        <w:tc>
          <w:tcPr>
            <w:tcW w:w="26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32</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5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7"/>
              </w:rPr>
              <w:t>Executive Summary</w:t>
            </w:r>
          </w:p>
        </w:tc>
        <w:tc>
          <w:tcPr>
            <w:tcW w:w="220" w:type="dxa"/>
            <w:vAlign w:val="bottom"/>
            <w:gridSpan w:val="3"/>
          </w:tcPr>
          <w:p>
            <w:pPr>
              <w:spacing w:after="0"/>
              <w:rPr>
                <w:sz w:val="21"/>
                <w:szCs w:val="21"/>
                <w:color w:val="auto"/>
              </w:rPr>
            </w:pPr>
          </w:p>
        </w:tc>
        <w:tc>
          <w:tcPr>
            <w:tcW w:w="380" w:type="dxa"/>
            <w:vAlign w:val="bottom"/>
            <w:gridSpan w:val="2"/>
          </w:tcPr>
          <w:p>
            <w:pPr>
              <w:spacing w:after="0"/>
              <w:rPr>
                <w:sz w:val="21"/>
                <w:szCs w:val="21"/>
                <w:color w:val="auto"/>
              </w:rPr>
            </w:pPr>
          </w:p>
        </w:tc>
        <w:tc>
          <w:tcPr>
            <w:tcW w:w="500" w:type="dxa"/>
            <w:vAlign w:val="bottom"/>
            <w:gridSpan w:val="4"/>
          </w:tcPr>
          <w:p>
            <w:pPr>
              <w:spacing w:after="0"/>
              <w:rPr>
                <w:sz w:val="21"/>
                <w:szCs w:val="21"/>
                <w:color w:val="auto"/>
              </w:rPr>
            </w:pPr>
          </w:p>
        </w:tc>
        <w:tc>
          <w:tcPr>
            <w:tcW w:w="160" w:type="dxa"/>
            <w:vAlign w:val="bottom"/>
            <w:gridSpan w:val="2"/>
          </w:tcPr>
          <w:p>
            <w:pPr>
              <w:spacing w:after="0"/>
              <w:rPr>
                <w:sz w:val="21"/>
                <w:szCs w:val="21"/>
                <w:color w:val="auto"/>
              </w:rPr>
            </w:pPr>
          </w:p>
        </w:tc>
        <w:tc>
          <w:tcPr>
            <w:tcW w:w="140" w:type="dxa"/>
            <w:vAlign w:val="bottom"/>
            <w:gridSpan w:val="4"/>
          </w:tcPr>
          <w:p>
            <w:pPr>
              <w:spacing w:after="0"/>
              <w:rPr>
                <w:sz w:val="21"/>
                <w:szCs w:val="21"/>
                <w:color w:val="auto"/>
              </w:rPr>
            </w:pPr>
          </w:p>
        </w:tc>
        <w:tc>
          <w:tcPr>
            <w:tcW w:w="540" w:type="dxa"/>
            <w:vAlign w:val="bottom"/>
            <w:gridSpan w:val="8"/>
          </w:tcPr>
          <w:p>
            <w:pPr>
              <w:spacing w:after="0"/>
              <w:rPr>
                <w:sz w:val="21"/>
                <w:szCs w:val="21"/>
                <w:color w:val="auto"/>
              </w:rPr>
            </w:pPr>
          </w:p>
        </w:tc>
        <w:tc>
          <w:tcPr>
            <w:tcW w:w="180" w:type="dxa"/>
            <w:vAlign w:val="bottom"/>
            <w:gridSpan w:val="2"/>
          </w:tcPr>
          <w:p>
            <w:pPr>
              <w:spacing w:after="0"/>
              <w:rPr>
                <w:sz w:val="21"/>
                <w:szCs w:val="21"/>
                <w:color w:val="auto"/>
              </w:rPr>
            </w:pPr>
          </w:p>
        </w:tc>
        <w:tc>
          <w:tcPr>
            <w:tcW w:w="180" w:type="dxa"/>
            <w:vAlign w:val="bottom"/>
            <w:gridSpan w:val="3"/>
          </w:tcPr>
          <w:p>
            <w:pPr>
              <w:spacing w:after="0"/>
              <w:rPr>
                <w:sz w:val="21"/>
                <w:szCs w:val="21"/>
                <w:color w:val="auto"/>
              </w:rPr>
            </w:pPr>
          </w:p>
        </w:tc>
        <w:tc>
          <w:tcPr>
            <w:tcW w:w="26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32</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140" w:type="dxa"/>
            <w:vAlign w:val="bottom"/>
            <w:tcBorders>
              <w:bottom w:val="single" w:sz="8" w:color="0000EE"/>
            </w:tcBorders>
            <w:gridSpan w:val="40"/>
          </w:tcPr>
          <w:p>
            <w:pPr>
              <w:spacing w:after="0"/>
              <w:rPr>
                <w:sz w:val="20"/>
                <w:szCs w:val="20"/>
                <w:color w:val="auto"/>
              </w:rPr>
            </w:pPr>
            <w:r>
              <w:rPr>
                <w:rFonts w:ascii="Arial" w:cs="Arial" w:eastAsia="Arial" w:hAnsi="Arial"/>
                <w:sz w:val="18"/>
                <w:szCs w:val="18"/>
                <w:color w:val="0000EE"/>
                <w:w w:val="98"/>
              </w:rPr>
              <w:t>Executive Compensation Philosophy and Objectives</w:t>
            </w:r>
          </w:p>
        </w:tc>
        <w:tc>
          <w:tcPr>
            <w:tcW w:w="720" w:type="dxa"/>
            <w:vAlign w:val="bottom"/>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35</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26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Compensation Committee Report</w:t>
            </w:r>
          </w:p>
        </w:tc>
        <w:tc>
          <w:tcPr>
            <w:tcW w:w="160" w:type="dxa"/>
            <w:vAlign w:val="bottom"/>
            <w:gridSpan w:val="2"/>
          </w:tcPr>
          <w:p>
            <w:pPr>
              <w:spacing w:after="0"/>
              <w:rPr>
                <w:sz w:val="21"/>
                <w:szCs w:val="21"/>
                <w:color w:val="auto"/>
              </w:rPr>
            </w:pPr>
          </w:p>
        </w:tc>
        <w:tc>
          <w:tcPr>
            <w:tcW w:w="140" w:type="dxa"/>
            <w:vAlign w:val="bottom"/>
            <w:gridSpan w:val="4"/>
          </w:tcPr>
          <w:p>
            <w:pPr>
              <w:spacing w:after="0"/>
              <w:rPr>
                <w:sz w:val="21"/>
                <w:szCs w:val="21"/>
                <w:color w:val="auto"/>
              </w:rPr>
            </w:pPr>
          </w:p>
        </w:tc>
        <w:tc>
          <w:tcPr>
            <w:tcW w:w="540" w:type="dxa"/>
            <w:vAlign w:val="bottom"/>
            <w:gridSpan w:val="8"/>
          </w:tcPr>
          <w:p>
            <w:pPr>
              <w:spacing w:after="0"/>
              <w:rPr>
                <w:sz w:val="21"/>
                <w:szCs w:val="21"/>
                <w:color w:val="auto"/>
              </w:rPr>
            </w:pPr>
          </w:p>
        </w:tc>
        <w:tc>
          <w:tcPr>
            <w:tcW w:w="180" w:type="dxa"/>
            <w:vAlign w:val="bottom"/>
            <w:gridSpan w:val="2"/>
          </w:tcPr>
          <w:p>
            <w:pPr>
              <w:spacing w:after="0"/>
              <w:rPr>
                <w:sz w:val="21"/>
                <w:szCs w:val="21"/>
                <w:color w:val="auto"/>
              </w:rPr>
            </w:pPr>
          </w:p>
        </w:tc>
        <w:tc>
          <w:tcPr>
            <w:tcW w:w="180" w:type="dxa"/>
            <w:vAlign w:val="bottom"/>
            <w:gridSpan w:val="3"/>
          </w:tcPr>
          <w:p>
            <w:pPr>
              <w:spacing w:after="0"/>
              <w:rPr>
                <w:sz w:val="21"/>
                <w:szCs w:val="21"/>
                <w:color w:val="auto"/>
              </w:rPr>
            </w:pPr>
          </w:p>
        </w:tc>
        <w:tc>
          <w:tcPr>
            <w:tcW w:w="980" w:type="dxa"/>
            <w:vAlign w:val="bottom"/>
            <w:gridSpan w:val="4"/>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42</w:t>
            </w:r>
          </w:p>
        </w:tc>
        <w:tc>
          <w:tcPr>
            <w:tcW w:w="40" w:type="dxa"/>
            <w:vAlign w:val="bottom"/>
          </w:tcPr>
          <w:p>
            <w:pPr>
              <w:spacing w:after="0"/>
              <w:rPr>
                <w:sz w:val="21"/>
                <w:szCs w:val="21"/>
                <w:color w:val="auto"/>
              </w:rPr>
            </w:pPr>
          </w:p>
        </w:tc>
      </w:tr>
      <w:tr>
        <w:trPr>
          <w:trHeight w:val="250"/>
        </w:trPr>
        <w:tc>
          <w:tcPr>
            <w:tcW w:w="1980" w:type="dxa"/>
            <w:vAlign w:val="bottom"/>
            <w:tcBorders>
              <w:bottom w:val="single" w:sz="8" w:color="346094"/>
            </w:tcBorders>
            <w:gridSpan w:val="13"/>
          </w:tcPr>
          <w:p>
            <w:pPr>
              <w:spacing w:after="0"/>
              <w:rPr>
                <w:sz w:val="20"/>
                <w:szCs w:val="20"/>
                <w:color w:val="auto"/>
              </w:rPr>
            </w:pPr>
            <w:r>
              <w:rPr>
                <w:rFonts w:ascii="Arial" w:cs="Arial" w:eastAsia="Arial" w:hAnsi="Arial"/>
                <w:sz w:val="18"/>
                <w:szCs w:val="18"/>
                <w:color w:val="346094"/>
                <w:w w:val="98"/>
              </w:rPr>
              <w:t>Executive Compensation</w:t>
            </w:r>
          </w:p>
        </w:tc>
        <w:tc>
          <w:tcPr>
            <w:tcW w:w="380" w:type="dxa"/>
            <w:vAlign w:val="bottom"/>
            <w:gridSpan w:val="2"/>
          </w:tcPr>
          <w:p>
            <w:pPr>
              <w:spacing w:after="0"/>
              <w:rPr>
                <w:sz w:val="21"/>
                <w:szCs w:val="21"/>
                <w:color w:val="auto"/>
              </w:rPr>
            </w:pPr>
          </w:p>
        </w:tc>
        <w:tc>
          <w:tcPr>
            <w:tcW w:w="660" w:type="dxa"/>
            <w:vAlign w:val="bottom"/>
            <w:gridSpan w:val="6"/>
          </w:tcPr>
          <w:p>
            <w:pPr>
              <w:spacing w:after="0"/>
              <w:rPr>
                <w:sz w:val="21"/>
                <w:szCs w:val="21"/>
                <w:color w:val="auto"/>
              </w:rPr>
            </w:pPr>
          </w:p>
        </w:tc>
        <w:tc>
          <w:tcPr>
            <w:tcW w:w="140" w:type="dxa"/>
            <w:vAlign w:val="bottom"/>
            <w:gridSpan w:val="4"/>
          </w:tcPr>
          <w:p>
            <w:pPr>
              <w:spacing w:after="0"/>
              <w:rPr>
                <w:sz w:val="21"/>
                <w:szCs w:val="21"/>
                <w:color w:val="auto"/>
              </w:rPr>
            </w:pPr>
          </w:p>
        </w:tc>
        <w:tc>
          <w:tcPr>
            <w:tcW w:w="540" w:type="dxa"/>
            <w:vAlign w:val="bottom"/>
            <w:gridSpan w:val="8"/>
          </w:tcPr>
          <w:p>
            <w:pPr>
              <w:spacing w:after="0"/>
              <w:rPr>
                <w:sz w:val="21"/>
                <w:szCs w:val="21"/>
                <w:color w:val="auto"/>
              </w:rPr>
            </w:pPr>
          </w:p>
        </w:tc>
        <w:tc>
          <w:tcPr>
            <w:tcW w:w="180" w:type="dxa"/>
            <w:vAlign w:val="bottom"/>
            <w:gridSpan w:val="2"/>
          </w:tcPr>
          <w:p>
            <w:pPr>
              <w:spacing w:after="0"/>
              <w:rPr>
                <w:sz w:val="21"/>
                <w:szCs w:val="21"/>
                <w:color w:val="auto"/>
              </w:rPr>
            </w:pPr>
          </w:p>
        </w:tc>
        <w:tc>
          <w:tcPr>
            <w:tcW w:w="180" w:type="dxa"/>
            <w:vAlign w:val="bottom"/>
            <w:gridSpan w:val="3"/>
          </w:tcPr>
          <w:p>
            <w:pPr>
              <w:spacing w:after="0"/>
              <w:rPr>
                <w:sz w:val="21"/>
                <w:szCs w:val="21"/>
                <w:color w:val="auto"/>
              </w:rPr>
            </w:pPr>
          </w:p>
        </w:tc>
        <w:tc>
          <w:tcPr>
            <w:tcW w:w="980" w:type="dxa"/>
            <w:vAlign w:val="bottom"/>
            <w:gridSpan w:val="4"/>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43</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28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6"/>
              </w:rPr>
              <w:t>2025 Summary Compensation Table</w:t>
            </w:r>
          </w:p>
        </w:tc>
        <w:tc>
          <w:tcPr>
            <w:tcW w:w="140" w:type="dxa"/>
            <w:vAlign w:val="bottom"/>
            <w:gridSpan w:val="4"/>
          </w:tcPr>
          <w:p>
            <w:pPr>
              <w:spacing w:after="0"/>
              <w:rPr>
                <w:sz w:val="21"/>
                <w:szCs w:val="21"/>
                <w:color w:val="auto"/>
              </w:rPr>
            </w:pPr>
          </w:p>
        </w:tc>
        <w:tc>
          <w:tcPr>
            <w:tcW w:w="540" w:type="dxa"/>
            <w:vAlign w:val="bottom"/>
            <w:gridSpan w:val="8"/>
          </w:tcPr>
          <w:p>
            <w:pPr>
              <w:spacing w:after="0"/>
              <w:rPr>
                <w:sz w:val="21"/>
                <w:szCs w:val="21"/>
                <w:color w:val="auto"/>
              </w:rPr>
            </w:pPr>
          </w:p>
        </w:tc>
        <w:tc>
          <w:tcPr>
            <w:tcW w:w="180" w:type="dxa"/>
            <w:vAlign w:val="bottom"/>
            <w:gridSpan w:val="2"/>
          </w:tcPr>
          <w:p>
            <w:pPr>
              <w:spacing w:after="0"/>
              <w:rPr>
                <w:sz w:val="21"/>
                <w:szCs w:val="21"/>
                <w:color w:val="auto"/>
              </w:rPr>
            </w:pPr>
          </w:p>
        </w:tc>
        <w:tc>
          <w:tcPr>
            <w:tcW w:w="180" w:type="dxa"/>
            <w:vAlign w:val="bottom"/>
            <w:gridSpan w:val="3"/>
          </w:tcPr>
          <w:p>
            <w:pPr>
              <w:spacing w:after="0"/>
              <w:rPr>
                <w:sz w:val="21"/>
                <w:szCs w:val="21"/>
                <w:color w:val="auto"/>
              </w:rPr>
            </w:pPr>
          </w:p>
        </w:tc>
        <w:tc>
          <w:tcPr>
            <w:tcW w:w="980" w:type="dxa"/>
            <w:vAlign w:val="bottom"/>
            <w:gridSpan w:val="4"/>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43</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3520" w:type="dxa"/>
            <w:vAlign w:val="bottom"/>
            <w:tcBorders>
              <w:bottom w:val="single" w:sz="8" w:color="0000EE"/>
            </w:tcBorders>
            <w:gridSpan w:val="32"/>
          </w:tcPr>
          <w:p>
            <w:pPr>
              <w:spacing w:after="0"/>
              <w:rPr>
                <w:sz w:val="20"/>
                <w:szCs w:val="20"/>
                <w:color w:val="auto"/>
              </w:rPr>
            </w:pPr>
            <w:r>
              <w:rPr>
                <w:rFonts w:ascii="Arial" w:cs="Arial" w:eastAsia="Arial" w:hAnsi="Arial"/>
                <w:sz w:val="18"/>
                <w:szCs w:val="18"/>
                <w:color w:val="0000EE"/>
                <w:w w:val="97"/>
              </w:rPr>
              <w:t>Grants of Plan-Based Awards Table for 2025</w:t>
            </w:r>
          </w:p>
        </w:tc>
        <w:tc>
          <w:tcPr>
            <w:tcW w:w="180" w:type="dxa"/>
            <w:vAlign w:val="bottom"/>
            <w:gridSpan w:val="2"/>
          </w:tcPr>
          <w:p>
            <w:pPr>
              <w:spacing w:after="0"/>
              <w:rPr>
                <w:sz w:val="21"/>
                <w:szCs w:val="21"/>
                <w:color w:val="auto"/>
              </w:rPr>
            </w:pPr>
          </w:p>
        </w:tc>
        <w:tc>
          <w:tcPr>
            <w:tcW w:w="180" w:type="dxa"/>
            <w:vAlign w:val="bottom"/>
            <w:gridSpan w:val="3"/>
          </w:tcPr>
          <w:p>
            <w:pPr>
              <w:spacing w:after="0"/>
              <w:rPr>
                <w:sz w:val="21"/>
                <w:szCs w:val="21"/>
                <w:color w:val="auto"/>
              </w:rPr>
            </w:pPr>
          </w:p>
        </w:tc>
        <w:tc>
          <w:tcPr>
            <w:tcW w:w="980" w:type="dxa"/>
            <w:vAlign w:val="bottom"/>
            <w:gridSpan w:val="4"/>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44</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3700" w:type="dxa"/>
            <w:vAlign w:val="bottom"/>
            <w:tcBorders>
              <w:bottom w:val="single" w:sz="8" w:color="0000EE"/>
            </w:tcBorders>
            <w:gridSpan w:val="34"/>
          </w:tcPr>
          <w:p>
            <w:pPr>
              <w:spacing w:after="0"/>
              <w:rPr>
                <w:sz w:val="20"/>
                <w:szCs w:val="20"/>
                <w:color w:val="auto"/>
              </w:rPr>
            </w:pPr>
            <w:r>
              <w:rPr>
                <w:rFonts w:ascii="Arial" w:cs="Arial" w:eastAsia="Arial" w:hAnsi="Arial"/>
                <w:sz w:val="18"/>
                <w:szCs w:val="18"/>
                <w:color w:val="0000EE"/>
                <w:w w:val="98"/>
              </w:rPr>
              <w:t>Outstanding Equity Awards at Fiscal Year-End</w:t>
            </w:r>
          </w:p>
        </w:tc>
        <w:tc>
          <w:tcPr>
            <w:tcW w:w="180" w:type="dxa"/>
            <w:vAlign w:val="bottom"/>
            <w:gridSpan w:val="3"/>
          </w:tcPr>
          <w:p>
            <w:pPr>
              <w:spacing w:after="0"/>
              <w:rPr>
                <w:sz w:val="21"/>
                <w:szCs w:val="21"/>
                <w:color w:val="auto"/>
              </w:rPr>
            </w:pPr>
          </w:p>
        </w:tc>
        <w:tc>
          <w:tcPr>
            <w:tcW w:w="980" w:type="dxa"/>
            <w:vAlign w:val="bottom"/>
            <w:gridSpan w:val="4"/>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45</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3880" w:type="dxa"/>
            <w:vAlign w:val="bottom"/>
            <w:tcBorders>
              <w:bottom w:val="single" w:sz="8" w:color="0000EE"/>
            </w:tcBorders>
            <w:gridSpan w:val="37"/>
          </w:tcPr>
          <w:p>
            <w:pPr>
              <w:spacing w:after="0"/>
              <w:rPr>
                <w:sz w:val="20"/>
                <w:szCs w:val="20"/>
                <w:color w:val="auto"/>
              </w:rPr>
            </w:pPr>
            <w:r>
              <w:rPr>
                <w:rFonts w:ascii="Arial" w:cs="Arial" w:eastAsia="Arial" w:hAnsi="Arial"/>
                <w:sz w:val="18"/>
                <w:szCs w:val="18"/>
                <w:color w:val="0000EE"/>
                <w:w w:val="97"/>
              </w:rPr>
              <w:t>Option Exercise and Stock Vested Table for 2025</w:t>
            </w:r>
          </w:p>
        </w:tc>
        <w:tc>
          <w:tcPr>
            <w:tcW w:w="980" w:type="dxa"/>
            <w:vAlign w:val="bottom"/>
            <w:gridSpan w:val="4"/>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47</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3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6"/>
              </w:rPr>
              <w:t>Pension Benefits</w:t>
            </w:r>
          </w:p>
        </w:tc>
        <w:tc>
          <w:tcPr>
            <w:tcW w:w="860" w:type="dxa"/>
            <w:vAlign w:val="bottom"/>
            <w:gridSpan w:val="6"/>
          </w:tcPr>
          <w:p>
            <w:pPr>
              <w:spacing w:after="0"/>
              <w:rPr>
                <w:sz w:val="21"/>
                <w:szCs w:val="21"/>
                <w:color w:val="auto"/>
              </w:rPr>
            </w:pPr>
          </w:p>
        </w:tc>
        <w:tc>
          <w:tcPr>
            <w:tcW w:w="800" w:type="dxa"/>
            <w:vAlign w:val="bottom"/>
            <w:gridSpan w:val="10"/>
          </w:tcPr>
          <w:p>
            <w:pPr>
              <w:spacing w:after="0"/>
              <w:rPr>
                <w:sz w:val="21"/>
                <w:szCs w:val="21"/>
                <w:color w:val="auto"/>
              </w:rPr>
            </w:pPr>
          </w:p>
        </w:tc>
        <w:tc>
          <w:tcPr>
            <w:tcW w:w="1880" w:type="dxa"/>
            <w:vAlign w:val="bottom"/>
            <w:gridSpan w:val="17"/>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47</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298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9"/>
              </w:rPr>
              <w:t>Nonqualified Deferred Compensation</w:t>
            </w:r>
          </w:p>
        </w:tc>
        <w:tc>
          <w:tcPr>
            <w:tcW w:w="1880" w:type="dxa"/>
            <w:vAlign w:val="bottom"/>
            <w:gridSpan w:val="17"/>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47</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21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Employment Arrangements</w:t>
            </w:r>
          </w:p>
        </w:tc>
        <w:tc>
          <w:tcPr>
            <w:tcW w:w="2680" w:type="dxa"/>
            <w:vAlign w:val="bottom"/>
            <w:gridSpan w:val="27"/>
          </w:tcPr>
          <w:p>
            <w:pPr>
              <w:spacing w:after="0"/>
              <w:rPr>
                <w:sz w:val="21"/>
                <w:szCs w:val="21"/>
                <w:color w:val="auto"/>
              </w:rPr>
            </w:pP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47</w:t>
            </w:r>
          </w:p>
        </w:tc>
        <w:tc>
          <w:tcPr>
            <w:tcW w:w="4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860" w:type="dxa"/>
            <w:vAlign w:val="bottom"/>
            <w:tcBorders>
              <w:bottom w:val="single" w:sz="8" w:color="0000EE"/>
            </w:tcBorders>
            <w:gridSpan w:val="41"/>
          </w:tcPr>
          <w:p>
            <w:pPr>
              <w:spacing w:after="0"/>
              <w:rPr>
                <w:sz w:val="20"/>
                <w:szCs w:val="20"/>
                <w:color w:val="auto"/>
              </w:rPr>
            </w:pPr>
            <w:r>
              <w:rPr>
                <w:rFonts w:ascii="Arial" w:cs="Arial" w:eastAsia="Arial" w:hAnsi="Arial"/>
                <w:sz w:val="18"/>
                <w:szCs w:val="18"/>
                <w:color w:val="0000EE"/>
                <w:w w:val="99"/>
              </w:rPr>
              <w:t>Potential Payments upon Termination and Change of Control</w:t>
            </w:r>
          </w:p>
        </w:tc>
        <w:tc>
          <w:tcPr>
            <w:tcW w:w="2040" w:type="dxa"/>
            <w:vAlign w:val="bottom"/>
            <w:gridSpan w:val="3"/>
          </w:tcPr>
          <w:p>
            <w:pPr>
              <w:spacing w:after="0"/>
              <w:rPr>
                <w:sz w:val="21"/>
                <w:szCs w:val="21"/>
                <w:color w:val="auto"/>
              </w:rPr>
            </w:pPr>
          </w:p>
        </w:tc>
        <w:tc>
          <w:tcPr>
            <w:tcW w:w="700" w:type="dxa"/>
            <w:vAlign w:val="bottom"/>
          </w:tcPr>
          <w:p>
            <w:pPr>
              <w:ind w:left="620"/>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gridSpan w:val="2"/>
          </w:tcPr>
          <w:p>
            <w:pPr>
              <w:jc w:val="right"/>
              <w:spacing w:after="0"/>
              <w:rPr>
                <w:sz w:val="20"/>
                <w:szCs w:val="20"/>
                <w:color w:val="auto"/>
              </w:rPr>
            </w:pPr>
            <w:r>
              <w:rPr>
                <w:rFonts w:ascii="Arial" w:cs="Arial" w:eastAsia="Arial" w:hAnsi="Arial"/>
                <w:sz w:val="18"/>
                <w:szCs w:val="18"/>
                <w:color w:val="4C4C4C"/>
                <w:w w:val="79"/>
              </w:rPr>
              <w:t>52</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5540375</wp:posOffset>
            </wp:positionH>
            <wp:positionV relativeFrom="paragraph">
              <wp:posOffset>-6325870</wp:posOffset>
            </wp:positionV>
            <wp:extent cx="471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1204595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346094"/>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346094"/>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4C4C4C"/>
        </w:rPr>
        <w:t>​</w:t>
      </w:r>
    </w:p>
    <w:p>
      <w:pPr>
        <w:sectPr>
          <w:pgSz w:w="11900" w:h="16838" w:orient="portrait"/>
          <w:cols w:equalWidth="0" w:num="2">
            <w:col w:w="9260" w:space="200"/>
            <w:col w:w="41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0000EE"/>
        </w:rPr>
        <w:t>CEO Pay Ratio</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0000EE"/>
        </w:rPr>
        <w:t>Pay Versus Performance</w:t>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 xml:space="preserve">Security Ownership of Certain Beneficial Owners and </w:t>
      </w:r>
      <w:r>
        <w:rPr>
          <w:rFonts w:ascii="Arial" w:cs="Arial" w:eastAsia="Arial" w:hAnsi="Arial"/>
          <w:sz w:val="18"/>
          <w:szCs w:val="18"/>
          <w:u w:val="single" w:color="auto"/>
          <w:color w:val="346094"/>
        </w:rPr>
        <w:t>Management</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346094"/>
        </w:rPr>
        <w:t>Equity Compensation Plan Information Table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346094"/>
        </w:rPr>
        <w:t>Certain Relationships and Related Party Transactions</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0000EE"/>
        </w:rPr>
        <w:t>Policies and Procedures for Related Party Transactions</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0000EE"/>
        </w:rPr>
        <w:t>Transactions with Related Persons</w:t>
      </w:r>
    </w:p>
    <w:p>
      <w:pPr>
        <w:spacing w:after="0" w:line="63" w:lineRule="exact"/>
        <w:rPr>
          <w:sz w:val="20"/>
          <w:szCs w:val="20"/>
          <w:color w:val="auto"/>
        </w:rPr>
      </w:pPr>
    </w:p>
    <w:p>
      <w:pPr>
        <w:jc w:val="right"/>
        <w:ind w:right="1440"/>
        <w:spacing w:after="0"/>
        <w:rPr>
          <w:sz w:val="20"/>
          <w:szCs w:val="20"/>
          <w:color w:val="auto"/>
        </w:rPr>
      </w:pPr>
      <w:r>
        <w:rPr>
          <w:rFonts w:ascii="Arial" w:cs="Arial" w:eastAsia="Arial" w:hAnsi="Arial"/>
          <w:sz w:val="18"/>
          <w:szCs w:val="18"/>
          <w:u w:val="single" w:color="auto"/>
          <w:color w:val="0000EE"/>
        </w:rPr>
        <w:t>Indemnification Agreements with Directors and Executive Officers</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 xml:space="preserve">Householding of Proxy </w:t>
      </w:r>
      <w:r>
        <w:rPr>
          <w:rFonts w:ascii="Arial" w:cs="Arial" w:eastAsia="Arial" w:hAnsi="Arial"/>
          <w:sz w:val="18"/>
          <w:szCs w:val="18"/>
          <w:u w:val="single" w:color="auto"/>
          <w:color w:val="346094"/>
        </w:rPr>
        <w:t>Materials</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346094"/>
        </w:rPr>
        <w:t>Stockholder Proposals and Director Nominations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346094"/>
        </w:rPr>
        <w:t>Annual Report</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 xml:space="preserve">Other </w:t>
      </w:r>
      <w:r>
        <w:rPr>
          <w:rFonts w:ascii="Arial" w:cs="Arial" w:eastAsia="Arial" w:hAnsi="Arial"/>
          <w:sz w:val="18"/>
          <w:szCs w:val="18"/>
          <w:u w:val="single" w:color="auto"/>
          <w:color w:val="346094"/>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5971540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rebuchet MS" w:cs="Trebuchet MS" w:eastAsia="Trebuchet MS" w:hAnsi="Trebuchet MS"/>
          <w:sz w:val="14"/>
          <w:szCs w:val="14"/>
          <w:b w:val="1"/>
          <w:bCs w:val="1"/>
          <w:color w:val="346094"/>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27940</wp:posOffset>
            </wp:positionV>
            <wp:extent cx="4718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 w:type="dxa"/>
            <w:vAlign w:val="bottom"/>
          </w:tcPr>
          <w:p>
            <w:pPr>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8"/>
                <w:szCs w:val="18"/>
                <w:color w:val="4C4C4C"/>
                <w:w w:val="79"/>
              </w:rPr>
              <w:t>54</w:t>
            </w:r>
          </w:p>
        </w:tc>
        <w:tc>
          <w:tcPr>
            <w:tcW w:w="300" w:type="dxa"/>
            <w:vAlign w:val="bottom"/>
          </w:tcPr>
          <w:p>
            <w:pPr>
              <w:ind w:left="240"/>
              <w:spacing w:after="0"/>
              <w:rPr>
                <w:sz w:val="20"/>
                <w:szCs w:val="20"/>
                <w:color w:val="auto"/>
              </w:rPr>
            </w:pPr>
            <w:r>
              <w:rPr>
                <w:rFonts w:ascii="Arial" w:cs="Arial" w:eastAsia="Arial" w:hAnsi="Arial"/>
                <w:sz w:val="18"/>
                <w:szCs w:val="18"/>
                <w:color w:val="4C4C4C"/>
              </w:rPr>
              <w:t>​</w:t>
            </w:r>
          </w:p>
        </w:tc>
      </w:tr>
      <w:tr>
        <w:trPr>
          <w:trHeight w:val="237"/>
        </w:trPr>
        <w:tc>
          <w:tcPr>
            <w:tcW w:w="80" w:type="dxa"/>
            <w:vAlign w:val="bottom"/>
          </w:tcPr>
          <w:p>
            <w:pPr>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8"/>
                <w:szCs w:val="18"/>
                <w:color w:val="4C4C4C"/>
                <w:w w:val="79"/>
              </w:rPr>
              <w:t>55</w:t>
            </w:r>
          </w:p>
        </w:tc>
        <w:tc>
          <w:tcPr>
            <w:tcW w:w="300" w:type="dxa"/>
            <w:vAlign w:val="bottom"/>
          </w:tcPr>
          <w:p>
            <w:pPr>
              <w:ind w:left="240"/>
              <w:spacing w:after="0"/>
              <w:rPr>
                <w:sz w:val="20"/>
                <w:szCs w:val="20"/>
                <w:color w:val="auto"/>
              </w:rPr>
            </w:pPr>
            <w:r>
              <w:rPr>
                <w:rFonts w:ascii="Arial" w:cs="Arial" w:eastAsia="Arial" w:hAnsi="Arial"/>
                <w:sz w:val="18"/>
                <w:szCs w:val="18"/>
                <w:color w:val="4C4C4C"/>
              </w:rPr>
              <w:t>​</w:t>
            </w:r>
          </w:p>
        </w:tc>
      </w:tr>
      <w:tr>
        <w:trPr>
          <w:trHeight w:val="237"/>
        </w:trPr>
        <w:tc>
          <w:tcPr>
            <w:tcW w:w="80" w:type="dxa"/>
            <w:vAlign w:val="bottom"/>
          </w:tcPr>
          <w:p>
            <w:pPr>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8"/>
                <w:szCs w:val="18"/>
                <w:color w:val="4C4C4C"/>
                <w:w w:val="79"/>
              </w:rPr>
              <w:t>58</w:t>
            </w:r>
          </w:p>
        </w:tc>
        <w:tc>
          <w:tcPr>
            <w:tcW w:w="300" w:type="dxa"/>
            <w:vAlign w:val="bottom"/>
          </w:tcPr>
          <w:p>
            <w:pPr>
              <w:ind w:left="240"/>
              <w:spacing w:after="0"/>
              <w:rPr>
                <w:sz w:val="20"/>
                <w:szCs w:val="20"/>
                <w:color w:val="auto"/>
              </w:rPr>
            </w:pPr>
            <w:r>
              <w:rPr>
                <w:rFonts w:ascii="Arial" w:cs="Arial" w:eastAsia="Arial" w:hAnsi="Arial"/>
                <w:sz w:val="18"/>
                <w:szCs w:val="18"/>
                <w:color w:val="4C4C4C"/>
              </w:rPr>
              <w:t>​</w:t>
            </w:r>
          </w:p>
        </w:tc>
      </w:tr>
      <w:tr>
        <w:trPr>
          <w:trHeight w:val="237"/>
        </w:trPr>
        <w:tc>
          <w:tcPr>
            <w:tcW w:w="80" w:type="dxa"/>
            <w:vAlign w:val="bottom"/>
          </w:tcPr>
          <w:p>
            <w:pPr>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8"/>
                <w:szCs w:val="18"/>
                <w:color w:val="4C4C4C"/>
                <w:w w:val="79"/>
              </w:rPr>
              <w:t>60</w:t>
            </w:r>
          </w:p>
        </w:tc>
        <w:tc>
          <w:tcPr>
            <w:tcW w:w="300" w:type="dxa"/>
            <w:vAlign w:val="bottom"/>
          </w:tcPr>
          <w:p>
            <w:pPr>
              <w:ind w:left="240"/>
              <w:spacing w:after="0"/>
              <w:rPr>
                <w:sz w:val="20"/>
                <w:szCs w:val="20"/>
                <w:color w:val="auto"/>
              </w:rPr>
            </w:pPr>
            <w:r>
              <w:rPr>
                <w:rFonts w:ascii="Arial" w:cs="Arial" w:eastAsia="Arial" w:hAnsi="Arial"/>
                <w:sz w:val="18"/>
                <w:szCs w:val="18"/>
                <w:color w:val="4C4C4C"/>
              </w:rPr>
              <w:t>​</w:t>
            </w:r>
          </w:p>
        </w:tc>
      </w:tr>
      <w:tr>
        <w:trPr>
          <w:trHeight w:val="250"/>
        </w:trPr>
        <w:tc>
          <w:tcPr>
            <w:tcW w:w="80" w:type="dxa"/>
            <w:vAlign w:val="bottom"/>
          </w:tcPr>
          <w:p>
            <w:pPr>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8"/>
                <w:szCs w:val="18"/>
                <w:color w:val="4C4C4C"/>
                <w:w w:val="79"/>
              </w:rPr>
              <w:t>61</w:t>
            </w:r>
          </w:p>
        </w:tc>
        <w:tc>
          <w:tcPr>
            <w:tcW w:w="300" w:type="dxa"/>
            <w:vAlign w:val="bottom"/>
          </w:tcPr>
          <w:p>
            <w:pPr>
              <w:ind w:left="240"/>
              <w:spacing w:after="0"/>
              <w:rPr>
                <w:sz w:val="20"/>
                <w:szCs w:val="20"/>
                <w:color w:val="auto"/>
              </w:rPr>
            </w:pPr>
            <w:r>
              <w:rPr>
                <w:rFonts w:ascii="Arial" w:cs="Arial" w:eastAsia="Arial" w:hAnsi="Arial"/>
                <w:sz w:val="18"/>
                <w:szCs w:val="18"/>
                <w:color w:val="4C4C4C"/>
              </w:rPr>
              <w:t>​</w:t>
            </w:r>
          </w:p>
        </w:tc>
      </w:tr>
      <w:tr>
        <w:trPr>
          <w:trHeight w:val="250"/>
        </w:trPr>
        <w:tc>
          <w:tcPr>
            <w:tcW w:w="80" w:type="dxa"/>
            <w:vAlign w:val="bottom"/>
          </w:tcPr>
          <w:p>
            <w:pPr>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8"/>
                <w:szCs w:val="18"/>
                <w:color w:val="4C4C4C"/>
                <w:w w:val="79"/>
              </w:rPr>
              <w:t>61</w:t>
            </w:r>
          </w:p>
        </w:tc>
        <w:tc>
          <w:tcPr>
            <w:tcW w:w="300" w:type="dxa"/>
            <w:vAlign w:val="bottom"/>
          </w:tcPr>
          <w:p>
            <w:pPr>
              <w:ind w:left="240"/>
              <w:spacing w:after="0"/>
              <w:rPr>
                <w:sz w:val="20"/>
                <w:szCs w:val="20"/>
                <w:color w:val="auto"/>
              </w:rPr>
            </w:pPr>
            <w:r>
              <w:rPr>
                <w:rFonts w:ascii="Arial" w:cs="Arial" w:eastAsia="Arial" w:hAnsi="Arial"/>
                <w:sz w:val="18"/>
                <w:szCs w:val="18"/>
                <w:color w:val="4C4C4C"/>
              </w:rPr>
              <w:t>​</w:t>
            </w:r>
          </w:p>
        </w:tc>
      </w:tr>
      <w:tr>
        <w:trPr>
          <w:trHeight w:val="250"/>
        </w:trPr>
        <w:tc>
          <w:tcPr>
            <w:tcW w:w="80" w:type="dxa"/>
            <w:vAlign w:val="bottom"/>
          </w:tcPr>
          <w:p>
            <w:pPr>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8"/>
                <w:szCs w:val="18"/>
                <w:color w:val="4C4C4C"/>
                <w:w w:val="79"/>
              </w:rPr>
              <w:t>61</w:t>
            </w:r>
          </w:p>
        </w:tc>
        <w:tc>
          <w:tcPr>
            <w:tcW w:w="300" w:type="dxa"/>
            <w:vAlign w:val="bottom"/>
          </w:tcPr>
          <w:p>
            <w:pPr>
              <w:ind w:left="240"/>
              <w:spacing w:after="0"/>
              <w:rPr>
                <w:sz w:val="20"/>
                <w:szCs w:val="20"/>
                <w:color w:val="auto"/>
              </w:rPr>
            </w:pPr>
            <w:r>
              <w:rPr>
                <w:rFonts w:ascii="Arial" w:cs="Arial" w:eastAsia="Arial" w:hAnsi="Arial"/>
                <w:sz w:val="18"/>
                <w:szCs w:val="18"/>
                <w:color w:val="4C4C4C"/>
              </w:rPr>
              <w:t>​</w:t>
            </w:r>
          </w:p>
        </w:tc>
      </w:tr>
      <w:tr>
        <w:trPr>
          <w:trHeight w:val="250"/>
        </w:trPr>
        <w:tc>
          <w:tcPr>
            <w:tcW w:w="80" w:type="dxa"/>
            <w:vAlign w:val="bottom"/>
          </w:tcPr>
          <w:p>
            <w:pPr>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8"/>
                <w:szCs w:val="18"/>
                <w:color w:val="4C4C4C"/>
                <w:w w:val="79"/>
              </w:rPr>
              <w:t>61</w:t>
            </w:r>
          </w:p>
        </w:tc>
        <w:tc>
          <w:tcPr>
            <w:tcW w:w="300" w:type="dxa"/>
            <w:vAlign w:val="bottom"/>
          </w:tcPr>
          <w:p>
            <w:pPr>
              <w:ind w:left="240"/>
              <w:spacing w:after="0"/>
              <w:rPr>
                <w:sz w:val="20"/>
                <w:szCs w:val="20"/>
                <w:color w:val="auto"/>
              </w:rPr>
            </w:pPr>
            <w:r>
              <w:rPr>
                <w:rFonts w:ascii="Arial" w:cs="Arial" w:eastAsia="Arial" w:hAnsi="Arial"/>
                <w:sz w:val="18"/>
                <w:szCs w:val="18"/>
                <w:color w:val="4C4C4C"/>
              </w:rPr>
              <w:t>​</w:t>
            </w:r>
          </w:p>
        </w:tc>
      </w:tr>
      <w:tr>
        <w:trPr>
          <w:trHeight w:val="250"/>
        </w:trPr>
        <w:tc>
          <w:tcPr>
            <w:tcW w:w="80" w:type="dxa"/>
            <w:vAlign w:val="bottom"/>
          </w:tcPr>
          <w:p>
            <w:pPr>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8"/>
                <w:szCs w:val="18"/>
                <w:color w:val="4C4C4C"/>
                <w:w w:val="79"/>
              </w:rPr>
              <w:t>63</w:t>
            </w:r>
          </w:p>
        </w:tc>
        <w:tc>
          <w:tcPr>
            <w:tcW w:w="300" w:type="dxa"/>
            <w:vAlign w:val="bottom"/>
          </w:tcPr>
          <w:p>
            <w:pPr>
              <w:ind w:left="240"/>
              <w:spacing w:after="0"/>
              <w:rPr>
                <w:sz w:val="20"/>
                <w:szCs w:val="20"/>
                <w:color w:val="auto"/>
              </w:rPr>
            </w:pPr>
            <w:r>
              <w:rPr>
                <w:rFonts w:ascii="Arial" w:cs="Arial" w:eastAsia="Arial" w:hAnsi="Arial"/>
                <w:sz w:val="18"/>
                <w:szCs w:val="18"/>
                <w:color w:val="4C4C4C"/>
              </w:rPr>
              <w:t>​</w:t>
            </w:r>
          </w:p>
        </w:tc>
      </w:tr>
      <w:tr>
        <w:trPr>
          <w:trHeight w:val="250"/>
        </w:trPr>
        <w:tc>
          <w:tcPr>
            <w:tcW w:w="80" w:type="dxa"/>
            <w:vAlign w:val="bottom"/>
          </w:tcPr>
          <w:p>
            <w:pPr>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8"/>
                <w:szCs w:val="18"/>
                <w:color w:val="4C4C4C"/>
                <w:w w:val="79"/>
              </w:rPr>
              <w:t>63</w:t>
            </w:r>
          </w:p>
        </w:tc>
        <w:tc>
          <w:tcPr>
            <w:tcW w:w="300" w:type="dxa"/>
            <w:vAlign w:val="bottom"/>
          </w:tcPr>
          <w:p>
            <w:pPr>
              <w:ind w:left="240"/>
              <w:spacing w:after="0"/>
              <w:rPr>
                <w:sz w:val="20"/>
                <w:szCs w:val="20"/>
                <w:color w:val="auto"/>
              </w:rPr>
            </w:pPr>
            <w:r>
              <w:rPr>
                <w:rFonts w:ascii="Arial" w:cs="Arial" w:eastAsia="Arial" w:hAnsi="Arial"/>
                <w:sz w:val="18"/>
                <w:szCs w:val="18"/>
                <w:color w:val="4C4C4C"/>
              </w:rPr>
              <w:t>​</w:t>
            </w:r>
          </w:p>
        </w:tc>
      </w:tr>
      <w:tr>
        <w:trPr>
          <w:trHeight w:val="250"/>
        </w:trPr>
        <w:tc>
          <w:tcPr>
            <w:tcW w:w="80" w:type="dxa"/>
            <w:vAlign w:val="bottom"/>
          </w:tcPr>
          <w:p>
            <w:pPr>
              <w:spacing w:after="0"/>
              <w:rPr>
                <w:sz w:val="20"/>
                <w:szCs w:val="20"/>
                <w:color w:val="auto"/>
              </w:rPr>
            </w:pPr>
            <w:r>
              <w:rPr>
                <w:rFonts w:ascii="Arial" w:cs="Arial" w:eastAsia="Arial" w:hAnsi="Arial"/>
                <w:sz w:val="18"/>
                <w:szCs w:val="18"/>
                <w:color w:val="4C4C4C"/>
              </w:rPr>
              <w:t>​</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8"/>
                <w:szCs w:val="18"/>
                <w:color w:val="4C4C4C"/>
                <w:w w:val="79"/>
              </w:rPr>
              <w:t>64</w:t>
            </w:r>
          </w:p>
        </w:tc>
        <w:tc>
          <w:tcPr>
            <w:tcW w:w="300" w:type="dxa"/>
            <w:vAlign w:val="bottom"/>
          </w:tcPr>
          <w:p>
            <w:pPr>
              <w:ind w:left="240"/>
              <w:spacing w:after="0"/>
              <w:rPr>
                <w:sz w:val="20"/>
                <w:szCs w:val="20"/>
                <w:color w:val="auto"/>
              </w:rPr>
            </w:pPr>
            <w:r>
              <w:rPr>
                <w:rFonts w:ascii="Arial" w:cs="Arial" w:eastAsia="Arial" w:hAnsi="Arial"/>
                <w:sz w:val="18"/>
                <w:szCs w:val="18"/>
                <w:color w:val="4C4C4C"/>
              </w:rPr>
              <w:t>​</w:t>
            </w:r>
          </w:p>
        </w:tc>
      </w:tr>
      <w:tr>
        <w:trPr>
          <w:trHeight w:val="250"/>
        </w:trPr>
        <w:tc>
          <w:tcPr>
            <w:tcW w:w="80" w:type="dxa"/>
            <w:vAlign w:val="bottom"/>
          </w:tcPr>
          <w:p>
            <w:pPr>
              <w:spacing w:after="0"/>
              <w:rPr>
                <w:sz w:val="20"/>
                <w:szCs w:val="20"/>
                <w:color w:val="auto"/>
              </w:rPr>
            </w:pPr>
            <w:r>
              <w:rPr>
                <w:rFonts w:ascii="Arial" w:cs="Arial" w:eastAsia="Arial" w:hAnsi="Arial"/>
                <w:sz w:val="18"/>
                <w:szCs w:val="18"/>
                <w:color w:val="346094"/>
              </w:rPr>
              <w:t>​</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8"/>
                <w:szCs w:val="18"/>
                <w:color w:val="4C4C4C"/>
                <w:w w:val="79"/>
              </w:rPr>
              <w:t>64</w:t>
            </w:r>
          </w:p>
        </w:tc>
        <w:tc>
          <w:tcPr>
            <w:tcW w:w="300" w:type="dxa"/>
            <w:vAlign w:val="bottom"/>
          </w:tcPr>
          <w:p>
            <w:pPr>
              <w:ind w:left="240"/>
              <w:spacing w:after="0"/>
              <w:rPr>
                <w:sz w:val="20"/>
                <w:szCs w:val="20"/>
                <w:color w:val="auto"/>
              </w:rPr>
            </w:pPr>
            <w:r>
              <w:rPr>
                <w:rFonts w:ascii="Arial" w:cs="Arial" w:eastAsia="Arial" w:hAnsi="Arial"/>
                <w:sz w:val="18"/>
                <w:szCs w:val="18"/>
                <w:color w:val="346094"/>
              </w:rPr>
              <w:t>​</w:t>
            </w:r>
          </w:p>
        </w:tc>
      </w:tr>
    </w:tbl>
    <w:p>
      <w:pPr>
        <w:sectPr>
          <w:pgSz w:w="11900" w:h="16838" w:orient="portrait"/>
          <w:cols w:equalWidth="0" w:num="2">
            <w:col w:w="8220" w:space="720"/>
            <w:col w:w="93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140"/>
        <w:spacing w:after="0"/>
        <w:rPr>
          <w:sz w:val="20"/>
          <w:szCs w:val="20"/>
          <w:color w:val="auto"/>
        </w:rPr>
      </w:pPr>
      <w:r>
        <w:rPr>
          <w:sz w:val="1"/>
          <w:szCs w:val="1"/>
          <w:color w:val="auto"/>
        </w:rPr>
        <w:drawing>
          <wp:inline distT="0" distB="0" distL="0" distR="0">
            <wp:extent cx="1543050" cy="4457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050" cy="445770"/>
                    </a:xfrm>
                    <a:prstGeom prst="rect">
                      <a:avLst/>
                    </a:prstGeom>
                    <a:noFill/>
                    <a:ln>
                      <a:noFill/>
                    </a:ln>
                  </pic:spPr>
                </pic:pic>
              </a:graphicData>
            </a:graphic>
          </wp:inline>
        </w:drawing>
      </w:r>
      <w:r>
        <w:rPr>
          <w:rFonts w:ascii="Arial" w:cs="Arial" w:eastAsia="Arial" w:hAnsi="Arial"/>
          <w:sz w:val="18"/>
          <w:szCs w:val="18"/>
          <w:color w:val="4C4C4C"/>
        </w:rPr>
        <w:t> </w:t>
      </w:r>
    </w:p>
    <w:p>
      <w:pPr>
        <w:spacing w:after="0" w:line="166" w:lineRule="exact"/>
        <w:rPr>
          <w:sz w:val="20"/>
          <w:szCs w:val="20"/>
          <w:color w:val="auto"/>
        </w:rPr>
      </w:pPr>
    </w:p>
    <w:p>
      <w:pPr>
        <w:ind w:left="4300"/>
        <w:spacing w:after="0"/>
        <w:rPr>
          <w:sz w:val="20"/>
          <w:szCs w:val="20"/>
          <w:color w:val="auto"/>
        </w:rPr>
      </w:pPr>
      <w:r>
        <w:rPr>
          <w:rFonts w:ascii="Arial" w:cs="Arial" w:eastAsia="Arial" w:hAnsi="Arial"/>
          <w:sz w:val="18"/>
          <w:szCs w:val="18"/>
          <w:color w:val="4C4C4C"/>
        </w:rPr>
        <w:t>345 Inverness Drive South</w:t>
      </w:r>
    </w:p>
    <w:p>
      <w:pPr>
        <w:ind w:left="4500"/>
        <w:spacing w:after="0"/>
        <w:rPr>
          <w:sz w:val="20"/>
          <w:szCs w:val="20"/>
          <w:color w:val="auto"/>
        </w:rPr>
      </w:pPr>
      <w:r>
        <w:rPr>
          <w:rFonts w:ascii="Arial" w:cs="Arial" w:eastAsia="Arial" w:hAnsi="Arial"/>
          <w:sz w:val="18"/>
          <w:szCs w:val="18"/>
          <w:color w:val="4C4C4C"/>
        </w:rPr>
        <w:t>Building C, Suite 310</w:t>
      </w:r>
    </w:p>
    <w:p>
      <w:pPr>
        <w:spacing w:after="0" w:line="5" w:lineRule="exact"/>
        <w:rPr>
          <w:sz w:val="20"/>
          <w:szCs w:val="20"/>
          <w:color w:val="auto"/>
        </w:rPr>
      </w:pPr>
    </w:p>
    <w:p>
      <w:pPr>
        <w:ind w:left="4220"/>
        <w:spacing w:after="0"/>
        <w:rPr>
          <w:sz w:val="20"/>
          <w:szCs w:val="20"/>
          <w:color w:val="auto"/>
        </w:rPr>
      </w:pPr>
      <w:r>
        <w:rPr>
          <w:rFonts w:ascii="Arial" w:cs="Arial" w:eastAsia="Arial" w:hAnsi="Arial"/>
          <w:sz w:val="18"/>
          <w:szCs w:val="18"/>
          <w:color w:val="4C4C4C"/>
        </w:rPr>
        <w:t>Englewood, Colorado 80112</w:t>
      </w:r>
    </w:p>
    <w:p>
      <w:pPr>
        <w:jc w:val="center"/>
        <w:ind w:right="-860"/>
        <w:spacing w:after="0"/>
        <w:rPr>
          <w:sz w:val="20"/>
          <w:szCs w:val="20"/>
          <w:color w:val="auto"/>
        </w:rPr>
      </w:pPr>
      <w:r>
        <w:rPr>
          <w:rFonts w:ascii="Arial" w:cs="Arial" w:eastAsia="Arial" w:hAnsi="Arial"/>
          <w:sz w:val="18"/>
          <w:szCs w:val="18"/>
          <w:color w:val="4C4C4C"/>
        </w:rPr>
        <w:t>(303) 858-8358</w:t>
      </w:r>
    </w:p>
    <w:p>
      <w:pPr>
        <w:spacing w:after="0" w:line="197" w:lineRule="exact"/>
        <w:rPr>
          <w:sz w:val="20"/>
          <w:szCs w:val="20"/>
          <w:color w:val="auto"/>
        </w:rPr>
      </w:pPr>
    </w:p>
    <w:p>
      <w:pPr>
        <w:jc w:val="center"/>
        <w:ind w:right="-860"/>
        <w:spacing w:after="0"/>
        <w:rPr>
          <w:sz w:val="20"/>
          <w:szCs w:val="20"/>
          <w:color w:val="auto"/>
        </w:rPr>
      </w:pPr>
      <w:r>
        <w:rPr>
          <w:rFonts w:ascii="Trebuchet MS" w:cs="Trebuchet MS" w:eastAsia="Trebuchet MS" w:hAnsi="Trebuchet MS"/>
          <w:sz w:val="22"/>
          <w:szCs w:val="22"/>
          <w:b w:val="1"/>
          <w:bCs w:val="1"/>
          <w:color w:val="346094"/>
        </w:rPr>
        <w:t>PROXY STATE</w:t>
      </w:r>
      <w:r>
        <w:rPr>
          <w:rFonts w:ascii="Arial" w:cs="Arial" w:eastAsia="Arial" w:hAnsi="Arial"/>
          <w:sz w:val="20"/>
          <w:szCs w:val="20"/>
          <w:b w:val="1"/>
          <w:bCs w:val="1"/>
          <w:color w:val="346094"/>
        </w:rPr>
        <w:t>M</w:t>
      </w:r>
      <w:r>
        <w:rPr>
          <w:rFonts w:ascii="Trebuchet MS" w:cs="Trebuchet MS" w:eastAsia="Trebuchet MS" w:hAnsi="Trebuchet MS"/>
          <w:sz w:val="22"/>
          <w:szCs w:val="22"/>
          <w:b w:val="1"/>
          <w:bCs w:val="1"/>
          <w:color w:val="346094"/>
        </w:rPr>
        <w: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151765</wp:posOffset>
            </wp:positionV>
            <wp:extent cx="521208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62" w:lineRule="exact"/>
        <w:rPr>
          <w:sz w:val="20"/>
          <w:szCs w:val="20"/>
          <w:color w:val="auto"/>
        </w:rPr>
      </w:pPr>
    </w:p>
    <w:p>
      <w:pPr>
        <w:jc w:val="center"/>
        <w:ind w:right="-860"/>
        <w:spacing w:after="0"/>
        <w:rPr>
          <w:sz w:val="20"/>
          <w:szCs w:val="20"/>
          <w:color w:val="auto"/>
        </w:rPr>
      </w:pPr>
      <w:r>
        <w:rPr>
          <w:rFonts w:ascii="Trebuchet MS" w:cs="Trebuchet MS" w:eastAsia="Trebuchet MS" w:hAnsi="Trebuchet MS"/>
          <w:sz w:val="29"/>
          <w:szCs w:val="29"/>
          <w:b w:val="1"/>
          <w:bCs w:val="1"/>
          <w:color w:val="FFFFFF"/>
        </w:rPr>
        <w:t>INFOR</w:t>
      </w:r>
      <w:r>
        <w:rPr>
          <w:rFonts w:ascii="Arial" w:cs="Arial" w:eastAsia="Arial" w:hAnsi="Arial"/>
          <w:sz w:val="27"/>
          <w:szCs w:val="27"/>
          <w:b w:val="1"/>
          <w:bCs w:val="1"/>
          <w:color w:val="FFFFFF"/>
        </w:rPr>
        <w:t>M</w:t>
      </w:r>
      <w:r>
        <w:rPr>
          <w:rFonts w:ascii="Trebuchet MS" w:cs="Trebuchet MS" w:eastAsia="Trebuchet MS" w:hAnsi="Trebuchet MS"/>
          <w:sz w:val="29"/>
          <w:szCs w:val="29"/>
          <w:b w:val="1"/>
          <w:bCs w:val="1"/>
          <w:color w:val="FFFFFF"/>
        </w:rPr>
        <w:t>ATION CONCERNING SOLICITATION AND VOTING</w:t>
      </w:r>
    </w:p>
    <w:p>
      <w:pPr>
        <w:spacing w:after="0" w:line="220" w:lineRule="exact"/>
        <w:rPr>
          <w:sz w:val="20"/>
          <w:szCs w:val="20"/>
          <w:color w:val="auto"/>
        </w:rPr>
      </w:pPr>
    </w:p>
    <w:p>
      <w:pPr>
        <w:ind w:left="1260" w:right="419"/>
        <w:spacing w:after="0"/>
        <w:rPr>
          <w:sz w:val="20"/>
          <w:szCs w:val="20"/>
          <w:color w:val="auto"/>
        </w:rPr>
      </w:pPr>
      <w:r>
        <w:rPr>
          <w:rFonts w:ascii="Arial" w:cs="Arial" w:eastAsia="Arial" w:hAnsi="Arial"/>
          <w:sz w:val="18"/>
          <w:szCs w:val="18"/>
          <w:color w:val="4C4C4C"/>
        </w:rPr>
        <w:t xml:space="preserve">The Board of Directors (the “Board”) of Gevo, Inc. (the “Company,” “we,” “us” or “our”) is soliciting proxies for the Company’s 2026 Annual Meeting of Stockholders (the “Annual Meeting”) to be held on Wednesday, May 20, 2026 at 2:00 p.m. Mountain Time. The Annual Meeting will be held entirely online via live audio webcast. You will be able to attend the virtual Annual Meeting, vote and submit your questions during the Annual Meeting via live webcast by visiting: </w:t>
      </w:r>
      <w:r>
        <w:rPr>
          <w:rFonts w:ascii="Arial" w:cs="Arial" w:eastAsia="Arial" w:hAnsi="Arial"/>
          <w:sz w:val="18"/>
          <w:szCs w:val="18"/>
          <w:i w:val="1"/>
          <w:iCs w:val="1"/>
          <w:color w:val="4C4C4C"/>
        </w:rPr>
        <w:t xml:space="preserve">www.virtualshareholdermeeting.com/GEVO2026 </w:t>
      </w:r>
      <w:r>
        <w:rPr>
          <w:rFonts w:ascii="Arial" w:cs="Arial" w:eastAsia="Arial" w:hAnsi="Arial"/>
          <w:sz w:val="18"/>
          <w:szCs w:val="18"/>
          <w:color w:val="4C4C4C"/>
        </w:rPr>
        <w:t>and entering your 16-digit control number included</w:t>
      </w:r>
      <w:r>
        <w:rPr>
          <w:rFonts w:ascii="Arial" w:cs="Arial" w:eastAsia="Arial" w:hAnsi="Arial"/>
          <w:sz w:val="18"/>
          <w:szCs w:val="18"/>
          <w:i w:val="1"/>
          <w:iCs w:val="1"/>
          <w:color w:val="4C4C4C"/>
        </w:rPr>
        <w:t xml:space="preserve"> </w:t>
      </w:r>
      <w:r>
        <w:rPr>
          <w:rFonts w:ascii="Arial" w:cs="Arial" w:eastAsia="Arial" w:hAnsi="Arial"/>
          <w:sz w:val="18"/>
          <w:szCs w:val="18"/>
          <w:color w:val="4C4C4C"/>
        </w:rPr>
        <w:t>in your Notice (as defined below), on your proxy card or on the instructions that accompanied your proxy materials.</w:t>
      </w:r>
    </w:p>
    <w:p>
      <w:pPr>
        <w:spacing w:after="0" w:line="180" w:lineRule="exact"/>
        <w:rPr>
          <w:sz w:val="20"/>
          <w:szCs w:val="20"/>
          <w:color w:val="auto"/>
        </w:rPr>
      </w:pPr>
    </w:p>
    <w:p>
      <w:pPr>
        <w:ind w:left="1260" w:right="459"/>
        <w:spacing w:after="0" w:line="242" w:lineRule="auto"/>
        <w:rPr>
          <w:sz w:val="20"/>
          <w:szCs w:val="20"/>
          <w:color w:val="auto"/>
        </w:rPr>
      </w:pPr>
      <w:r>
        <w:rPr>
          <w:rFonts w:ascii="Arial" w:cs="Arial" w:eastAsia="Arial" w:hAnsi="Arial"/>
          <w:sz w:val="18"/>
          <w:szCs w:val="18"/>
          <w:color w:val="4C4C4C"/>
        </w:rPr>
        <w:t>On or about April 9, 2026, we will first make available to stockholders our proxy materials, including a Notice of Internet Availability of Proxy Materials (the “Notice”). The Notice contains instructions on how to access this proxy statement and our 2025 Annual Report on Form 10-K (the “2025 Annual Report”) over the Internet, which are available at www.proxyvote.com. The Notice also contains instructions on how to request a paper copy of our proxy materials, including this proxy statement, the 2025 Annual Report and a form of proxy card or voting instruction card. Our proxy materials are being sent to stockholders who owned our common stock at the close of business on March 26, 2026, the record date for the Annual Meeting (the “Record Date”). This proxy statement contains important information for you to consider when deciding how to vote on the matters brought before the Annual Meeting.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480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480060"/>
                    </a:xfrm>
                    <a:prstGeom prst="rect">
                      <a:avLst/>
                    </a:prstGeom>
                    <a:noFill/>
                  </pic:spPr>
                </pic:pic>
              </a:graphicData>
            </a:graphic>
          </wp:anchor>
        </w:drawing>
      </w:r>
    </w:p>
    <w:p>
      <w:pPr>
        <w:spacing w:after="0" w:line="276" w:lineRule="exact"/>
        <w:rPr>
          <w:sz w:val="20"/>
          <w:szCs w:val="20"/>
          <w:color w:val="auto"/>
        </w:rPr>
      </w:pPr>
    </w:p>
    <w:p>
      <w:pPr>
        <w:jc w:val="center"/>
        <w:ind w:right="-860"/>
        <w:spacing w:after="0"/>
        <w:rPr>
          <w:sz w:val="20"/>
          <w:szCs w:val="20"/>
          <w:color w:val="auto"/>
        </w:rPr>
      </w:pPr>
      <w:r>
        <w:rPr>
          <w:rFonts w:ascii="Trebuchet MS" w:cs="Trebuchet MS" w:eastAsia="Trebuchet MS" w:hAnsi="Trebuchet MS"/>
          <w:sz w:val="29"/>
          <w:szCs w:val="29"/>
          <w:b w:val="1"/>
          <w:bCs w:val="1"/>
          <w:color w:val="FFFFFF"/>
        </w:rPr>
        <w:t>QUESTIONS AND ANSWERS ABOUT</w:t>
      </w:r>
    </w:p>
    <w:p>
      <w:pPr>
        <w:jc w:val="center"/>
        <w:ind w:right="-860"/>
        <w:spacing w:after="0"/>
        <w:rPr>
          <w:sz w:val="20"/>
          <w:szCs w:val="20"/>
          <w:color w:val="auto"/>
        </w:rPr>
      </w:pPr>
      <w:r>
        <w:rPr>
          <w:rFonts w:ascii="Trebuchet MS" w:cs="Trebuchet MS" w:eastAsia="Trebuchet MS" w:hAnsi="Trebuchet MS"/>
          <w:sz w:val="29"/>
          <w:szCs w:val="29"/>
          <w:b w:val="1"/>
          <w:bCs w:val="1"/>
          <w:color w:val="FFFFFF"/>
        </w:rPr>
        <w:t xml:space="preserve">THE ANNUAL </w:t>
      </w:r>
      <w:r>
        <w:rPr>
          <w:rFonts w:ascii="Arial" w:cs="Arial" w:eastAsia="Arial" w:hAnsi="Arial"/>
          <w:sz w:val="27"/>
          <w:szCs w:val="27"/>
          <w:b w:val="1"/>
          <w:bCs w:val="1"/>
          <w:color w:val="FFFFFF"/>
        </w:rPr>
        <w:t>M</w:t>
      </w:r>
      <w:r>
        <w:rPr>
          <w:rFonts w:ascii="Trebuchet MS" w:cs="Trebuchet MS" w:eastAsia="Trebuchet MS" w:hAnsi="Trebuchet MS"/>
          <w:sz w:val="29"/>
          <w:szCs w:val="29"/>
          <w:b w:val="1"/>
          <w:bCs w:val="1"/>
          <w:color w:val="FFFFFF"/>
        </w:rPr>
        <w:t>EETING</w:t>
      </w:r>
    </w:p>
    <w:p>
      <w:pPr>
        <w:spacing w:after="0" w:line="222"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 xml:space="preserve">Q: Who may vote at the Annual </w:t>
      </w:r>
      <w:r>
        <w:rPr>
          <w:rFonts w:ascii="Arial" w:cs="Arial" w:eastAsia="Arial" w:hAnsi="Arial"/>
          <w:sz w:val="20"/>
          <w:szCs w:val="20"/>
          <w:b w:val="1"/>
          <w:bCs w:val="1"/>
          <w:color w:val="346094"/>
        </w:rPr>
        <w:t>M</w:t>
      </w:r>
      <w:r>
        <w:rPr>
          <w:rFonts w:ascii="Trebuchet MS" w:cs="Trebuchet MS" w:eastAsia="Trebuchet MS" w:hAnsi="Trebuchet MS"/>
          <w:sz w:val="22"/>
          <w:szCs w:val="22"/>
          <w:b w:val="1"/>
          <w:bCs w:val="1"/>
          <w:color w:val="346094"/>
        </w:rPr>
        <w:t>eeting?</w:t>
      </w:r>
    </w:p>
    <w:p>
      <w:pPr>
        <w:spacing w:after="0" w:line="193" w:lineRule="exact"/>
        <w:rPr>
          <w:sz w:val="20"/>
          <w:szCs w:val="20"/>
          <w:color w:val="auto"/>
        </w:rPr>
      </w:pPr>
    </w:p>
    <w:p>
      <w:pPr>
        <w:ind w:left="1620" w:right="539" w:hanging="360"/>
        <w:spacing w:after="0" w:line="266" w:lineRule="auto"/>
        <w:tabs>
          <w:tab w:leader="none" w:pos="1620" w:val="left"/>
        </w:tabs>
        <w:numPr>
          <w:ilvl w:val="0"/>
          <w:numId w:val="7"/>
        </w:numPr>
        <w:rPr>
          <w:rFonts w:ascii="Trebuchet MS" w:cs="Trebuchet MS" w:eastAsia="Trebuchet MS" w:hAnsi="Trebuchet MS"/>
          <w:sz w:val="18"/>
          <w:szCs w:val="18"/>
          <w:b w:val="1"/>
          <w:bCs w:val="1"/>
          <w:color w:val="4C4C4C"/>
        </w:rPr>
      </w:pPr>
      <w:r>
        <w:rPr>
          <w:rFonts w:ascii="Arial" w:cs="Arial" w:eastAsia="Arial" w:hAnsi="Arial"/>
          <w:sz w:val="18"/>
          <w:szCs w:val="18"/>
          <w:color w:val="4C4C4C"/>
        </w:rPr>
        <w:t>Our Board has fixed March 26, 2026 as the Record Date for the Annual Meeting. Only stockholders of record at the close of business on the Record Date will be entitled to notice of and to vote at the Annual Meeting. Each stockholder is entitled to one vote for each share of common stock held on all matters to be voted on. As of the Record Date, 242,882,393 shares of common stock were outstanding and entitled to vote at the Annual Meeting.</w:t>
      </w:r>
    </w:p>
    <w:p>
      <w:pPr>
        <w:spacing w:after="0" w:line="171"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 xml:space="preserve">Q: What proposals will be voted on at the Annual </w:t>
      </w:r>
      <w:r>
        <w:rPr>
          <w:rFonts w:ascii="Arial" w:cs="Arial" w:eastAsia="Arial" w:hAnsi="Arial"/>
          <w:sz w:val="20"/>
          <w:szCs w:val="20"/>
          <w:b w:val="1"/>
          <w:bCs w:val="1"/>
          <w:color w:val="346094"/>
        </w:rPr>
        <w:t>M</w:t>
      </w:r>
      <w:r>
        <w:rPr>
          <w:rFonts w:ascii="Trebuchet MS" w:cs="Trebuchet MS" w:eastAsia="Trebuchet MS" w:hAnsi="Trebuchet MS"/>
          <w:sz w:val="22"/>
          <w:szCs w:val="22"/>
          <w:b w:val="1"/>
          <w:bCs w:val="1"/>
          <w:color w:val="346094"/>
        </w:rPr>
        <w:t>eeting?</w:t>
      </w:r>
    </w:p>
    <w:p>
      <w:pPr>
        <w:spacing w:after="0" w:line="193" w:lineRule="exact"/>
        <w:rPr>
          <w:sz w:val="20"/>
          <w:szCs w:val="20"/>
          <w:color w:val="auto"/>
        </w:rPr>
      </w:pPr>
    </w:p>
    <w:p>
      <w:pPr>
        <w:ind w:left="1620" w:hanging="360"/>
        <w:spacing w:after="0"/>
        <w:tabs>
          <w:tab w:leader="none" w:pos="1620" w:val="left"/>
        </w:tabs>
        <w:numPr>
          <w:ilvl w:val="0"/>
          <w:numId w:val="8"/>
        </w:numPr>
        <w:rPr>
          <w:rFonts w:ascii="Trebuchet MS" w:cs="Trebuchet MS" w:eastAsia="Trebuchet MS" w:hAnsi="Trebuchet MS"/>
          <w:sz w:val="18"/>
          <w:szCs w:val="18"/>
          <w:b w:val="1"/>
          <w:bCs w:val="1"/>
          <w:color w:val="4C4C4C"/>
        </w:rPr>
      </w:pPr>
      <w:r>
        <w:rPr>
          <w:rFonts w:ascii="Arial" w:cs="Arial" w:eastAsia="Arial" w:hAnsi="Arial"/>
          <w:sz w:val="18"/>
          <w:szCs w:val="18"/>
          <w:color w:val="4C4C4C"/>
        </w:rPr>
        <w:t>There are three proposals scheduled to be voted on at the Annual Meeting:</w:t>
      </w:r>
    </w:p>
    <w:p>
      <w:pPr>
        <w:spacing w:after="0" w:line="194" w:lineRule="exact"/>
        <w:rPr>
          <w:rFonts w:ascii="Trebuchet MS" w:cs="Trebuchet MS" w:eastAsia="Trebuchet MS" w:hAnsi="Trebuchet MS"/>
          <w:sz w:val="18"/>
          <w:szCs w:val="18"/>
          <w:b w:val="1"/>
          <w:bCs w:val="1"/>
          <w:color w:val="4C4C4C"/>
        </w:rPr>
      </w:pPr>
    </w:p>
    <w:p>
      <w:pPr>
        <w:ind w:left="1980" w:right="919" w:hanging="360"/>
        <w:spacing w:after="0" w:line="273" w:lineRule="auto"/>
        <w:tabs>
          <w:tab w:leader="none" w:pos="1980" w:val="left"/>
        </w:tabs>
        <w:numPr>
          <w:ilvl w:val="1"/>
          <w:numId w:val="8"/>
        </w:numPr>
        <w:rPr>
          <w:rFonts w:ascii="Arial" w:cs="Arial" w:eastAsia="Arial" w:hAnsi="Arial"/>
          <w:sz w:val="18"/>
          <w:szCs w:val="18"/>
          <w:color w:val="4C4C4C"/>
        </w:rPr>
      </w:pPr>
      <w:r>
        <w:rPr>
          <w:rFonts w:ascii="Arial" w:cs="Arial" w:eastAsia="Arial" w:hAnsi="Arial"/>
          <w:sz w:val="18"/>
          <w:szCs w:val="18"/>
          <w:color w:val="4C4C4C"/>
        </w:rPr>
        <w:t>Election of three Class I director nominees to our Board to serve until the 2029 Annual Meeting of Stockholders (“Proposal 1”);</w:t>
      </w:r>
    </w:p>
    <w:p>
      <w:pPr>
        <w:spacing w:after="0" w:line="150" w:lineRule="exact"/>
        <w:rPr>
          <w:rFonts w:ascii="Arial" w:cs="Arial" w:eastAsia="Arial" w:hAnsi="Arial"/>
          <w:sz w:val="18"/>
          <w:szCs w:val="18"/>
          <w:color w:val="4C4C4C"/>
        </w:rPr>
      </w:pPr>
    </w:p>
    <w:p>
      <w:pPr>
        <w:jc w:val="both"/>
        <w:ind w:left="1980" w:right="779" w:hanging="360"/>
        <w:spacing w:after="0" w:line="259" w:lineRule="auto"/>
        <w:tabs>
          <w:tab w:leader="none" w:pos="1980" w:val="left"/>
        </w:tabs>
        <w:numPr>
          <w:ilvl w:val="1"/>
          <w:numId w:val="8"/>
        </w:numPr>
        <w:rPr>
          <w:rFonts w:ascii="Arial" w:cs="Arial" w:eastAsia="Arial" w:hAnsi="Arial"/>
          <w:sz w:val="18"/>
          <w:szCs w:val="18"/>
          <w:color w:val="4C4C4C"/>
        </w:rPr>
      </w:pPr>
      <w:r>
        <w:rPr>
          <w:rFonts w:ascii="Arial" w:cs="Arial" w:eastAsia="Arial" w:hAnsi="Arial"/>
          <w:sz w:val="18"/>
          <w:szCs w:val="18"/>
          <w:color w:val="4C4C4C"/>
        </w:rPr>
        <w:t>Ratification of the appointment of Deloitte &amp; Touche LLP as our independent registered public accounting firm for the fiscal year ending December 31, 2026 (“Proposal 2”); and</w:t>
      </w:r>
    </w:p>
    <w:p>
      <w:pPr>
        <w:spacing w:after="0" w:line="160" w:lineRule="exact"/>
        <w:rPr>
          <w:rFonts w:ascii="Arial" w:cs="Arial" w:eastAsia="Arial" w:hAnsi="Arial"/>
          <w:sz w:val="18"/>
          <w:szCs w:val="18"/>
          <w:color w:val="4C4C4C"/>
        </w:rPr>
      </w:pPr>
    </w:p>
    <w:p>
      <w:pPr>
        <w:ind w:left="1980" w:right="1059" w:hanging="360"/>
        <w:spacing w:after="0" w:line="259" w:lineRule="auto"/>
        <w:tabs>
          <w:tab w:leader="none" w:pos="1980" w:val="left"/>
        </w:tabs>
        <w:numPr>
          <w:ilvl w:val="1"/>
          <w:numId w:val="8"/>
        </w:numPr>
        <w:rPr>
          <w:rFonts w:ascii="Arial" w:cs="Arial" w:eastAsia="Arial" w:hAnsi="Arial"/>
          <w:sz w:val="18"/>
          <w:szCs w:val="18"/>
          <w:color w:val="4C4C4C"/>
        </w:rPr>
      </w:pPr>
      <w:r>
        <w:rPr>
          <w:rFonts w:ascii="Arial" w:cs="Arial" w:eastAsia="Arial" w:hAnsi="Arial"/>
          <w:sz w:val="18"/>
          <w:szCs w:val="18"/>
          <w:color w:val="4C4C4C"/>
        </w:rPr>
        <w:t>An advisory (non-binding) vote to approve the compensation of our named executive officers (“Proposal 3”).</w:t>
      </w:r>
    </w:p>
    <w:p>
      <w:pPr>
        <w:sectPr>
          <w:pgSz w:w="11900" w:h="16838" w:orient="portrait"/>
          <w:cols w:equalWidth="0" w:num="1">
            <w:col w:w="9879"/>
          </w:cols>
          <w:pgMar w:left="580" w:top="97" w:right="1440" w:bottom="1440" w:gutter="0" w:footer="0" w:header="0"/>
        </w:sectPr>
      </w:pPr>
    </w:p>
    <w:p>
      <w:pPr>
        <w:spacing w:after="0" w:line="380" w:lineRule="exact"/>
        <w:rPr>
          <w:sz w:val="20"/>
          <w:szCs w:val="20"/>
          <w:color w:val="auto"/>
        </w:rPr>
      </w:pPr>
    </w:p>
    <w:p>
      <w:pPr>
        <w:ind w:left="5980"/>
        <w:spacing w:after="0"/>
        <w:tabs>
          <w:tab w:leader="none" w:pos="93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3"/>
          <w:szCs w:val="13"/>
          <w:color w:val="4C4C4C"/>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QUESTIONS AND ANSWERS ABOUT THE ANNUAL MEETING</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90" w:lineRule="exact"/>
        <w:rPr>
          <w:sz w:val="20"/>
          <w:szCs w:val="20"/>
          <w:color w:val="auto"/>
        </w:rPr>
      </w:pPr>
    </w:p>
    <w:p>
      <w:pPr>
        <w:ind w:left="1620" w:right="419"/>
        <w:spacing w:after="0" w:line="244" w:lineRule="auto"/>
        <w:rPr>
          <w:sz w:val="20"/>
          <w:szCs w:val="20"/>
          <w:color w:val="auto"/>
        </w:rPr>
      </w:pPr>
      <w:r>
        <w:rPr>
          <w:rFonts w:ascii="Arial" w:cs="Arial" w:eastAsia="Arial" w:hAnsi="Arial"/>
          <w:sz w:val="18"/>
          <w:szCs w:val="18"/>
          <w:color w:val="4C4C4C"/>
        </w:rPr>
        <w:t>We will also consider any other business that properly comes before the Annual Meeting. As of the date hereof, we are not aware of any other matters to be submitted for consideration at the Annual Meeting. If any other matters are properly brought before the Annual Meeting, the persons named in the enclosed proxy card or voter instruction card will vote the shares they represent using their best judgment.</w:t>
      </w:r>
    </w:p>
    <w:p>
      <w:pPr>
        <w:spacing w:after="0" w:line="187"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 xml:space="preserve">Q: What is the quorum requirement for the Annual </w:t>
      </w:r>
      <w:r>
        <w:rPr>
          <w:rFonts w:ascii="Arial" w:cs="Arial" w:eastAsia="Arial" w:hAnsi="Arial"/>
          <w:sz w:val="20"/>
          <w:szCs w:val="20"/>
          <w:b w:val="1"/>
          <w:bCs w:val="1"/>
          <w:color w:val="346094"/>
        </w:rPr>
        <w:t>M</w:t>
      </w:r>
      <w:r>
        <w:rPr>
          <w:rFonts w:ascii="Trebuchet MS" w:cs="Trebuchet MS" w:eastAsia="Trebuchet MS" w:hAnsi="Trebuchet MS"/>
          <w:sz w:val="22"/>
          <w:szCs w:val="22"/>
          <w:b w:val="1"/>
          <w:bCs w:val="1"/>
          <w:color w:val="346094"/>
        </w:rPr>
        <w:t>eeting?</w:t>
      </w:r>
    </w:p>
    <w:p>
      <w:pPr>
        <w:spacing w:after="0" w:line="205" w:lineRule="exact"/>
        <w:rPr>
          <w:sz w:val="20"/>
          <w:szCs w:val="20"/>
          <w:color w:val="auto"/>
        </w:rPr>
      </w:pPr>
    </w:p>
    <w:p>
      <w:pPr>
        <w:ind w:left="1620" w:right="439" w:hanging="360"/>
        <w:spacing w:after="0" w:line="258" w:lineRule="auto"/>
        <w:tabs>
          <w:tab w:leader="none" w:pos="1620" w:val="left"/>
        </w:tabs>
        <w:numPr>
          <w:ilvl w:val="0"/>
          <w:numId w:val="9"/>
        </w:numPr>
        <w:rPr>
          <w:rFonts w:ascii="Trebuchet MS" w:cs="Trebuchet MS" w:eastAsia="Trebuchet MS" w:hAnsi="Trebuchet MS"/>
          <w:sz w:val="18"/>
          <w:szCs w:val="18"/>
          <w:b w:val="1"/>
          <w:bCs w:val="1"/>
          <w:color w:val="4C4C4C"/>
        </w:rPr>
      </w:pPr>
      <w:r>
        <w:rPr>
          <w:rFonts w:ascii="Arial" w:cs="Arial" w:eastAsia="Arial" w:hAnsi="Arial"/>
          <w:sz w:val="18"/>
          <w:szCs w:val="18"/>
          <w:color w:val="4C4C4C"/>
        </w:rPr>
        <w:t>A quorum of stockholders is necessary to hold a valid meeting of stockholders. A quorum will be present if the holders of one-third (1/3) of our stock issued and outstanding and entitled to vote at the meeting are present in person, including by means of remote communication, or represented by proxy at the Annual Meeting. At the close of business on the Record Date, there were 242,882,393 shares of common stock outstanding. Thus, a total of 242,882,393 shares are entitled to vote at the Annual Meeting and holders of common stock representing at least 80,960,798 votes must be represented at the Annual Meeting in person, including by means of remote communication, or by proxy to have a quorum. The inspector of elections appointed for the Annual Meeting by our Board will count the shares represented in person, including by means of remote communication, or by proxy at the Annual Meeting to determine whether or not a quorum is present.</w:t>
      </w:r>
    </w:p>
    <w:p>
      <w:pPr>
        <w:spacing w:after="0" w:line="170" w:lineRule="exact"/>
        <w:rPr>
          <w:rFonts w:ascii="Trebuchet MS" w:cs="Trebuchet MS" w:eastAsia="Trebuchet MS" w:hAnsi="Trebuchet MS"/>
          <w:sz w:val="18"/>
          <w:szCs w:val="18"/>
          <w:b w:val="1"/>
          <w:bCs w:val="1"/>
          <w:color w:val="4C4C4C"/>
        </w:rPr>
      </w:pPr>
    </w:p>
    <w:p>
      <w:pPr>
        <w:ind w:left="1620"/>
        <w:spacing w:after="0"/>
        <w:rPr>
          <w:rFonts w:ascii="Trebuchet MS" w:cs="Trebuchet MS" w:eastAsia="Trebuchet MS" w:hAnsi="Trebuchet MS"/>
          <w:sz w:val="18"/>
          <w:szCs w:val="18"/>
          <w:b w:val="1"/>
          <w:bCs w:val="1"/>
          <w:color w:val="4C4C4C"/>
        </w:rPr>
      </w:pPr>
      <w:r>
        <w:rPr>
          <w:rFonts w:ascii="Arial" w:cs="Arial" w:eastAsia="Arial" w:hAnsi="Arial"/>
          <w:sz w:val="18"/>
          <w:szCs w:val="18"/>
          <w:color w:val="4C4C4C"/>
        </w:rPr>
        <w:t>Your shares will be counted as present at the Annual Meeting if you:</w:t>
      </w:r>
    </w:p>
    <w:p>
      <w:pPr>
        <w:spacing w:after="0" w:line="117" w:lineRule="exact"/>
        <w:rPr>
          <w:rFonts w:ascii="Trebuchet MS" w:cs="Trebuchet MS" w:eastAsia="Trebuchet MS" w:hAnsi="Trebuchet MS"/>
          <w:sz w:val="18"/>
          <w:szCs w:val="18"/>
          <w:b w:val="1"/>
          <w:bCs w:val="1"/>
          <w:color w:val="4C4C4C"/>
        </w:rPr>
      </w:pPr>
    </w:p>
    <w:p>
      <w:pPr>
        <w:ind w:left="2160" w:hanging="180"/>
        <w:spacing w:after="0"/>
        <w:tabs>
          <w:tab w:leader="none" w:pos="2160" w:val="left"/>
        </w:tabs>
        <w:numPr>
          <w:ilvl w:val="1"/>
          <w:numId w:val="9"/>
        </w:numPr>
        <w:rPr>
          <w:rFonts w:ascii="Arial" w:cs="Arial" w:eastAsia="Arial" w:hAnsi="Arial"/>
          <w:sz w:val="18"/>
          <w:szCs w:val="18"/>
          <w:color w:val="4C4C4C"/>
        </w:rPr>
      </w:pPr>
      <w:r>
        <w:rPr>
          <w:rFonts w:ascii="Arial" w:cs="Arial" w:eastAsia="Arial" w:hAnsi="Arial"/>
          <w:sz w:val="18"/>
          <w:szCs w:val="18"/>
          <w:color w:val="4C4C4C"/>
        </w:rPr>
        <w:t>are present and entitled to vote electronically at the Annual Meeting; or</w:t>
      </w:r>
    </w:p>
    <w:p>
      <w:pPr>
        <w:spacing w:after="0" w:line="101" w:lineRule="exact"/>
        <w:rPr>
          <w:rFonts w:ascii="Arial" w:cs="Arial" w:eastAsia="Arial" w:hAnsi="Arial"/>
          <w:sz w:val="18"/>
          <w:szCs w:val="18"/>
          <w:color w:val="4C4C4C"/>
        </w:rPr>
      </w:pPr>
    </w:p>
    <w:p>
      <w:pPr>
        <w:ind w:left="2160" w:right="899" w:hanging="180"/>
        <w:spacing w:after="0" w:line="259" w:lineRule="auto"/>
        <w:tabs>
          <w:tab w:leader="none" w:pos="2160" w:val="left"/>
        </w:tabs>
        <w:numPr>
          <w:ilvl w:val="1"/>
          <w:numId w:val="9"/>
        </w:numPr>
        <w:rPr>
          <w:rFonts w:ascii="Arial" w:cs="Arial" w:eastAsia="Arial" w:hAnsi="Arial"/>
          <w:sz w:val="18"/>
          <w:szCs w:val="18"/>
          <w:color w:val="4C4C4C"/>
        </w:rPr>
      </w:pPr>
      <w:r>
        <w:rPr>
          <w:rFonts w:ascii="Arial" w:cs="Arial" w:eastAsia="Arial" w:hAnsi="Arial"/>
          <w:sz w:val="18"/>
          <w:szCs w:val="18"/>
          <w:color w:val="4C4C4C"/>
        </w:rPr>
        <w:t>have voted over the Internet or by telephone, or properly submitted a proxy card or voting instruction card.</w:t>
      </w:r>
    </w:p>
    <w:p>
      <w:pPr>
        <w:spacing w:after="0" w:line="147" w:lineRule="exact"/>
        <w:rPr>
          <w:sz w:val="20"/>
          <w:szCs w:val="20"/>
          <w:color w:val="auto"/>
        </w:rPr>
      </w:pPr>
    </w:p>
    <w:p>
      <w:pPr>
        <w:ind w:left="1620" w:right="459"/>
        <w:spacing w:after="0" w:line="245" w:lineRule="auto"/>
        <w:rPr>
          <w:sz w:val="20"/>
          <w:szCs w:val="20"/>
          <w:color w:val="auto"/>
        </w:rPr>
      </w:pPr>
      <w:r>
        <w:rPr>
          <w:rFonts w:ascii="Arial" w:cs="Arial" w:eastAsia="Arial" w:hAnsi="Arial"/>
          <w:sz w:val="18"/>
          <w:szCs w:val="18"/>
          <w:color w:val="4C4C4C"/>
        </w:rPr>
        <w:t>Both abstentions and broker non-votes (as described below) will be included in the calculation of the number of shares considered to be present at the Annual Meeting for the purpose of determining the presence of a quorum. In the event that we are unable to obtain a quorum, the chairperson of the Annual Meeting or the holders of a majority in voting power of the shares present in person, including by means of remote communication, or represented by proxy at the Annual Meeting may adjourn the Annual Meeting to another date.</w:t>
      </w:r>
    </w:p>
    <w:p>
      <w:pPr>
        <w:spacing w:after="0" w:line="175"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 xml:space="preserve">Q: How are votes counted at the Annual </w:t>
      </w:r>
      <w:r>
        <w:rPr>
          <w:rFonts w:ascii="Arial" w:cs="Arial" w:eastAsia="Arial" w:hAnsi="Arial"/>
          <w:sz w:val="20"/>
          <w:szCs w:val="20"/>
          <w:b w:val="1"/>
          <w:bCs w:val="1"/>
          <w:color w:val="346094"/>
        </w:rPr>
        <w:t>M</w:t>
      </w:r>
      <w:r>
        <w:rPr>
          <w:rFonts w:ascii="Trebuchet MS" w:cs="Trebuchet MS" w:eastAsia="Trebuchet MS" w:hAnsi="Trebuchet MS"/>
          <w:sz w:val="22"/>
          <w:szCs w:val="22"/>
          <w:b w:val="1"/>
          <w:bCs w:val="1"/>
          <w:color w:val="346094"/>
        </w:rPr>
        <w:t>eeting?</w:t>
      </w:r>
    </w:p>
    <w:p>
      <w:pPr>
        <w:spacing w:after="0" w:line="205" w:lineRule="exact"/>
        <w:rPr>
          <w:sz w:val="20"/>
          <w:szCs w:val="20"/>
          <w:color w:val="auto"/>
        </w:rPr>
      </w:pPr>
    </w:p>
    <w:p>
      <w:pPr>
        <w:jc w:val="both"/>
        <w:ind w:left="1620" w:right="659" w:hanging="360"/>
        <w:spacing w:after="0" w:line="253" w:lineRule="auto"/>
        <w:tabs>
          <w:tab w:leader="none" w:pos="1620" w:val="left"/>
        </w:tabs>
        <w:numPr>
          <w:ilvl w:val="0"/>
          <w:numId w:val="10"/>
        </w:numPr>
        <w:rPr>
          <w:rFonts w:ascii="Trebuchet MS" w:cs="Trebuchet MS" w:eastAsia="Trebuchet MS" w:hAnsi="Trebuchet MS"/>
          <w:sz w:val="18"/>
          <w:szCs w:val="18"/>
          <w:b w:val="1"/>
          <w:bCs w:val="1"/>
          <w:color w:val="4C4C4C"/>
        </w:rPr>
      </w:pPr>
      <w:r>
        <w:rPr>
          <w:rFonts w:ascii="Arial" w:cs="Arial" w:eastAsia="Arial" w:hAnsi="Arial"/>
          <w:sz w:val="18"/>
          <w:szCs w:val="18"/>
          <w:color w:val="4C4C4C"/>
        </w:rPr>
        <w:t>In the election of directors (Proposal 1), you may vote “FOR” all of the nominees or your vote may be “WITHHELD” with respect to one or more of the nominees. For Proposal Nos. 2 and 3, you may vote “FOR,” “AGAINST” or “ABSTAIN.”</w:t>
      </w:r>
    </w:p>
    <w:p>
      <w:pPr>
        <w:spacing w:after="0" w:line="153" w:lineRule="exact"/>
        <w:rPr>
          <w:rFonts w:ascii="Trebuchet MS" w:cs="Trebuchet MS" w:eastAsia="Trebuchet MS" w:hAnsi="Trebuchet MS"/>
          <w:sz w:val="18"/>
          <w:szCs w:val="18"/>
          <w:b w:val="1"/>
          <w:bCs w:val="1"/>
          <w:color w:val="4C4C4C"/>
        </w:rPr>
      </w:pPr>
    </w:p>
    <w:p>
      <w:pPr>
        <w:ind w:left="1620" w:right="479"/>
        <w:spacing w:after="0" w:line="244" w:lineRule="auto"/>
        <w:rPr>
          <w:rFonts w:ascii="Trebuchet MS" w:cs="Trebuchet MS" w:eastAsia="Trebuchet MS" w:hAnsi="Trebuchet MS"/>
          <w:sz w:val="18"/>
          <w:szCs w:val="18"/>
          <w:b w:val="1"/>
          <w:bCs w:val="1"/>
          <w:color w:val="4C4C4C"/>
        </w:rPr>
      </w:pPr>
      <w:r>
        <w:rPr>
          <w:rFonts w:ascii="Arial" w:cs="Arial" w:eastAsia="Arial" w:hAnsi="Arial"/>
          <w:sz w:val="18"/>
          <w:szCs w:val="18"/>
          <w:color w:val="4C4C4C"/>
        </w:rPr>
        <w:t>If you provide specific instructions in your proxy card or voting instruction card with regard to a certain item, your shares will be voted as you instruct on such items. If you are a stockholder of record and you sign and return your proxy card without giving specific instructions, your shares will be voted in accordance with the recommendations of the Board. See “What are the recommendations of the Board?” below.</w:t>
      </w:r>
    </w:p>
    <w:p>
      <w:pPr>
        <w:spacing w:after="0" w:line="188" w:lineRule="exact"/>
        <w:rPr>
          <w:sz w:val="20"/>
          <w:szCs w:val="20"/>
          <w:color w:val="auto"/>
        </w:rPr>
      </w:pPr>
    </w:p>
    <w:p>
      <w:pPr>
        <w:ind w:left="1620" w:right="1359" w:hanging="360"/>
        <w:spacing w:after="0" w:line="257" w:lineRule="auto"/>
        <w:tabs>
          <w:tab w:leader="none" w:pos="1620" w:val="left"/>
        </w:tabs>
        <w:numPr>
          <w:ilvl w:val="0"/>
          <w:numId w:val="11"/>
        </w:numPr>
        <w:rPr>
          <w:rFonts w:ascii="Trebuchet MS" w:cs="Trebuchet MS" w:eastAsia="Trebuchet MS" w:hAnsi="Trebuchet MS"/>
          <w:sz w:val="22"/>
          <w:szCs w:val="22"/>
          <w:b w:val="1"/>
          <w:bCs w:val="1"/>
          <w:color w:val="346094"/>
        </w:rPr>
      </w:pPr>
      <w:r>
        <w:rPr>
          <w:rFonts w:ascii="Trebuchet MS" w:cs="Trebuchet MS" w:eastAsia="Trebuchet MS" w:hAnsi="Trebuchet MS"/>
          <w:sz w:val="22"/>
          <w:szCs w:val="22"/>
          <w:b w:val="1"/>
          <w:bCs w:val="1"/>
          <w:color w:val="346094"/>
        </w:rPr>
        <w:t xml:space="preserve">What votes are required to elect directors and to approve the other proposals at the Annual </w:t>
      </w:r>
      <w:r>
        <w:rPr>
          <w:rFonts w:ascii="Arial" w:cs="Arial" w:eastAsia="Arial" w:hAnsi="Arial"/>
          <w:sz w:val="20"/>
          <w:szCs w:val="20"/>
          <w:b w:val="1"/>
          <w:bCs w:val="1"/>
          <w:color w:val="346094"/>
        </w:rPr>
        <w:t>M</w:t>
      </w:r>
      <w:r>
        <w:rPr>
          <w:rFonts w:ascii="Trebuchet MS" w:cs="Trebuchet MS" w:eastAsia="Trebuchet MS" w:hAnsi="Trebuchet MS"/>
          <w:sz w:val="22"/>
          <w:szCs w:val="22"/>
          <w:b w:val="1"/>
          <w:bCs w:val="1"/>
          <w:color w:val="346094"/>
        </w:rPr>
        <w:t>eeting?</w:t>
      </w:r>
    </w:p>
    <w:p>
      <w:pPr>
        <w:spacing w:after="0" w:line="156" w:lineRule="exact"/>
        <w:rPr>
          <w:sz w:val="20"/>
          <w:szCs w:val="20"/>
          <w:color w:val="auto"/>
        </w:rPr>
      </w:pPr>
    </w:p>
    <w:p>
      <w:pPr>
        <w:ind w:left="1620" w:right="439" w:hanging="360"/>
        <w:spacing w:after="0" w:line="252" w:lineRule="auto"/>
        <w:tabs>
          <w:tab w:leader="none" w:pos="1620" w:val="left"/>
        </w:tabs>
        <w:numPr>
          <w:ilvl w:val="0"/>
          <w:numId w:val="12"/>
        </w:numPr>
        <w:rPr>
          <w:rFonts w:ascii="Trebuchet MS" w:cs="Trebuchet MS" w:eastAsia="Trebuchet MS" w:hAnsi="Trebuchet MS"/>
          <w:sz w:val="18"/>
          <w:szCs w:val="18"/>
          <w:b w:val="1"/>
          <w:bCs w:val="1"/>
          <w:color w:val="4C4C4C"/>
        </w:rPr>
      </w:pPr>
      <w:r>
        <w:rPr>
          <w:rFonts w:ascii="Arial" w:cs="Arial" w:eastAsia="Arial" w:hAnsi="Arial"/>
          <w:sz w:val="18"/>
          <w:szCs w:val="18"/>
          <w:color w:val="4C4C4C"/>
        </w:rPr>
        <w:t>For Proposal 1, the election of directors, members of the Board are elected by a plurality of the votes cast. Accordingly, the three candidates who receive the greatest number of votes “FOR” will be elected as a director. “WITHHOLD” votes and broker non-votes will have no effect on the outcome of this proposal. Cumulative voting is not permitted for the election of directors.</w:t>
      </w:r>
    </w:p>
    <w:p>
      <w:pPr>
        <w:spacing w:after="0" w:line="168" w:lineRule="exact"/>
        <w:rPr>
          <w:rFonts w:ascii="Trebuchet MS" w:cs="Trebuchet MS" w:eastAsia="Trebuchet MS" w:hAnsi="Trebuchet MS"/>
          <w:sz w:val="18"/>
          <w:szCs w:val="18"/>
          <w:b w:val="1"/>
          <w:bCs w:val="1"/>
          <w:color w:val="4C4C4C"/>
        </w:rPr>
      </w:pPr>
    </w:p>
    <w:p>
      <w:pPr>
        <w:ind w:left="1620" w:right="519"/>
        <w:spacing w:after="0" w:line="241" w:lineRule="auto"/>
        <w:rPr>
          <w:rFonts w:ascii="Trebuchet MS" w:cs="Trebuchet MS" w:eastAsia="Trebuchet MS" w:hAnsi="Trebuchet MS"/>
          <w:sz w:val="18"/>
          <w:szCs w:val="18"/>
          <w:b w:val="1"/>
          <w:bCs w:val="1"/>
          <w:color w:val="4C4C4C"/>
        </w:rPr>
      </w:pPr>
      <w:r>
        <w:rPr>
          <w:rFonts w:ascii="Arial" w:cs="Arial" w:eastAsia="Arial" w:hAnsi="Arial"/>
          <w:sz w:val="18"/>
          <w:szCs w:val="18"/>
          <w:color w:val="4C4C4C"/>
        </w:rPr>
        <w:t>Proposal 2, the ratification of our independent registered public accounting firm, requires the affirmative vote of the holders of a majority of the votes cast by the holders of our stock which are entitled to vote on the question and are present in person, including by means of remote communication, or represented by proxy. Abstentions and broker non-votes will have no effect on the outcome of this proposal.</w:t>
      </w:r>
    </w:p>
    <w:p>
      <w:pPr>
        <w:spacing w:after="0" w:line="395" w:lineRule="exact"/>
        <w:rPr>
          <w:sz w:val="20"/>
          <w:szCs w:val="20"/>
          <w:color w:val="auto"/>
        </w:rPr>
      </w:pPr>
    </w:p>
    <w:p>
      <w:pPr>
        <w:ind w:left="1680" w:hanging="420"/>
        <w:spacing w:after="0"/>
        <w:tabs>
          <w:tab w:leader="none" w:pos="1680" w:val="left"/>
        </w:tabs>
        <w:numPr>
          <w:ilvl w:val="0"/>
          <w:numId w:val="13"/>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5780"/>
        <w:spacing w:after="0"/>
        <w:rPr>
          <w:sz w:val="20"/>
          <w:szCs w:val="20"/>
          <w:color w:val="auto"/>
        </w:rPr>
      </w:pPr>
      <w:r>
        <w:rPr>
          <w:rFonts w:ascii="Arial" w:cs="Arial" w:eastAsia="Arial" w:hAnsi="Arial"/>
          <w:sz w:val="12"/>
          <w:szCs w:val="12"/>
          <w:color w:val="346094"/>
        </w:rPr>
        <w:t>QUESTIONS AND ANSWERS ABOUT THE ANNUAL MEETING</w:t>
      </w:r>
    </w:p>
    <w:p>
      <w:pPr>
        <w:spacing w:after="0" w:line="33"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620" w:right="559"/>
        <w:spacing w:after="0" w:line="252" w:lineRule="auto"/>
        <w:rPr>
          <w:sz w:val="20"/>
          <w:szCs w:val="20"/>
          <w:color w:val="auto"/>
        </w:rPr>
      </w:pPr>
      <w:r>
        <w:rPr>
          <w:rFonts w:ascii="Arial" w:cs="Arial" w:eastAsia="Arial" w:hAnsi="Arial"/>
          <w:sz w:val="18"/>
          <w:szCs w:val="18"/>
          <w:color w:val="4C4C4C"/>
        </w:rPr>
        <w:t>Proposal 3, the advisory (non-binding) vote on the compensation of our named executive officers, requires the affirmative vote of the holders of a majority of the votes cast by the holders of our stock which are entitled to vote on the question and are present in person, including by means of remote communication, or represented by proxy. Abstentions and broker non-votes will have no effect on the outcome of this proposal.</w:t>
      </w:r>
    </w:p>
    <w:p>
      <w:pPr>
        <w:spacing w:after="0" w:line="181"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Q: Which ballot measures are considered “routine” or “non-routine?”</w:t>
      </w:r>
    </w:p>
    <w:p>
      <w:pPr>
        <w:spacing w:after="0" w:line="205" w:lineRule="exact"/>
        <w:rPr>
          <w:sz w:val="20"/>
          <w:szCs w:val="20"/>
          <w:color w:val="auto"/>
        </w:rPr>
      </w:pPr>
    </w:p>
    <w:p>
      <w:pPr>
        <w:ind w:left="1620" w:right="559" w:hanging="360"/>
        <w:spacing w:after="0" w:line="252" w:lineRule="auto"/>
        <w:tabs>
          <w:tab w:leader="none" w:pos="1620" w:val="left"/>
        </w:tabs>
        <w:numPr>
          <w:ilvl w:val="0"/>
          <w:numId w:val="14"/>
        </w:numPr>
        <w:rPr>
          <w:rFonts w:ascii="Trebuchet MS" w:cs="Trebuchet MS" w:eastAsia="Trebuchet MS" w:hAnsi="Trebuchet MS"/>
          <w:sz w:val="18"/>
          <w:szCs w:val="18"/>
          <w:b w:val="1"/>
          <w:bCs w:val="1"/>
          <w:color w:val="4C4C4C"/>
        </w:rPr>
      </w:pPr>
      <w:r>
        <w:rPr>
          <w:rFonts w:ascii="Arial" w:cs="Arial" w:eastAsia="Arial" w:hAnsi="Arial"/>
          <w:sz w:val="18"/>
          <w:szCs w:val="18"/>
          <w:color w:val="4C4C4C"/>
        </w:rPr>
        <w:t>Proposal 2, regarding the ratification of the appointment of Deloitte &amp; Touche LLP as our independent registered public accounting firm for the fiscal year ending December 31, 2026, is considered a routine matter under applicable rules. Brokers have discretion to vote shares on routine matters, but not on non-routine matters.</w:t>
      </w:r>
    </w:p>
    <w:p>
      <w:pPr>
        <w:spacing w:after="0" w:line="181" w:lineRule="exact"/>
        <w:rPr>
          <w:rFonts w:ascii="Trebuchet MS" w:cs="Trebuchet MS" w:eastAsia="Trebuchet MS" w:hAnsi="Trebuchet MS"/>
          <w:sz w:val="18"/>
          <w:szCs w:val="18"/>
          <w:b w:val="1"/>
          <w:bCs w:val="1"/>
          <w:color w:val="4C4C4C"/>
        </w:rPr>
      </w:pPr>
    </w:p>
    <w:p>
      <w:pPr>
        <w:ind w:left="1620" w:right="539"/>
        <w:spacing w:after="0" w:line="252" w:lineRule="auto"/>
        <w:rPr>
          <w:rFonts w:ascii="Trebuchet MS" w:cs="Trebuchet MS" w:eastAsia="Trebuchet MS" w:hAnsi="Trebuchet MS"/>
          <w:sz w:val="18"/>
          <w:szCs w:val="18"/>
          <w:b w:val="1"/>
          <w:bCs w:val="1"/>
          <w:color w:val="4C4C4C"/>
        </w:rPr>
      </w:pPr>
      <w:r>
        <w:rPr>
          <w:rFonts w:ascii="Arial" w:cs="Arial" w:eastAsia="Arial" w:hAnsi="Arial"/>
          <w:sz w:val="18"/>
          <w:szCs w:val="18"/>
          <w:color w:val="4C4C4C"/>
        </w:rPr>
        <w:t>Proposal 1, regarding the election of directors and Proposal 3, the advisory vote to approve the compensation of our named executive officers, are generally considered non-routine matters under applicable rules. As noted above, a broker, bank or other agent cannot vote without instructions on non-routine matters, and therefore there may be broker non-votes on Proposals 1 and 3.</w:t>
      </w:r>
    </w:p>
    <w:p>
      <w:pPr>
        <w:spacing w:after="0" w:line="168" w:lineRule="exact"/>
        <w:rPr>
          <w:rFonts w:ascii="Trebuchet MS" w:cs="Trebuchet MS" w:eastAsia="Trebuchet MS" w:hAnsi="Trebuchet MS"/>
          <w:sz w:val="18"/>
          <w:szCs w:val="18"/>
          <w:b w:val="1"/>
          <w:bCs w:val="1"/>
          <w:color w:val="4C4C4C"/>
        </w:rPr>
      </w:pPr>
    </w:p>
    <w:p>
      <w:pPr>
        <w:ind w:left="1620" w:right="519"/>
        <w:spacing w:after="0" w:line="253" w:lineRule="auto"/>
        <w:rPr>
          <w:rFonts w:ascii="Trebuchet MS" w:cs="Trebuchet MS" w:eastAsia="Trebuchet MS" w:hAnsi="Trebuchet MS"/>
          <w:sz w:val="18"/>
          <w:szCs w:val="18"/>
          <w:b w:val="1"/>
          <w:bCs w:val="1"/>
          <w:color w:val="4C4C4C"/>
        </w:rPr>
      </w:pPr>
      <w:r>
        <w:rPr>
          <w:rFonts w:ascii="Arial" w:cs="Arial" w:eastAsia="Arial" w:hAnsi="Arial"/>
          <w:sz w:val="18"/>
          <w:szCs w:val="18"/>
          <w:color w:val="4C4C4C"/>
        </w:rPr>
        <w:t>If you hold your shares in street name and you do not instruct your bank, broker, or other agent how to vote your shares on Proposal Nos. 1 and 3, no votes will be cast on your behalf on each of Proposal Nos. 1 and 3. Therefore, it is critical that you indicate your vote on those proposals if you want your vote to be counted.</w:t>
      </w:r>
    </w:p>
    <w:p>
      <w:pPr>
        <w:spacing w:after="0" w:line="179"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Q: What are the recommendations of the Board?</w:t>
      </w:r>
    </w:p>
    <w:p>
      <w:pPr>
        <w:spacing w:after="0" w:line="205" w:lineRule="exact"/>
        <w:rPr>
          <w:sz w:val="20"/>
          <w:szCs w:val="20"/>
          <w:color w:val="auto"/>
        </w:rPr>
      </w:pPr>
    </w:p>
    <w:p>
      <w:pPr>
        <w:ind w:left="1620" w:hanging="360"/>
        <w:spacing w:after="0"/>
        <w:tabs>
          <w:tab w:leader="none" w:pos="1620" w:val="left"/>
        </w:tabs>
        <w:numPr>
          <w:ilvl w:val="0"/>
          <w:numId w:val="15"/>
        </w:numPr>
        <w:rPr>
          <w:rFonts w:ascii="Trebuchet MS" w:cs="Trebuchet MS" w:eastAsia="Trebuchet MS" w:hAnsi="Trebuchet MS"/>
          <w:sz w:val="18"/>
          <w:szCs w:val="18"/>
          <w:b w:val="1"/>
          <w:bCs w:val="1"/>
          <w:color w:val="4C4C4C"/>
        </w:rPr>
      </w:pPr>
      <w:r>
        <w:rPr>
          <w:rFonts w:ascii="Arial" w:cs="Arial" w:eastAsia="Arial" w:hAnsi="Arial"/>
          <w:sz w:val="18"/>
          <w:szCs w:val="18"/>
          <w:color w:val="4C4C4C"/>
        </w:rPr>
        <w:t>The Board recommends that you vote as follows:</w:t>
      </w:r>
    </w:p>
    <w:p>
      <w:pPr>
        <w:spacing w:after="0" w:line="114" w:lineRule="exact"/>
        <w:rPr>
          <w:rFonts w:ascii="Trebuchet MS" w:cs="Trebuchet MS" w:eastAsia="Trebuchet MS" w:hAnsi="Trebuchet MS"/>
          <w:sz w:val="18"/>
          <w:szCs w:val="18"/>
          <w:b w:val="1"/>
          <w:bCs w:val="1"/>
          <w:color w:val="4C4C4C"/>
        </w:rPr>
      </w:pPr>
    </w:p>
    <w:p>
      <w:pPr>
        <w:ind w:left="2160" w:hanging="180"/>
        <w:spacing w:after="0"/>
        <w:tabs>
          <w:tab w:leader="none" w:pos="2160" w:val="left"/>
        </w:tabs>
        <w:numPr>
          <w:ilvl w:val="1"/>
          <w:numId w:val="15"/>
        </w:numPr>
        <w:rPr>
          <w:rFonts w:ascii="Arial" w:cs="Arial" w:eastAsia="Arial" w:hAnsi="Arial"/>
          <w:sz w:val="18"/>
          <w:szCs w:val="18"/>
          <w:color w:val="4C4C4C"/>
        </w:rPr>
      </w:pPr>
      <w:r>
        <w:rPr>
          <w:rFonts w:ascii="Arial" w:cs="Arial" w:eastAsia="Arial" w:hAnsi="Arial"/>
          <w:sz w:val="18"/>
          <w:szCs w:val="18"/>
          <w:color w:val="4C4C4C"/>
        </w:rPr>
        <w:t>“FOR” each of the Class I director nominees to the Board (Proposal 1);</w:t>
      </w:r>
    </w:p>
    <w:p>
      <w:pPr>
        <w:spacing w:after="0" w:line="117" w:lineRule="exact"/>
        <w:rPr>
          <w:rFonts w:ascii="Arial" w:cs="Arial" w:eastAsia="Arial" w:hAnsi="Arial"/>
          <w:sz w:val="18"/>
          <w:szCs w:val="18"/>
          <w:color w:val="4C4C4C"/>
        </w:rPr>
      </w:pPr>
    </w:p>
    <w:p>
      <w:pPr>
        <w:ind w:left="2160" w:right="539" w:hanging="180"/>
        <w:spacing w:after="0" w:line="255" w:lineRule="auto"/>
        <w:tabs>
          <w:tab w:leader="none" w:pos="2160" w:val="left"/>
        </w:tabs>
        <w:numPr>
          <w:ilvl w:val="1"/>
          <w:numId w:val="15"/>
        </w:numPr>
        <w:rPr>
          <w:rFonts w:ascii="Arial" w:cs="Arial" w:eastAsia="Arial" w:hAnsi="Arial"/>
          <w:sz w:val="18"/>
          <w:szCs w:val="18"/>
          <w:color w:val="4C4C4C"/>
        </w:rPr>
      </w:pPr>
      <w:r>
        <w:rPr>
          <w:rFonts w:ascii="Arial" w:cs="Arial" w:eastAsia="Arial" w:hAnsi="Arial"/>
          <w:sz w:val="18"/>
          <w:szCs w:val="18"/>
          <w:color w:val="4C4C4C"/>
        </w:rPr>
        <w:t>“FOR” the ratification of the appointment of Deloitte &amp; Touche LLP as our independent registered public accounting firm for the fiscal year ending December 31, 2026 (Proposal 2); and</w:t>
      </w:r>
    </w:p>
    <w:p>
      <w:pPr>
        <w:spacing w:after="0" w:line="96" w:lineRule="exact"/>
        <w:rPr>
          <w:rFonts w:ascii="Arial" w:cs="Arial" w:eastAsia="Arial" w:hAnsi="Arial"/>
          <w:sz w:val="18"/>
          <w:szCs w:val="18"/>
          <w:color w:val="4C4C4C"/>
        </w:rPr>
      </w:pPr>
    </w:p>
    <w:p>
      <w:pPr>
        <w:ind w:left="2160" w:right="1079" w:hanging="180"/>
        <w:spacing w:after="0" w:line="259" w:lineRule="auto"/>
        <w:tabs>
          <w:tab w:leader="none" w:pos="2160" w:val="left"/>
        </w:tabs>
        <w:numPr>
          <w:ilvl w:val="1"/>
          <w:numId w:val="15"/>
        </w:numPr>
        <w:rPr>
          <w:rFonts w:ascii="Arial" w:cs="Arial" w:eastAsia="Arial" w:hAnsi="Arial"/>
          <w:sz w:val="18"/>
          <w:szCs w:val="18"/>
          <w:color w:val="4C4C4C"/>
        </w:rPr>
      </w:pPr>
      <w:r>
        <w:rPr>
          <w:rFonts w:ascii="Arial" w:cs="Arial" w:eastAsia="Arial" w:hAnsi="Arial"/>
          <w:sz w:val="18"/>
          <w:szCs w:val="18"/>
          <w:color w:val="4C4C4C"/>
        </w:rPr>
        <w:t>“FOR” the advisory (non-binding) vote to approve the compensation of our named executive officers (Proposal 3).</w:t>
      </w:r>
    </w:p>
    <w:p>
      <w:pPr>
        <w:spacing w:after="0" w:line="173" w:lineRule="exact"/>
        <w:rPr>
          <w:sz w:val="20"/>
          <w:szCs w:val="20"/>
          <w:color w:val="auto"/>
        </w:rPr>
      </w:pPr>
    </w:p>
    <w:p>
      <w:pPr>
        <w:jc w:val="center"/>
        <w:ind w:right="39"/>
        <w:spacing w:after="0"/>
        <w:rPr>
          <w:sz w:val="20"/>
          <w:szCs w:val="20"/>
          <w:color w:val="auto"/>
        </w:rPr>
      </w:pPr>
      <w:r>
        <w:rPr>
          <w:rFonts w:ascii="Trebuchet MS" w:cs="Trebuchet MS" w:eastAsia="Trebuchet MS" w:hAnsi="Trebuchet MS"/>
          <w:sz w:val="22"/>
          <w:szCs w:val="22"/>
          <w:b w:val="1"/>
          <w:bCs w:val="1"/>
          <w:color w:val="346094"/>
        </w:rPr>
        <w:t>Q: What does it mean if I receive more than one set of proxy materials?</w:t>
      </w:r>
    </w:p>
    <w:p>
      <w:pPr>
        <w:spacing w:after="0" w:line="205" w:lineRule="exact"/>
        <w:rPr>
          <w:sz w:val="20"/>
          <w:szCs w:val="20"/>
          <w:color w:val="auto"/>
        </w:rPr>
      </w:pPr>
    </w:p>
    <w:p>
      <w:pPr>
        <w:ind w:left="1620" w:right="539" w:hanging="360"/>
        <w:spacing w:after="0" w:line="251" w:lineRule="auto"/>
        <w:tabs>
          <w:tab w:leader="none" w:pos="1620" w:val="left"/>
        </w:tabs>
        <w:numPr>
          <w:ilvl w:val="0"/>
          <w:numId w:val="16"/>
        </w:numPr>
        <w:rPr>
          <w:rFonts w:ascii="Trebuchet MS" w:cs="Trebuchet MS" w:eastAsia="Trebuchet MS" w:hAnsi="Trebuchet MS"/>
          <w:sz w:val="18"/>
          <w:szCs w:val="18"/>
          <w:b w:val="1"/>
          <w:bCs w:val="1"/>
          <w:color w:val="4C4C4C"/>
        </w:rPr>
      </w:pPr>
      <w:r>
        <w:rPr>
          <w:rFonts w:ascii="Arial" w:cs="Arial" w:eastAsia="Arial" w:hAnsi="Arial"/>
          <w:sz w:val="18"/>
          <w:szCs w:val="18"/>
          <w:color w:val="4C4C4C"/>
        </w:rPr>
        <w:t>If you received more than one Notice (or full set of printed proxy materials), each containing a different control number, this means that you have multiple accounts holding shares of our common stock. These may include accounts with our transfer agent, Equiniti Trust Company LLC, and accounts with a broker, bank or other holder of record. Please vote all proxy cards for which you receive a Notice (or full set of printed proxy materials) to ensure that all of your shares are voted.</w:t>
      </w:r>
    </w:p>
    <w:p>
      <w:pPr>
        <w:spacing w:after="0" w:line="196"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Q: How can I get electronic access to the proxy materials?</w:t>
      </w:r>
    </w:p>
    <w:p>
      <w:pPr>
        <w:spacing w:after="0" w:line="205" w:lineRule="exact"/>
        <w:rPr>
          <w:sz w:val="20"/>
          <w:szCs w:val="20"/>
          <w:color w:val="auto"/>
        </w:rPr>
      </w:pPr>
    </w:p>
    <w:p>
      <w:pPr>
        <w:ind w:left="1620" w:right="799" w:hanging="360"/>
        <w:spacing w:after="0" w:line="253" w:lineRule="auto"/>
        <w:tabs>
          <w:tab w:leader="none" w:pos="1620" w:val="left"/>
        </w:tabs>
        <w:numPr>
          <w:ilvl w:val="0"/>
          <w:numId w:val="17"/>
        </w:numPr>
        <w:rPr>
          <w:rFonts w:ascii="Trebuchet MS" w:cs="Trebuchet MS" w:eastAsia="Trebuchet MS" w:hAnsi="Trebuchet MS"/>
          <w:sz w:val="18"/>
          <w:szCs w:val="18"/>
          <w:b w:val="1"/>
          <w:bCs w:val="1"/>
          <w:color w:val="4C4C4C"/>
        </w:rPr>
      </w:pPr>
      <w:r>
        <w:rPr>
          <w:rFonts w:ascii="Arial" w:cs="Arial" w:eastAsia="Arial" w:hAnsi="Arial"/>
          <w:sz w:val="18"/>
          <w:szCs w:val="18"/>
          <w:color w:val="4C4C4C"/>
        </w:rPr>
        <w:t>You can view the proxy materials on the Internet at www.proxyvote.com. Please have your control number available. Your control number can be found on your Notice(s) or proxy card included in the full set of proxy materials.</w:t>
      </w:r>
    </w:p>
    <w:p>
      <w:pPr>
        <w:spacing w:after="0" w:line="179"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 xml:space="preserve">Q: How may I attend and vote my shares at the Annual </w:t>
      </w:r>
      <w:r>
        <w:rPr>
          <w:rFonts w:ascii="Arial" w:cs="Arial" w:eastAsia="Arial" w:hAnsi="Arial"/>
          <w:sz w:val="20"/>
          <w:szCs w:val="20"/>
          <w:b w:val="1"/>
          <w:bCs w:val="1"/>
          <w:color w:val="346094"/>
        </w:rPr>
        <w:t>M</w:t>
      </w:r>
      <w:r>
        <w:rPr>
          <w:rFonts w:ascii="Trebuchet MS" w:cs="Trebuchet MS" w:eastAsia="Trebuchet MS" w:hAnsi="Trebuchet MS"/>
          <w:sz w:val="22"/>
          <w:szCs w:val="22"/>
          <w:b w:val="1"/>
          <w:bCs w:val="1"/>
          <w:color w:val="346094"/>
        </w:rPr>
        <w:t>eeting?</w:t>
      </w:r>
    </w:p>
    <w:p>
      <w:pPr>
        <w:spacing w:after="0" w:line="193" w:lineRule="exact"/>
        <w:rPr>
          <w:sz w:val="20"/>
          <w:szCs w:val="20"/>
          <w:color w:val="auto"/>
        </w:rPr>
      </w:pPr>
    </w:p>
    <w:p>
      <w:pPr>
        <w:ind w:left="1620" w:right="439" w:hanging="360"/>
        <w:spacing w:after="0" w:line="268" w:lineRule="auto"/>
        <w:tabs>
          <w:tab w:leader="none" w:pos="1620" w:val="left"/>
        </w:tabs>
        <w:numPr>
          <w:ilvl w:val="0"/>
          <w:numId w:val="18"/>
        </w:numPr>
        <w:rPr>
          <w:rFonts w:ascii="Trebuchet MS" w:cs="Trebuchet MS" w:eastAsia="Trebuchet MS" w:hAnsi="Trebuchet MS"/>
          <w:sz w:val="18"/>
          <w:szCs w:val="18"/>
          <w:b w:val="1"/>
          <w:bCs w:val="1"/>
          <w:color w:val="4C4C4C"/>
        </w:rPr>
      </w:pPr>
      <w:r>
        <w:rPr>
          <w:rFonts w:ascii="Arial" w:cs="Arial" w:eastAsia="Arial" w:hAnsi="Arial"/>
          <w:sz w:val="18"/>
          <w:szCs w:val="18"/>
          <w:color w:val="4C4C4C"/>
        </w:rPr>
        <w:t>This year’s Annual Meeting will be held entirely online via live audio webcast. We have designed the virtual Annual Meeting to provide stockholders with substantially the same opportunities to participate as if the Annual Meeting were held in person. Any stockholder can attend the Annual</w:t>
      </w:r>
    </w:p>
    <w:p>
      <w:pPr>
        <w:spacing w:after="0" w:line="2" w:lineRule="exact"/>
        <w:rPr>
          <w:rFonts w:ascii="Trebuchet MS" w:cs="Trebuchet MS" w:eastAsia="Trebuchet MS" w:hAnsi="Trebuchet MS"/>
          <w:sz w:val="18"/>
          <w:szCs w:val="18"/>
          <w:b w:val="1"/>
          <w:bCs w:val="1"/>
          <w:color w:val="4C4C4C"/>
        </w:rPr>
      </w:pPr>
    </w:p>
    <w:p>
      <w:pPr>
        <w:ind w:left="1620" w:right="679"/>
        <w:spacing w:after="0" w:line="264" w:lineRule="auto"/>
        <w:rPr>
          <w:rFonts w:ascii="Trebuchet MS" w:cs="Trebuchet MS" w:eastAsia="Trebuchet MS" w:hAnsi="Trebuchet MS"/>
          <w:sz w:val="18"/>
          <w:szCs w:val="18"/>
          <w:b w:val="1"/>
          <w:bCs w:val="1"/>
          <w:color w:val="4C4C4C"/>
        </w:rPr>
      </w:pPr>
      <w:r>
        <w:rPr>
          <w:rFonts w:ascii="Arial" w:cs="Arial" w:eastAsia="Arial" w:hAnsi="Arial"/>
          <w:sz w:val="18"/>
          <w:szCs w:val="18"/>
          <w:color w:val="4C4C4C"/>
        </w:rPr>
        <w:t xml:space="preserve">Meeting live online at </w:t>
      </w:r>
      <w:r>
        <w:rPr>
          <w:rFonts w:ascii="Arial" w:cs="Arial" w:eastAsia="Arial" w:hAnsi="Arial"/>
          <w:sz w:val="18"/>
          <w:szCs w:val="18"/>
          <w:i w:val="1"/>
          <w:iCs w:val="1"/>
          <w:color w:val="4C4C4C"/>
        </w:rPr>
        <w:t>www.virtualshareholdermeeting.com/GEVO2026</w:t>
      </w:r>
      <w:r>
        <w:rPr>
          <w:rFonts w:ascii="Arial" w:cs="Arial" w:eastAsia="Arial" w:hAnsi="Arial"/>
          <w:sz w:val="18"/>
          <w:szCs w:val="18"/>
          <w:color w:val="4C4C4C"/>
        </w:rPr>
        <w:t>. If your shares are registered directly in your name with our transfer agent, Equiniti Trust Company LLC, you are considered, with respect to</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980"/>
        <w:spacing w:after="0"/>
        <w:tabs>
          <w:tab w:leader="none" w:pos="93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3"/>
          <w:szCs w:val="13"/>
          <w:color w:val="4C4C4C"/>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QUESTIONS AND ANSWERS ABOUT THE ANNUAL MEETING</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620" w:right="559"/>
        <w:spacing w:after="0" w:line="263" w:lineRule="auto"/>
        <w:rPr>
          <w:sz w:val="20"/>
          <w:szCs w:val="20"/>
          <w:color w:val="auto"/>
        </w:rPr>
      </w:pPr>
      <w:r>
        <w:rPr>
          <w:rFonts w:ascii="Arial" w:cs="Arial" w:eastAsia="Arial" w:hAnsi="Arial"/>
          <w:sz w:val="18"/>
          <w:szCs w:val="18"/>
          <w:color w:val="4C4C4C"/>
        </w:rPr>
        <w:t>those shares, the stockholder of record. If you were a stockholder as of the record date for the Annual Meeting and you have your 16-digit control number included in your Notice, on your proxy card or on the instructions that accompanied your proxy materials, you can vote at the Annual Meeting.</w:t>
      </w:r>
    </w:p>
    <w:p>
      <w:pPr>
        <w:spacing w:after="0" w:line="147" w:lineRule="exact"/>
        <w:rPr>
          <w:sz w:val="20"/>
          <w:szCs w:val="20"/>
          <w:color w:val="auto"/>
        </w:rPr>
      </w:pPr>
    </w:p>
    <w:p>
      <w:pPr>
        <w:ind w:left="1620"/>
        <w:spacing w:after="0"/>
        <w:rPr>
          <w:sz w:val="20"/>
          <w:szCs w:val="20"/>
          <w:color w:val="auto"/>
        </w:rPr>
      </w:pPr>
      <w:r>
        <w:rPr>
          <w:rFonts w:ascii="Arial" w:cs="Arial" w:eastAsia="Arial" w:hAnsi="Arial"/>
          <w:sz w:val="18"/>
          <w:szCs w:val="18"/>
          <w:color w:val="4C4C4C"/>
        </w:rPr>
        <w:t>A summary of the information you need to attend the Annual Meeting online is provided below:</w:t>
      </w:r>
    </w:p>
    <w:p>
      <w:pPr>
        <w:spacing w:after="0" w:line="131" w:lineRule="exact"/>
        <w:rPr>
          <w:sz w:val="20"/>
          <w:szCs w:val="20"/>
          <w:color w:val="auto"/>
        </w:rPr>
      </w:pPr>
    </w:p>
    <w:p>
      <w:pPr>
        <w:ind w:left="2160" w:right="999" w:hanging="180"/>
        <w:spacing w:after="0" w:line="269" w:lineRule="auto"/>
        <w:tabs>
          <w:tab w:leader="none" w:pos="2160" w:val="left"/>
        </w:tabs>
        <w:numPr>
          <w:ilvl w:val="0"/>
          <w:numId w:val="19"/>
        </w:numPr>
        <w:rPr>
          <w:rFonts w:ascii="Arial" w:cs="Arial" w:eastAsia="Arial" w:hAnsi="Arial"/>
          <w:sz w:val="18"/>
          <w:szCs w:val="18"/>
          <w:color w:val="4C4C4C"/>
        </w:rPr>
      </w:pPr>
      <w:r>
        <w:rPr>
          <w:rFonts w:ascii="Arial" w:cs="Arial" w:eastAsia="Arial" w:hAnsi="Arial"/>
          <w:sz w:val="18"/>
          <w:szCs w:val="18"/>
          <w:color w:val="4C4C4C"/>
        </w:rPr>
        <w:t>To attend and participate in the Annual Meeting, you will need the 16-digit control number included in your Notice, on your proxy card or on the instructions that accompanied your proxy materials.</w:t>
      </w:r>
    </w:p>
    <w:p>
      <w:pPr>
        <w:spacing w:after="0" w:line="46" w:lineRule="exact"/>
        <w:rPr>
          <w:rFonts w:ascii="Arial" w:cs="Arial" w:eastAsia="Arial" w:hAnsi="Arial"/>
          <w:sz w:val="18"/>
          <w:szCs w:val="18"/>
          <w:color w:val="4C4C4C"/>
        </w:rPr>
      </w:pPr>
    </w:p>
    <w:p>
      <w:pPr>
        <w:ind w:left="2160" w:right="559" w:hanging="180"/>
        <w:spacing w:after="0" w:line="273" w:lineRule="auto"/>
        <w:tabs>
          <w:tab w:leader="none" w:pos="2160" w:val="left"/>
        </w:tabs>
        <w:numPr>
          <w:ilvl w:val="0"/>
          <w:numId w:val="19"/>
        </w:numPr>
        <w:rPr>
          <w:rFonts w:ascii="Arial" w:cs="Arial" w:eastAsia="Arial" w:hAnsi="Arial"/>
          <w:sz w:val="18"/>
          <w:szCs w:val="18"/>
          <w:color w:val="4C4C4C"/>
        </w:rPr>
      </w:pPr>
      <w:r>
        <w:rPr>
          <w:rFonts w:ascii="Arial" w:cs="Arial" w:eastAsia="Arial" w:hAnsi="Arial"/>
          <w:sz w:val="18"/>
          <w:szCs w:val="18"/>
          <w:color w:val="4C4C4C"/>
        </w:rPr>
        <w:t>The Annual Meeting webcast will begin promptly at 2:00 p.m. Mountain Time. We encourage you to access the Annual Meeting prior to the start time. Online check-in will begin at 1:45 p.m. Mountain Time, and you should allow ample time for the check-in procedures.</w:t>
      </w:r>
    </w:p>
    <w:p>
      <w:pPr>
        <w:spacing w:after="0" w:line="42" w:lineRule="exact"/>
        <w:rPr>
          <w:rFonts w:ascii="Arial" w:cs="Arial" w:eastAsia="Arial" w:hAnsi="Arial"/>
          <w:sz w:val="18"/>
          <w:szCs w:val="18"/>
          <w:color w:val="4C4C4C"/>
        </w:rPr>
      </w:pPr>
    </w:p>
    <w:p>
      <w:pPr>
        <w:ind w:left="2160" w:right="439" w:hanging="180"/>
        <w:spacing w:after="0" w:line="258" w:lineRule="auto"/>
        <w:tabs>
          <w:tab w:leader="none" w:pos="2160" w:val="left"/>
        </w:tabs>
        <w:numPr>
          <w:ilvl w:val="0"/>
          <w:numId w:val="19"/>
        </w:numPr>
        <w:rPr>
          <w:rFonts w:ascii="Arial" w:cs="Arial" w:eastAsia="Arial" w:hAnsi="Arial"/>
          <w:sz w:val="18"/>
          <w:szCs w:val="18"/>
          <w:color w:val="4C4C4C"/>
        </w:rPr>
      </w:pPr>
      <w:r>
        <w:rPr>
          <w:rFonts w:ascii="Arial" w:cs="Arial" w:eastAsia="Arial" w:hAnsi="Arial"/>
          <w:sz w:val="18"/>
          <w:szCs w:val="18"/>
          <w:color w:val="4C4C4C"/>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Internet connection wherever they intend to participate in the Annual Meeting. Participants should also give themselves plenty of time to log in and ensure that they can hear streaming audio prior to the start of the Annual Meeting.</w:t>
      </w:r>
    </w:p>
    <w:p>
      <w:pPr>
        <w:spacing w:after="0" w:line="55" w:lineRule="exact"/>
        <w:rPr>
          <w:rFonts w:ascii="Arial" w:cs="Arial" w:eastAsia="Arial" w:hAnsi="Arial"/>
          <w:sz w:val="18"/>
          <w:szCs w:val="18"/>
          <w:color w:val="4C4C4C"/>
        </w:rPr>
      </w:pPr>
    </w:p>
    <w:p>
      <w:pPr>
        <w:ind w:left="2160" w:right="1599" w:hanging="180"/>
        <w:spacing w:after="0" w:line="259" w:lineRule="auto"/>
        <w:tabs>
          <w:tab w:leader="none" w:pos="2160" w:val="left"/>
        </w:tabs>
        <w:numPr>
          <w:ilvl w:val="0"/>
          <w:numId w:val="19"/>
        </w:numPr>
        <w:rPr>
          <w:rFonts w:ascii="Arial" w:cs="Arial" w:eastAsia="Arial" w:hAnsi="Arial"/>
          <w:sz w:val="18"/>
          <w:szCs w:val="18"/>
          <w:color w:val="4C4C4C"/>
        </w:rPr>
      </w:pPr>
      <w:r>
        <w:rPr>
          <w:rFonts w:ascii="Arial" w:cs="Arial" w:eastAsia="Arial" w:hAnsi="Arial"/>
          <w:sz w:val="18"/>
          <w:szCs w:val="18"/>
          <w:color w:val="4C4C4C"/>
        </w:rPr>
        <w:t xml:space="preserve">Instructions on how to attend and participate via the Internet are posted at </w:t>
      </w:r>
      <w:r>
        <w:rPr>
          <w:rFonts w:ascii="Arial" w:cs="Arial" w:eastAsia="Arial" w:hAnsi="Arial"/>
          <w:sz w:val="18"/>
          <w:szCs w:val="18"/>
          <w:i w:val="1"/>
          <w:iCs w:val="1"/>
          <w:color w:val="4C4C4C"/>
        </w:rPr>
        <w:t>www.virtualshareholdermeeting.com/GEVO2026</w:t>
      </w:r>
      <w:r>
        <w:rPr>
          <w:rFonts w:ascii="Arial" w:cs="Arial" w:eastAsia="Arial" w:hAnsi="Arial"/>
          <w:sz w:val="18"/>
          <w:szCs w:val="18"/>
          <w:color w:val="4C4C4C"/>
        </w:rPr>
        <w:t>.</w:t>
      </w:r>
    </w:p>
    <w:p>
      <w:pPr>
        <w:spacing w:after="0" w:line="66" w:lineRule="exact"/>
        <w:rPr>
          <w:rFonts w:ascii="Arial" w:cs="Arial" w:eastAsia="Arial" w:hAnsi="Arial"/>
          <w:sz w:val="18"/>
          <w:szCs w:val="18"/>
          <w:color w:val="4C4C4C"/>
        </w:rPr>
      </w:pPr>
    </w:p>
    <w:p>
      <w:pPr>
        <w:ind w:left="2160" w:right="439" w:hanging="180"/>
        <w:spacing w:after="0" w:line="249" w:lineRule="auto"/>
        <w:tabs>
          <w:tab w:leader="none" w:pos="2160" w:val="left"/>
        </w:tabs>
        <w:numPr>
          <w:ilvl w:val="0"/>
          <w:numId w:val="19"/>
        </w:numPr>
        <w:rPr>
          <w:rFonts w:ascii="Arial" w:cs="Arial" w:eastAsia="Arial" w:hAnsi="Arial"/>
          <w:sz w:val="18"/>
          <w:szCs w:val="18"/>
          <w:color w:val="4C4C4C"/>
        </w:rPr>
      </w:pPr>
      <w:r>
        <w:rPr>
          <w:rFonts w:ascii="Arial" w:cs="Arial" w:eastAsia="Arial" w:hAnsi="Arial"/>
          <w:sz w:val="18"/>
          <w:szCs w:val="18"/>
          <w:color w:val="4C4C4C"/>
        </w:rPr>
        <w:t xml:space="preserve">Assistance with questions regarding how to attend and participate via the Internet will be provided at </w:t>
      </w:r>
      <w:r>
        <w:rPr>
          <w:rFonts w:ascii="Arial" w:cs="Arial" w:eastAsia="Arial" w:hAnsi="Arial"/>
          <w:sz w:val="18"/>
          <w:szCs w:val="18"/>
          <w:i w:val="1"/>
          <w:iCs w:val="1"/>
          <w:color w:val="4C4C4C"/>
        </w:rPr>
        <w:t>www.virtualshareholdermeeting.com/GEVO2026</w:t>
      </w:r>
      <w:r>
        <w:rPr>
          <w:rFonts w:ascii="Arial" w:cs="Arial" w:eastAsia="Arial" w:hAnsi="Arial"/>
          <w:sz w:val="18"/>
          <w:szCs w:val="18"/>
          <w:color w:val="4C4C4C"/>
        </w:rPr>
        <w:t xml:space="preserve"> on the day of the Annual</w:t>
      </w:r>
    </w:p>
    <w:p>
      <w:pPr>
        <w:spacing w:after="0" w:line="1" w:lineRule="exact"/>
        <w:rPr>
          <w:rFonts w:ascii="Arial" w:cs="Arial" w:eastAsia="Arial" w:hAnsi="Arial"/>
          <w:sz w:val="18"/>
          <w:szCs w:val="18"/>
          <w:color w:val="4C4C4C"/>
        </w:rPr>
      </w:pPr>
    </w:p>
    <w:p>
      <w:pPr>
        <w:ind w:left="2160"/>
        <w:spacing w:after="0"/>
        <w:rPr>
          <w:rFonts w:ascii="Arial" w:cs="Arial" w:eastAsia="Arial" w:hAnsi="Arial"/>
          <w:sz w:val="18"/>
          <w:szCs w:val="18"/>
          <w:color w:val="4C4C4C"/>
        </w:rPr>
      </w:pPr>
      <w:r>
        <w:rPr>
          <w:rFonts w:ascii="Arial" w:cs="Arial" w:eastAsia="Arial" w:hAnsi="Arial"/>
          <w:sz w:val="18"/>
          <w:szCs w:val="18"/>
          <w:color w:val="4C4C4C"/>
        </w:rPr>
        <w:t>Meeting.</w:t>
      </w:r>
    </w:p>
    <w:p>
      <w:pPr>
        <w:spacing w:after="0" w:line="79" w:lineRule="exact"/>
        <w:rPr>
          <w:rFonts w:ascii="Arial" w:cs="Arial" w:eastAsia="Arial" w:hAnsi="Arial"/>
          <w:sz w:val="18"/>
          <w:szCs w:val="18"/>
          <w:color w:val="4C4C4C"/>
        </w:rPr>
      </w:pPr>
    </w:p>
    <w:p>
      <w:pPr>
        <w:ind w:left="2160" w:right="499" w:hanging="180"/>
        <w:spacing w:after="0" w:line="269" w:lineRule="auto"/>
        <w:tabs>
          <w:tab w:leader="none" w:pos="2160" w:val="left"/>
        </w:tabs>
        <w:numPr>
          <w:ilvl w:val="0"/>
          <w:numId w:val="19"/>
        </w:numPr>
        <w:rPr>
          <w:rFonts w:ascii="Arial" w:cs="Arial" w:eastAsia="Arial" w:hAnsi="Arial"/>
          <w:sz w:val="18"/>
          <w:szCs w:val="18"/>
          <w:color w:val="4C4C4C"/>
        </w:rPr>
      </w:pPr>
      <w:r>
        <w:rPr>
          <w:rFonts w:ascii="Arial" w:cs="Arial" w:eastAsia="Arial" w:hAnsi="Arial"/>
          <w:sz w:val="18"/>
          <w:szCs w:val="18"/>
          <w:color w:val="4C4C4C"/>
        </w:rPr>
        <w:t xml:space="preserve">If you want to submit a question during the Annual Meeting, log into the virtual meeting platform at </w:t>
      </w:r>
      <w:r>
        <w:rPr>
          <w:rFonts w:ascii="Arial" w:cs="Arial" w:eastAsia="Arial" w:hAnsi="Arial"/>
          <w:sz w:val="18"/>
          <w:szCs w:val="18"/>
          <w:i w:val="1"/>
          <w:iCs w:val="1"/>
          <w:color w:val="4C4C4C"/>
        </w:rPr>
        <w:t>www.virtualshareholdermeeting.com/GEVO2026</w:t>
      </w:r>
      <w:r>
        <w:rPr>
          <w:rFonts w:ascii="Arial" w:cs="Arial" w:eastAsia="Arial" w:hAnsi="Arial"/>
          <w:sz w:val="18"/>
          <w:szCs w:val="18"/>
          <w:color w:val="4C4C4C"/>
        </w:rPr>
        <w:t>, type your question into the “Ask a Question” field, and click “Submit.”</w:t>
      </w:r>
    </w:p>
    <w:p>
      <w:pPr>
        <w:spacing w:after="0" w:line="33" w:lineRule="exact"/>
        <w:rPr>
          <w:rFonts w:ascii="Arial" w:cs="Arial" w:eastAsia="Arial" w:hAnsi="Arial"/>
          <w:sz w:val="18"/>
          <w:szCs w:val="18"/>
          <w:color w:val="4C4C4C"/>
        </w:rPr>
      </w:pPr>
    </w:p>
    <w:p>
      <w:pPr>
        <w:ind w:left="2160" w:right="419" w:hanging="180"/>
        <w:spacing w:after="0" w:line="261" w:lineRule="auto"/>
        <w:tabs>
          <w:tab w:leader="none" w:pos="2160" w:val="left"/>
        </w:tabs>
        <w:numPr>
          <w:ilvl w:val="0"/>
          <w:numId w:val="19"/>
        </w:numPr>
        <w:rPr>
          <w:rFonts w:ascii="Arial" w:cs="Arial" w:eastAsia="Arial" w:hAnsi="Arial"/>
          <w:sz w:val="18"/>
          <w:szCs w:val="18"/>
          <w:color w:val="4C4C4C"/>
        </w:rPr>
      </w:pPr>
      <w:r>
        <w:rPr>
          <w:rFonts w:ascii="Arial" w:cs="Arial" w:eastAsia="Arial" w:hAnsi="Arial"/>
          <w:sz w:val="18"/>
          <w:szCs w:val="18"/>
          <w:color w:val="4C4C4C"/>
        </w:rPr>
        <w:t>Questions pertinent to Annual Meeting matters will be answered during the Annual Meeting, subject to time constraints. Questions regarding personal matters, including those related to employment, product or service issues, or suggestions for product innovations, are not pertinent to Annual Meeting matters and therefore will not be answered. If we receive substantially similar questions, we may group such questions together and provide a single response to avoid repetition. Any questions pertinent to Annual Meeting matters that cannot be answered during the Annual Meeting due to time constraints will be posted online and answered at the “Investor Relations” section of our website at www.gevo.com. The questions and answers will be available as soon as practical after the Annual Meeting and will remain available until one week after posting.</w:t>
      </w:r>
    </w:p>
    <w:p>
      <w:pPr>
        <w:spacing w:after="0" w:line="177" w:lineRule="exact"/>
        <w:rPr>
          <w:sz w:val="20"/>
          <w:szCs w:val="20"/>
          <w:color w:val="auto"/>
        </w:rPr>
      </w:pPr>
    </w:p>
    <w:p>
      <w:pPr>
        <w:ind w:left="1620" w:right="519"/>
        <w:spacing w:after="0" w:line="256" w:lineRule="auto"/>
        <w:rPr>
          <w:sz w:val="20"/>
          <w:szCs w:val="20"/>
          <w:color w:val="auto"/>
        </w:rPr>
      </w:pPr>
      <w:r>
        <w:rPr>
          <w:rFonts w:ascii="Arial" w:cs="Arial" w:eastAsia="Arial" w:hAnsi="Arial"/>
          <w:sz w:val="18"/>
          <w:szCs w:val="18"/>
          <w:color w:val="4C4C4C"/>
        </w:rPr>
        <w:t>If your shares are held in an account at a brokerage firm, bank, dealer or other similar organization, you are considered the beneficial owner of shares held in “street name.” If your shares are held in “street name,” you should contact your broker, trustee, bank or other holder of record to obtain your 16-digit control number or otherwise vote through the broker, trustee, bank or other holder of record. Only stockholders with a valid 16-digit control number, will be able to attend the Annual Meeting and vote, ask questions, and access the list of stockholders as of the close of business on the record date for the Annual Meeting.</w:t>
      </w:r>
    </w:p>
    <w:p>
      <w:pPr>
        <w:spacing w:after="0" w:line="181" w:lineRule="exact"/>
        <w:rPr>
          <w:sz w:val="20"/>
          <w:szCs w:val="20"/>
          <w:color w:val="auto"/>
        </w:rPr>
      </w:pPr>
    </w:p>
    <w:p>
      <w:pPr>
        <w:ind w:left="1620" w:right="1119" w:hanging="360"/>
        <w:spacing w:after="0" w:line="263" w:lineRule="auto"/>
        <w:tabs>
          <w:tab w:leader="none" w:pos="1620" w:val="left"/>
        </w:tabs>
        <w:numPr>
          <w:ilvl w:val="0"/>
          <w:numId w:val="20"/>
        </w:numPr>
        <w:rPr>
          <w:rFonts w:ascii="Trebuchet MS" w:cs="Trebuchet MS" w:eastAsia="Trebuchet MS" w:hAnsi="Trebuchet MS"/>
          <w:sz w:val="21"/>
          <w:szCs w:val="21"/>
          <w:b w:val="1"/>
          <w:bCs w:val="1"/>
          <w:color w:val="346094"/>
        </w:rPr>
      </w:pPr>
      <w:r>
        <w:rPr>
          <w:rFonts w:ascii="Trebuchet MS" w:cs="Trebuchet MS" w:eastAsia="Trebuchet MS" w:hAnsi="Trebuchet MS"/>
          <w:sz w:val="21"/>
          <w:szCs w:val="21"/>
          <w:b w:val="1"/>
          <w:bCs w:val="1"/>
          <w:color w:val="346094"/>
        </w:rPr>
        <w:t xml:space="preserve">What if during the check-in time or during the Annual </w:t>
      </w:r>
      <w:r>
        <w:rPr>
          <w:rFonts w:ascii="Arial" w:cs="Arial" w:eastAsia="Arial" w:hAnsi="Arial"/>
          <w:sz w:val="19"/>
          <w:szCs w:val="19"/>
          <w:b w:val="1"/>
          <w:bCs w:val="1"/>
          <w:color w:val="346094"/>
        </w:rPr>
        <w:t>M</w:t>
      </w:r>
      <w:r>
        <w:rPr>
          <w:rFonts w:ascii="Trebuchet MS" w:cs="Trebuchet MS" w:eastAsia="Trebuchet MS" w:hAnsi="Trebuchet MS"/>
          <w:sz w:val="21"/>
          <w:szCs w:val="21"/>
          <w:b w:val="1"/>
          <w:bCs w:val="1"/>
          <w:color w:val="346094"/>
        </w:rPr>
        <w:t>eeting I have technical difficulties or trouble accessing the virtual meeting website?</w:t>
      </w:r>
    </w:p>
    <w:p>
      <w:pPr>
        <w:spacing w:after="0" w:line="169" w:lineRule="exact"/>
        <w:rPr>
          <w:sz w:val="20"/>
          <w:szCs w:val="20"/>
          <w:color w:val="auto"/>
        </w:rPr>
      </w:pPr>
    </w:p>
    <w:p>
      <w:pPr>
        <w:ind w:left="1620" w:right="519" w:hanging="360"/>
        <w:spacing w:after="0" w:line="257" w:lineRule="auto"/>
        <w:tabs>
          <w:tab w:leader="none" w:pos="1620" w:val="left"/>
        </w:tabs>
        <w:numPr>
          <w:ilvl w:val="0"/>
          <w:numId w:val="21"/>
        </w:numPr>
        <w:rPr>
          <w:rFonts w:ascii="Trebuchet MS" w:cs="Trebuchet MS" w:eastAsia="Trebuchet MS" w:hAnsi="Trebuchet MS"/>
          <w:sz w:val="18"/>
          <w:szCs w:val="18"/>
          <w:b w:val="1"/>
          <w:bCs w:val="1"/>
          <w:color w:val="4C4C4C"/>
        </w:rPr>
      </w:pPr>
      <w:r>
        <w:rPr>
          <w:rFonts w:ascii="Arial" w:cs="Arial" w:eastAsia="Arial" w:hAnsi="Arial"/>
          <w:sz w:val="18"/>
          <w:szCs w:val="18"/>
          <w:color w:val="4C4C4C"/>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384" w:lineRule="exact"/>
        <w:rPr>
          <w:sz w:val="20"/>
          <w:szCs w:val="20"/>
          <w:color w:val="auto"/>
        </w:rPr>
      </w:pPr>
    </w:p>
    <w:p>
      <w:pPr>
        <w:ind w:left="1680" w:hanging="420"/>
        <w:spacing w:after="0"/>
        <w:tabs>
          <w:tab w:leader="none" w:pos="1680" w:val="left"/>
        </w:tabs>
        <w:numPr>
          <w:ilvl w:val="0"/>
          <w:numId w:val="22"/>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5780"/>
        <w:spacing w:after="0"/>
        <w:rPr>
          <w:sz w:val="20"/>
          <w:szCs w:val="20"/>
          <w:color w:val="auto"/>
        </w:rPr>
      </w:pPr>
      <w:r>
        <w:rPr>
          <w:rFonts w:ascii="Arial" w:cs="Arial" w:eastAsia="Arial" w:hAnsi="Arial"/>
          <w:sz w:val="12"/>
          <w:szCs w:val="12"/>
          <w:color w:val="346094"/>
        </w:rPr>
        <w:t>QUESTIONS AND ANSWERS ABOUT THE ANNUAL MEETING</w:t>
      </w:r>
    </w:p>
    <w:p>
      <w:pPr>
        <w:spacing w:after="0" w:line="33"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87"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 xml:space="preserve">Q: How can I vote my shares without attending the Annual </w:t>
      </w:r>
      <w:r>
        <w:rPr>
          <w:rFonts w:ascii="Arial" w:cs="Arial" w:eastAsia="Arial" w:hAnsi="Arial"/>
          <w:sz w:val="20"/>
          <w:szCs w:val="20"/>
          <w:b w:val="1"/>
          <w:bCs w:val="1"/>
          <w:color w:val="346094"/>
        </w:rPr>
        <w:t>M</w:t>
      </w:r>
      <w:r>
        <w:rPr>
          <w:rFonts w:ascii="Trebuchet MS" w:cs="Trebuchet MS" w:eastAsia="Trebuchet MS" w:hAnsi="Trebuchet MS"/>
          <w:sz w:val="22"/>
          <w:szCs w:val="22"/>
          <w:b w:val="1"/>
          <w:bCs w:val="1"/>
          <w:color w:val="346094"/>
        </w:rPr>
        <w:t>eeting?</w:t>
      </w:r>
    </w:p>
    <w:p>
      <w:pPr>
        <w:spacing w:after="0" w:line="205" w:lineRule="exact"/>
        <w:rPr>
          <w:sz w:val="20"/>
          <w:szCs w:val="20"/>
          <w:color w:val="auto"/>
        </w:rPr>
      </w:pPr>
    </w:p>
    <w:p>
      <w:pPr>
        <w:ind w:left="1620" w:right="439" w:hanging="360"/>
        <w:spacing w:after="0" w:line="256" w:lineRule="auto"/>
        <w:tabs>
          <w:tab w:leader="none" w:pos="1620" w:val="left"/>
        </w:tabs>
        <w:numPr>
          <w:ilvl w:val="0"/>
          <w:numId w:val="23"/>
        </w:numPr>
        <w:rPr>
          <w:rFonts w:ascii="Trebuchet MS" w:cs="Trebuchet MS" w:eastAsia="Trebuchet MS" w:hAnsi="Trebuchet MS"/>
          <w:sz w:val="18"/>
          <w:szCs w:val="18"/>
          <w:b w:val="1"/>
          <w:bCs w:val="1"/>
          <w:color w:val="4C4C4C"/>
        </w:rPr>
      </w:pPr>
      <w:r>
        <w:rPr>
          <w:rFonts w:ascii="Arial" w:cs="Arial" w:eastAsia="Arial" w:hAnsi="Arial"/>
          <w:sz w:val="18"/>
          <w:szCs w:val="18"/>
          <w:color w:val="4C4C4C"/>
        </w:rPr>
        <w:t>Whether you hold shares directly as a stockholder of record or beneficially in street name, you may vote without attending the Annual Meeting. You may vote by granting a proxy or, for shares held beneficially in street name, by submitting voting instructions to your broker, bank or other agent. In most cases, you will be able to do this by using the Internet, by telephone or by mail if you received a printed set of the proxy materials.</w:t>
      </w:r>
    </w:p>
    <w:p>
      <w:pPr>
        <w:spacing w:after="0" w:line="158" w:lineRule="exact"/>
        <w:rPr>
          <w:rFonts w:ascii="Trebuchet MS" w:cs="Trebuchet MS" w:eastAsia="Trebuchet MS" w:hAnsi="Trebuchet MS"/>
          <w:sz w:val="18"/>
          <w:szCs w:val="18"/>
          <w:b w:val="1"/>
          <w:bCs w:val="1"/>
          <w:color w:val="4C4C4C"/>
        </w:rPr>
      </w:pPr>
    </w:p>
    <w:p>
      <w:pPr>
        <w:ind w:left="1620" w:right="619"/>
        <w:spacing w:after="0" w:line="254" w:lineRule="auto"/>
        <w:rPr>
          <w:rFonts w:ascii="Trebuchet MS" w:cs="Trebuchet MS" w:eastAsia="Trebuchet MS" w:hAnsi="Trebuchet MS"/>
          <w:sz w:val="18"/>
          <w:szCs w:val="18"/>
          <w:b w:val="1"/>
          <w:bCs w:val="1"/>
          <w:color w:val="4C4C4C"/>
        </w:rPr>
      </w:pPr>
      <w:r>
        <w:rPr>
          <w:rFonts w:ascii="Trebuchet MS" w:cs="Trebuchet MS" w:eastAsia="Trebuchet MS" w:hAnsi="Trebuchet MS"/>
          <w:sz w:val="18"/>
          <w:szCs w:val="18"/>
          <w:b w:val="1"/>
          <w:bCs w:val="1"/>
          <w:i w:val="1"/>
          <w:iCs w:val="1"/>
          <w:color w:val="4C4C4C"/>
        </w:rPr>
        <w:t>By Internet</w:t>
      </w:r>
      <w:r>
        <w:rPr>
          <w:rFonts w:ascii="Arial" w:cs="Arial" w:eastAsia="Arial" w:hAnsi="Arial"/>
          <w:sz w:val="18"/>
          <w:szCs w:val="18"/>
          <w:color w:val="4C4C4C"/>
        </w:rPr>
        <w:t> — If you have Internet access, you may vote your shares by logging into the secure</w:t>
      </w:r>
      <w:r>
        <w:rPr>
          <w:rFonts w:ascii="Trebuchet MS" w:cs="Trebuchet MS" w:eastAsia="Trebuchet MS" w:hAnsi="Trebuchet MS"/>
          <w:sz w:val="18"/>
          <w:szCs w:val="18"/>
          <w:b w:val="1"/>
          <w:bCs w:val="1"/>
          <w:i w:val="1"/>
          <w:iCs w:val="1"/>
          <w:color w:val="4C4C4C"/>
        </w:rPr>
        <w:t xml:space="preserve"> </w:t>
      </w:r>
      <w:r>
        <w:rPr>
          <w:rFonts w:ascii="Arial" w:cs="Arial" w:eastAsia="Arial" w:hAnsi="Arial"/>
          <w:sz w:val="18"/>
          <w:szCs w:val="18"/>
          <w:color w:val="4C4C4C"/>
        </w:rPr>
        <w:t>website, which will be listed on your Notice or the proxy card, and following the instructions provided.</w:t>
      </w:r>
    </w:p>
    <w:p>
      <w:pPr>
        <w:spacing w:after="0" w:line="175" w:lineRule="exact"/>
        <w:rPr>
          <w:rFonts w:ascii="Trebuchet MS" w:cs="Trebuchet MS" w:eastAsia="Trebuchet MS" w:hAnsi="Trebuchet MS"/>
          <w:sz w:val="18"/>
          <w:szCs w:val="18"/>
          <w:b w:val="1"/>
          <w:bCs w:val="1"/>
          <w:color w:val="4C4C4C"/>
        </w:rPr>
      </w:pPr>
    </w:p>
    <w:p>
      <w:pPr>
        <w:ind w:left="1620" w:right="559"/>
        <w:spacing w:after="0" w:line="259" w:lineRule="auto"/>
        <w:rPr>
          <w:rFonts w:ascii="Trebuchet MS" w:cs="Trebuchet MS" w:eastAsia="Trebuchet MS" w:hAnsi="Trebuchet MS"/>
          <w:sz w:val="18"/>
          <w:szCs w:val="18"/>
          <w:b w:val="1"/>
          <w:bCs w:val="1"/>
          <w:color w:val="4C4C4C"/>
        </w:rPr>
      </w:pPr>
      <w:r>
        <w:rPr>
          <w:rFonts w:ascii="Trebuchet MS" w:cs="Trebuchet MS" w:eastAsia="Trebuchet MS" w:hAnsi="Trebuchet MS"/>
          <w:sz w:val="18"/>
          <w:szCs w:val="18"/>
          <w:b w:val="1"/>
          <w:bCs w:val="1"/>
          <w:i w:val="1"/>
          <w:iCs w:val="1"/>
          <w:color w:val="4C4C4C"/>
        </w:rPr>
        <w:t>By Telephone</w:t>
      </w:r>
      <w:r>
        <w:rPr>
          <w:rFonts w:ascii="Arial" w:cs="Arial" w:eastAsia="Arial" w:hAnsi="Arial"/>
          <w:sz w:val="18"/>
          <w:szCs w:val="18"/>
          <w:color w:val="4C4C4C"/>
        </w:rPr>
        <w:t> — If you have telephone access, you may vote your shares by calling the toll-free</w:t>
      </w:r>
      <w:r>
        <w:rPr>
          <w:rFonts w:ascii="Trebuchet MS" w:cs="Trebuchet MS" w:eastAsia="Trebuchet MS" w:hAnsi="Trebuchet MS"/>
          <w:sz w:val="18"/>
          <w:szCs w:val="18"/>
          <w:b w:val="1"/>
          <w:bCs w:val="1"/>
          <w:i w:val="1"/>
          <w:iCs w:val="1"/>
          <w:color w:val="4C4C4C"/>
        </w:rPr>
        <w:t xml:space="preserve"> </w:t>
      </w:r>
      <w:r>
        <w:rPr>
          <w:rFonts w:ascii="Arial" w:cs="Arial" w:eastAsia="Arial" w:hAnsi="Arial"/>
          <w:sz w:val="18"/>
          <w:szCs w:val="18"/>
          <w:color w:val="4C4C4C"/>
        </w:rPr>
        <w:t>number listed on your Notice or the proxy card and following the instructions provided.</w:t>
      </w:r>
    </w:p>
    <w:p>
      <w:pPr>
        <w:spacing w:after="0" w:line="150" w:lineRule="exact"/>
        <w:rPr>
          <w:rFonts w:ascii="Trebuchet MS" w:cs="Trebuchet MS" w:eastAsia="Trebuchet MS" w:hAnsi="Trebuchet MS"/>
          <w:sz w:val="18"/>
          <w:szCs w:val="18"/>
          <w:b w:val="1"/>
          <w:bCs w:val="1"/>
          <w:color w:val="4C4C4C"/>
        </w:rPr>
      </w:pPr>
    </w:p>
    <w:p>
      <w:pPr>
        <w:ind w:left="1620" w:right="519"/>
        <w:spacing w:after="0" w:line="258" w:lineRule="auto"/>
        <w:rPr>
          <w:rFonts w:ascii="Trebuchet MS" w:cs="Trebuchet MS" w:eastAsia="Trebuchet MS" w:hAnsi="Trebuchet MS"/>
          <w:sz w:val="18"/>
          <w:szCs w:val="18"/>
          <w:b w:val="1"/>
          <w:bCs w:val="1"/>
          <w:color w:val="4C4C4C"/>
        </w:rPr>
      </w:pPr>
      <w:r>
        <w:rPr>
          <w:rFonts w:ascii="Trebuchet MS" w:cs="Trebuchet MS" w:eastAsia="Trebuchet MS" w:hAnsi="Trebuchet MS"/>
          <w:sz w:val="18"/>
          <w:szCs w:val="18"/>
          <w:b w:val="1"/>
          <w:bCs w:val="1"/>
          <w:i w:val="1"/>
          <w:iCs w:val="1"/>
          <w:color w:val="4C4C4C"/>
        </w:rPr>
        <w:t xml:space="preserve">By </w:t>
      </w:r>
      <w:r>
        <w:rPr>
          <w:rFonts w:ascii="Arial" w:cs="Arial" w:eastAsia="Arial" w:hAnsi="Arial"/>
          <w:sz w:val="18"/>
          <w:szCs w:val="18"/>
          <w:b w:val="1"/>
          <w:bCs w:val="1"/>
          <w:i w:val="1"/>
          <w:iCs w:val="1"/>
          <w:color w:val="4C4C4C"/>
        </w:rPr>
        <w:t>M</w:t>
      </w:r>
      <w:r>
        <w:rPr>
          <w:rFonts w:ascii="Trebuchet MS" w:cs="Trebuchet MS" w:eastAsia="Trebuchet MS" w:hAnsi="Trebuchet MS"/>
          <w:sz w:val="18"/>
          <w:szCs w:val="18"/>
          <w:b w:val="1"/>
          <w:bCs w:val="1"/>
          <w:i w:val="1"/>
          <w:iCs w:val="1"/>
          <w:color w:val="4C4C4C"/>
        </w:rPr>
        <w:t>ail</w:t>
      </w:r>
      <w:r>
        <w:rPr>
          <w:rFonts w:ascii="Arial" w:cs="Arial" w:eastAsia="Arial" w:hAnsi="Arial"/>
          <w:sz w:val="18"/>
          <w:szCs w:val="18"/>
          <w:color w:val="4C4C4C"/>
        </w:rPr>
        <w:t> — If you requested printed copies of the proxy materials, you may submit your proxy by</w:t>
      </w:r>
      <w:r>
        <w:rPr>
          <w:rFonts w:ascii="Trebuchet MS" w:cs="Trebuchet MS" w:eastAsia="Trebuchet MS" w:hAnsi="Trebuchet MS"/>
          <w:sz w:val="18"/>
          <w:szCs w:val="18"/>
          <w:b w:val="1"/>
          <w:bCs w:val="1"/>
          <w:i w:val="1"/>
          <w:iCs w:val="1"/>
          <w:color w:val="4C4C4C"/>
        </w:rPr>
        <w:t xml:space="preserve"> </w:t>
      </w:r>
      <w:r>
        <w:rPr>
          <w:rFonts w:ascii="Arial" w:cs="Arial" w:eastAsia="Arial" w:hAnsi="Arial"/>
          <w:sz w:val="18"/>
          <w:szCs w:val="18"/>
          <w:color w:val="4C4C4C"/>
        </w:rPr>
        <w:t>mail by signing your proxy card if your shares are registered or, for shares held beneficially in street name, by following the voting instructions included by your broker, bank or other agent, and mailing it in accordance with the instructions provided. If you provide specific voting instructions, your shares will be voted as you have instructed.</w:t>
      </w:r>
    </w:p>
    <w:p>
      <w:pPr>
        <w:spacing w:after="0" w:line="161" w:lineRule="exact"/>
        <w:rPr>
          <w:rFonts w:ascii="Trebuchet MS" w:cs="Trebuchet MS" w:eastAsia="Trebuchet MS" w:hAnsi="Trebuchet MS"/>
          <w:sz w:val="18"/>
          <w:szCs w:val="18"/>
          <w:b w:val="1"/>
          <w:bCs w:val="1"/>
          <w:color w:val="4C4C4C"/>
        </w:rPr>
      </w:pPr>
    </w:p>
    <w:p>
      <w:pPr>
        <w:ind w:left="1620" w:right="479"/>
        <w:spacing w:after="0" w:line="268" w:lineRule="auto"/>
        <w:rPr>
          <w:rFonts w:ascii="Trebuchet MS" w:cs="Trebuchet MS" w:eastAsia="Trebuchet MS" w:hAnsi="Trebuchet MS"/>
          <w:sz w:val="18"/>
          <w:szCs w:val="18"/>
          <w:b w:val="1"/>
          <w:bCs w:val="1"/>
          <w:color w:val="4C4C4C"/>
        </w:rPr>
      </w:pPr>
      <w:r>
        <w:rPr>
          <w:rFonts w:ascii="Arial" w:cs="Arial" w:eastAsia="Arial" w:hAnsi="Arial"/>
          <w:sz w:val="18"/>
          <w:szCs w:val="18"/>
          <w:color w:val="4C4C4C"/>
        </w:rPr>
        <w:t>Votes submitted via the Internet or by telephone must be received by 11:59 p.m. Eastern Daylight Time on May 19, 2026. For shares held in the Gevo, Inc. 401(k) Plan, votes must be received by 11:59 p.m. Eastern Time on May 17, 2026. Submitting your proxy via the Internet or by telephone will not affect your right to vote electronically at the Annual Meeting should you later decide to virtually attend the Annual Meeting. Even if you plan to virtually attend the Annual Meeting, we encourage you to submit your proxy to vote your shares in advance of the Annual Meeting.</w:t>
      </w:r>
    </w:p>
    <w:p>
      <w:pPr>
        <w:spacing w:after="0" w:line="395" w:lineRule="exact"/>
        <w:rPr>
          <w:rFonts w:ascii="Trebuchet MS" w:cs="Trebuchet MS" w:eastAsia="Trebuchet MS" w:hAnsi="Trebuchet MS"/>
          <w:sz w:val="18"/>
          <w:szCs w:val="18"/>
          <w:b w:val="1"/>
          <w:bCs w:val="1"/>
          <w:color w:val="4C4C4C"/>
        </w:rPr>
      </w:pPr>
    </w:p>
    <w:p>
      <w:pPr>
        <w:ind w:left="1620" w:right="459"/>
        <w:spacing w:after="0" w:line="253" w:lineRule="auto"/>
        <w:rPr>
          <w:rFonts w:ascii="Trebuchet MS" w:cs="Trebuchet MS" w:eastAsia="Trebuchet MS" w:hAnsi="Trebuchet MS"/>
          <w:sz w:val="18"/>
          <w:szCs w:val="18"/>
          <w:b w:val="1"/>
          <w:bCs w:val="1"/>
          <w:color w:val="4C4C4C"/>
        </w:rPr>
      </w:pPr>
      <w:r>
        <w:rPr>
          <w:rFonts w:ascii="Arial" w:cs="Arial" w:eastAsia="Arial" w:hAnsi="Arial"/>
          <w:sz w:val="18"/>
          <w:szCs w:val="18"/>
          <w:color w:val="4C4C4C"/>
        </w:rPr>
        <w:t>We provide Internet and telephone proxy voting with procedures designed to ensure the authenticity and correctness of your proxy vote instructions. However, please be aware that you must bear any costs associated with your Internet and telephone access, such as usage charges from Internet access providers and telephone companies.</w:t>
      </w:r>
    </w:p>
    <w:p>
      <w:pPr>
        <w:spacing w:after="0" w:line="179"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Q: What happens if I do not give specific voting instructions?</w:t>
      </w:r>
    </w:p>
    <w:p>
      <w:pPr>
        <w:spacing w:after="0" w:line="205" w:lineRule="exact"/>
        <w:rPr>
          <w:sz w:val="20"/>
          <w:szCs w:val="20"/>
          <w:color w:val="auto"/>
        </w:rPr>
      </w:pPr>
    </w:p>
    <w:p>
      <w:pPr>
        <w:ind w:left="1620" w:right="439" w:hanging="360"/>
        <w:spacing w:after="0" w:line="253" w:lineRule="auto"/>
        <w:tabs>
          <w:tab w:leader="none" w:pos="1620" w:val="left"/>
        </w:tabs>
        <w:numPr>
          <w:ilvl w:val="0"/>
          <w:numId w:val="24"/>
        </w:numPr>
        <w:rPr>
          <w:rFonts w:ascii="Trebuchet MS" w:cs="Trebuchet MS" w:eastAsia="Trebuchet MS" w:hAnsi="Trebuchet MS"/>
          <w:sz w:val="18"/>
          <w:szCs w:val="18"/>
          <w:b w:val="1"/>
          <w:bCs w:val="1"/>
          <w:color w:val="4C4C4C"/>
        </w:rPr>
      </w:pPr>
      <w:r>
        <w:rPr>
          <w:rFonts w:ascii="Arial" w:cs="Arial" w:eastAsia="Arial" w:hAnsi="Arial"/>
          <w:sz w:val="18"/>
          <w:szCs w:val="18"/>
          <w:i w:val="1"/>
          <w:iCs w:val="1"/>
          <w:color w:val="4C4C4C"/>
        </w:rPr>
        <w:t>Stockholder of Record</w:t>
      </w:r>
      <w:r>
        <w:rPr>
          <w:rFonts w:ascii="Arial" w:cs="Arial" w:eastAsia="Arial" w:hAnsi="Arial"/>
          <w:sz w:val="18"/>
          <w:szCs w:val="18"/>
          <w:color w:val="4C4C4C"/>
        </w:rPr>
        <w:t> — If, at the close of business on the Record Date, you are a stockholder of</w:t>
      </w:r>
      <w:r>
        <w:rPr>
          <w:rFonts w:ascii="Arial" w:cs="Arial" w:eastAsia="Arial" w:hAnsi="Arial"/>
          <w:sz w:val="18"/>
          <w:szCs w:val="18"/>
          <w:i w:val="1"/>
          <w:iCs w:val="1"/>
          <w:color w:val="4C4C4C"/>
        </w:rPr>
        <w:t xml:space="preserve"> </w:t>
      </w:r>
      <w:r>
        <w:rPr>
          <w:rFonts w:ascii="Arial" w:cs="Arial" w:eastAsia="Arial" w:hAnsi="Arial"/>
          <w:sz w:val="18"/>
          <w:szCs w:val="18"/>
          <w:color w:val="4C4C4C"/>
        </w:rPr>
        <w:t>record and you indicate when voting on the Internet or by telephone that you wish to vote as recommended by the Board, or sign and return a proxy card without giving specific voting instructions, then the proxy holders will vote your shares in the manner recommended by the Board on all matters presented in this proxy statement and as the proxy holders may determine in their discretion with respect to any other matters properly presented for a vote at the Annual Meeting.</w:t>
      </w:r>
    </w:p>
    <w:p>
      <w:pPr>
        <w:spacing w:after="0" w:line="171" w:lineRule="exact"/>
        <w:rPr>
          <w:rFonts w:ascii="Trebuchet MS" w:cs="Trebuchet MS" w:eastAsia="Trebuchet MS" w:hAnsi="Trebuchet MS"/>
          <w:sz w:val="18"/>
          <w:szCs w:val="18"/>
          <w:b w:val="1"/>
          <w:bCs w:val="1"/>
          <w:color w:val="4C4C4C"/>
        </w:rPr>
      </w:pPr>
    </w:p>
    <w:p>
      <w:pPr>
        <w:ind w:left="1620" w:right="459"/>
        <w:spacing w:after="0" w:line="251" w:lineRule="auto"/>
        <w:rPr>
          <w:rFonts w:ascii="Trebuchet MS" w:cs="Trebuchet MS" w:eastAsia="Trebuchet MS" w:hAnsi="Trebuchet MS"/>
          <w:sz w:val="18"/>
          <w:szCs w:val="18"/>
          <w:b w:val="1"/>
          <w:bCs w:val="1"/>
          <w:color w:val="4C4C4C"/>
        </w:rPr>
      </w:pPr>
      <w:r>
        <w:rPr>
          <w:rFonts w:ascii="Arial" w:cs="Arial" w:eastAsia="Arial" w:hAnsi="Arial"/>
          <w:sz w:val="18"/>
          <w:szCs w:val="18"/>
          <w:i w:val="1"/>
          <w:iCs w:val="1"/>
          <w:color w:val="4C4C4C"/>
        </w:rPr>
        <w:t>Beneficial Owners of Shares Held in Street Name</w:t>
      </w:r>
      <w:r>
        <w:rPr>
          <w:rFonts w:ascii="Arial" w:cs="Arial" w:eastAsia="Arial" w:hAnsi="Arial"/>
          <w:sz w:val="18"/>
          <w:szCs w:val="18"/>
          <w:color w:val="4C4C4C"/>
        </w:rPr>
        <w:t> — If, at the close of business on the Record</w:t>
      </w:r>
      <w:r>
        <w:rPr>
          <w:rFonts w:ascii="Arial" w:cs="Arial" w:eastAsia="Arial" w:hAnsi="Arial"/>
          <w:sz w:val="18"/>
          <w:szCs w:val="18"/>
          <w:i w:val="1"/>
          <w:iCs w:val="1"/>
          <w:color w:val="4C4C4C"/>
        </w:rPr>
        <w:t xml:space="preserve"> </w:t>
      </w:r>
      <w:r>
        <w:rPr>
          <w:rFonts w:ascii="Arial" w:cs="Arial" w:eastAsia="Arial" w:hAnsi="Arial"/>
          <w:sz w:val="18"/>
          <w:szCs w:val="18"/>
          <w:color w:val="4C4C4C"/>
        </w:rPr>
        <w:t>Date, you are a beneficial owner of shares held in street name and do not provide the organization that holds your shares with specific voting instructions, the organization that holds your shares may generally vote at its discretion on routine matters but cannot vote on non-routine matters. If the organization that holds your shares does not receive instructions from you on how to vote your shares on a non-routine matter, the organization will inform the inspector of election that it does not have the authority to vote on this matter with respect to your shares. This is generally referred to as a “broker non-vote.” In tabulating the voting results for any particular proposal, shares that constitute broker non-votes are not considered entitled to vote on that proposal.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980"/>
        <w:spacing w:after="0"/>
        <w:tabs>
          <w:tab w:leader="none" w:pos="93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3"/>
          <w:szCs w:val="13"/>
          <w:color w:val="4C4C4C"/>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QUESTIONS AND ANSWERS ABOUT THE ANNUAL MEETING</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87" w:lineRule="exact"/>
        <w:rPr>
          <w:sz w:val="20"/>
          <w:szCs w:val="20"/>
          <w:color w:val="auto"/>
        </w:rPr>
      </w:pPr>
    </w:p>
    <w:p>
      <w:pPr>
        <w:jc w:val="right"/>
        <w:ind w:right="419"/>
        <w:spacing w:after="0"/>
        <w:rPr>
          <w:sz w:val="20"/>
          <w:szCs w:val="20"/>
          <w:color w:val="auto"/>
        </w:rPr>
      </w:pPr>
      <w:r>
        <w:rPr>
          <w:rFonts w:ascii="Trebuchet MS" w:cs="Trebuchet MS" w:eastAsia="Trebuchet MS" w:hAnsi="Trebuchet MS"/>
          <w:sz w:val="22"/>
          <w:szCs w:val="22"/>
          <w:b w:val="1"/>
          <w:bCs w:val="1"/>
          <w:color w:val="346094"/>
        </w:rPr>
        <w:t>Q: How can I revoke my proxy and change my vote after I return my proxy card?</w:t>
      </w:r>
    </w:p>
    <w:p>
      <w:pPr>
        <w:spacing w:after="0" w:line="205" w:lineRule="exact"/>
        <w:rPr>
          <w:sz w:val="20"/>
          <w:szCs w:val="20"/>
          <w:color w:val="auto"/>
        </w:rPr>
      </w:pPr>
    </w:p>
    <w:p>
      <w:pPr>
        <w:ind w:left="1620" w:right="439" w:hanging="360"/>
        <w:spacing w:after="0" w:line="259" w:lineRule="auto"/>
        <w:tabs>
          <w:tab w:leader="none" w:pos="1620" w:val="left"/>
        </w:tabs>
        <w:numPr>
          <w:ilvl w:val="0"/>
          <w:numId w:val="25"/>
        </w:numPr>
        <w:rPr>
          <w:rFonts w:ascii="Trebuchet MS" w:cs="Trebuchet MS" w:eastAsia="Trebuchet MS" w:hAnsi="Trebuchet MS"/>
          <w:sz w:val="18"/>
          <w:szCs w:val="18"/>
          <w:b w:val="1"/>
          <w:bCs w:val="1"/>
          <w:color w:val="4C4C4C"/>
        </w:rPr>
      </w:pPr>
      <w:r>
        <w:rPr>
          <w:rFonts w:ascii="Arial" w:cs="Arial" w:eastAsia="Arial" w:hAnsi="Arial"/>
          <w:sz w:val="18"/>
          <w:szCs w:val="18"/>
          <w:color w:val="4C4C4C"/>
        </w:rPr>
        <w:t>You may revoke your proxy and change your vote at any time before the final vote at the Annual Meeting. If you are a stockholder of record, you may do this by signing and submitting a new proxy card with a later date; by voting by using the Internet or by telephone, either of which must be completed by 11:59 p.m. Eastern Daylight Time on May 19, 2026 or, for shares held in the Gevo, Inc. 401(k) Plan, by 11:59 p.m. Eastern Time on May 17, 2026 (your latest Internet or telephone proxy will be counted); or by virtually attending the Annual Meeting and voting electronically. Virtually attending the Annual Meeting alone will not revoke your proxy unless you specifically request your proxy to be revoked. If you hold shares through a broker, bank or other agent, you must contact that broker, bank or other agent directly to revoke any prior voting instructions.</w:t>
      </w:r>
    </w:p>
    <w:p>
      <w:pPr>
        <w:spacing w:after="0" w:line="179"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Q: Who will pay the costs of this proxy solicitation?</w:t>
      </w:r>
    </w:p>
    <w:p>
      <w:pPr>
        <w:spacing w:after="0" w:line="205" w:lineRule="exact"/>
        <w:rPr>
          <w:sz w:val="20"/>
          <w:szCs w:val="20"/>
          <w:color w:val="auto"/>
        </w:rPr>
      </w:pPr>
    </w:p>
    <w:p>
      <w:pPr>
        <w:ind w:left="1620" w:right="479" w:hanging="360"/>
        <w:spacing w:after="0" w:line="251" w:lineRule="auto"/>
        <w:tabs>
          <w:tab w:leader="none" w:pos="1620" w:val="left"/>
        </w:tabs>
        <w:numPr>
          <w:ilvl w:val="0"/>
          <w:numId w:val="26"/>
        </w:numPr>
        <w:rPr>
          <w:rFonts w:ascii="Trebuchet MS" w:cs="Trebuchet MS" w:eastAsia="Trebuchet MS" w:hAnsi="Trebuchet MS"/>
          <w:sz w:val="18"/>
          <w:szCs w:val="18"/>
          <w:b w:val="1"/>
          <w:bCs w:val="1"/>
          <w:color w:val="4C4C4C"/>
        </w:rPr>
      </w:pPr>
      <w:r>
        <w:rPr>
          <w:rFonts w:ascii="Arial" w:cs="Arial" w:eastAsia="Arial" w:hAnsi="Arial"/>
          <w:sz w:val="18"/>
          <w:szCs w:val="18"/>
          <w:color w:val="4C4C4C"/>
        </w:rPr>
        <w:t>We will bear the entire cost of solicitation of proxies, including maintenance of the Internet website used to access the proxy materials; maintenance of the Internet website used to vote; and preparation, assembly, printing and mailing of this proxy statement, the proxy card and any additional information furnished to our stockholders who request paper copies of such materials. We have retained D.F. King to assist in the solicitation of proxies. We expect to pay D.F. King a fee of  $11,500, plus reimbursement of reasonable expenses. We and our directors, officers and regular employees may solicit proxies by mail, personally, by telephone or by other appropriate means. No additional compensation will be paid to directors, officers or other regular employees for such services. Copies of solicitation materials will be furnished to banks, brokerage houses, fiduciaries and custodians holding shares of our common stock in their names for others to send proxy materials to and obtain proxies from the beneficial owners of such shares, and we may reimburse them for their costs in forwarding the solicitation materials to such beneficial owners.</w:t>
      </w:r>
    </w:p>
    <w:p>
      <w:pPr>
        <w:spacing w:after="0" w:line="396"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 xml:space="preserve">Q: Where can I find the voting results of the Annual </w:t>
      </w:r>
      <w:r>
        <w:rPr>
          <w:rFonts w:ascii="Arial" w:cs="Arial" w:eastAsia="Arial" w:hAnsi="Arial"/>
          <w:sz w:val="20"/>
          <w:szCs w:val="20"/>
          <w:b w:val="1"/>
          <w:bCs w:val="1"/>
          <w:color w:val="346094"/>
        </w:rPr>
        <w:t>M</w:t>
      </w:r>
      <w:r>
        <w:rPr>
          <w:rFonts w:ascii="Trebuchet MS" w:cs="Trebuchet MS" w:eastAsia="Trebuchet MS" w:hAnsi="Trebuchet MS"/>
          <w:sz w:val="22"/>
          <w:szCs w:val="22"/>
          <w:b w:val="1"/>
          <w:bCs w:val="1"/>
          <w:color w:val="346094"/>
        </w:rPr>
        <w:t>eeting?</w:t>
      </w:r>
    </w:p>
    <w:p>
      <w:pPr>
        <w:spacing w:after="0" w:line="193" w:lineRule="exact"/>
        <w:rPr>
          <w:sz w:val="20"/>
          <w:szCs w:val="20"/>
          <w:color w:val="auto"/>
        </w:rPr>
      </w:pPr>
    </w:p>
    <w:p>
      <w:pPr>
        <w:ind w:left="1620" w:right="479" w:hanging="360"/>
        <w:spacing w:after="0" w:line="275" w:lineRule="auto"/>
        <w:tabs>
          <w:tab w:leader="none" w:pos="1620" w:val="left"/>
        </w:tabs>
        <w:numPr>
          <w:ilvl w:val="0"/>
          <w:numId w:val="27"/>
        </w:numPr>
        <w:rPr>
          <w:rFonts w:ascii="Trebuchet MS" w:cs="Trebuchet MS" w:eastAsia="Trebuchet MS" w:hAnsi="Trebuchet MS"/>
          <w:sz w:val="18"/>
          <w:szCs w:val="18"/>
          <w:b w:val="1"/>
          <w:bCs w:val="1"/>
          <w:color w:val="4C4C4C"/>
        </w:rPr>
      </w:pPr>
      <w:r>
        <w:rPr>
          <w:rFonts w:ascii="Arial" w:cs="Arial" w:eastAsia="Arial" w:hAnsi="Arial"/>
          <w:sz w:val="18"/>
          <w:szCs w:val="18"/>
          <w:color w:val="4C4C4C"/>
        </w:rPr>
        <w:t>The preliminary voting results will be announced at the Annual Meeting. The final voting results will be reported in a Current Report on Form 8-K, which will be filed with the U.S. Securities and Exchange Commission (“SEC”) within four business days after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80" w:hanging="420"/>
        <w:spacing w:after="0"/>
        <w:tabs>
          <w:tab w:leader="none" w:pos="1680" w:val="left"/>
        </w:tabs>
        <w:numPr>
          <w:ilvl w:val="0"/>
          <w:numId w:val="28"/>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700"/>
        <w:spacing w:after="0"/>
        <w:rPr>
          <w:sz w:val="20"/>
          <w:szCs w:val="20"/>
          <w:color w:val="auto"/>
        </w:rPr>
      </w:pPr>
      <w:r>
        <w:rPr>
          <w:rFonts w:ascii="Arial" w:cs="Arial" w:eastAsia="Arial" w:hAnsi="Arial"/>
          <w:sz w:val="29"/>
          <w:szCs w:val="29"/>
          <w:b w:val="1"/>
          <w:bCs w:val="1"/>
          <w:color w:val="FFFFFF"/>
        </w:rPr>
        <w:t>PROPOSAL 1 — ELECTION OF DIRECTORS</w:t>
      </w:r>
    </w:p>
    <w:p>
      <w:pPr>
        <w:spacing w:after="0" w:line="249"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Overview</w:t>
      </w:r>
    </w:p>
    <w:p>
      <w:pPr>
        <w:spacing w:after="0" w:line="191"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4C4C4C"/>
        </w:rPr>
        <w:t>Our Board is divided into three classes, designated Class I, Class II and Class III. Each class consists, as nearly as possible, of one-third of the total number of directors constituting the entire Board and each class has a three-year term. At each annual meeting of stockholders, the successors to directors whose terms then expire will be elected to serve from the time of election and qualification until the third annual meeting following election.</w:t>
      </w:r>
    </w:p>
    <w:p>
      <w:pPr>
        <w:spacing w:after="0" w:line="189"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4C4C4C"/>
        </w:rPr>
        <w:t>There are currently eight directors serving on the Board. Our Amended and Restated Certificate of Incorporation (as amended, the “Certificate of Incorporation”) provides that the authorized number of directors may be changed only by resolution of the Board. Directors may be removed only for cause by the affirmative vote of the holders of at least a majority of the votes that all our stockholders would be entitled to cast in an annual election of directors. Any vacancy on our Board, including a vacancy resulting from an enlargement of our Board, may be filled only by vote of a majority of our directors then in office, even if less than a quorum. Each director so chosen shall hold office until the next election of the class for which such director shall have been chosen and until his or her successor shall have been duly elected and qualified.</w:t>
      </w:r>
    </w:p>
    <w:p>
      <w:pPr>
        <w:spacing w:after="0" w:line="159" w:lineRule="exact"/>
        <w:rPr>
          <w:sz w:val="20"/>
          <w:szCs w:val="20"/>
          <w:color w:val="auto"/>
        </w:rPr>
      </w:pPr>
    </w:p>
    <w:p>
      <w:pPr>
        <w:ind w:left="1260" w:right="439"/>
        <w:spacing w:after="0" w:line="260" w:lineRule="auto"/>
        <w:rPr>
          <w:sz w:val="20"/>
          <w:szCs w:val="20"/>
          <w:color w:val="auto"/>
        </w:rPr>
      </w:pPr>
      <w:r>
        <w:rPr>
          <w:rFonts w:ascii="Arial" w:cs="Arial" w:eastAsia="Arial" w:hAnsi="Arial"/>
          <w:sz w:val="18"/>
          <w:szCs w:val="18"/>
          <w:color w:val="4C4C4C"/>
        </w:rPr>
        <w:t>At this Annual Meeting, the term of the following Class I directors will expire: Angelo Amorelli, Carol J. Battershell and Patrick R. Gruber. The Nominating and Corporate Governance Committee has recommended that Paul D. Bloom, James J. Barber and Patrick R. Gruber be elected to serve as Class I directors at the Annual Meeting. On March 11, 2026, Mr. Amorelli informed the Board that he is not standing for re-election at the Annual Meeting. In addition, Ms. Battershell has not been nominated to serve another term as a Class I director. In May 2025, Mr. Barber was appointed by the Board to serve as a Class II director until the annual meeting of stockholders in 2027, and in December 2025, Mr. Bloom was appointed by the Board to serve as a Class III director until the annual meeting of stockholders in 2028. In light of Mr. Amorelli not standing for re-election and Ms. Battershell not being renominated, after the Annual Meeting, the Board will consist of eight directors. Pursuant to our Amended and Restated Certificate of Incorporation, if the number of directors is changed, any decrease must be apportioned so as to maintain the number of directors in each class as nearly equal as possible, but in no case will a decrease in the number of directors shorten the term of any incumbent director. In order to apportion the Board’s classes, Mr. Barber and Mr. Bloom are being nominated as Class I directors and, upon their election as such, Mr. Barber would cease to be a Class II director and Mr. Bloom would cease to be a Class III director. In connection therewith, Mr. Barber agreed to resign as a Class II director if he receives the requisite number of votes from the Company’s stockholders to be elected as a Class I director, and Mr. Bloom agreed to resign as a Class III director if he receives the requisite number of votes from the Company’s stockholders to be elected as a Class I director. If either Mr. Barber or Mr. Bloom does not receive the requisite number of votes from the Company’s stockholders, in accordance with the Company’s Amended and Restated Certificate of Incorporation, he will remain as a Class II director or Class III director, respectively, for the remainder of his term or until the appointment of his successor, or his earlier death, resignation, retirement, disqualification or removal.</w:t>
      </w:r>
    </w:p>
    <w:p>
      <w:pPr>
        <w:spacing w:after="0" w:line="165" w:lineRule="exact"/>
        <w:rPr>
          <w:sz w:val="20"/>
          <w:szCs w:val="20"/>
          <w:color w:val="auto"/>
        </w:rPr>
      </w:pPr>
    </w:p>
    <w:p>
      <w:pPr>
        <w:ind w:left="1260" w:right="619"/>
        <w:spacing w:after="0" w:line="256" w:lineRule="auto"/>
        <w:rPr>
          <w:sz w:val="20"/>
          <w:szCs w:val="20"/>
          <w:color w:val="auto"/>
        </w:rPr>
      </w:pPr>
      <w:r>
        <w:rPr>
          <w:rFonts w:ascii="Arial" w:cs="Arial" w:eastAsia="Arial" w:hAnsi="Arial"/>
          <w:sz w:val="18"/>
          <w:szCs w:val="18"/>
          <w:color w:val="4C4C4C"/>
        </w:rPr>
        <w:t>Our stockholders will vote for the Class I director nominees listed above to serve until our 2029 Annual Meeting of Stockholders and until such director’s successor has been elected and qualified, or until such director’s earlier death, resignation or removal. The members of our Board who are Class II and Class III directors will be considered for nomination for election in 2027 and 2028, respectively.</w:t>
      </w:r>
    </w:p>
    <w:p>
      <w:pPr>
        <w:spacing w:after="0" w:line="177"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Nominees for Election as Class I Directors with Terms Expiring in 2029</w:t>
      </w:r>
    </w:p>
    <w:p>
      <w:pPr>
        <w:spacing w:after="0" w:line="205" w:lineRule="exact"/>
        <w:rPr>
          <w:sz w:val="20"/>
          <w:szCs w:val="20"/>
          <w:color w:val="auto"/>
        </w:rPr>
      </w:pPr>
    </w:p>
    <w:p>
      <w:pPr>
        <w:jc w:val="both"/>
        <w:ind w:left="1260" w:right="639"/>
        <w:spacing w:after="0" w:line="252" w:lineRule="auto"/>
        <w:rPr>
          <w:sz w:val="20"/>
          <w:szCs w:val="20"/>
          <w:color w:val="auto"/>
        </w:rPr>
      </w:pPr>
      <w:r>
        <w:rPr>
          <w:rFonts w:ascii="Arial" w:cs="Arial" w:eastAsia="Arial" w:hAnsi="Arial"/>
          <w:sz w:val="18"/>
          <w:szCs w:val="18"/>
          <w:color w:val="4C4C4C"/>
        </w:rPr>
        <w:t>The nominees listed below have been recommended by the Nominating and Corporate Governance Committee to be elected to serve as Class I directors. There are no family relationships among our directors or executive officers. If any director nominee is unable or declines to serve as a director, the Board may designate another nominee to fill the vacancy and the proxy will be voted for that nominee.</w:t>
      </w:r>
    </w:p>
    <w:p>
      <w:pPr>
        <w:sectPr>
          <w:pgSz w:w="11900" w:h="16838" w:orient="portrait"/>
          <w:cols w:equalWidth="0" w:num="1">
            <w:col w:w="9879"/>
          </w:cols>
          <w:pgMar w:left="580" w:top="97" w:right="1440" w:bottom="1440" w:gutter="0" w:footer="0" w:header="0"/>
        </w:sectPr>
      </w:pPr>
    </w:p>
    <w:p>
      <w:pPr>
        <w:spacing w:after="0" w:line="388" w:lineRule="exact"/>
        <w:rPr>
          <w:sz w:val="20"/>
          <w:szCs w:val="20"/>
          <w:color w:val="auto"/>
        </w:rPr>
      </w:pPr>
    </w:p>
    <w:p>
      <w:pPr>
        <w:ind w:left="5980"/>
        <w:spacing w:after="0"/>
        <w:tabs>
          <w:tab w:leader="none" w:pos="93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3"/>
          <w:szCs w:val="13"/>
          <w:color w:val="4C4C4C"/>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317" w:lineRule="exact"/>
        <w:rPr>
          <w:sz w:val="20"/>
          <w:szCs w:val="20"/>
          <w:color w:val="auto"/>
        </w:rPr>
      </w:pPr>
    </w:p>
    <w:p>
      <w:pPr>
        <w:ind w:left="1260"/>
        <w:spacing w:after="0"/>
        <w:tabs>
          <w:tab w:leader="none" w:pos="2160" w:val="left"/>
        </w:tabs>
        <w:rPr>
          <w:sz w:val="20"/>
          <w:szCs w:val="20"/>
          <w:color w:val="auto"/>
        </w:rPr>
      </w:pPr>
      <w:r>
        <w:rPr>
          <w:rFonts w:ascii="Arial" w:cs="Arial" w:eastAsia="Arial" w:hAnsi="Arial"/>
          <w:sz w:val="14"/>
          <w:szCs w:val="14"/>
          <w:color w:val="346094"/>
        </w:rPr>
        <w:t>PROPOSAL 1</w:t>
      </w:r>
      <w:r>
        <w:rPr>
          <w:sz w:val="20"/>
          <w:szCs w:val="20"/>
          <w:color w:val="auto"/>
        </w:rPr>
        <w:tab/>
      </w:r>
      <w:r>
        <w:rPr>
          <w:rFonts w:ascii="Arial" w:cs="Arial" w:eastAsia="Arial" w:hAnsi="Arial"/>
          <w:sz w:val="12"/>
          <w:szCs w:val="12"/>
          <w:color w:val="346094"/>
        </w:rPr>
        <w:t>ELECTION OF DIRECTORS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69215</wp:posOffset>
            </wp:positionV>
            <wp:extent cx="5212080"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68" w:lineRule="exact"/>
        <w:rPr>
          <w:sz w:val="20"/>
          <w:szCs w:val="20"/>
          <w:color w:val="auto"/>
        </w:rPr>
      </w:pPr>
    </w:p>
    <w:p>
      <w:pPr>
        <w:ind w:left="1360"/>
        <w:spacing w:after="0"/>
        <w:rPr>
          <w:sz w:val="20"/>
          <w:szCs w:val="20"/>
          <w:color w:val="auto"/>
        </w:rPr>
      </w:pPr>
      <w:r>
        <w:rPr>
          <w:rFonts w:ascii="Trebuchet MS" w:cs="Trebuchet MS" w:eastAsia="Trebuchet MS" w:hAnsi="Trebuchet MS"/>
          <w:sz w:val="21"/>
          <w:szCs w:val="21"/>
          <w:b w:val="1"/>
          <w:bCs w:val="1"/>
          <w:color w:val="FFFFFF"/>
        </w:rPr>
        <w:t>JA</w:t>
      </w:r>
      <w:r>
        <w:rPr>
          <w:rFonts w:ascii="Arial" w:cs="Arial" w:eastAsia="Arial" w:hAnsi="Arial"/>
          <w:sz w:val="19"/>
          <w:szCs w:val="19"/>
          <w:b w:val="1"/>
          <w:bCs w:val="1"/>
          <w:color w:val="FFFFFF"/>
        </w:rPr>
        <w:t>M</w:t>
      </w:r>
      <w:r>
        <w:rPr>
          <w:rFonts w:ascii="Trebuchet MS" w:cs="Trebuchet MS" w:eastAsia="Trebuchet MS" w:hAnsi="Trebuchet MS"/>
          <w:sz w:val="21"/>
          <w:szCs w:val="21"/>
          <w:b w:val="1"/>
          <w:bCs w:val="1"/>
          <w:color w:val="FFFFFF"/>
        </w:rPr>
        <w:t>ES J. BARBER</w:t>
      </w:r>
    </w:p>
    <w:p>
      <w:pPr>
        <w:spacing w:after="0" w:line="236"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Director</w:t>
      </w:r>
    </w:p>
    <w:p>
      <w:pPr>
        <w:spacing w:after="0" w:line="113"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 xml:space="preserve">Age: </w:t>
      </w:r>
      <w:r>
        <w:rPr>
          <w:rFonts w:ascii="Trebuchet MS" w:cs="Trebuchet MS" w:eastAsia="Trebuchet MS" w:hAnsi="Trebuchet MS"/>
          <w:sz w:val="17"/>
          <w:szCs w:val="17"/>
          <w:color w:val="4C4C4C"/>
        </w:rPr>
        <w:t>72</w:t>
      </w:r>
    </w:p>
    <w:p>
      <w:pPr>
        <w:spacing w:after="0" w:line="113"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Director Since:</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6"/>
          <w:szCs w:val="16"/>
          <w:color w:val="4C4C4C"/>
        </w:rPr>
        <w:t>M</w:t>
      </w:r>
      <w:r>
        <w:rPr>
          <w:rFonts w:ascii="Trebuchet MS" w:cs="Trebuchet MS" w:eastAsia="Trebuchet MS" w:hAnsi="Trebuchet MS"/>
          <w:sz w:val="16"/>
          <w:szCs w:val="16"/>
          <w:color w:val="4C4C4C"/>
        </w:rPr>
        <w:t>ay 2025</w:t>
      </w:r>
    </w:p>
    <w:p>
      <w:pPr>
        <w:spacing w:after="0" w:line="124"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Board Committees:</w:t>
      </w:r>
    </w:p>
    <w:p>
      <w:pPr>
        <w:spacing w:after="0" w:line="11"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color w:val="4C4C4C"/>
        </w:rPr>
        <w:t>Audit Committee</w:t>
      </w:r>
    </w:p>
    <w:p>
      <w:pPr>
        <w:spacing w:after="0" w:line="94"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 xml:space="preserve">Independent: </w:t>
      </w:r>
      <w:r>
        <w:rPr>
          <w:rFonts w:ascii="Trebuchet MS" w:cs="Trebuchet MS" w:eastAsia="Trebuchet MS" w:hAnsi="Trebuchet MS"/>
          <w:sz w:val="17"/>
          <w:szCs w:val="17"/>
          <w:color w:val="4C4C4C"/>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59"/>
        <w:spacing w:after="0" w:line="246" w:lineRule="auto"/>
        <w:rPr>
          <w:sz w:val="20"/>
          <w:szCs w:val="20"/>
          <w:color w:val="auto"/>
        </w:rPr>
      </w:pPr>
      <w:r>
        <w:rPr>
          <w:rFonts w:ascii="Trebuchet MS" w:cs="Trebuchet MS" w:eastAsia="Trebuchet MS" w:hAnsi="Trebuchet MS"/>
          <w:sz w:val="17"/>
          <w:szCs w:val="17"/>
          <w:color w:val="4C4C4C"/>
        </w:rPr>
        <w:t xml:space="preserve">Since September 2007,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r. Barber has served as an independent consultant and the principal of Barber Advisors, LLC, a consulting firm advising businesses and non-profits in the areas of strategy, management, marketing and operations. From January 2000 to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ay 2007,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r. Barber was the President and Chief Executive Officer of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etabolix, Inc.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r. Barber currently serves on the board of directors of Graham Corporation, a public company in the business of designing and manufacturing fluid, power, heat transfer, and vacuum technologies for the defense, space, energy, and process industries. </w:t>
      </w:r>
      <w:r>
        <w:rPr>
          <w:rFonts w:ascii="Arial" w:cs="Arial" w:eastAsia="Arial" w:hAnsi="Arial"/>
          <w:sz w:val="16"/>
          <w:szCs w:val="16"/>
          <w:color w:val="4C4C4C"/>
        </w:rPr>
        <w:t>M</w:t>
      </w:r>
      <w:r>
        <w:rPr>
          <w:rFonts w:ascii="Trebuchet MS" w:cs="Trebuchet MS" w:eastAsia="Trebuchet MS" w:hAnsi="Trebuchet MS"/>
          <w:sz w:val="16"/>
          <w:szCs w:val="16"/>
          <w:color w:val="4C4C4C"/>
        </w:rPr>
        <w:t>r. Barber is Chair of Graham Corporation’s Compensation Committee and</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serves as a member of Graham Corporation’s Nomination and Governance Committee. Over the last 20 years,</w:t>
      </w:r>
    </w:p>
    <w:p>
      <w:pPr>
        <w:spacing w:after="0" w:line="26" w:lineRule="exact"/>
        <w:rPr>
          <w:sz w:val="20"/>
          <w:szCs w:val="20"/>
          <w:color w:val="auto"/>
        </w:rPr>
      </w:pPr>
    </w:p>
    <w:p>
      <w:pPr>
        <w:jc w:val="both"/>
        <w:ind w:right="699"/>
        <w:spacing w:after="0" w:line="269" w:lineRule="auto"/>
        <w:rPr>
          <w:sz w:val="20"/>
          <w:szCs w:val="20"/>
          <w:color w:val="auto"/>
        </w:rPr>
      </w:pPr>
      <w:r>
        <w:rPr>
          <w:rFonts w:ascii="Arial" w:cs="Arial" w:eastAsia="Arial" w:hAnsi="Arial"/>
          <w:sz w:val="16"/>
          <w:szCs w:val="16"/>
          <w:color w:val="4C4C4C"/>
        </w:rPr>
        <w:t>M</w:t>
      </w:r>
      <w:r>
        <w:rPr>
          <w:rFonts w:ascii="Trebuchet MS" w:cs="Trebuchet MS" w:eastAsia="Trebuchet MS" w:hAnsi="Trebuchet MS"/>
          <w:sz w:val="16"/>
          <w:szCs w:val="16"/>
          <w:color w:val="4C4C4C"/>
        </w:rPr>
        <w:t>r. Barber has served on the board of directors of a variety of other public</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 xml:space="preserve">and private companies. We believe </w:t>
      </w:r>
      <w:r>
        <w:rPr>
          <w:rFonts w:ascii="Arial" w:cs="Arial" w:eastAsia="Arial" w:hAnsi="Arial"/>
          <w:sz w:val="16"/>
          <w:szCs w:val="16"/>
          <w:color w:val="4C4C4C"/>
        </w:rPr>
        <w:t>M</w:t>
      </w:r>
      <w:r>
        <w:rPr>
          <w:rFonts w:ascii="Trebuchet MS" w:cs="Trebuchet MS" w:eastAsia="Trebuchet MS" w:hAnsi="Trebuchet MS"/>
          <w:sz w:val="16"/>
          <w:szCs w:val="16"/>
          <w:color w:val="4C4C4C"/>
        </w:rPr>
        <w:t>r. Barber’s qualifications to sit on our Board include his decades of experience across fuels, chemicals, biobased materials, micro-optics, carbon nanofibers, joint ventures and licensing.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106045</wp:posOffset>
            </wp:positionV>
            <wp:extent cx="521208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400"/>
            <w:col w:w="6339"/>
          </w:cols>
          <w:pgMar w:left="580" w:top="97" w:right="1440" w:bottom="1440" w:gutter="0" w:footer="0" w:header="0"/>
          <w:type w:val="continuous"/>
        </w:sectPr>
      </w:pPr>
    </w:p>
    <w:p>
      <w:pPr>
        <w:spacing w:after="0" w:line="26" w:lineRule="exact"/>
        <w:rPr>
          <w:sz w:val="20"/>
          <w:szCs w:val="20"/>
          <w:color w:val="auto"/>
        </w:rPr>
      </w:pPr>
    </w:p>
    <w:p>
      <w:pPr>
        <w:ind w:left="1360"/>
        <w:spacing w:after="0"/>
        <w:rPr>
          <w:sz w:val="20"/>
          <w:szCs w:val="20"/>
          <w:color w:val="auto"/>
        </w:rPr>
      </w:pPr>
      <w:r>
        <w:rPr>
          <w:rFonts w:ascii="Trebuchet MS" w:cs="Trebuchet MS" w:eastAsia="Trebuchet MS" w:hAnsi="Trebuchet MS"/>
          <w:sz w:val="22"/>
          <w:szCs w:val="22"/>
          <w:b w:val="1"/>
          <w:bCs w:val="1"/>
          <w:color w:val="FFFFFF"/>
        </w:rPr>
        <w:t>PAUL D. BLOO</w:t>
      </w:r>
      <w:r>
        <w:rPr>
          <w:rFonts w:ascii="Arial" w:cs="Arial" w:eastAsia="Arial" w:hAnsi="Arial"/>
          <w:sz w:val="20"/>
          <w:szCs w:val="20"/>
          <w:b w:val="1"/>
          <w:bCs w:val="1"/>
          <w:color w:val="FFFFFF"/>
        </w:rPr>
        <w:t>M</w:t>
      </w:r>
    </w:p>
    <w:p>
      <w:pPr>
        <w:spacing w:after="0" w:line="224" w:lineRule="exact"/>
        <w:rPr>
          <w:sz w:val="20"/>
          <w:szCs w:val="20"/>
          <w:color w:val="auto"/>
        </w:rPr>
      </w:pPr>
    </w:p>
    <w:p>
      <w:pPr>
        <w:ind w:left="1260" w:right="60"/>
        <w:spacing w:after="0" w:line="258" w:lineRule="auto"/>
        <w:rPr>
          <w:sz w:val="20"/>
          <w:szCs w:val="20"/>
          <w:color w:val="auto"/>
        </w:rPr>
      </w:pPr>
      <w:r>
        <w:rPr>
          <w:rFonts w:ascii="Trebuchet MS" w:cs="Trebuchet MS" w:eastAsia="Trebuchet MS" w:hAnsi="Trebuchet MS"/>
          <w:sz w:val="17"/>
          <w:szCs w:val="17"/>
          <w:b w:val="1"/>
          <w:bCs w:val="1"/>
          <w:color w:val="4C4C4C"/>
        </w:rPr>
        <w:t>Chief Executive Officer and Director</w:t>
      </w:r>
    </w:p>
    <w:p>
      <w:pPr>
        <w:spacing w:after="0" w:line="89"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 xml:space="preserve">Age: </w:t>
      </w:r>
      <w:r>
        <w:rPr>
          <w:rFonts w:ascii="Trebuchet MS" w:cs="Trebuchet MS" w:eastAsia="Trebuchet MS" w:hAnsi="Trebuchet MS"/>
          <w:sz w:val="17"/>
          <w:szCs w:val="17"/>
          <w:color w:val="4C4C4C"/>
        </w:rPr>
        <w:t>52</w:t>
      </w:r>
    </w:p>
    <w:p>
      <w:pPr>
        <w:spacing w:after="0" w:line="100"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Director Since:</w:t>
      </w:r>
    </w:p>
    <w:p>
      <w:pPr>
        <w:spacing w:after="0" w:line="11"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color w:val="4C4C4C"/>
        </w:rPr>
        <w:t>December 2025</w:t>
      </w:r>
    </w:p>
    <w:p>
      <w:pPr>
        <w:spacing w:after="0" w:line="107"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Board Committees:</w:t>
      </w:r>
    </w:p>
    <w:p>
      <w:pPr>
        <w:spacing w:after="0" w:line="11"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color w:val="4C4C4C"/>
        </w:rPr>
        <w:t>None</w:t>
      </w:r>
    </w:p>
    <w:p>
      <w:pPr>
        <w:spacing w:after="0" w:line="107" w:lineRule="exact"/>
        <w:rPr>
          <w:sz w:val="20"/>
          <w:szCs w:val="20"/>
          <w:color w:val="auto"/>
        </w:rPr>
      </w:pPr>
    </w:p>
    <w:p>
      <w:pPr>
        <w:ind w:left="1260"/>
        <w:spacing w:after="0" w:line="269" w:lineRule="auto"/>
        <w:rPr>
          <w:sz w:val="20"/>
          <w:szCs w:val="20"/>
          <w:color w:val="auto"/>
        </w:rPr>
      </w:pPr>
      <w:r>
        <w:rPr>
          <w:rFonts w:ascii="Trebuchet MS" w:cs="Trebuchet MS" w:eastAsia="Trebuchet MS" w:hAnsi="Trebuchet MS"/>
          <w:sz w:val="16"/>
          <w:szCs w:val="16"/>
          <w:b w:val="1"/>
          <w:bCs w:val="1"/>
          <w:color w:val="4C4C4C"/>
        </w:rPr>
        <w:t xml:space="preserve">Independent: </w:t>
      </w:r>
      <w:r>
        <w:rPr>
          <w:rFonts w:ascii="Trebuchet MS" w:cs="Trebuchet MS" w:eastAsia="Trebuchet MS" w:hAnsi="Trebuchet MS"/>
          <w:sz w:val="16"/>
          <w:szCs w:val="16"/>
          <w:color w:val="4C4C4C"/>
        </w:rPr>
        <w:t>No, serves</w:t>
      </w:r>
      <w:r>
        <w:rPr>
          <w:rFonts w:ascii="Trebuchet MS" w:cs="Trebuchet MS" w:eastAsia="Trebuchet MS" w:hAnsi="Trebuchet MS"/>
          <w:sz w:val="16"/>
          <w:szCs w:val="16"/>
          <w:b w:val="1"/>
          <w:bCs w:val="1"/>
          <w:color w:val="4C4C4C"/>
        </w:rPr>
        <w:t xml:space="preserve"> </w:t>
      </w:r>
      <w:r>
        <w:rPr>
          <w:rFonts w:ascii="Trebuchet MS" w:cs="Trebuchet MS" w:eastAsia="Trebuchet MS" w:hAnsi="Trebuchet MS"/>
          <w:sz w:val="16"/>
          <w:szCs w:val="16"/>
          <w:color w:val="4C4C4C"/>
        </w:rPr>
        <w:t>as CEO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right="419"/>
        <w:spacing w:after="0" w:line="258" w:lineRule="auto"/>
        <w:rPr>
          <w:sz w:val="20"/>
          <w:szCs w:val="20"/>
          <w:color w:val="auto"/>
        </w:rPr>
      </w:pPr>
      <w:r>
        <w:rPr>
          <w:rFonts w:ascii="Arial" w:cs="Arial" w:eastAsia="Arial" w:hAnsi="Arial"/>
          <w:sz w:val="16"/>
          <w:szCs w:val="16"/>
          <w:color w:val="4C4C4C"/>
        </w:rPr>
        <w:t>M</w:t>
      </w:r>
      <w:r>
        <w:rPr>
          <w:rFonts w:ascii="Trebuchet MS" w:cs="Trebuchet MS" w:eastAsia="Trebuchet MS" w:hAnsi="Trebuchet MS"/>
          <w:sz w:val="16"/>
          <w:szCs w:val="16"/>
          <w:color w:val="4C4C4C"/>
        </w:rPr>
        <w:t>r. Bloom has been with the Company since</w:t>
      </w:r>
      <w:r>
        <w:rPr>
          <w:rFonts w:ascii="Arial" w:cs="Arial" w:eastAsia="Arial" w:hAnsi="Arial"/>
          <w:sz w:val="16"/>
          <w:szCs w:val="16"/>
          <w:color w:val="4C4C4C"/>
        </w:rPr>
        <w:t xml:space="preserve"> M</w:t>
      </w:r>
      <w:r>
        <w:rPr>
          <w:rFonts w:ascii="Trebuchet MS" w:cs="Trebuchet MS" w:eastAsia="Trebuchet MS" w:hAnsi="Trebuchet MS"/>
          <w:sz w:val="16"/>
          <w:szCs w:val="16"/>
          <w:color w:val="4C4C4C"/>
        </w:rPr>
        <w:t>arch 2021, serving as its Chief</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 xml:space="preserve">Executive Officer since April 1, 2026 after having previously served as the Company’s President from December 2025 to April 2026, its Chief Business Officer from February 2025 to December 2025, its Chief Carbon Officer and Chief Innovation Officer from September 2021 to February 2025 and as Chief Technology Officer from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arch to September 2021. As Chief Executive Officer, </w:t>
      </w:r>
      <w:r>
        <w:rPr>
          <w:rFonts w:ascii="Arial" w:cs="Arial" w:eastAsia="Arial" w:hAnsi="Arial"/>
          <w:sz w:val="16"/>
          <w:szCs w:val="16"/>
          <w:color w:val="4C4C4C"/>
        </w:rPr>
        <w:t>M</w:t>
      </w:r>
      <w:r>
        <w:rPr>
          <w:rFonts w:ascii="Trebuchet MS" w:cs="Trebuchet MS" w:eastAsia="Trebuchet MS" w:hAnsi="Trebuchet MS"/>
          <w:sz w:val="16"/>
          <w:szCs w:val="16"/>
          <w:color w:val="4C4C4C"/>
        </w:rPr>
        <w:t>r. Bloom leads company strategy, commercial growth and execution across</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 xml:space="preserve">the Company’s interests in low-carbon fuels and renewable chemicals. Prior to joining the Company, </w:t>
      </w:r>
      <w:r>
        <w:rPr>
          <w:rFonts w:ascii="Arial" w:cs="Arial" w:eastAsia="Arial" w:hAnsi="Arial"/>
          <w:sz w:val="16"/>
          <w:szCs w:val="16"/>
          <w:color w:val="4C4C4C"/>
        </w:rPr>
        <w:t>M</w:t>
      </w:r>
      <w:r>
        <w:rPr>
          <w:rFonts w:ascii="Trebuchet MS" w:cs="Trebuchet MS" w:eastAsia="Trebuchet MS" w:hAnsi="Trebuchet MS"/>
          <w:sz w:val="16"/>
          <w:szCs w:val="16"/>
          <w:color w:val="4C4C4C"/>
        </w:rPr>
        <w:t>r. Bloom spent more than 20 years at Archer-Daniels-</w:t>
      </w:r>
      <w:r>
        <w:rPr>
          <w:rFonts w:ascii="Arial" w:cs="Arial" w:eastAsia="Arial" w:hAnsi="Arial"/>
          <w:sz w:val="16"/>
          <w:szCs w:val="16"/>
          <w:color w:val="4C4C4C"/>
        </w:rPr>
        <w:t>M</w:t>
      </w:r>
      <w:r>
        <w:rPr>
          <w:rFonts w:ascii="Trebuchet MS" w:cs="Trebuchet MS" w:eastAsia="Trebuchet MS" w:hAnsi="Trebuchet MS"/>
          <w:sz w:val="16"/>
          <w:szCs w:val="16"/>
          <w:color w:val="4C4C4C"/>
        </w:rPr>
        <w:t>idland Company (“AD</w:t>
      </w:r>
      <w:r>
        <w:rPr>
          <w:rFonts w:ascii="Arial" w:cs="Arial" w:eastAsia="Arial" w:hAnsi="Arial"/>
          <w:sz w:val="16"/>
          <w:szCs w:val="16"/>
          <w:color w:val="4C4C4C"/>
        </w:rPr>
        <w:t>M</w:t>
      </w:r>
      <w:r>
        <w:rPr>
          <w:rFonts w:ascii="Trebuchet MS" w:cs="Trebuchet MS" w:eastAsia="Trebuchet MS" w:hAnsi="Trebuchet MS"/>
          <w:sz w:val="16"/>
          <w:szCs w:val="16"/>
          <w:color w:val="4C4C4C"/>
        </w:rPr>
        <w:t>”), a publicly traded food processing and</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 xml:space="preserve">commodities trading company, in a range of commercial and technical leadership roles spanning global markets and product platforms.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r. Bloom holds more than 30 patents and has been honored with the U.S. EPA Presidential Green Chemistry Award, the Platts Global Energy Award and the Innovation in Bioplastics Award. We believe </w:t>
      </w:r>
      <w:r>
        <w:rPr>
          <w:rFonts w:ascii="Arial" w:cs="Arial" w:eastAsia="Arial" w:hAnsi="Arial"/>
          <w:sz w:val="16"/>
          <w:szCs w:val="16"/>
          <w:color w:val="4C4C4C"/>
        </w:rPr>
        <w:t>M</w:t>
      </w:r>
      <w:r>
        <w:rPr>
          <w:rFonts w:ascii="Trebuchet MS" w:cs="Trebuchet MS" w:eastAsia="Trebuchet MS" w:hAnsi="Trebuchet MS"/>
          <w:sz w:val="16"/>
          <w:szCs w:val="16"/>
          <w:color w:val="4C4C4C"/>
        </w:rPr>
        <w:t>r. Bloom’s passion to bring climate-smart products to market at scale and building systems that make sustainability economically viable, as well as his strong background with the Company, make him well qualified to sit on our Board.</w:t>
      </w:r>
    </w:p>
    <w:p>
      <w:pPr>
        <w:spacing w:after="0" w:line="200" w:lineRule="exact"/>
        <w:rPr>
          <w:sz w:val="20"/>
          <w:szCs w:val="20"/>
          <w:color w:val="auto"/>
        </w:rPr>
      </w:pPr>
    </w:p>
    <w:p>
      <w:pPr>
        <w:sectPr>
          <w:pgSz w:w="11900" w:h="16838" w:orient="portrait"/>
          <w:cols w:equalWidth="0" w:num="2">
            <w:col w:w="3140" w:space="400"/>
            <w:col w:w="63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80" w:hanging="420"/>
        <w:spacing w:after="0"/>
        <w:tabs>
          <w:tab w:leader="none" w:pos="1680" w:val="left"/>
        </w:tabs>
        <w:numPr>
          <w:ilvl w:val="0"/>
          <w:numId w:val="29"/>
        </w:numPr>
        <w:rPr>
          <w:rFonts w:ascii="Arial" w:cs="Arial" w:eastAsia="Arial" w:hAnsi="Arial"/>
          <w:sz w:val="15"/>
          <w:szCs w:val="15"/>
          <w:color w:val="4C4C4C"/>
        </w:rPr>
      </w:pPr>
      <w:r>
        <w:rPr>
          <w:rFonts w:ascii="Arial" w:cs="Arial" w:eastAsia="Arial" w:hAnsi="Arial"/>
          <w:sz w:val="15"/>
          <w:szCs w:val="15"/>
          <w:color w:val="346094"/>
        </w:rPr>
        <w:t xml:space="preserve">GEVO, INC.  |  </w:t>
      </w:r>
      <w:r>
        <w:rPr>
          <w:rFonts w:ascii="Arial" w:cs="Arial" w:eastAsia="Arial" w:hAnsi="Arial"/>
          <w:sz w:val="15"/>
          <w:szCs w:val="15"/>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274320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317" w:lineRule="exact"/>
        <w:rPr>
          <w:sz w:val="20"/>
          <w:szCs w:val="20"/>
          <w:color w:val="auto"/>
        </w:rPr>
      </w:pPr>
    </w:p>
    <w:p>
      <w:pPr>
        <w:ind w:left="6920"/>
        <w:spacing w:after="0"/>
        <w:tabs>
          <w:tab w:leader="none" w:pos="7820" w:val="left"/>
        </w:tabs>
        <w:rPr>
          <w:sz w:val="20"/>
          <w:szCs w:val="20"/>
          <w:color w:val="auto"/>
        </w:rPr>
      </w:pPr>
      <w:r>
        <w:rPr>
          <w:rFonts w:ascii="Arial" w:cs="Arial" w:eastAsia="Arial" w:hAnsi="Arial"/>
          <w:sz w:val="14"/>
          <w:szCs w:val="14"/>
          <w:color w:val="346094"/>
        </w:rPr>
        <w:t>PROPOSAL 1</w:t>
      </w:r>
      <w:r>
        <w:rPr>
          <w:sz w:val="20"/>
          <w:szCs w:val="20"/>
          <w:color w:val="auto"/>
        </w:rPr>
        <w:tab/>
      </w:r>
      <w:r>
        <w:rPr>
          <w:rFonts w:ascii="Arial" w:cs="Arial" w:eastAsia="Arial" w:hAnsi="Arial"/>
          <w:sz w:val="12"/>
          <w:szCs w:val="12"/>
          <w:color w:val="346094"/>
        </w:rPr>
        <w:t>ELECTION OF DIRECTORS</w:t>
      </w:r>
    </w:p>
    <w:p>
      <w:pPr>
        <w:spacing w:after="0" w:line="1"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69215</wp:posOffset>
            </wp:positionV>
            <wp:extent cx="521208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48" w:lineRule="exact"/>
        <w:rPr>
          <w:sz w:val="20"/>
          <w:szCs w:val="20"/>
          <w:color w:val="auto"/>
        </w:rPr>
      </w:pPr>
    </w:p>
    <w:p>
      <w:pPr>
        <w:ind w:left="1360"/>
        <w:spacing w:after="0"/>
        <w:rPr>
          <w:sz w:val="20"/>
          <w:szCs w:val="20"/>
          <w:color w:val="auto"/>
        </w:rPr>
      </w:pPr>
      <w:r>
        <w:rPr>
          <w:rFonts w:ascii="Trebuchet MS" w:cs="Trebuchet MS" w:eastAsia="Trebuchet MS" w:hAnsi="Trebuchet MS"/>
          <w:sz w:val="22"/>
          <w:szCs w:val="22"/>
          <w:b w:val="1"/>
          <w:bCs w:val="1"/>
          <w:color w:val="FFFFFF"/>
        </w:rPr>
        <w:t>PATRICK R. GRUBER</w:t>
      </w:r>
    </w:p>
    <w:p>
      <w:pPr>
        <w:sectPr>
          <w:pgSz w:w="11900" w:h="16838" w:orient="portrait"/>
          <w:cols w:equalWidth="0" w:num="1">
            <w:col w:w="10720"/>
          </w:cols>
          <w:pgMar w:left="580" w:top="97" w:right="599" w:bottom="1440" w:gutter="0" w:footer="0" w:header="0"/>
        </w:sectPr>
      </w:pPr>
    </w:p>
    <w:p>
      <w:pPr>
        <w:spacing w:after="0" w:line="224"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Director</w:t>
      </w:r>
    </w:p>
    <w:p>
      <w:pPr>
        <w:spacing w:after="0" w:line="113"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 xml:space="preserve">Age: </w:t>
      </w:r>
      <w:r>
        <w:rPr>
          <w:rFonts w:ascii="Trebuchet MS" w:cs="Trebuchet MS" w:eastAsia="Trebuchet MS" w:hAnsi="Trebuchet MS"/>
          <w:sz w:val="17"/>
          <w:szCs w:val="17"/>
          <w:color w:val="4C4C4C"/>
        </w:rPr>
        <w:t>65</w:t>
      </w:r>
    </w:p>
    <w:p>
      <w:pPr>
        <w:spacing w:after="0" w:line="113"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 xml:space="preserve">Director Since: </w:t>
      </w:r>
      <w:r>
        <w:rPr>
          <w:rFonts w:ascii="Trebuchet MS" w:cs="Trebuchet MS" w:eastAsia="Trebuchet MS" w:hAnsi="Trebuchet MS"/>
          <w:sz w:val="17"/>
          <w:szCs w:val="17"/>
          <w:color w:val="4C4C4C"/>
        </w:rPr>
        <w:t>2007</w:t>
      </w:r>
    </w:p>
    <w:p>
      <w:pPr>
        <w:spacing w:after="0" w:line="113"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Board Committees:</w:t>
      </w:r>
    </w:p>
    <w:p>
      <w:pPr>
        <w:spacing w:after="0" w:line="11"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color w:val="4C4C4C"/>
        </w:rPr>
        <w:t>None</w:t>
      </w:r>
    </w:p>
    <w:p>
      <w:pPr>
        <w:spacing w:after="0" w:line="94" w:lineRule="exact"/>
        <w:rPr>
          <w:sz w:val="20"/>
          <w:szCs w:val="20"/>
          <w:color w:val="auto"/>
        </w:rPr>
      </w:pPr>
    </w:p>
    <w:p>
      <w:pPr>
        <w:ind w:left="1260"/>
        <w:spacing w:after="0" w:line="280" w:lineRule="auto"/>
        <w:rPr>
          <w:sz w:val="20"/>
          <w:szCs w:val="20"/>
          <w:color w:val="auto"/>
        </w:rPr>
      </w:pPr>
      <w:r>
        <w:rPr>
          <w:rFonts w:ascii="Trebuchet MS" w:cs="Trebuchet MS" w:eastAsia="Trebuchet MS" w:hAnsi="Trebuchet MS"/>
          <w:sz w:val="16"/>
          <w:szCs w:val="16"/>
          <w:b w:val="1"/>
          <w:bCs w:val="1"/>
          <w:color w:val="4C4C4C"/>
        </w:rPr>
        <w:t xml:space="preserve">Independent: </w:t>
      </w:r>
      <w:r>
        <w:rPr>
          <w:rFonts w:ascii="Trebuchet MS" w:cs="Trebuchet MS" w:eastAsia="Trebuchet MS" w:hAnsi="Trebuchet MS"/>
          <w:sz w:val="16"/>
          <w:szCs w:val="16"/>
          <w:color w:val="4C4C4C"/>
        </w:rPr>
        <w:t>No, served</w:t>
      </w:r>
      <w:r>
        <w:rPr>
          <w:rFonts w:ascii="Trebuchet MS" w:cs="Trebuchet MS" w:eastAsia="Trebuchet MS" w:hAnsi="Trebuchet MS"/>
          <w:sz w:val="16"/>
          <w:szCs w:val="16"/>
          <w:b w:val="1"/>
          <w:bCs w:val="1"/>
          <w:color w:val="4C4C4C"/>
        </w:rPr>
        <w:t xml:space="preserve"> </w:t>
      </w:r>
      <w:r>
        <w:rPr>
          <w:rFonts w:ascii="Trebuchet MS" w:cs="Trebuchet MS" w:eastAsia="Trebuchet MS" w:hAnsi="Trebuchet MS"/>
          <w:sz w:val="16"/>
          <w:szCs w:val="16"/>
          <w:color w:val="4C4C4C"/>
        </w:rPr>
        <w:t xml:space="preserve">as CEO of the Company until </w:t>
      </w:r>
      <w:r>
        <w:rPr>
          <w:rFonts w:ascii="Arial" w:cs="Arial" w:eastAsia="Arial" w:hAnsi="Arial"/>
          <w:sz w:val="15"/>
          <w:szCs w:val="15"/>
          <w:color w:val="4C4C4C"/>
        </w:rPr>
        <w:t>M</w:t>
      </w:r>
      <w:r>
        <w:rPr>
          <w:rFonts w:ascii="Trebuchet MS" w:cs="Trebuchet MS" w:eastAsia="Trebuchet MS" w:hAnsi="Trebuchet MS"/>
          <w:sz w:val="16"/>
          <w:szCs w:val="16"/>
          <w:color w:val="4C4C4C"/>
        </w:rPr>
        <w:t>arch 31, 2026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right="1500"/>
        <w:spacing w:after="0" w:line="262" w:lineRule="auto"/>
        <w:rPr>
          <w:sz w:val="20"/>
          <w:szCs w:val="20"/>
          <w:color w:val="auto"/>
        </w:rPr>
      </w:pPr>
      <w:r>
        <w:rPr>
          <w:rFonts w:ascii="Arial" w:cs="Arial" w:eastAsia="Arial" w:hAnsi="Arial"/>
          <w:sz w:val="16"/>
          <w:szCs w:val="16"/>
          <w:color w:val="4C4C4C"/>
        </w:rPr>
        <w:t>M</w:t>
      </w:r>
      <w:r>
        <w:rPr>
          <w:rFonts w:ascii="Trebuchet MS" w:cs="Trebuchet MS" w:eastAsia="Trebuchet MS" w:hAnsi="Trebuchet MS"/>
          <w:sz w:val="16"/>
          <w:szCs w:val="16"/>
          <w:color w:val="4C4C4C"/>
        </w:rPr>
        <w:t>r. Gruber served as Chief Executive Officer of the Company from 2007 to</w:t>
      </w:r>
      <w:r>
        <w:rPr>
          <w:rFonts w:ascii="Arial" w:cs="Arial" w:eastAsia="Arial" w:hAnsi="Arial"/>
          <w:sz w:val="16"/>
          <w:szCs w:val="16"/>
          <w:color w:val="4C4C4C"/>
        </w:rPr>
        <w:t xml:space="preserve"> M</w:t>
      </w:r>
      <w:r>
        <w:rPr>
          <w:rFonts w:ascii="Trebuchet MS" w:cs="Trebuchet MS" w:eastAsia="Trebuchet MS" w:hAnsi="Trebuchet MS"/>
          <w:sz w:val="16"/>
          <w:szCs w:val="16"/>
          <w:color w:val="4C4C4C"/>
        </w:rPr>
        <w:t>arch 2026. He also served as Executive Chair of the Board from December</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2025 to April 2026. Prior to joining the Company, from 2005 to 2007,</w:t>
      </w:r>
    </w:p>
    <w:p>
      <w:pPr>
        <w:spacing w:after="0" w:line="1" w:lineRule="exact"/>
        <w:rPr>
          <w:sz w:val="20"/>
          <w:szCs w:val="20"/>
          <w:color w:val="auto"/>
        </w:rPr>
      </w:pPr>
    </w:p>
    <w:p>
      <w:pPr>
        <w:ind w:right="1300"/>
        <w:spacing w:after="0" w:line="257" w:lineRule="auto"/>
        <w:rPr>
          <w:sz w:val="20"/>
          <w:szCs w:val="20"/>
          <w:color w:val="auto"/>
        </w:rPr>
      </w:pPr>
      <w:r>
        <w:rPr>
          <w:rFonts w:ascii="Arial" w:cs="Arial" w:eastAsia="Arial" w:hAnsi="Arial"/>
          <w:sz w:val="16"/>
          <w:szCs w:val="16"/>
          <w:color w:val="4C4C4C"/>
        </w:rPr>
        <w:t>M</w:t>
      </w:r>
      <w:r>
        <w:rPr>
          <w:rFonts w:ascii="Trebuchet MS" w:cs="Trebuchet MS" w:eastAsia="Trebuchet MS" w:hAnsi="Trebuchet MS"/>
          <w:sz w:val="16"/>
          <w:szCs w:val="16"/>
          <w:color w:val="4C4C4C"/>
        </w:rPr>
        <w:t>r. Gruber was President and Chief Executive Officer of Outlast Technologies,</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 xml:space="preserve">Inc. (“Outlast Technologies”), a technology and marketing company primarily serving the textile industry, where he was responsible for all aspects of Outlast Technologies’ business. Previously,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r. Gruber co-founded NatureWorks LLC (formerly Cargill Dow, LLC) (“NatureWorks”) and served as Vice President, Technology and Operations, and Chief Technology Officer from 1997 to 2005, where he was responsible for all aspects of the business, including project, application and process technology development. From 2007 to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ay 2012,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r. Gruber served on the board of directors of Segetis, Inc. From 2007 to January 2012,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r. Gruber served on the board of directors of Green Harvest Technologies, LLC and from 2007 to 2008, he served on the board of directors of Outlast Technologies. In 2011,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r. Gruber was awarded the University of </w:t>
      </w:r>
      <w:r>
        <w:rPr>
          <w:rFonts w:ascii="Arial" w:cs="Arial" w:eastAsia="Arial" w:hAnsi="Arial"/>
          <w:sz w:val="16"/>
          <w:szCs w:val="16"/>
          <w:color w:val="4C4C4C"/>
        </w:rPr>
        <w:t>M</w:t>
      </w:r>
      <w:r>
        <w:rPr>
          <w:rFonts w:ascii="Trebuchet MS" w:cs="Trebuchet MS" w:eastAsia="Trebuchet MS" w:hAnsi="Trebuchet MS"/>
          <w:sz w:val="16"/>
          <w:szCs w:val="16"/>
          <w:color w:val="4C4C4C"/>
        </w:rPr>
        <w:t>innesota Outstanding Achievement Award. In 2008,</w:t>
      </w:r>
    </w:p>
    <w:p>
      <w:pPr>
        <w:spacing w:after="0" w:line="9" w:lineRule="exact"/>
        <w:rPr>
          <w:sz w:val="20"/>
          <w:szCs w:val="20"/>
          <w:color w:val="auto"/>
        </w:rPr>
      </w:pPr>
    </w:p>
    <w:p>
      <w:pPr>
        <w:ind w:right="1540"/>
        <w:spacing w:after="0" w:line="261" w:lineRule="auto"/>
        <w:rPr>
          <w:sz w:val="20"/>
          <w:szCs w:val="20"/>
          <w:color w:val="auto"/>
        </w:rPr>
      </w:pPr>
      <w:r>
        <w:rPr>
          <w:rFonts w:ascii="Arial" w:cs="Arial" w:eastAsia="Arial" w:hAnsi="Arial"/>
          <w:sz w:val="16"/>
          <w:szCs w:val="16"/>
          <w:color w:val="4C4C4C"/>
        </w:rPr>
        <w:t>M</w:t>
      </w:r>
      <w:r>
        <w:rPr>
          <w:rFonts w:ascii="Trebuchet MS" w:cs="Trebuchet MS" w:eastAsia="Trebuchet MS" w:hAnsi="Trebuchet MS"/>
          <w:sz w:val="16"/>
          <w:szCs w:val="16"/>
          <w:color w:val="4C4C4C"/>
        </w:rPr>
        <w:t>r. Gruber was awarded the first ever George Washington Carver Award,</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recognizing significant contributions by individuals in the field of industrial biotechnology and its application in biological engineering, environmental science, biorefining and bio-based products. We believe</w:t>
      </w:r>
    </w:p>
    <w:p>
      <w:pPr>
        <w:spacing w:after="0" w:line="10" w:lineRule="exact"/>
        <w:rPr>
          <w:sz w:val="20"/>
          <w:szCs w:val="20"/>
          <w:color w:val="auto"/>
        </w:rPr>
      </w:pPr>
    </w:p>
    <w:p>
      <w:pPr>
        <w:ind w:right="1540"/>
        <w:spacing w:after="0" w:line="285" w:lineRule="auto"/>
        <w:rPr>
          <w:sz w:val="20"/>
          <w:szCs w:val="20"/>
          <w:color w:val="auto"/>
        </w:rPr>
      </w:pPr>
      <w:r>
        <w:rPr>
          <w:rFonts w:ascii="Arial" w:cs="Arial" w:eastAsia="Arial" w:hAnsi="Arial"/>
          <w:sz w:val="16"/>
          <w:szCs w:val="16"/>
          <w:color w:val="4C4C4C"/>
        </w:rPr>
        <w:t>M</w:t>
      </w:r>
      <w:r>
        <w:rPr>
          <w:rFonts w:ascii="Trebuchet MS" w:cs="Trebuchet MS" w:eastAsia="Trebuchet MS" w:hAnsi="Trebuchet MS"/>
          <w:sz w:val="16"/>
          <w:szCs w:val="16"/>
          <w:color w:val="4C4C4C"/>
        </w:rPr>
        <w:t>r. Gruber’s qualifications to sit on our Board include his knowledge of our</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company and its operations and his deep experience in our industry.</w:t>
      </w:r>
    </w:p>
    <w:p>
      <w:pPr>
        <w:spacing w:after="0" w:line="172" w:lineRule="exact"/>
        <w:rPr>
          <w:sz w:val="20"/>
          <w:szCs w:val="20"/>
          <w:color w:val="auto"/>
        </w:rPr>
      </w:pPr>
    </w:p>
    <w:p>
      <w:pPr>
        <w:sectPr>
          <w:pgSz w:w="11900" w:h="16838" w:orient="portrait"/>
          <w:cols w:equalWidth="0" w:num="2">
            <w:col w:w="3160" w:space="380"/>
            <w:col w:w="7180"/>
          </w:cols>
          <w:pgMar w:left="580" w:top="97" w:right="599" w:bottom="1440" w:gutter="0" w:footer="0" w:header="0"/>
          <w:type w:val="continuous"/>
        </w:sectPr>
      </w:pPr>
    </w:p>
    <w:p>
      <w:pPr>
        <w:ind w:left="1260"/>
        <w:spacing w:after="0"/>
        <w:rPr>
          <w:sz w:val="20"/>
          <w:szCs w:val="20"/>
          <w:color w:val="auto"/>
        </w:rPr>
      </w:pPr>
      <w:r>
        <w:rPr>
          <w:rFonts w:ascii="Trebuchet MS" w:cs="Trebuchet MS" w:eastAsia="Trebuchet MS" w:hAnsi="Trebuchet MS"/>
          <w:sz w:val="22"/>
          <w:szCs w:val="22"/>
          <w:b w:val="1"/>
          <w:bCs w:val="1"/>
          <w:color w:val="346094"/>
        </w:rPr>
        <w:t>Vote Required and Board Recommendation</w:t>
      </w:r>
    </w:p>
    <w:p>
      <w:pPr>
        <w:spacing w:after="0" w:line="205" w:lineRule="exact"/>
        <w:rPr>
          <w:sz w:val="20"/>
          <w:szCs w:val="20"/>
          <w:color w:val="auto"/>
        </w:rPr>
      </w:pPr>
    </w:p>
    <w:p>
      <w:pPr>
        <w:ind w:left="1260" w:right="1500"/>
        <w:spacing w:after="0" w:line="261" w:lineRule="auto"/>
        <w:rPr>
          <w:sz w:val="20"/>
          <w:szCs w:val="20"/>
          <w:color w:val="auto"/>
        </w:rPr>
      </w:pPr>
      <w:r>
        <w:rPr>
          <w:rFonts w:ascii="Arial" w:cs="Arial" w:eastAsia="Arial" w:hAnsi="Arial"/>
          <w:sz w:val="18"/>
          <w:szCs w:val="18"/>
          <w:color w:val="4C4C4C"/>
        </w:rPr>
        <w:t>The affirmative vote of a plurality of the votes cast in person, including by means of remote communication, or by proxy at the Annual Meeting is required to elect James J. Barber, Paul D. Bloom and Patrick R. Gruber as Class I directors to serve until the 2029 Annual Meeting of Stockholders. A “plurality” means, with regard to the election of directors, that the nominee for director receiving the greatest number of   “FOR” votes from the votes cast at the Annual Meeting will be elected.</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459"/>
        </w:trPr>
        <w:tc>
          <w:tcPr>
            <w:tcW w:w="1080" w:type="dxa"/>
            <w:vAlign w:val="bottom"/>
            <w:shd w:val="clear" w:color="auto" w:fill="346094"/>
          </w:tcPr>
          <w:p>
            <w:pPr>
              <w:ind w:left="40"/>
              <w:spacing w:after="0"/>
              <w:rPr>
                <w:sz w:val="20"/>
                <w:szCs w:val="20"/>
                <w:color w:val="auto"/>
              </w:rPr>
            </w:pPr>
            <w:r>
              <w:rPr>
                <w:rFonts w:ascii="Arial" w:cs="Arial" w:eastAsia="Arial" w:hAnsi="Arial"/>
                <w:sz w:val="23"/>
                <w:szCs w:val="23"/>
                <w:b w:val="1"/>
                <w:bCs w:val="1"/>
                <w:color w:val="FFFFFF"/>
              </w:rPr>
              <w:t>​</w:t>
            </w:r>
          </w:p>
        </w:tc>
        <w:tc>
          <w:tcPr>
            <w:tcW w:w="7120" w:type="dxa"/>
            <w:vAlign w:val="bottom"/>
            <w:shd w:val="clear" w:color="auto" w:fill="346094"/>
          </w:tcPr>
          <w:p>
            <w:pPr>
              <w:ind w:left="1420"/>
              <w:spacing w:after="0"/>
              <w:rPr>
                <w:sz w:val="20"/>
                <w:szCs w:val="20"/>
                <w:color w:val="auto"/>
              </w:rPr>
            </w:pPr>
            <w:r>
              <w:rPr>
                <w:rFonts w:ascii="Arial" w:cs="Arial" w:eastAsia="Arial" w:hAnsi="Arial"/>
                <w:sz w:val="23"/>
                <w:szCs w:val="23"/>
                <w:b w:val="1"/>
                <w:bCs w:val="1"/>
                <w:color w:val="FFFFFF"/>
              </w:rPr>
              <w:t>BOARD RECO</w:t>
            </w:r>
            <w:r>
              <w:rPr>
                <w:rFonts w:ascii="Arial" w:cs="Arial" w:eastAsia="Arial" w:hAnsi="Arial"/>
                <w:sz w:val="22"/>
                <w:szCs w:val="22"/>
                <w:b w:val="1"/>
                <w:bCs w:val="1"/>
                <w:color w:val="FFFFFF"/>
              </w:rPr>
              <w:t>MM</w:t>
            </w:r>
            <w:r>
              <w:rPr>
                <w:rFonts w:ascii="Arial" w:cs="Arial" w:eastAsia="Arial" w:hAnsi="Arial"/>
                <w:sz w:val="23"/>
                <w:szCs w:val="23"/>
                <w:b w:val="1"/>
                <w:bCs w:val="1"/>
                <w:color w:val="FFFFFF"/>
              </w:rPr>
              <w:t>ENDATION  </w:t>
            </w:r>
          </w:p>
        </w:tc>
        <w:tc>
          <w:tcPr>
            <w:tcW w:w="0" w:type="dxa"/>
            <w:vAlign w:val="bottom"/>
          </w:tcPr>
          <w:p>
            <w:pPr>
              <w:spacing w:after="0"/>
              <w:rPr>
                <w:sz w:val="1"/>
                <w:szCs w:val="1"/>
                <w:color w:val="auto"/>
              </w:rPr>
            </w:pPr>
          </w:p>
        </w:tc>
      </w:tr>
      <w:tr>
        <w:trPr>
          <w:trHeight w:val="223"/>
        </w:trPr>
        <w:tc>
          <w:tcPr>
            <w:tcW w:w="1080" w:type="dxa"/>
            <w:vAlign w:val="bottom"/>
            <w:shd w:val="clear" w:color="auto" w:fill="E1E7EF"/>
          </w:tcPr>
          <w:p>
            <w:pPr>
              <w:ind w:left="40"/>
              <w:spacing w:after="0"/>
              <w:rPr>
                <w:sz w:val="20"/>
                <w:szCs w:val="20"/>
                <w:color w:val="auto"/>
              </w:rPr>
            </w:pPr>
            <w:r>
              <w:rPr>
                <w:rFonts w:ascii="Arial" w:cs="Arial" w:eastAsia="Arial" w:hAnsi="Arial"/>
                <w:sz w:val="18"/>
                <w:szCs w:val="18"/>
                <w:b w:val="1"/>
                <w:bCs w:val="1"/>
                <w:color w:val="4C4C4C"/>
              </w:rPr>
              <w:t>​</w:t>
            </w:r>
          </w:p>
        </w:tc>
        <w:tc>
          <w:tcPr>
            <w:tcW w:w="7120" w:type="dxa"/>
            <w:vAlign w:val="bottom"/>
            <w:vMerge w:val="restart"/>
            <w:shd w:val="clear" w:color="auto" w:fill="E1E7EF"/>
          </w:tcPr>
          <w:p>
            <w:pPr>
              <w:jc w:val="center"/>
              <w:ind w:right="981"/>
              <w:spacing w:after="0"/>
              <w:rPr>
                <w:sz w:val="20"/>
                <w:szCs w:val="20"/>
                <w:color w:val="auto"/>
              </w:rPr>
            </w:pPr>
            <w:r>
              <w:rPr>
                <w:rFonts w:ascii="Arial" w:cs="Arial" w:eastAsia="Arial" w:hAnsi="Arial"/>
                <w:sz w:val="18"/>
                <w:szCs w:val="18"/>
                <w:b w:val="1"/>
                <w:bCs w:val="1"/>
                <w:color w:val="4C4C4C"/>
                <w:w w:val="93"/>
              </w:rPr>
              <w:t>THE BOARD RECOMMENDS A VOTE “</w:t>
            </w:r>
            <w:r>
              <w:rPr>
                <w:rFonts w:ascii="Trebuchet MS" w:cs="Trebuchet MS" w:eastAsia="Trebuchet MS" w:hAnsi="Trebuchet MS"/>
                <w:sz w:val="21"/>
                <w:szCs w:val="21"/>
                <w:b w:val="1"/>
                <w:bCs w:val="1"/>
                <w:color w:val="346094"/>
                <w:w w:val="93"/>
              </w:rPr>
              <w:t>FOR</w:t>
            </w:r>
            <w:r>
              <w:rPr>
                <w:rFonts w:ascii="Arial" w:cs="Arial" w:eastAsia="Arial" w:hAnsi="Arial"/>
                <w:sz w:val="18"/>
                <w:szCs w:val="18"/>
                <w:b w:val="1"/>
                <w:bCs w:val="1"/>
                <w:color w:val="4C4C4C"/>
                <w:w w:val="93"/>
              </w:rPr>
              <w:t>” THE</w:t>
            </w:r>
          </w:p>
        </w:tc>
        <w:tc>
          <w:tcPr>
            <w:tcW w:w="0" w:type="dxa"/>
            <w:vAlign w:val="bottom"/>
          </w:tcPr>
          <w:p>
            <w:pPr>
              <w:spacing w:after="0"/>
              <w:rPr>
                <w:sz w:val="1"/>
                <w:szCs w:val="1"/>
                <w:color w:val="auto"/>
              </w:rPr>
            </w:pPr>
          </w:p>
        </w:tc>
      </w:tr>
      <w:tr>
        <w:trPr>
          <w:trHeight w:val="109"/>
        </w:trPr>
        <w:tc>
          <w:tcPr>
            <w:tcW w:w="1080" w:type="dxa"/>
            <w:vAlign w:val="bottom"/>
            <w:shd w:val="clear" w:color="auto" w:fill="E1E7EF"/>
          </w:tcPr>
          <w:p>
            <w:pPr>
              <w:spacing w:after="0"/>
              <w:rPr>
                <w:sz w:val="9"/>
                <w:szCs w:val="9"/>
                <w:color w:val="auto"/>
              </w:rPr>
            </w:pPr>
          </w:p>
        </w:tc>
        <w:tc>
          <w:tcPr>
            <w:tcW w:w="7120" w:type="dxa"/>
            <w:vAlign w:val="bottom"/>
            <w:vMerge w:val="continue"/>
            <w:shd w:val="clear" w:color="auto" w:fill="E1E7EF"/>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1080" w:type="dxa"/>
            <w:vAlign w:val="bottom"/>
            <w:shd w:val="clear" w:color="auto" w:fill="E1E7EF"/>
          </w:tcPr>
          <w:p>
            <w:pPr>
              <w:spacing w:after="0"/>
              <w:rPr>
                <w:sz w:val="21"/>
                <w:szCs w:val="21"/>
                <w:color w:val="auto"/>
              </w:rPr>
            </w:pPr>
          </w:p>
        </w:tc>
        <w:tc>
          <w:tcPr>
            <w:tcW w:w="7120" w:type="dxa"/>
            <w:vAlign w:val="bottom"/>
            <w:shd w:val="clear" w:color="auto" w:fill="E1E7EF"/>
          </w:tcPr>
          <w:p>
            <w:pPr>
              <w:jc w:val="center"/>
              <w:ind w:right="981"/>
              <w:spacing w:after="0"/>
              <w:rPr>
                <w:sz w:val="20"/>
                <w:szCs w:val="20"/>
                <w:color w:val="auto"/>
              </w:rPr>
            </w:pPr>
            <w:r>
              <w:rPr>
                <w:rFonts w:ascii="Arial" w:cs="Arial" w:eastAsia="Arial" w:hAnsi="Arial"/>
                <w:sz w:val="18"/>
                <w:szCs w:val="18"/>
                <w:b w:val="1"/>
                <w:bCs w:val="1"/>
                <w:color w:val="4C4C4C"/>
                <w:w w:val="90"/>
              </w:rPr>
              <w:t>ELECTION OF EACH CLASS I DIRECTOR NOMINEE.</w:t>
            </w:r>
          </w:p>
        </w:tc>
        <w:tc>
          <w:tcPr>
            <w:tcW w:w="0" w:type="dxa"/>
            <w:vAlign w:val="bottom"/>
          </w:tcPr>
          <w:p>
            <w:pPr>
              <w:spacing w:after="0"/>
              <w:rPr>
                <w:sz w:val="1"/>
                <w:szCs w:val="1"/>
                <w:color w:val="auto"/>
              </w:rPr>
            </w:pPr>
          </w:p>
        </w:tc>
      </w:tr>
      <w:tr>
        <w:trPr>
          <w:trHeight w:val="110"/>
        </w:trPr>
        <w:tc>
          <w:tcPr>
            <w:tcW w:w="1080" w:type="dxa"/>
            <w:vAlign w:val="bottom"/>
            <w:shd w:val="clear" w:color="auto" w:fill="E1E7EF"/>
          </w:tcPr>
          <w:p>
            <w:pPr>
              <w:spacing w:after="0"/>
              <w:rPr>
                <w:sz w:val="9"/>
                <w:szCs w:val="9"/>
                <w:color w:val="auto"/>
              </w:rPr>
            </w:pPr>
          </w:p>
        </w:tc>
        <w:tc>
          <w:tcPr>
            <w:tcW w:w="7120" w:type="dxa"/>
            <w:vAlign w:val="bottom"/>
            <w:shd w:val="clear" w:color="auto" w:fill="E1E7E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-625475</wp:posOffset>
            </wp:positionV>
            <wp:extent cx="14605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20" w:type="dxa"/>
            <w:vAlign w:val="bottom"/>
          </w:tcPr>
          <w:p>
            <w:pPr>
              <w:ind w:left="5980"/>
              <w:spacing w:after="0"/>
              <w:rPr>
                <w:sz w:val="20"/>
                <w:szCs w:val="20"/>
                <w:color w:val="auto"/>
              </w:rPr>
            </w:pPr>
            <w:r>
              <w:rPr>
                <w:rFonts w:ascii="Arial" w:cs="Arial" w:eastAsia="Arial" w:hAnsi="Arial"/>
                <w:sz w:val="18"/>
                <w:szCs w:val="18"/>
                <w:color w:val="346094"/>
                <w:w w:val="93"/>
              </w:rPr>
              <w:t xml:space="preserve">GEVO, INC.  |  </w:t>
            </w:r>
            <w:r>
              <w:rPr>
                <w:rFonts w:ascii="Arial" w:cs="Arial" w:eastAsia="Arial" w:hAnsi="Arial"/>
                <w:sz w:val="18"/>
                <w:szCs w:val="18"/>
                <w:i w:val="1"/>
                <w:iCs w:val="1"/>
                <w:color w:val="4C4C4C"/>
                <w:w w:val="93"/>
              </w:rPr>
              <w:t>2026 PROXY STATEMENT</w:t>
            </w:r>
          </w:p>
        </w:tc>
        <w:tc>
          <w:tcPr>
            <w:tcW w:w="1500" w:type="dxa"/>
            <w:vAlign w:val="bottom"/>
          </w:tcPr>
          <w:p>
            <w:pPr>
              <w:jc w:val="right"/>
              <w:ind w:right="1170"/>
              <w:spacing w:after="0"/>
              <w:rPr>
                <w:sz w:val="20"/>
                <w:szCs w:val="20"/>
                <w:color w:val="auto"/>
              </w:rPr>
            </w:pPr>
            <w:r>
              <w:rPr>
                <w:rFonts w:ascii="Arial" w:cs="Arial" w:eastAsia="Arial" w:hAnsi="Arial"/>
                <w:sz w:val="18"/>
                <w:szCs w:val="18"/>
                <w:color w:val="4C4C4C"/>
              </w:rPr>
              <w:t>9</w:t>
            </w:r>
          </w:p>
        </w:tc>
      </w:tr>
      <w:tr>
        <w:trPr>
          <w:trHeight w:val="395"/>
        </w:trPr>
        <w:tc>
          <w:tcPr>
            <w:tcW w:w="9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317" w:lineRule="exact"/>
        <w:rPr>
          <w:sz w:val="20"/>
          <w:szCs w:val="20"/>
          <w:color w:val="auto"/>
        </w:rPr>
      </w:pPr>
    </w:p>
    <w:p>
      <w:pPr>
        <w:ind w:left="1260"/>
        <w:spacing w:after="0"/>
        <w:tabs>
          <w:tab w:leader="none" w:pos="2160" w:val="left"/>
        </w:tabs>
        <w:rPr>
          <w:sz w:val="20"/>
          <w:szCs w:val="20"/>
          <w:color w:val="auto"/>
        </w:rPr>
      </w:pPr>
      <w:r>
        <w:rPr>
          <w:rFonts w:ascii="Arial" w:cs="Arial" w:eastAsia="Arial" w:hAnsi="Arial"/>
          <w:sz w:val="14"/>
          <w:szCs w:val="14"/>
          <w:color w:val="346094"/>
        </w:rPr>
        <w:t>PROPOSAL 1</w:t>
      </w:r>
      <w:r>
        <w:rPr>
          <w:sz w:val="20"/>
          <w:szCs w:val="20"/>
          <w:color w:val="auto"/>
        </w:rPr>
        <w:tab/>
      </w:r>
      <w:r>
        <w:rPr>
          <w:rFonts w:ascii="Arial" w:cs="Arial" w:eastAsia="Arial" w:hAnsi="Arial"/>
          <w:sz w:val="12"/>
          <w:szCs w:val="12"/>
          <w:color w:val="346094"/>
        </w:rPr>
        <w:t>ELECTION OF DIRECTORS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87" w:lineRule="exact"/>
        <w:rPr>
          <w:sz w:val="20"/>
          <w:szCs w:val="20"/>
          <w:color w:val="auto"/>
        </w:rPr>
      </w:pPr>
    </w:p>
    <w:p>
      <w:pPr>
        <w:jc w:val="right"/>
        <w:ind w:right="2919"/>
        <w:spacing w:after="0"/>
        <w:rPr>
          <w:sz w:val="20"/>
          <w:szCs w:val="20"/>
          <w:color w:val="auto"/>
        </w:rPr>
      </w:pPr>
      <w:r>
        <w:rPr>
          <w:rFonts w:ascii="Trebuchet MS" w:cs="Trebuchet MS" w:eastAsia="Trebuchet MS" w:hAnsi="Trebuchet MS"/>
          <w:sz w:val="22"/>
          <w:szCs w:val="22"/>
          <w:b w:val="1"/>
          <w:bCs w:val="1"/>
          <w:color w:val="346094"/>
        </w:rPr>
        <w:t>Incumbent Class II Directors with Terms Expiring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151765</wp:posOffset>
            </wp:positionV>
            <wp:extent cx="521208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98" w:lineRule="exact"/>
        <w:rPr>
          <w:sz w:val="20"/>
          <w:szCs w:val="20"/>
          <w:color w:val="auto"/>
        </w:rPr>
      </w:pPr>
    </w:p>
    <w:p>
      <w:pPr>
        <w:ind w:left="1360"/>
        <w:spacing w:after="0"/>
        <w:rPr>
          <w:sz w:val="20"/>
          <w:szCs w:val="20"/>
          <w:color w:val="auto"/>
        </w:rPr>
      </w:pPr>
      <w:r>
        <w:rPr>
          <w:rFonts w:ascii="Trebuchet MS" w:cs="Trebuchet MS" w:eastAsia="Trebuchet MS" w:hAnsi="Trebuchet MS"/>
          <w:sz w:val="21"/>
          <w:szCs w:val="21"/>
          <w:b w:val="1"/>
          <w:bCs w:val="1"/>
          <w:color w:val="FFFFFF"/>
        </w:rPr>
        <w:t xml:space="preserve">ANDREW J. </w:t>
      </w:r>
      <w:r>
        <w:rPr>
          <w:rFonts w:ascii="Arial" w:cs="Arial" w:eastAsia="Arial" w:hAnsi="Arial"/>
          <w:sz w:val="19"/>
          <w:szCs w:val="19"/>
          <w:b w:val="1"/>
          <w:bCs w:val="1"/>
          <w:color w:val="FFFFFF"/>
        </w:rPr>
        <w:t>M</w:t>
      </w:r>
      <w:r>
        <w:rPr>
          <w:rFonts w:ascii="Trebuchet MS" w:cs="Trebuchet MS" w:eastAsia="Trebuchet MS" w:hAnsi="Trebuchet MS"/>
          <w:sz w:val="21"/>
          <w:szCs w:val="21"/>
          <w:b w:val="1"/>
          <w:bCs w:val="1"/>
          <w:color w:val="FFFFFF"/>
        </w:rPr>
        <w:t>ARSH</w:t>
      </w:r>
    </w:p>
    <w:p>
      <w:pPr>
        <w:spacing w:after="0" w:line="236"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Director</w:t>
      </w:r>
    </w:p>
    <w:p>
      <w:pPr>
        <w:spacing w:after="0" w:line="113"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 xml:space="preserve">Age: </w:t>
      </w:r>
      <w:r>
        <w:rPr>
          <w:rFonts w:ascii="Trebuchet MS" w:cs="Trebuchet MS" w:eastAsia="Trebuchet MS" w:hAnsi="Trebuchet MS"/>
          <w:sz w:val="17"/>
          <w:szCs w:val="17"/>
          <w:color w:val="4C4C4C"/>
        </w:rPr>
        <w:t>70</w:t>
      </w:r>
    </w:p>
    <w:p>
      <w:pPr>
        <w:spacing w:after="0" w:line="111"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Director Since:</w:t>
      </w:r>
    </w:p>
    <w:p>
      <w:pPr>
        <w:ind w:left="1260"/>
        <w:spacing w:after="0"/>
        <w:rPr>
          <w:sz w:val="20"/>
          <w:szCs w:val="20"/>
          <w:color w:val="auto"/>
        </w:rPr>
      </w:pPr>
      <w:r>
        <w:rPr>
          <w:rFonts w:ascii="Trebuchet MS" w:cs="Trebuchet MS" w:eastAsia="Trebuchet MS" w:hAnsi="Trebuchet MS"/>
          <w:sz w:val="17"/>
          <w:szCs w:val="17"/>
          <w:color w:val="4C4C4C"/>
        </w:rPr>
        <w:t>February 2015</w:t>
      </w:r>
    </w:p>
    <w:p>
      <w:pPr>
        <w:spacing w:after="0" w:line="107" w:lineRule="exact"/>
        <w:rPr>
          <w:sz w:val="20"/>
          <w:szCs w:val="20"/>
          <w:color w:val="auto"/>
        </w:rPr>
      </w:pPr>
    </w:p>
    <w:p>
      <w:pPr>
        <w:ind w:left="1260" w:right="60"/>
        <w:spacing w:after="0" w:line="250" w:lineRule="auto"/>
        <w:rPr>
          <w:sz w:val="20"/>
          <w:szCs w:val="20"/>
          <w:color w:val="auto"/>
        </w:rPr>
      </w:pPr>
      <w:r>
        <w:rPr>
          <w:rFonts w:ascii="Trebuchet MS" w:cs="Trebuchet MS" w:eastAsia="Trebuchet MS" w:hAnsi="Trebuchet MS"/>
          <w:sz w:val="17"/>
          <w:szCs w:val="17"/>
          <w:b w:val="1"/>
          <w:bCs w:val="1"/>
          <w:color w:val="4C4C4C"/>
        </w:rPr>
        <w:t xml:space="preserve">Board Committees: </w:t>
      </w:r>
      <w:r>
        <w:rPr>
          <w:rFonts w:ascii="Trebuchet MS" w:cs="Trebuchet MS" w:eastAsia="Trebuchet MS" w:hAnsi="Trebuchet MS"/>
          <w:sz w:val="17"/>
          <w:szCs w:val="17"/>
          <w:color w:val="4C4C4C"/>
        </w:rPr>
        <w:t>Compensation Committee (Chair)</w:t>
      </w:r>
    </w:p>
    <w:p>
      <w:pPr>
        <w:spacing w:after="0" w:line="99"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 xml:space="preserve">Independent: </w:t>
      </w:r>
      <w:r>
        <w:rPr>
          <w:rFonts w:ascii="Trebuchet MS" w:cs="Trebuchet MS" w:eastAsia="Trebuchet MS" w:hAnsi="Trebuchet MS"/>
          <w:sz w:val="17"/>
          <w:szCs w:val="17"/>
          <w:color w:val="4C4C4C"/>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519"/>
        <w:spacing w:after="0" w:line="249" w:lineRule="auto"/>
        <w:rPr>
          <w:sz w:val="20"/>
          <w:szCs w:val="20"/>
          <w:color w:val="auto"/>
        </w:rPr>
      </w:pPr>
      <w:r>
        <w:rPr>
          <w:rFonts w:ascii="Trebuchet MS" w:cs="Trebuchet MS" w:eastAsia="Trebuchet MS" w:hAnsi="Trebuchet MS"/>
          <w:sz w:val="17"/>
          <w:szCs w:val="17"/>
          <w:color w:val="4C4C4C"/>
        </w:rPr>
        <w:t xml:space="preserve">In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arch 2026,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r.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arsh retired as President and Chief Executive Officer of Plug Power Inc. (“Plug”), an alternative energy technology provider engaged in the design, development, manufacture, and commercialization of fuel cell systems for the industrial off-road markets worldwide.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r.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arsh served as President and Chief Executive Officer of Plug since April 2008.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r.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arsh has served as Chairman of the Board of Plug since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arch 2026 and previously served as Executive Chairman of its Board from October 2025 to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arch 2026. </w:t>
      </w:r>
      <w:r>
        <w:rPr>
          <w:rFonts w:ascii="Arial" w:cs="Arial" w:eastAsia="Arial" w:hAnsi="Arial"/>
          <w:sz w:val="16"/>
          <w:szCs w:val="16"/>
          <w:color w:val="4C4C4C"/>
        </w:rPr>
        <w:t>M</w:t>
      </w:r>
      <w:r>
        <w:rPr>
          <w:rFonts w:ascii="Trebuchet MS" w:cs="Trebuchet MS" w:eastAsia="Trebuchet MS" w:hAnsi="Trebuchet MS"/>
          <w:sz w:val="16"/>
          <w:szCs w:val="16"/>
          <w:color w:val="4C4C4C"/>
        </w:rPr>
        <w:t>r.</w:t>
      </w:r>
      <w:r>
        <w:rPr>
          <w:rFonts w:ascii="Arial" w:cs="Arial" w:eastAsia="Arial" w:hAnsi="Arial"/>
          <w:sz w:val="16"/>
          <w:szCs w:val="16"/>
          <w:color w:val="4C4C4C"/>
        </w:rPr>
        <w:t xml:space="preserve"> M</w:t>
      </w:r>
      <w:r>
        <w:rPr>
          <w:rFonts w:ascii="Trebuchet MS" w:cs="Trebuchet MS" w:eastAsia="Trebuchet MS" w:hAnsi="Trebuchet MS"/>
          <w:sz w:val="16"/>
          <w:szCs w:val="16"/>
          <w:color w:val="4C4C4C"/>
        </w:rPr>
        <w:t>arsh has served on the Board of Plug since 2008. Previously,</w:t>
      </w:r>
      <w:r>
        <w:rPr>
          <w:rFonts w:ascii="Arial" w:cs="Arial" w:eastAsia="Arial" w:hAnsi="Arial"/>
          <w:sz w:val="16"/>
          <w:szCs w:val="16"/>
          <w:color w:val="4C4C4C"/>
        </w:rPr>
        <w:t xml:space="preserve"> M</w:t>
      </w:r>
      <w:r>
        <w:rPr>
          <w:rFonts w:ascii="Trebuchet MS" w:cs="Trebuchet MS" w:eastAsia="Trebuchet MS" w:hAnsi="Trebuchet MS"/>
          <w:sz w:val="16"/>
          <w:szCs w:val="16"/>
          <w:color w:val="4C4C4C"/>
        </w:rPr>
        <w:t>r.</w:t>
      </w:r>
      <w:r>
        <w:rPr>
          <w:rFonts w:ascii="Arial" w:cs="Arial" w:eastAsia="Arial" w:hAnsi="Arial"/>
          <w:sz w:val="16"/>
          <w:szCs w:val="16"/>
          <w:color w:val="4C4C4C"/>
        </w:rPr>
        <w:t xml:space="preserve"> M</w:t>
      </w:r>
      <w:r>
        <w:rPr>
          <w:rFonts w:ascii="Trebuchet MS" w:cs="Trebuchet MS" w:eastAsia="Trebuchet MS" w:hAnsi="Trebuchet MS"/>
          <w:sz w:val="16"/>
          <w:szCs w:val="16"/>
          <w:color w:val="4C4C4C"/>
        </w:rPr>
        <w:t>arsh</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 xml:space="preserve">was a co-founder of Valere Power (“Valere”), where he served as Chief Executive Officer and a board member from Valere’s inception in 2001 through its sale to Eltek ASA in 2007. Prior to founding Valere,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r.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arsh spent almost 18 years with Lucent Bell Laboratories in a variety of sales and technical management positions.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r. </w:t>
      </w:r>
      <w:r>
        <w:rPr>
          <w:rFonts w:ascii="Arial" w:cs="Arial" w:eastAsia="Arial" w:hAnsi="Arial"/>
          <w:sz w:val="16"/>
          <w:szCs w:val="16"/>
          <w:color w:val="4C4C4C"/>
        </w:rPr>
        <w:t>M</w:t>
      </w:r>
      <w:r>
        <w:rPr>
          <w:rFonts w:ascii="Trebuchet MS" w:cs="Trebuchet MS" w:eastAsia="Trebuchet MS" w:hAnsi="Trebuchet MS"/>
          <w:sz w:val="16"/>
          <w:szCs w:val="16"/>
          <w:color w:val="4C4C4C"/>
        </w:rPr>
        <w:t>arsh is a prominent voice leading the hydrogen and fuel cell industry. Nationally,</w:t>
      </w:r>
    </w:p>
    <w:p>
      <w:pPr>
        <w:spacing w:after="0" w:line="27" w:lineRule="exact"/>
        <w:rPr>
          <w:sz w:val="20"/>
          <w:szCs w:val="20"/>
          <w:color w:val="auto"/>
        </w:rPr>
      </w:pPr>
    </w:p>
    <w:p>
      <w:pPr>
        <w:ind w:right="519"/>
        <w:spacing w:after="0" w:line="267" w:lineRule="auto"/>
        <w:rPr>
          <w:sz w:val="20"/>
          <w:szCs w:val="20"/>
          <w:color w:val="auto"/>
        </w:rPr>
      </w:pPr>
      <w:r>
        <w:rPr>
          <w:rFonts w:ascii="Arial" w:cs="Arial" w:eastAsia="Arial" w:hAnsi="Arial"/>
          <w:sz w:val="16"/>
          <w:szCs w:val="16"/>
          <w:color w:val="4C4C4C"/>
        </w:rPr>
        <w:t>M</w:t>
      </w:r>
      <w:r>
        <w:rPr>
          <w:rFonts w:ascii="Trebuchet MS" w:cs="Trebuchet MS" w:eastAsia="Trebuchet MS" w:hAnsi="Trebuchet MS"/>
          <w:sz w:val="16"/>
          <w:szCs w:val="16"/>
          <w:color w:val="4C4C4C"/>
        </w:rPr>
        <w:t>r.</w:t>
      </w:r>
      <w:r>
        <w:rPr>
          <w:rFonts w:ascii="Arial" w:cs="Arial" w:eastAsia="Arial" w:hAnsi="Arial"/>
          <w:sz w:val="16"/>
          <w:szCs w:val="16"/>
          <w:color w:val="4C4C4C"/>
        </w:rPr>
        <w:t xml:space="preserve"> M</w:t>
      </w:r>
      <w:r>
        <w:rPr>
          <w:rFonts w:ascii="Trebuchet MS" w:cs="Trebuchet MS" w:eastAsia="Trebuchet MS" w:hAnsi="Trebuchet MS"/>
          <w:sz w:val="16"/>
          <w:szCs w:val="16"/>
          <w:color w:val="4C4C4C"/>
        </w:rPr>
        <w:t>arsh previously served as the Chairman of the Fuel Cell and Hydrogen</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 xml:space="preserve">Energy Association and served as a member of the Hydrogen and Fuel Cell Tactical Committee. We believe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r. </w:t>
      </w:r>
      <w:r>
        <w:rPr>
          <w:rFonts w:ascii="Arial" w:cs="Arial" w:eastAsia="Arial" w:hAnsi="Arial"/>
          <w:sz w:val="16"/>
          <w:szCs w:val="16"/>
          <w:color w:val="4C4C4C"/>
        </w:rPr>
        <w:t>M</w:t>
      </w:r>
      <w:r>
        <w:rPr>
          <w:rFonts w:ascii="Trebuchet MS" w:cs="Trebuchet MS" w:eastAsia="Trebuchet MS" w:hAnsi="Trebuchet MS"/>
          <w:sz w:val="16"/>
          <w:szCs w:val="16"/>
          <w:color w:val="4C4C4C"/>
        </w:rPr>
        <w:t>arsh’s qualifications to sit on our Board include his years of experience as an executive in the alternative energy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98425</wp:posOffset>
            </wp:positionV>
            <wp:extent cx="521208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280"/>
            <w:col w:w="6339"/>
          </w:cols>
          <w:pgMar w:left="580" w:top="97" w:right="1440" w:bottom="1440" w:gutter="0" w:footer="0" w:header="0"/>
          <w:type w:val="continuous"/>
        </w:sectPr>
      </w:pPr>
    </w:p>
    <w:p>
      <w:pPr>
        <w:spacing w:after="0" w:line="14" w:lineRule="exact"/>
        <w:rPr>
          <w:sz w:val="20"/>
          <w:szCs w:val="20"/>
          <w:color w:val="auto"/>
        </w:rPr>
      </w:pPr>
    </w:p>
    <w:p>
      <w:pPr>
        <w:ind w:left="1360"/>
        <w:spacing w:after="0"/>
        <w:rPr>
          <w:sz w:val="20"/>
          <w:szCs w:val="20"/>
          <w:color w:val="auto"/>
        </w:rPr>
      </w:pPr>
      <w:r>
        <w:rPr>
          <w:rFonts w:ascii="Trebuchet MS" w:cs="Trebuchet MS" w:eastAsia="Trebuchet MS" w:hAnsi="Trebuchet MS"/>
          <w:sz w:val="22"/>
          <w:szCs w:val="22"/>
          <w:b w:val="1"/>
          <w:bCs w:val="1"/>
          <w:color w:val="FFFFFF"/>
        </w:rPr>
        <w:t>JAI</w:t>
      </w:r>
      <w:r>
        <w:rPr>
          <w:rFonts w:ascii="Arial" w:cs="Arial" w:eastAsia="Arial" w:hAnsi="Arial"/>
          <w:sz w:val="20"/>
          <w:szCs w:val="20"/>
          <w:b w:val="1"/>
          <w:bCs w:val="1"/>
          <w:color w:val="FFFFFF"/>
        </w:rPr>
        <w:t>M</w:t>
      </w:r>
      <w:r>
        <w:rPr>
          <w:rFonts w:ascii="Trebuchet MS" w:cs="Trebuchet MS" w:eastAsia="Trebuchet MS" w:hAnsi="Trebuchet MS"/>
          <w:sz w:val="22"/>
          <w:szCs w:val="22"/>
          <w:b w:val="1"/>
          <w:bCs w:val="1"/>
          <w:color w:val="FFFFFF"/>
        </w:rPr>
        <w:t>E GUILLEN</w:t>
      </w:r>
    </w:p>
    <w:p>
      <w:pPr>
        <w:spacing w:after="0" w:line="238"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Director</w:t>
      </w:r>
    </w:p>
    <w:p>
      <w:pPr>
        <w:spacing w:after="0" w:line="113"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 xml:space="preserve">Age: </w:t>
      </w:r>
      <w:r>
        <w:rPr>
          <w:rFonts w:ascii="Trebuchet MS" w:cs="Trebuchet MS" w:eastAsia="Trebuchet MS" w:hAnsi="Trebuchet MS"/>
          <w:sz w:val="17"/>
          <w:szCs w:val="17"/>
          <w:color w:val="4C4C4C"/>
        </w:rPr>
        <w:t>64</w:t>
      </w:r>
    </w:p>
    <w:p>
      <w:pPr>
        <w:spacing w:after="0" w:line="100"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Director Since:</w:t>
      </w:r>
    </w:p>
    <w:p>
      <w:pPr>
        <w:spacing w:after="0" w:line="11"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color w:val="4C4C4C"/>
        </w:rPr>
        <w:t>August 2021</w:t>
      </w:r>
    </w:p>
    <w:p>
      <w:pPr>
        <w:spacing w:after="0" w:line="107"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Board Committees:</w:t>
      </w:r>
    </w:p>
    <w:p>
      <w:pPr>
        <w:spacing w:after="0" w:line="11" w:lineRule="exact"/>
        <w:rPr>
          <w:sz w:val="20"/>
          <w:szCs w:val="20"/>
          <w:color w:val="auto"/>
        </w:rPr>
      </w:pPr>
    </w:p>
    <w:p>
      <w:pPr>
        <w:ind w:left="1260"/>
        <w:spacing w:after="0"/>
        <w:rPr>
          <w:sz w:val="20"/>
          <w:szCs w:val="20"/>
          <w:color w:val="auto"/>
        </w:rPr>
      </w:pPr>
      <w:r>
        <w:rPr>
          <w:rFonts w:ascii="Trebuchet MS" w:cs="Trebuchet MS" w:eastAsia="Trebuchet MS" w:hAnsi="Trebuchet MS"/>
          <w:sz w:val="16"/>
          <w:szCs w:val="16"/>
          <w:color w:val="4C4C4C"/>
        </w:rPr>
        <w:t>Audit Committee (Chair)</w:t>
      </w:r>
    </w:p>
    <w:p>
      <w:pPr>
        <w:spacing w:after="0" w:line="105"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 xml:space="preserve">Independent: </w:t>
      </w:r>
      <w:r>
        <w:rPr>
          <w:rFonts w:ascii="Trebuchet MS" w:cs="Trebuchet MS" w:eastAsia="Trebuchet MS" w:hAnsi="Trebuchet MS"/>
          <w:sz w:val="17"/>
          <w:szCs w:val="17"/>
          <w:color w:val="4C4C4C"/>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right="459"/>
        <w:spacing w:after="0" w:line="254" w:lineRule="auto"/>
        <w:rPr>
          <w:sz w:val="20"/>
          <w:szCs w:val="20"/>
          <w:color w:val="auto"/>
        </w:rPr>
      </w:pPr>
      <w:r>
        <w:rPr>
          <w:rFonts w:ascii="Trebuchet MS" w:cs="Trebuchet MS" w:eastAsia="Trebuchet MS" w:hAnsi="Trebuchet MS"/>
          <w:sz w:val="17"/>
          <w:szCs w:val="17"/>
          <w:color w:val="4C4C4C"/>
        </w:rPr>
        <w:t xml:space="preserve">Since 2014,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r. Guillen has served as a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anaging Partner at Faros Infrastructure Partners LLC, an investment firm with offices in the United Kingdom, United States and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exico.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r. Guillen is also the Head of Asset </w:t>
      </w:r>
      <w:r>
        <w:rPr>
          <w:rFonts w:ascii="Arial" w:cs="Arial" w:eastAsia="Arial" w:hAnsi="Arial"/>
          <w:sz w:val="16"/>
          <w:szCs w:val="16"/>
          <w:color w:val="4C4C4C"/>
        </w:rPr>
        <w:t>M</w:t>
      </w:r>
      <w:r>
        <w:rPr>
          <w:rFonts w:ascii="Trebuchet MS" w:cs="Trebuchet MS" w:eastAsia="Trebuchet MS" w:hAnsi="Trebuchet MS"/>
          <w:sz w:val="16"/>
          <w:szCs w:val="16"/>
          <w:color w:val="4C4C4C"/>
        </w:rPr>
        <w:t>anagement for</w:t>
      </w:r>
      <w:r>
        <w:rPr>
          <w:rFonts w:ascii="Arial" w:cs="Arial" w:eastAsia="Arial" w:hAnsi="Arial"/>
          <w:sz w:val="16"/>
          <w:szCs w:val="16"/>
          <w:color w:val="4C4C4C"/>
        </w:rPr>
        <w:t xml:space="preserve"> M</w:t>
      </w:r>
      <w:r>
        <w:rPr>
          <w:rFonts w:ascii="Trebuchet MS" w:cs="Trebuchet MS" w:eastAsia="Trebuchet MS" w:hAnsi="Trebuchet MS"/>
          <w:sz w:val="16"/>
          <w:szCs w:val="16"/>
          <w:color w:val="4C4C4C"/>
        </w:rPr>
        <w:t>exico Infrastructure Partners and has approximately</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 xml:space="preserve">30 years of experience in equity investments, project finance, project development, commercial contract negotiations, and company operations in a variety of sectors including energy, transport, natural resources, private equity and fund management. Earlier in his career,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r. Guillen worked for major international firms including as Chief Executive Officer of Alterra Partners,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anaging Director for Bechtel Enterprises and as a Vice President of Bechtel Financing Services. </w:t>
      </w:r>
      <w:r>
        <w:rPr>
          <w:rFonts w:ascii="Arial" w:cs="Arial" w:eastAsia="Arial" w:hAnsi="Arial"/>
          <w:sz w:val="16"/>
          <w:szCs w:val="16"/>
          <w:color w:val="4C4C4C"/>
        </w:rPr>
        <w:t>M</w:t>
      </w:r>
      <w:r>
        <w:rPr>
          <w:rFonts w:ascii="Trebuchet MS" w:cs="Trebuchet MS" w:eastAsia="Trebuchet MS" w:hAnsi="Trebuchet MS"/>
          <w:sz w:val="16"/>
          <w:szCs w:val="16"/>
          <w:color w:val="4C4C4C"/>
        </w:rPr>
        <w:t>r. Guillen currently serves as the Chairman of the Board of Directors of Polaris Infrastructure Inc. (TSX: PIF), a Toronto-based publicly listed company engaged in the operation, acquisition and development of renewable energy projects in Latin America. We believe</w:t>
      </w:r>
    </w:p>
    <w:p>
      <w:pPr>
        <w:spacing w:after="0" w:line="20" w:lineRule="exact"/>
        <w:rPr>
          <w:sz w:val="20"/>
          <w:szCs w:val="20"/>
          <w:color w:val="auto"/>
        </w:rPr>
      </w:pPr>
    </w:p>
    <w:p>
      <w:pPr>
        <w:ind w:right="499"/>
        <w:spacing w:after="0" w:line="285" w:lineRule="auto"/>
        <w:rPr>
          <w:sz w:val="20"/>
          <w:szCs w:val="20"/>
          <w:color w:val="auto"/>
        </w:rPr>
      </w:pPr>
      <w:r>
        <w:rPr>
          <w:rFonts w:ascii="Arial" w:cs="Arial" w:eastAsia="Arial" w:hAnsi="Arial"/>
          <w:sz w:val="16"/>
          <w:szCs w:val="16"/>
          <w:color w:val="4C4C4C"/>
        </w:rPr>
        <w:t>M</w:t>
      </w:r>
      <w:r>
        <w:rPr>
          <w:rFonts w:ascii="Trebuchet MS" w:cs="Trebuchet MS" w:eastAsia="Trebuchet MS" w:hAnsi="Trebuchet MS"/>
          <w:sz w:val="16"/>
          <w:szCs w:val="16"/>
          <w:color w:val="4C4C4C"/>
        </w:rPr>
        <w:t>r. Guillen’s qualifications to sit on our Board include his years of experience</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as an executive and involvement in project finance.</w:t>
      </w:r>
    </w:p>
    <w:p>
      <w:pPr>
        <w:spacing w:after="0" w:line="200" w:lineRule="exact"/>
        <w:rPr>
          <w:sz w:val="20"/>
          <w:szCs w:val="20"/>
          <w:color w:val="auto"/>
        </w:rPr>
      </w:pPr>
    </w:p>
    <w:p>
      <w:pPr>
        <w:sectPr>
          <w:pgSz w:w="11900" w:h="16838" w:orient="portrait"/>
          <w:cols w:equalWidth="0" w:num="2">
            <w:col w:w="3100" w:space="440"/>
            <w:col w:w="63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780" w:hanging="520"/>
        <w:spacing w:after="0"/>
        <w:tabs>
          <w:tab w:leader="none" w:pos="1780" w:val="left"/>
        </w:tabs>
        <w:numPr>
          <w:ilvl w:val="0"/>
          <w:numId w:val="30"/>
        </w:numPr>
        <w:rPr>
          <w:rFonts w:ascii="Arial" w:cs="Arial" w:eastAsia="Arial" w:hAnsi="Arial"/>
          <w:sz w:val="15"/>
          <w:szCs w:val="15"/>
          <w:color w:val="4C4C4C"/>
        </w:rPr>
      </w:pPr>
      <w:r>
        <w:rPr>
          <w:rFonts w:ascii="Arial" w:cs="Arial" w:eastAsia="Arial" w:hAnsi="Arial"/>
          <w:sz w:val="15"/>
          <w:szCs w:val="15"/>
          <w:color w:val="346094"/>
        </w:rPr>
        <w:t xml:space="preserve">GEVO, INC.  |  </w:t>
      </w:r>
      <w:r>
        <w:rPr>
          <w:rFonts w:ascii="Arial" w:cs="Arial" w:eastAsia="Arial" w:hAnsi="Arial"/>
          <w:sz w:val="15"/>
          <w:szCs w:val="15"/>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274320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317" w:lineRule="exact"/>
        <w:rPr>
          <w:sz w:val="20"/>
          <w:szCs w:val="20"/>
          <w:color w:val="auto"/>
        </w:rPr>
      </w:pPr>
    </w:p>
    <w:p>
      <w:pPr>
        <w:ind w:left="6920"/>
        <w:spacing w:after="0"/>
        <w:tabs>
          <w:tab w:leader="none" w:pos="7820" w:val="left"/>
        </w:tabs>
        <w:rPr>
          <w:sz w:val="20"/>
          <w:szCs w:val="20"/>
          <w:color w:val="auto"/>
        </w:rPr>
      </w:pPr>
      <w:r>
        <w:rPr>
          <w:rFonts w:ascii="Arial" w:cs="Arial" w:eastAsia="Arial" w:hAnsi="Arial"/>
          <w:sz w:val="14"/>
          <w:szCs w:val="14"/>
          <w:color w:val="346094"/>
        </w:rPr>
        <w:t>PROPOSAL 1</w:t>
      </w:r>
      <w:r>
        <w:rPr>
          <w:sz w:val="20"/>
          <w:szCs w:val="20"/>
          <w:color w:val="auto"/>
        </w:rPr>
        <w:tab/>
      </w:r>
      <w:r>
        <w:rPr>
          <w:rFonts w:ascii="Arial" w:cs="Arial" w:eastAsia="Arial" w:hAnsi="Arial"/>
          <w:sz w:val="12"/>
          <w:szCs w:val="12"/>
          <w:color w:val="346094"/>
        </w:rPr>
        <w:t>ELECTION OF DIRECTORS</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87"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Incumbent Class III Directors with Terms Expiring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151765</wp:posOffset>
            </wp:positionV>
            <wp:extent cx="521208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98" w:lineRule="exact"/>
        <w:rPr>
          <w:sz w:val="20"/>
          <w:szCs w:val="20"/>
          <w:color w:val="auto"/>
        </w:rPr>
      </w:pPr>
    </w:p>
    <w:p>
      <w:pPr>
        <w:ind w:left="1360"/>
        <w:spacing w:after="0"/>
        <w:rPr>
          <w:sz w:val="20"/>
          <w:szCs w:val="20"/>
          <w:color w:val="auto"/>
        </w:rPr>
      </w:pPr>
      <w:r>
        <w:rPr>
          <w:rFonts w:ascii="Trebuchet MS" w:cs="Trebuchet MS" w:eastAsia="Trebuchet MS" w:hAnsi="Trebuchet MS"/>
          <w:sz w:val="21"/>
          <w:szCs w:val="21"/>
          <w:b w:val="1"/>
          <w:bCs w:val="1"/>
          <w:color w:val="FFFFFF"/>
        </w:rPr>
        <w:t>WILLIA</w:t>
      </w:r>
      <w:r>
        <w:rPr>
          <w:rFonts w:ascii="Arial" w:cs="Arial" w:eastAsia="Arial" w:hAnsi="Arial"/>
          <w:sz w:val="19"/>
          <w:szCs w:val="19"/>
          <w:b w:val="1"/>
          <w:bCs w:val="1"/>
          <w:color w:val="FFFFFF"/>
        </w:rPr>
        <w:t>M</w:t>
      </w:r>
      <w:r>
        <w:rPr>
          <w:rFonts w:ascii="Trebuchet MS" w:cs="Trebuchet MS" w:eastAsia="Trebuchet MS" w:hAnsi="Trebuchet MS"/>
          <w:sz w:val="21"/>
          <w:szCs w:val="21"/>
          <w:b w:val="1"/>
          <w:bCs w:val="1"/>
          <w:color w:val="FFFFFF"/>
        </w:rPr>
        <w:t xml:space="preserve"> H. BAU</w:t>
      </w:r>
      <w:r>
        <w:rPr>
          <w:rFonts w:ascii="Arial" w:cs="Arial" w:eastAsia="Arial" w:hAnsi="Arial"/>
          <w:sz w:val="19"/>
          <w:szCs w:val="19"/>
          <w:b w:val="1"/>
          <w:bCs w:val="1"/>
          <w:color w:val="FFFFFF"/>
        </w:rPr>
        <w:t>M</w:t>
      </w:r>
      <w:r>
        <w:rPr>
          <w:rFonts w:ascii="Trebuchet MS" w:cs="Trebuchet MS" w:eastAsia="Trebuchet MS" w:hAnsi="Trebuchet MS"/>
          <w:sz w:val="21"/>
          <w:szCs w:val="21"/>
          <w:b w:val="1"/>
          <w:bCs w:val="1"/>
          <w:color w:val="FFFFFF"/>
        </w:rPr>
        <w:t>,</w:t>
      </w:r>
    </w:p>
    <w:p>
      <w:pPr>
        <w:spacing w:after="0" w:line="236"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Director</w:t>
      </w:r>
    </w:p>
    <w:p>
      <w:pPr>
        <w:spacing w:after="0" w:line="113"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 xml:space="preserve">Age: </w:t>
      </w:r>
      <w:r>
        <w:rPr>
          <w:rFonts w:ascii="Trebuchet MS" w:cs="Trebuchet MS" w:eastAsia="Trebuchet MS" w:hAnsi="Trebuchet MS"/>
          <w:sz w:val="17"/>
          <w:szCs w:val="17"/>
          <w:color w:val="4C4C4C"/>
        </w:rPr>
        <w:t>81</w:t>
      </w:r>
    </w:p>
    <w:p>
      <w:pPr>
        <w:spacing w:after="0" w:line="111"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Director Since:</w:t>
      </w:r>
    </w:p>
    <w:p>
      <w:pPr>
        <w:ind w:left="1260"/>
        <w:spacing w:after="0"/>
        <w:rPr>
          <w:sz w:val="20"/>
          <w:szCs w:val="20"/>
          <w:color w:val="auto"/>
        </w:rPr>
      </w:pPr>
      <w:r>
        <w:rPr>
          <w:rFonts w:ascii="Trebuchet MS" w:cs="Trebuchet MS" w:eastAsia="Trebuchet MS" w:hAnsi="Trebuchet MS"/>
          <w:sz w:val="17"/>
          <w:szCs w:val="17"/>
          <w:color w:val="4C4C4C"/>
        </w:rPr>
        <w:t>January 2016</w:t>
      </w:r>
    </w:p>
    <w:p>
      <w:pPr>
        <w:spacing w:after="0" w:line="107" w:lineRule="exact"/>
        <w:rPr>
          <w:sz w:val="20"/>
          <w:szCs w:val="20"/>
          <w:color w:val="auto"/>
        </w:rPr>
      </w:pPr>
    </w:p>
    <w:p>
      <w:pPr>
        <w:ind w:left="1260"/>
        <w:spacing w:after="0" w:line="249" w:lineRule="auto"/>
        <w:rPr>
          <w:sz w:val="20"/>
          <w:szCs w:val="20"/>
          <w:color w:val="auto"/>
        </w:rPr>
      </w:pPr>
      <w:r>
        <w:rPr>
          <w:rFonts w:ascii="Trebuchet MS" w:cs="Trebuchet MS" w:eastAsia="Trebuchet MS" w:hAnsi="Trebuchet MS"/>
          <w:sz w:val="17"/>
          <w:szCs w:val="17"/>
          <w:b w:val="1"/>
          <w:bCs w:val="1"/>
          <w:color w:val="4C4C4C"/>
        </w:rPr>
        <w:t xml:space="preserve">Board Committees: </w:t>
      </w:r>
      <w:r>
        <w:rPr>
          <w:rFonts w:ascii="Trebuchet MS" w:cs="Trebuchet MS" w:eastAsia="Trebuchet MS" w:hAnsi="Trebuchet MS"/>
          <w:sz w:val="17"/>
          <w:szCs w:val="17"/>
          <w:color w:val="4C4C4C"/>
        </w:rPr>
        <w:t>Nominating and Corporate Governance Committee (Chair)</w:t>
      </w:r>
    </w:p>
    <w:p>
      <w:pPr>
        <w:spacing w:after="0" w:line="85"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 xml:space="preserve">Independent: </w:t>
      </w:r>
      <w:r>
        <w:rPr>
          <w:rFonts w:ascii="Trebuchet MS" w:cs="Trebuchet MS" w:eastAsia="Trebuchet MS" w:hAnsi="Trebuchet MS"/>
          <w:sz w:val="17"/>
          <w:szCs w:val="17"/>
          <w:color w:val="4C4C4C"/>
        </w:rPr>
        <w:t>Yes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Trebuchet MS" w:cs="Trebuchet MS" w:eastAsia="Trebuchet MS" w:hAnsi="Trebuchet MS"/>
          <w:sz w:val="18"/>
          <w:szCs w:val="18"/>
          <w:b w:val="1"/>
          <w:bCs w:val="1"/>
          <w:color w:val="FFFFFF"/>
        </w:rPr>
        <w:t>Chairman of the Board</w:t>
      </w:r>
    </w:p>
    <w:p>
      <w:pPr>
        <w:spacing w:after="0" w:line="235" w:lineRule="exact"/>
        <w:rPr>
          <w:sz w:val="20"/>
          <w:szCs w:val="20"/>
          <w:color w:val="auto"/>
        </w:rPr>
      </w:pPr>
    </w:p>
    <w:p>
      <w:pPr>
        <w:ind w:left="220" w:right="579"/>
        <w:spacing w:after="0" w:line="250" w:lineRule="auto"/>
        <w:rPr>
          <w:sz w:val="20"/>
          <w:szCs w:val="20"/>
          <w:color w:val="auto"/>
        </w:rPr>
      </w:pPr>
      <w:r>
        <w:rPr>
          <w:rFonts w:ascii="Trebuchet MS" w:cs="Trebuchet MS" w:eastAsia="Trebuchet MS" w:hAnsi="Trebuchet MS"/>
          <w:sz w:val="17"/>
          <w:szCs w:val="17"/>
          <w:color w:val="4C4C4C"/>
        </w:rPr>
        <w:t xml:space="preserve">Since January 2015, </w:t>
      </w:r>
      <w:r>
        <w:rPr>
          <w:rFonts w:ascii="Arial" w:cs="Arial" w:eastAsia="Arial" w:hAnsi="Arial"/>
          <w:sz w:val="16"/>
          <w:szCs w:val="16"/>
          <w:color w:val="4C4C4C"/>
        </w:rPr>
        <w:t>M</w:t>
      </w:r>
      <w:r>
        <w:rPr>
          <w:rFonts w:ascii="Trebuchet MS" w:cs="Trebuchet MS" w:eastAsia="Trebuchet MS" w:hAnsi="Trebuchet MS"/>
          <w:sz w:val="17"/>
          <w:szCs w:val="17"/>
          <w:color w:val="4C4C4C"/>
        </w:rPr>
        <w:t>r. Baum has operated a consulting business advising small biofuel and renewable chemical companies on a variety of commercial matters.</w:t>
      </w:r>
    </w:p>
    <w:p>
      <w:pPr>
        <w:spacing w:after="0" w:line="18" w:lineRule="exact"/>
        <w:rPr>
          <w:sz w:val="20"/>
          <w:szCs w:val="20"/>
          <w:color w:val="auto"/>
        </w:rPr>
      </w:pPr>
    </w:p>
    <w:p>
      <w:pPr>
        <w:ind w:left="220" w:right="439"/>
        <w:spacing w:after="0" w:line="259" w:lineRule="auto"/>
        <w:rPr>
          <w:sz w:val="20"/>
          <w:szCs w:val="20"/>
          <w:color w:val="auto"/>
        </w:rPr>
      </w:pPr>
      <w:r>
        <w:rPr>
          <w:rFonts w:ascii="Arial" w:cs="Arial" w:eastAsia="Arial" w:hAnsi="Arial"/>
          <w:sz w:val="16"/>
          <w:szCs w:val="16"/>
          <w:color w:val="4C4C4C"/>
        </w:rPr>
        <w:t>M</w:t>
      </w:r>
      <w:r>
        <w:rPr>
          <w:rFonts w:ascii="Trebuchet MS" w:cs="Trebuchet MS" w:eastAsia="Trebuchet MS" w:hAnsi="Trebuchet MS"/>
          <w:sz w:val="16"/>
          <w:szCs w:val="16"/>
          <w:color w:val="4C4C4C"/>
        </w:rPr>
        <w:t>r. Baum served as Chief Business Development Officer of Genomatica, Inc.</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 xml:space="preserve">from September 2010 until April 2014. From August 1997 to September 2010, </w:t>
      </w:r>
      <w:r>
        <w:rPr>
          <w:rFonts w:ascii="Arial" w:cs="Arial" w:eastAsia="Arial" w:hAnsi="Arial"/>
          <w:sz w:val="16"/>
          <w:szCs w:val="16"/>
          <w:color w:val="4C4C4C"/>
        </w:rPr>
        <w:t>M</w:t>
      </w:r>
      <w:r>
        <w:rPr>
          <w:rFonts w:ascii="Trebuchet MS" w:cs="Trebuchet MS" w:eastAsia="Trebuchet MS" w:hAnsi="Trebuchet MS"/>
          <w:sz w:val="16"/>
          <w:szCs w:val="16"/>
          <w:color w:val="4C4C4C"/>
        </w:rPr>
        <w:t>r. Baum served in various roles at Diversa Corporation (now known as</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 xml:space="preserve">Verenium Corporation), a biotechnology company focused on the development of biofuels, including Vice President Sales and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arketing from August 1997 to November 1999, Senior Vice President, Business Development from November 1999 to July 2002 and Executive Vice President, Business Development from July 2002 to August 2010. Prior to joining Diversa,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r. Baum served as the Vice President of Global Sales and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arketing at International Specialty Products, Inc., a specialty chemicals company, and held a variety of executive positions, both in the United States and internationally, at Betz Laboratories, Inc., a specialty chemicals company. </w:t>
      </w:r>
      <w:r>
        <w:rPr>
          <w:rFonts w:ascii="Arial" w:cs="Arial" w:eastAsia="Arial" w:hAnsi="Arial"/>
          <w:sz w:val="16"/>
          <w:szCs w:val="16"/>
          <w:color w:val="4C4C4C"/>
        </w:rPr>
        <w:t>M</w:t>
      </w:r>
      <w:r>
        <w:rPr>
          <w:rFonts w:ascii="Trebuchet MS" w:cs="Trebuchet MS" w:eastAsia="Trebuchet MS" w:hAnsi="Trebuchet MS"/>
          <w:sz w:val="16"/>
          <w:szCs w:val="16"/>
          <w:color w:val="4C4C4C"/>
        </w:rPr>
        <w:t>r. Baum currently serves as a director on the board of directors for CanBiocin Inc., Watt Companies, Inc. and Arzeda Corporation. Previously,</w:t>
      </w:r>
    </w:p>
    <w:p>
      <w:pPr>
        <w:spacing w:after="0" w:line="215" w:lineRule="exact"/>
        <w:rPr>
          <w:sz w:val="20"/>
          <w:szCs w:val="20"/>
          <w:color w:val="auto"/>
        </w:rPr>
      </w:pPr>
    </w:p>
    <w:p>
      <w:pPr>
        <w:ind w:left="220" w:right="459"/>
        <w:spacing w:after="0" w:line="263" w:lineRule="auto"/>
        <w:rPr>
          <w:sz w:val="20"/>
          <w:szCs w:val="20"/>
          <w:color w:val="auto"/>
        </w:rPr>
      </w:pPr>
      <w:r>
        <w:rPr>
          <w:rFonts w:ascii="Arial" w:cs="Arial" w:eastAsia="Arial" w:hAnsi="Arial"/>
          <w:sz w:val="16"/>
          <w:szCs w:val="16"/>
          <w:color w:val="4C4C4C"/>
        </w:rPr>
        <w:t>M</w:t>
      </w:r>
      <w:r>
        <w:rPr>
          <w:rFonts w:ascii="Trebuchet MS" w:cs="Trebuchet MS" w:eastAsia="Trebuchet MS" w:hAnsi="Trebuchet MS"/>
          <w:sz w:val="16"/>
          <w:szCs w:val="16"/>
          <w:color w:val="4C4C4C"/>
        </w:rPr>
        <w:t>r. Baum served on the Board of Leaf Resources Limited (ASX: LER) from June</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 xml:space="preserve">2017 to July 2022. We believe </w:t>
      </w:r>
      <w:r>
        <w:rPr>
          <w:rFonts w:ascii="Arial" w:cs="Arial" w:eastAsia="Arial" w:hAnsi="Arial"/>
          <w:sz w:val="16"/>
          <w:szCs w:val="16"/>
          <w:color w:val="4C4C4C"/>
        </w:rPr>
        <w:t>M</w:t>
      </w:r>
      <w:r>
        <w:rPr>
          <w:rFonts w:ascii="Trebuchet MS" w:cs="Trebuchet MS" w:eastAsia="Trebuchet MS" w:hAnsi="Trebuchet MS"/>
          <w:sz w:val="16"/>
          <w:szCs w:val="16"/>
          <w:color w:val="4C4C4C"/>
        </w:rPr>
        <w:t>r. Baum’s qualifications to sit on our Board include his business development experience in the biofuels and biotechnology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-1307465</wp:posOffset>
            </wp:positionH>
            <wp:positionV relativeFrom="paragraph">
              <wp:posOffset>109220</wp:posOffset>
            </wp:positionV>
            <wp:extent cx="521208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80"/>
            <w:col w:w="6559"/>
          </w:cols>
          <w:pgMar w:left="580" w:top="97" w:right="1440" w:bottom="1440" w:gutter="0" w:footer="0" w:header="0"/>
          <w:type w:val="continuous"/>
        </w:sectPr>
      </w:pPr>
    </w:p>
    <w:p>
      <w:pPr>
        <w:spacing w:after="0" w:line="31" w:lineRule="exact"/>
        <w:rPr>
          <w:sz w:val="20"/>
          <w:szCs w:val="20"/>
          <w:color w:val="auto"/>
        </w:rPr>
      </w:pPr>
    </w:p>
    <w:p>
      <w:pPr>
        <w:ind w:left="1360"/>
        <w:spacing w:after="0"/>
        <w:rPr>
          <w:sz w:val="20"/>
          <w:szCs w:val="20"/>
          <w:color w:val="auto"/>
        </w:rPr>
      </w:pPr>
      <w:r>
        <w:rPr>
          <w:rFonts w:ascii="Arial" w:cs="Arial" w:eastAsia="Arial" w:hAnsi="Arial"/>
          <w:sz w:val="21"/>
          <w:szCs w:val="21"/>
          <w:b w:val="1"/>
          <w:bCs w:val="1"/>
          <w:color w:val="FFFFFF"/>
        </w:rPr>
        <w:t>M</w:t>
      </w:r>
      <w:r>
        <w:rPr>
          <w:rFonts w:ascii="Trebuchet MS" w:cs="Trebuchet MS" w:eastAsia="Trebuchet MS" w:hAnsi="Trebuchet MS"/>
          <w:sz w:val="21"/>
          <w:szCs w:val="21"/>
          <w:b w:val="1"/>
          <w:bCs w:val="1"/>
          <w:color w:val="FFFFFF"/>
        </w:rPr>
        <w:t>ARY KATHRYN (KATIE) ELLET</w:t>
      </w:r>
    </w:p>
    <w:p>
      <w:pPr>
        <w:sectPr>
          <w:pgSz w:w="11900" w:h="16838" w:orient="portrait"/>
          <w:cols w:equalWidth="0" w:num="1">
            <w:col w:w="9879"/>
          </w:cols>
          <w:pgMar w:left="580" w:top="97" w:right="1440" w:bottom="1440" w:gutter="0" w:footer="0" w:header="0"/>
          <w:type w:val="continuous"/>
        </w:sectPr>
      </w:pPr>
    </w:p>
    <w:p>
      <w:pPr>
        <w:spacing w:after="0" w:line="249"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Director</w:t>
      </w:r>
    </w:p>
    <w:p>
      <w:pPr>
        <w:spacing w:after="0" w:line="113"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 xml:space="preserve">Age: </w:t>
      </w:r>
      <w:r>
        <w:rPr>
          <w:rFonts w:ascii="Trebuchet MS" w:cs="Trebuchet MS" w:eastAsia="Trebuchet MS" w:hAnsi="Trebuchet MS"/>
          <w:sz w:val="17"/>
          <w:szCs w:val="17"/>
          <w:color w:val="4C4C4C"/>
        </w:rPr>
        <w:t>52</w:t>
      </w:r>
    </w:p>
    <w:p>
      <w:pPr>
        <w:spacing w:after="0" w:line="100"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Director Since:</w:t>
      </w:r>
    </w:p>
    <w:p>
      <w:pPr>
        <w:spacing w:after="0" w:line="11"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color w:val="4C4C4C"/>
        </w:rPr>
        <w:t>January 2024</w:t>
      </w:r>
    </w:p>
    <w:p>
      <w:pPr>
        <w:spacing w:after="0" w:line="107" w:lineRule="exact"/>
        <w:rPr>
          <w:sz w:val="20"/>
          <w:szCs w:val="20"/>
          <w:color w:val="auto"/>
        </w:rPr>
      </w:pPr>
    </w:p>
    <w:p>
      <w:pPr>
        <w:ind w:left="1260"/>
        <w:spacing w:after="0"/>
        <w:rPr>
          <w:sz w:val="20"/>
          <w:szCs w:val="20"/>
          <w:color w:val="auto"/>
        </w:rPr>
      </w:pPr>
      <w:r>
        <w:rPr>
          <w:rFonts w:ascii="Trebuchet MS" w:cs="Trebuchet MS" w:eastAsia="Trebuchet MS" w:hAnsi="Trebuchet MS"/>
          <w:sz w:val="16"/>
          <w:szCs w:val="16"/>
          <w:b w:val="1"/>
          <w:bCs w:val="1"/>
          <w:color w:val="4C4C4C"/>
        </w:rPr>
        <w:t>Board Committees:</w:t>
      </w:r>
    </w:p>
    <w:p>
      <w:pPr>
        <w:spacing w:after="0" w:line="23"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color w:val="4C4C4C"/>
        </w:rPr>
        <w:t>Audit Committee</w:t>
      </w:r>
    </w:p>
    <w:p>
      <w:pPr>
        <w:spacing w:after="0" w:line="94"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 xml:space="preserve">Independent: </w:t>
      </w:r>
      <w:r>
        <w:rPr>
          <w:rFonts w:ascii="Trebuchet MS" w:cs="Trebuchet MS" w:eastAsia="Trebuchet MS" w:hAnsi="Trebuchet MS"/>
          <w:sz w:val="17"/>
          <w:szCs w:val="17"/>
          <w:color w:val="4C4C4C"/>
        </w:rPr>
        <w:t>Yes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479"/>
        <w:spacing w:after="0" w:line="258" w:lineRule="auto"/>
        <w:rPr>
          <w:sz w:val="20"/>
          <w:szCs w:val="20"/>
          <w:color w:val="auto"/>
        </w:rPr>
      </w:pPr>
      <w:r>
        <w:rPr>
          <w:rFonts w:ascii="Trebuchet MS" w:cs="Trebuchet MS" w:eastAsia="Trebuchet MS" w:hAnsi="Trebuchet MS"/>
          <w:sz w:val="16"/>
          <w:szCs w:val="16"/>
          <w:color w:val="4C4C4C"/>
        </w:rPr>
        <w:t xml:space="preserve">Since October 2024, </w:t>
      </w:r>
      <w:r>
        <w:rPr>
          <w:rFonts w:ascii="Arial" w:cs="Arial" w:eastAsia="Arial" w:hAnsi="Arial"/>
          <w:sz w:val="15"/>
          <w:szCs w:val="15"/>
          <w:color w:val="4C4C4C"/>
        </w:rPr>
        <w:t>M</w:t>
      </w:r>
      <w:r>
        <w:rPr>
          <w:rFonts w:ascii="Trebuchet MS" w:cs="Trebuchet MS" w:eastAsia="Trebuchet MS" w:hAnsi="Trebuchet MS"/>
          <w:sz w:val="16"/>
          <w:szCs w:val="16"/>
          <w:color w:val="4C4C4C"/>
        </w:rPr>
        <w:t xml:space="preserve">s. Ellet has served as the Chief Executive Officer of ETCH, Inc. From October 2021 to September 2024, </w:t>
      </w:r>
      <w:r>
        <w:rPr>
          <w:rFonts w:ascii="Arial" w:cs="Arial" w:eastAsia="Arial" w:hAnsi="Arial"/>
          <w:sz w:val="15"/>
          <w:szCs w:val="15"/>
          <w:color w:val="4C4C4C"/>
        </w:rPr>
        <w:t>M</w:t>
      </w:r>
      <w:r>
        <w:rPr>
          <w:rFonts w:ascii="Trebuchet MS" w:cs="Trebuchet MS" w:eastAsia="Trebuchet MS" w:hAnsi="Trebuchet MS"/>
          <w:sz w:val="16"/>
          <w:szCs w:val="16"/>
          <w:color w:val="4C4C4C"/>
        </w:rPr>
        <w:t xml:space="preserve">s. Ellet served as President, H2E and </w:t>
      </w:r>
      <w:r>
        <w:rPr>
          <w:rFonts w:ascii="Arial" w:cs="Arial" w:eastAsia="Arial" w:hAnsi="Arial"/>
          <w:sz w:val="15"/>
          <w:szCs w:val="15"/>
          <w:color w:val="4C4C4C"/>
        </w:rPr>
        <w:t>M</w:t>
      </w:r>
      <w:r>
        <w:rPr>
          <w:rFonts w:ascii="Trebuchet MS" w:cs="Trebuchet MS" w:eastAsia="Trebuchet MS" w:hAnsi="Trebuchet MS"/>
          <w:sz w:val="16"/>
          <w:szCs w:val="16"/>
          <w:color w:val="4C4C4C"/>
        </w:rPr>
        <w:t xml:space="preserve">obility for Air Liquide Hydrogen Energy, LLC. From August 2020 to September 2021, </w:t>
      </w:r>
      <w:r>
        <w:rPr>
          <w:rFonts w:ascii="Arial" w:cs="Arial" w:eastAsia="Arial" w:hAnsi="Arial"/>
          <w:sz w:val="15"/>
          <w:szCs w:val="15"/>
          <w:color w:val="4C4C4C"/>
        </w:rPr>
        <w:t>M</w:t>
      </w:r>
      <w:r>
        <w:rPr>
          <w:rFonts w:ascii="Trebuchet MS" w:cs="Trebuchet MS" w:eastAsia="Trebuchet MS" w:hAnsi="Trebuchet MS"/>
          <w:sz w:val="16"/>
          <w:szCs w:val="16"/>
          <w:color w:val="4C4C4C"/>
        </w:rPr>
        <w:t xml:space="preserve">s. Ellet served as Chief Executive Officer for EC Industrial Holdings, LLC. From </w:t>
      </w:r>
      <w:r>
        <w:rPr>
          <w:rFonts w:ascii="Arial" w:cs="Arial" w:eastAsia="Arial" w:hAnsi="Arial"/>
          <w:sz w:val="15"/>
          <w:szCs w:val="15"/>
          <w:color w:val="4C4C4C"/>
        </w:rPr>
        <w:t>M</w:t>
      </w:r>
      <w:r>
        <w:rPr>
          <w:rFonts w:ascii="Trebuchet MS" w:cs="Trebuchet MS" w:eastAsia="Trebuchet MS" w:hAnsi="Trebuchet MS"/>
          <w:sz w:val="16"/>
          <w:szCs w:val="16"/>
          <w:color w:val="4C4C4C"/>
        </w:rPr>
        <w:t xml:space="preserve">ay 2006 to June 2020, </w:t>
      </w:r>
      <w:r>
        <w:rPr>
          <w:rFonts w:ascii="Arial" w:cs="Arial" w:eastAsia="Arial" w:hAnsi="Arial"/>
          <w:sz w:val="15"/>
          <w:szCs w:val="15"/>
          <w:color w:val="4C4C4C"/>
        </w:rPr>
        <w:t>M</w:t>
      </w:r>
      <w:r>
        <w:rPr>
          <w:rFonts w:ascii="Trebuchet MS" w:cs="Trebuchet MS" w:eastAsia="Trebuchet MS" w:hAnsi="Trebuchet MS"/>
          <w:sz w:val="16"/>
          <w:szCs w:val="16"/>
          <w:color w:val="4C4C4C"/>
        </w:rPr>
        <w:t xml:space="preserve">s. Ellet served in various roles at SI Group, Inc., including Vice President-Oilfield Solutions from October 2018 to June 2020, Senior Director Strategic </w:t>
      </w:r>
      <w:r>
        <w:rPr>
          <w:rFonts w:ascii="Arial" w:cs="Arial" w:eastAsia="Arial" w:hAnsi="Arial"/>
          <w:sz w:val="15"/>
          <w:szCs w:val="15"/>
          <w:color w:val="4C4C4C"/>
        </w:rPr>
        <w:t>M</w:t>
      </w:r>
      <w:r>
        <w:rPr>
          <w:rFonts w:ascii="Trebuchet MS" w:cs="Trebuchet MS" w:eastAsia="Trebuchet MS" w:hAnsi="Trebuchet MS"/>
          <w:sz w:val="16"/>
          <w:szCs w:val="16"/>
          <w:color w:val="4C4C4C"/>
        </w:rPr>
        <w:t xml:space="preserve">arkets-Fuels, Lubes and Surfactants from April 2014 to September 2018, Director Strategic Business Intelligence from September 2012 to April 2014, Production </w:t>
      </w:r>
      <w:r>
        <w:rPr>
          <w:rFonts w:ascii="Arial" w:cs="Arial" w:eastAsia="Arial" w:hAnsi="Arial"/>
          <w:sz w:val="15"/>
          <w:szCs w:val="15"/>
          <w:color w:val="4C4C4C"/>
        </w:rPr>
        <w:t>M</w:t>
      </w:r>
      <w:r>
        <w:rPr>
          <w:rFonts w:ascii="Trebuchet MS" w:cs="Trebuchet MS" w:eastAsia="Trebuchet MS" w:hAnsi="Trebuchet MS"/>
          <w:sz w:val="16"/>
          <w:szCs w:val="16"/>
          <w:color w:val="4C4C4C"/>
        </w:rPr>
        <w:t>anager from October 2010 to August 2012 and Environmental, Health, Safety and</w:t>
      </w:r>
    </w:p>
    <w:p>
      <w:pPr>
        <w:spacing w:after="0" w:line="3" w:lineRule="exact"/>
        <w:rPr>
          <w:sz w:val="20"/>
          <w:szCs w:val="20"/>
          <w:color w:val="auto"/>
        </w:rPr>
      </w:pPr>
    </w:p>
    <w:p>
      <w:pPr>
        <w:sectPr>
          <w:pgSz w:w="11900" w:h="16838" w:orient="portrait"/>
          <w:cols w:equalWidth="0" w:num="2">
            <w:col w:w="2820" w:space="720"/>
            <w:col w:w="6339"/>
          </w:cols>
          <w:pgMar w:left="580" w:top="97" w:right="1440" w:bottom="1440" w:gutter="0" w:footer="0" w:header="0"/>
          <w:type w:val="continuous"/>
        </w:sectPr>
      </w:pPr>
    </w:p>
    <w:p>
      <w:pPr>
        <w:ind w:left="3540" w:right="459"/>
        <w:spacing w:after="0"/>
        <w:rPr>
          <w:sz w:val="20"/>
          <w:szCs w:val="20"/>
          <w:color w:val="auto"/>
        </w:rPr>
      </w:pPr>
      <w:r>
        <w:rPr>
          <w:rFonts w:ascii="Trebuchet MS" w:cs="Trebuchet MS" w:eastAsia="Trebuchet MS" w:hAnsi="Trebuchet MS"/>
          <w:sz w:val="17"/>
          <w:szCs w:val="17"/>
          <w:color w:val="4C4C4C"/>
        </w:rPr>
        <w:t xml:space="preserve">Quality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anager from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ay 2006 to October 2010.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s. Ellet began her career as an engineer for BASF Corporation. We believe </w:t>
      </w:r>
      <w:r>
        <w:rPr>
          <w:rFonts w:ascii="Arial" w:cs="Arial" w:eastAsia="Arial" w:hAnsi="Arial"/>
          <w:sz w:val="16"/>
          <w:szCs w:val="16"/>
          <w:color w:val="4C4C4C"/>
        </w:rPr>
        <w:t>M</w:t>
      </w:r>
      <w:r>
        <w:rPr>
          <w:rFonts w:ascii="Trebuchet MS" w:cs="Trebuchet MS" w:eastAsia="Trebuchet MS" w:hAnsi="Trebuchet MS"/>
          <w:sz w:val="17"/>
          <w:szCs w:val="17"/>
          <w:color w:val="4C4C4C"/>
        </w:rPr>
        <w:t>s. Ellet’s qualifications to sit on our Board include her extensive expertise and practical understanding of renewable energy applications, chemical products, hydrogen, go-to-market strategies, growth strategies, IP portfolio growth and management, and critical business intelligence.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317" w:lineRule="exact"/>
        <w:rPr>
          <w:sz w:val="20"/>
          <w:szCs w:val="20"/>
          <w:color w:val="auto"/>
        </w:rPr>
      </w:pPr>
    </w:p>
    <w:p>
      <w:pPr>
        <w:ind w:left="1260"/>
        <w:spacing w:after="0"/>
        <w:tabs>
          <w:tab w:leader="none" w:pos="2160" w:val="left"/>
        </w:tabs>
        <w:rPr>
          <w:sz w:val="20"/>
          <w:szCs w:val="20"/>
          <w:color w:val="auto"/>
        </w:rPr>
      </w:pPr>
      <w:r>
        <w:rPr>
          <w:rFonts w:ascii="Arial" w:cs="Arial" w:eastAsia="Arial" w:hAnsi="Arial"/>
          <w:sz w:val="14"/>
          <w:szCs w:val="14"/>
          <w:color w:val="346094"/>
        </w:rPr>
        <w:t>PROPOSAL 1</w:t>
      </w:r>
      <w:r>
        <w:rPr>
          <w:sz w:val="20"/>
          <w:szCs w:val="20"/>
          <w:color w:val="auto"/>
        </w:rPr>
        <w:tab/>
      </w:r>
      <w:r>
        <w:rPr>
          <w:rFonts w:ascii="Arial" w:cs="Arial" w:eastAsia="Arial" w:hAnsi="Arial"/>
          <w:sz w:val="12"/>
          <w:szCs w:val="12"/>
          <w:color w:val="346094"/>
        </w:rPr>
        <w:t>ELECTION OF DIRECTORS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69215</wp:posOffset>
            </wp:positionV>
            <wp:extent cx="5212080"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68" w:lineRule="exact"/>
        <w:rPr>
          <w:sz w:val="20"/>
          <w:szCs w:val="20"/>
          <w:color w:val="auto"/>
        </w:rPr>
      </w:pPr>
    </w:p>
    <w:p>
      <w:pPr>
        <w:ind w:left="1360"/>
        <w:spacing w:after="0"/>
        <w:rPr>
          <w:sz w:val="20"/>
          <w:szCs w:val="20"/>
          <w:color w:val="auto"/>
        </w:rPr>
      </w:pPr>
      <w:r>
        <w:rPr>
          <w:rFonts w:ascii="Trebuchet MS" w:cs="Trebuchet MS" w:eastAsia="Trebuchet MS" w:hAnsi="Trebuchet MS"/>
          <w:sz w:val="22"/>
          <w:szCs w:val="22"/>
          <w:b w:val="1"/>
          <w:bCs w:val="1"/>
          <w:color w:val="FFFFFF"/>
        </w:rPr>
        <w:t xml:space="preserve">GARY W. </w:t>
      </w:r>
      <w:r>
        <w:rPr>
          <w:rFonts w:ascii="Arial" w:cs="Arial" w:eastAsia="Arial" w:hAnsi="Arial"/>
          <w:sz w:val="20"/>
          <w:szCs w:val="20"/>
          <w:b w:val="1"/>
          <w:bCs w:val="1"/>
          <w:color w:val="FFFFFF"/>
        </w:rPr>
        <w:t>M</w:t>
      </w:r>
      <w:r>
        <w:rPr>
          <w:rFonts w:ascii="Trebuchet MS" w:cs="Trebuchet MS" w:eastAsia="Trebuchet MS" w:hAnsi="Trebuchet MS"/>
          <w:sz w:val="22"/>
          <w:szCs w:val="22"/>
          <w:b w:val="1"/>
          <w:bCs w:val="1"/>
          <w:color w:val="FFFFFF"/>
        </w:rPr>
        <w:t>IZE</w:t>
      </w:r>
    </w:p>
    <w:p>
      <w:pPr>
        <w:spacing w:after="0" w:line="224"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Director</w:t>
      </w:r>
    </w:p>
    <w:p>
      <w:pPr>
        <w:spacing w:after="0" w:line="113"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 xml:space="preserve">Age: </w:t>
      </w:r>
      <w:r>
        <w:rPr>
          <w:rFonts w:ascii="Trebuchet MS" w:cs="Trebuchet MS" w:eastAsia="Trebuchet MS" w:hAnsi="Trebuchet MS"/>
          <w:sz w:val="17"/>
          <w:szCs w:val="17"/>
          <w:color w:val="4C4C4C"/>
        </w:rPr>
        <w:t>75</w:t>
      </w:r>
    </w:p>
    <w:p>
      <w:pPr>
        <w:spacing w:after="0" w:line="113"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Director Since:</w:t>
      </w:r>
    </w:p>
    <w:p>
      <w:pPr>
        <w:spacing w:after="0" w:line="11"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color w:val="4C4C4C"/>
        </w:rPr>
        <w:t>September 2011</w:t>
      </w:r>
    </w:p>
    <w:p>
      <w:pPr>
        <w:spacing w:after="0" w:line="105"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Board Committees:</w:t>
      </w:r>
    </w:p>
    <w:p>
      <w:pPr>
        <w:ind w:left="1260"/>
        <w:spacing w:after="0" w:line="270" w:lineRule="auto"/>
        <w:rPr>
          <w:sz w:val="20"/>
          <w:szCs w:val="20"/>
          <w:color w:val="auto"/>
        </w:rPr>
      </w:pPr>
      <w:r>
        <w:rPr>
          <w:rFonts w:ascii="Trebuchet MS" w:cs="Trebuchet MS" w:eastAsia="Trebuchet MS" w:hAnsi="Trebuchet MS"/>
          <w:sz w:val="16"/>
          <w:szCs w:val="16"/>
          <w:color w:val="4C4C4C"/>
        </w:rPr>
        <w:t>Audit Committee and Nominating and Corporate Governance Committee</w:t>
      </w:r>
    </w:p>
    <w:p>
      <w:pPr>
        <w:spacing w:after="0" w:line="82" w:lineRule="exact"/>
        <w:rPr>
          <w:sz w:val="20"/>
          <w:szCs w:val="20"/>
          <w:color w:val="auto"/>
        </w:rPr>
      </w:pPr>
    </w:p>
    <w:p>
      <w:pPr>
        <w:ind w:left="1260"/>
        <w:spacing w:after="0"/>
        <w:rPr>
          <w:sz w:val="20"/>
          <w:szCs w:val="20"/>
          <w:color w:val="auto"/>
        </w:rPr>
      </w:pPr>
      <w:r>
        <w:rPr>
          <w:rFonts w:ascii="Trebuchet MS" w:cs="Trebuchet MS" w:eastAsia="Trebuchet MS" w:hAnsi="Trebuchet MS"/>
          <w:sz w:val="17"/>
          <w:szCs w:val="17"/>
          <w:b w:val="1"/>
          <w:bCs w:val="1"/>
          <w:color w:val="4C4C4C"/>
        </w:rPr>
        <w:t xml:space="preserve">Independent: </w:t>
      </w:r>
      <w:r>
        <w:rPr>
          <w:rFonts w:ascii="Trebuchet MS" w:cs="Trebuchet MS" w:eastAsia="Trebuchet MS" w:hAnsi="Trebuchet MS"/>
          <w:sz w:val="17"/>
          <w:szCs w:val="17"/>
          <w:color w:val="4C4C4C"/>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59"/>
        <w:spacing w:after="0" w:line="257" w:lineRule="auto"/>
        <w:rPr>
          <w:sz w:val="20"/>
          <w:szCs w:val="20"/>
          <w:color w:val="auto"/>
        </w:rPr>
      </w:pPr>
      <w:r>
        <w:rPr>
          <w:rFonts w:ascii="Trebuchet MS" w:cs="Trebuchet MS" w:eastAsia="Trebuchet MS" w:hAnsi="Trebuchet MS"/>
          <w:sz w:val="17"/>
          <w:szCs w:val="17"/>
          <w:color w:val="4C4C4C"/>
        </w:rPr>
        <w:t xml:space="preserve">Since October 2009,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r. </w:t>
      </w:r>
      <w:r>
        <w:rPr>
          <w:rFonts w:ascii="Arial" w:cs="Arial" w:eastAsia="Arial" w:hAnsi="Arial"/>
          <w:sz w:val="16"/>
          <w:szCs w:val="16"/>
          <w:color w:val="4C4C4C"/>
        </w:rPr>
        <w:t>M</w:t>
      </w:r>
      <w:r>
        <w:rPr>
          <w:rFonts w:ascii="Trebuchet MS" w:cs="Trebuchet MS" w:eastAsia="Trebuchet MS" w:hAnsi="Trebuchet MS"/>
          <w:sz w:val="17"/>
          <w:szCs w:val="17"/>
          <w:color w:val="4C4C4C"/>
        </w:rPr>
        <w:t xml:space="preserve">ize has held the position of partner and owner at </w:t>
      </w:r>
      <w:r>
        <w:rPr>
          <w:rFonts w:ascii="Arial" w:cs="Arial" w:eastAsia="Arial" w:hAnsi="Arial"/>
          <w:sz w:val="16"/>
          <w:szCs w:val="16"/>
          <w:color w:val="4C4C4C"/>
        </w:rPr>
        <w:t>M</w:t>
      </w:r>
      <w:r>
        <w:rPr>
          <w:rFonts w:ascii="Trebuchet MS" w:cs="Trebuchet MS" w:eastAsia="Trebuchet MS" w:hAnsi="Trebuchet MS"/>
          <w:sz w:val="16"/>
          <w:szCs w:val="16"/>
          <w:color w:val="4C4C4C"/>
        </w:rPr>
        <w:t>R &amp; Associates. Since</w:t>
      </w:r>
      <w:r>
        <w:rPr>
          <w:rFonts w:ascii="Arial" w:cs="Arial" w:eastAsia="Arial" w:hAnsi="Arial"/>
          <w:sz w:val="16"/>
          <w:szCs w:val="16"/>
          <w:color w:val="4C4C4C"/>
        </w:rPr>
        <w:t xml:space="preserve"> M</w:t>
      </w:r>
      <w:r>
        <w:rPr>
          <w:rFonts w:ascii="Trebuchet MS" w:cs="Trebuchet MS" w:eastAsia="Trebuchet MS" w:hAnsi="Trebuchet MS"/>
          <w:sz w:val="16"/>
          <w:szCs w:val="16"/>
          <w:color w:val="4C4C4C"/>
        </w:rPr>
        <w:t>arch 2021,</w:t>
      </w:r>
      <w:r>
        <w:rPr>
          <w:rFonts w:ascii="Arial" w:cs="Arial" w:eastAsia="Arial" w:hAnsi="Arial"/>
          <w:sz w:val="16"/>
          <w:szCs w:val="16"/>
          <w:color w:val="4C4C4C"/>
        </w:rPr>
        <w:t xml:space="preserve"> M</w:t>
      </w:r>
      <w:r>
        <w:rPr>
          <w:rFonts w:ascii="Trebuchet MS" w:cs="Trebuchet MS" w:eastAsia="Trebuchet MS" w:hAnsi="Trebuchet MS"/>
          <w:sz w:val="16"/>
          <w:szCs w:val="16"/>
          <w:color w:val="4C4C4C"/>
        </w:rPr>
        <w:t>r.</w:t>
      </w:r>
      <w:r>
        <w:rPr>
          <w:rFonts w:ascii="Arial" w:cs="Arial" w:eastAsia="Arial" w:hAnsi="Arial"/>
          <w:sz w:val="16"/>
          <w:szCs w:val="16"/>
          <w:color w:val="4C4C4C"/>
        </w:rPr>
        <w:t xml:space="preserve"> M</w:t>
      </w:r>
      <w:r>
        <w:rPr>
          <w:rFonts w:ascii="Trebuchet MS" w:cs="Trebuchet MS" w:eastAsia="Trebuchet MS" w:hAnsi="Trebuchet MS"/>
          <w:sz w:val="16"/>
          <w:szCs w:val="16"/>
          <w:color w:val="4C4C4C"/>
        </w:rPr>
        <w:t>ize has served as the Lead Director</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 xml:space="preserve">of Darling Ingredients, Inc. (“Darling”) and is Chair of its nominating and corporate governance committee.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r.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ize has served as a director of Darling since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ay 2016 and previously served as a member of its audit committee, compensation committee and environmental, social and governance committee. From October 2020 to November 2023,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r.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ize served as a director of United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alt Group Limited and served as a member of its environment, health and safety committee and its nominations and remuneration committee.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r. </w:t>
      </w:r>
      <w:r>
        <w:rPr>
          <w:rFonts w:ascii="Arial" w:cs="Arial" w:eastAsia="Arial" w:hAnsi="Arial"/>
          <w:sz w:val="16"/>
          <w:szCs w:val="16"/>
          <w:color w:val="4C4C4C"/>
        </w:rPr>
        <w:t>M</w:t>
      </w:r>
      <w:r>
        <w:rPr>
          <w:rFonts w:ascii="Trebuchet MS" w:cs="Trebuchet MS" w:eastAsia="Trebuchet MS" w:hAnsi="Trebuchet MS"/>
          <w:sz w:val="16"/>
          <w:szCs w:val="16"/>
          <w:color w:val="4C4C4C"/>
        </w:rPr>
        <w:t>ize also served as non-executive Chairman at Ceres Global AG from December 2007 to April 2010, as an independent director of Ceres Global AG and as a member of its audit committee (Chair) from October 2013 to December 2021. In addition,</w:t>
      </w:r>
    </w:p>
    <w:p>
      <w:pPr>
        <w:spacing w:after="0" w:line="220" w:lineRule="exact"/>
        <w:rPr>
          <w:sz w:val="20"/>
          <w:szCs w:val="20"/>
          <w:color w:val="auto"/>
        </w:rPr>
      </w:pPr>
    </w:p>
    <w:p>
      <w:pPr>
        <w:ind w:right="479"/>
        <w:spacing w:after="0" w:line="260" w:lineRule="auto"/>
        <w:rPr>
          <w:sz w:val="20"/>
          <w:szCs w:val="20"/>
          <w:color w:val="auto"/>
        </w:rPr>
      </w:pPr>
      <w:r>
        <w:rPr>
          <w:rFonts w:ascii="Arial" w:cs="Arial" w:eastAsia="Arial" w:hAnsi="Arial"/>
          <w:sz w:val="16"/>
          <w:szCs w:val="16"/>
          <w:color w:val="4C4C4C"/>
        </w:rPr>
        <w:t>M</w:t>
      </w:r>
      <w:r>
        <w:rPr>
          <w:rFonts w:ascii="Trebuchet MS" w:cs="Trebuchet MS" w:eastAsia="Trebuchet MS" w:hAnsi="Trebuchet MS"/>
          <w:sz w:val="16"/>
          <w:szCs w:val="16"/>
          <w:color w:val="4C4C4C"/>
        </w:rPr>
        <w:t>r.</w:t>
      </w:r>
      <w:r>
        <w:rPr>
          <w:rFonts w:ascii="Arial" w:cs="Arial" w:eastAsia="Arial" w:hAnsi="Arial"/>
          <w:sz w:val="16"/>
          <w:szCs w:val="16"/>
          <w:color w:val="4C4C4C"/>
        </w:rPr>
        <w:t xml:space="preserve"> M</w:t>
      </w:r>
      <w:r>
        <w:rPr>
          <w:rFonts w:ascii="Trebuchet MS" w:cs="Trebuchet MS" w:eastAsia="Trebuchet MS" w:hAnsi="Trebuchet MS"/>
          <w:sz w:val="16"/>
          <w:szCs w:val="16"/>
          <w:color w:val="4C4C4C"/>
        </w:rPr>
        <w:t>ize served Noble Group, Hong Kong, as Global Chief Operating Officer</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 xml:space="preserve">and Executive Director from July 2003 to December 2005 and Non-Executive Director from December 2005 to December 2006. Previously, he was President of the Grain Processing Group at ConAgra Foods, Inc., President and Chief Executive Officer of ConAgra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alt and held various positions at Cargill, Inc. </w:t>
      </w:r>
      <w:r>
        <w:rPr>
          <w:rFonts w:ascii="Arial" w:cs="Arial" w:eastAsia="Arial" w:hAnsi="Arial"/>
          <w:sz w:val="16"/>
          <w:szCs w:val="16"/>
          <w:color w:val="4C4C4C"/>
        </w:rPr>
        <w:t>M</w:t>
      </w:r>
      <w:r>
        <w:rPr>
          <w:rFonts w:ascii="Trebuchet MS" w:cs="Trebuchet MS" w:eastAsia="Trebuchet MS" w:hAnsi="Trebuchet MS"/>
          <w:sz w:val="16"/>
          <w:szCs w:val="16"/>
          <w:color w:val="4C4C4C"/>
        </w:rPr>
        <w:t>r.</w:t>
      </w:r>
      <w:r>
        <w:rPr>
          <w:rFonts w:ascii="Arial" w:cs="Arial" w:eastAsia="Arial" w:hAnsi="Arial"/>
          <w:sz w:val="16"/>
          <w:szCs w:val="16"/>
          <w:color w:val="4C4C4C"/>
        </w:rPr>
        <w:t xml:space="preserve"> M</w:t>
      </w:r>
      <w:r>
        <w:rPr>
          <w:rFonts w:ascii="Trebuchet MS" w:cs="Trebuchet MS" w:eastAsia="Trebuchet MS" w:hAnsi="Trebuchet MS"/>
          <w:sz w:val="16"/>
          <w:szCs w:val="16"/>
          <w:color w:val="4C4C4C"/>
        </w:rPr>
        <w:t>ize brings international business experience to the Board having</w:t>
      </w:r>
      <w:r>
        <w:rPr>
          <w:rFonts w:ascii="Arial" w:cs="Arial" w:eastAsia="Arial" w:hAnsi="Arial"/>
          <w:sz w:val="16"/>
          <w:szCs w:val="16"/>
          <w:color w:val="4C4C4C"/>
        </w:rPr>
        <w:t xml:space="preserve"> </w:t>
      </w:r>
      <w:r>
        <w:rPr>
          <w:rFonts w:ascii="Trebuchet MS" w:cs="Trebuchet MS" w:eastAsia="Trebuchet MS" w:hAnsi="Trebuchet MS"/>
          <w:sz w:val="16"/>
          <w:szCs w:val="16"/>
          <w:color w:val="4C4C4C"/>
        </w:rPr>
        <w:t xml:space="preserve">previously held expatriate positions in Switzerland, Brazil and Hong Kong. We believe </w:t>
      </w:r>
      <w:r>
        <w:rPr>
          <w:rFonts w:ascii="Arial" w:cs="Arial" w:eastAsia="Arial" w:hAnsi="Arial"/>
          <w:sz w:val="16"/>
          <w:szCs w:val="16"/>
          <w:color w:val="4C4C4C"/>
        </w:rPr>
        <w:t>M</w:t>
      </w:r>
      <w:r>
        <w:rPr>
          <w:rFonts w:ascii="Trebuchet MS" w:cs="Trebuchet MS" w:eastAsia="Trebuchet MS" w:hAnsi="Trebuchet MS"/>
          <w:sz w:val="16"/>
          <w:szCs w:val="16"/>
          <w:color w:val="4C4C4C"/>
        </w:rPr>
        <w:t xml:space="preserve">r. </w:t>
      </w:r>
      <w:r>
        <w:rPr>
          <w:rFonts w:ascii="Arial" w:cs="Arial" w:eastAsia="Arial" w:hAnsi="Arial"/>
          <w:sz w:val="16"/>
          <w:szCs w:val="16"/>
          <w:color w:val="4C4C4C"/>
        </w:rPr>
        <w:t>M</w:t>
      </w:r>
      <w:r>
        <w:rPr>
          <w:rFonts w:ascii="Trebuchet MS" w:cs="Trebuchet MS" w:eastAsia="Trebuchet MS" w:hAnsi="Trebuchet MS"/>
          <w:sz w:val="16"/>
          <w:szCs w:val="16"/>
          <w:color w:val="4C4C4C"/>
        </w:rPr>
        <w:t>ize’s qualifications to sit on our Board include his international experience, coupled with his decades of experience in agribusiness.</w:t>
      </w:r>
    </w:p>
    <w:p>
      <w:pPr>
        <w:spacing w:after="0" w:line="200" w:lineRule="exact"/>
        <w:rPr>
          <w:sz w:val="20"/>
          <w:szCs w:val="20"/>
          <w:color w:val="auto"/>
        </w:rPr>
      </w:pPr>
    </w:p>
    <w:p>
      <w:pPr>
        <w:sectPr>
          <w:pgSz w:w="11900" w:h="16838" w:orient="portrait"/>
          <w:cols w:equalWidth="0" w:num="2">
            <w:col w:w="3240" w:space="300"/>
            <w:col w:w="63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80" w:hanging="520"/>
        <w:spacing w:after="0"/>
        <w:tabs>
          <w:tab w:leader="none" w:pos="1780" w:val="left"/>
        </w:tabs>
        <w:numPr>
          <w:ilvl w:val="0"/>
          <w:numId w:val="31"/>
        </w:numPr>
        <w:rPr>
          <w:rFonts w:ascii="Arial" w:cs="Arial" w:eastAsia="Arial" w:hAnsi="Arial"/>
          <w:sz w:val="15"/>
          <w:szCs w:val="15"/>
          <w:color w:val="4C4C4C"/>
        </w:rPr>
      </w:pPr>
      <w:r>
        <w:rPr>
          <w:rFonts w:ascii="Arial" w:cs="Arial" w:eastAsia="Arial" w:hAnsi="Arial"/>
          <w:sz w:val="15"/>
          <w:szCs w:val="15"/>
          <w:color w:val="346094"/>
        </w:rPr>
        <w:t xml:space="preserve">GEVO, INC.  |  </w:t>
      </w:r>
      <w:r>
        <w:rPr>
          <w:rFonts w:ascii="Arial" w:cs="Arial" w:eastAsia="Arial" w:hAnsi="Arial"/>
          <w:sz w:val="15"/>
          <w:szCs w:val="15"/>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274320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4800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40"/>
        <w:spacing w:after="0"/>
        <w:rPr>
          <w:sz w:val="20"/>
          <w:szCs w:val="20"/>
          <w:color w:val="auto"/>
        </w:rPr>
      </w:pPr>
      <w:r>
        <w:rPr>
          <w:rFonts w:ascii="Arial" w:cs="Arial" w:eastAsia="Arial" w:hAnsi="Arial"/>
          <w:sz w:val="29"/>
          <w:szCs w:val="29"/>
          <w:b w:val="1"/>
          <w:bCs w:val="1"/>
          <w:color w:val="FFFFFF"/>
        </w:rPr>
        <w:t>PROPOSAL 2 — RATIFICATION OF APPOINT</w:t>
      </w:r>
      <w:r>
        <w:rPr>
          <w:rFonts w:ascii="Arial" w:cs="Arial" w:eastAsia="Arial" w:hAnsi="Arial"/>
          <w:sz w:val="27"/>
          <w:szCs w:val="27"/>
          <w:b w:val="1"/>
          <w:bCs w:val="1"/>
          <w:color w:val="FFFFFF"/>
        </w:rPr>
        <w:t>M</w:t>
      </w:r>
      <w:r>
        <w:rPr>
          <w:rFonts w:ascii="Arial" w:cs="Arial" w:eastAsia="Arial" w:hAnsi="Arial"/>
          <w:sz w:val="29"/>
          <w:szCs w:val="29"/>
          <w:b w:val="1"/>
          <w:bCs w:val="1"/>
          <w:color w:val="FFFFFF"/>
        </w:rPr>
        <w:t>ENT OF</w:t>
      </w:r>
    </w:p>
    <w:p>
      <w:pPr>
        <w:spacing w:after="0" w:line="1" w:lineRule="exact"/>
        <w:rPr>
          <w:sz w:val="20"/>
          <w:szCs w:val="20"/>
          <w:color w:val="auto"/>
        </w:rPr>
      </w:pPr>
    </w:p>
    <w:p>
      <w:pPr>
        <w:jc w:val="center"/>
        <w:ind w:right="-840"/>
        <w:spacing w:after="0"/>
        <w:rPr>
          <w:sz w:val="20"/>
          <w:szCs w:val="20"/>
          <w:color w:val="auto"/>
        </w:rPr>
      </w:pPr>
      <w:r>
        <w:rPr>
          <w:rFonts w:ascii="Arial" w:cs="Arial" w:eastAsia="Arial" w:hAnsi="Arial"/>
          <w:sz w:val="29"/>
          <w:szCs w:val="29"/>
          <w:b w:val="1"/>
          <w:bCs w:val="1"/>
          <w:color w:val="FFFFFF"/>
        </w:rPr>
        <w:t>INDEPENDENT REGISTERED PUBLIC ACCOUNTING FIR</w:t>
      </w:r>
      <w:r>
        <w:rPr>
          <w:rFonts w:ascii="Arial" w:cs="Arial" w:eastAsia="Arial" w:hAnsi="Arial"/>
          <w:sz w:val="27"/>
          <w:szCs w:val="27"/>
          <w:b w:val="1"/>
          <w:bCs w:val="1"/>
          <w:color w:val="FFFFFF"/>
        </w:rPr>
        <w:t>M</w:t>
      </w:r>
    </w:p>
    <w:p>
      <w:pPr>
        <w:spacing w:after="0" w:line="200" w:lineRule="exact"/>
        <w:rPr>
          <w:sz w:val="20"/>
          <w:szCs w:val="20"/>
          <w:color w:val="auto"/>
        </w:rPr>
      </w:pPr>
    </w:p>
    <w:p>
      <w:pPr>
        <w:ind w:left="1260" w:right="839"/>
        <w:spacing w:after="0" w:line="243" w:lineRule="auto"/>
        <w:rPr>
          <w:sz w:val="20"/>
          <w:szCs w:val="20"/>
          <w:color w:val="auto"/>
        </w:rPr>
      </w:pPr>
      <w:r>
        <w:rPr>
          <w:rFonts w:ascii="Arial" w:cs="Arial" w:eastAsia="Arial" w:hAnsi="Arial"/>
          <w:sz w:val="18"/>
          <w:szCs w:val="18"/>
          <w:color w:val="4C4C4C"/>
        </w:rPr>
        <w:t>The Audit Committee has appointed Deloitte &amp; Touche LLP as our independent registered public accounting firm for the fiscal year ending December 31, 2026 and urges you to vote for the ratification of Deloitte &amp; Touche LLP’s appointment. Deloitte &amp; Touche LLP has served as our independent registered public accounting firm since the fiscal year ended December 31, 2024.</w:t>
      </w:r>
    </w:p>
    <w:p>
      <w:pPr>
        <w:spacing w:after="0" w:line="161" w:lineRule="exact"/>
        <w:rPr>
          <w:sz w:val="20"/>
          <w:szCs w:val="20"/>
          <w:color w:val="auto"/>
        </w:rPr>
      </w:pPr>
    </w:p>
    <w:p>
      <w:pPr>
        <w:ind w:left="1260" w:right="479"/>
        <w:spacing w:after="0" w:line="244" w:lineRule="auto"/>
        <w:rPr>
          <w:sz w:val="20"/>
          <w:szCs w:val="20"/>
          <w:color w:val="auto"/>
        </w:rPr>
      </w:pPr>
      <w:r>
        <w:rPr>
          <w:rFonts w:ascii="Arial" w:cs="Arial" w:eastAsia="Arial" w:hAnsi="Arial"/>
          <w:sz w:val="18"/>
          <w:szCs w:val="18"/>
          <w:color w:val="4C4C4C"/>
        </w:rPr>
        <w:t>On June 3, 2024, after conducting a competitive process, the Audit Committee appointed Deloitte &amp; Touche LLP as our independent registered public accounting firm for the year ending December 31, 2024. Also on June 3, 2024, we, with the approval of the Audit Committee, dismissed Grant Thornton LLP (“Grant Thornton”) as our independent registered public accounting firm, effective immediately. Grant Thornton had served as our independent public accounting firm since 2016.</w:t>
      </w:r>
    </w:p>
    <w:p>
      <w:pPr>
        <w:spacing w:after="0" w:line="163" w:lineRule="exact"/>
        <w:rPr>
          <w:sz w:val="20"/>
          <w:szCs w:val="20"/>
          <w:color w:val="auto"/>
        </w:rPr>
      </w:pPr>
    </w:p>
    <w:p>
      <w:pPr>
        <w:ind w:left="1260" w:right="479"/>
        <w:spacing w:after="0" w:line="242" w:lineRule="auto"/>
        <w:rPr>
          <w:sz w:val="20"/>
          <w:szCs w:val="20"/>
          <w:color w:val="auto"/>
        </w:rPr>
      </w:pPr>
      <w:r>
        <w:rPr>
          <w:rFonts w:ascii="Arial" w:cs="Arial" w:eastAsia="Arial" w:hAnsi="Arial"/>
          <w:sz w:val="18"/>
          <w:szCs w:val="18"/>
          <w:color w:val="4C4C4C"/>
        </w:rPr>
        <w:t>The reports of Grant Thornton on our financial statements as of and for the fiscal years ended December 31, 2023 and 2022 did not contain an adverse opinion or a disclaimer of opinion, nor were they qualified or modified as to uncertainty, audit scope or accounting principles. During the fiscal years ended December 31, 2023 and 2022, and in the subsequent interim period through</w:t>
      </w:r>
    </w:p>
    <w:p>
      <w:pPr>
        <w:spacing w:after="0" w:line="2"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4C4C4C"/>
        </w:rPr>
        <w:t>June 3, 2024, there were (i) no “disagreements” (within​ the meaning of Item 304(a)(1)(iv) of Regulation S-K) with Grant Thornton on any matter of accounting principles or practices, financial statement disclosure or auditing scope or procedure, which disagreements, if not resolved to the satisfaction of Grant Thornton, would have caused it to make reference to the subject matter of the disagreements in its reports on our consolidated financial statements, and (ii) no “reportable events” ​(as such term is defined in Item 304(a)(1)(v) of Regulation S-K), except for the material weakness in our internal control over financial reporting, as previously reported in Part I. Item 4. “Controls and Procedures” in our quarterly report on Form 10-Q for the period ended September 30, 2023, as filed with the SEC on November 14, 2023, related to the ineffective design of internal controls to identify and evaluate the existence of, and accounting for, variable interest entities.</w:t>
      </w:r>
    </w:p>
    <w:p>
      <w:pPr>
        <w:spacing w:after="0" w:line="163" w:lineRule="exact"/>
        <w:rPr>
          <w:sz w:val="20"/>
          <w:szCs w:val="20"/>
          <w:color w:val="auto"/>
        </w:rPr>
      </w:pPr>
    </w:p>
    <w:p>
      <w:pPr>
        <w:ind w:left="1260" w:right="439"/>
        <w:spacing w:after="0" w:line="242" w:lineRule="auto"/>
        <w:rPr>
          <w:sz w:val="20"/>
          <w:szCs w:val="20"/>
          <w:color w:val="auto"/>
        </w:rPr>
      </w:pPr>
      <w:r>
        <w:rPr>
          <w:rFonts w:ascii="Arial" w:cs="Arial" w:eastAsia="Arial" w:hAnsi="Arial"/>
          <w:sz w:val="18"/>
          <w:szCs w:val="18"/>
          <w:color w:val="4C4C4C"/>
        </w:rPr>
        <w:t>As reported in the above referenced quarterly report on Form 10-Q for the period ended September 30, 2023, our Chief Executive Officer and Chief Financial Officer concluded that our disclosure controls and procedures were not effective as of September 30, 2023 due to such material weakness. Our management and the Audit Committee are committed to maintaining a strong internal control environment and the material weakness was fully remediated as of December 31, 2023. The Company and the Audit Committee have discussed this reportable event with Grant Thornton and have authorized Grant Thornton to respond fully to the inquiries of Deloitte &amp; Touche LLP concerning such material weakness.</w:t>
      </w:r>
    </w:p>
    <w:p>
      <w:pPr>
        <w:spacing w:after="0" w:line="166"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4C4C4C"/>
        </w:rPr>
        <w:t>During the fiscal years ended December 31, 2023 and 2022, and in the subsequent interim period through June 3, 2024, neither we nor anyone on our behalf consulted Deloitte &amp; Touche LLP regarding either: (i) the application of accounting principles to a specified transaction, either completed or proposed, or the type of audit opinion that might be rendered on the Company’s consolidated financial statements, and no written report or oral advice was provided to the Company that Deloitte &amp; Touche LLP concluded was an important factor considered by us in reaching a decision as to the accounting, auditing or financial reporting issue; or (ii) any matter that was the subject of a “disagreement” or “reportable event” ​(within the meaning of Item 304(a)(1)(iv) of Regulation S-K and Item 304(a)(1)(v) of Regulation S-K, respectively).</w:t>
      </w:r>
    </w:p>
    <w:p>
      <w:pPr>
        <w:spacing w:after="0" w:line="181" w:lineRule="exact"/>
        <w:rPr>
          <w:sz w:val="20"/>
          <w:szCs w:val="20"/>
          <w:color w:val="auto"/>
        </w:rPr>
      </w:pPr>
    </w:p>
    <w:p>
      <w:pPr>
        <w:ind w:left="1260" w:right="599"/>
        <w:spacing w:after="0" w:line="243" w:lineRule="auto"/>
        <w:rPr>
          <w:sz w:val="20"/>
          <w:szCs w:val="20"/>
          <w:color w:val="auto"/>
        </w:rPr>
      </w:pPr>
      <w:r>
        <w:rPr>
          <w:rFonts w:ascii="Arial" w:cs="Arial" w:eastAsia="Arial" w:hAnsi="Arial"/>
          <w:sz w:val="18"/>
          <w:szCs w:val="18"/>
          <w:color w:val="4C4C4C"/>
        </w:rPr>
        <w:t>We provided Grant Thornton with a copy of the foregoing disclosure and requested that Grant Thornton provide the Company with a letter addressed to the SEC confirming their agreement with the disclosure contained herein concerning Grant Thornton. A copy of Grant Thornton’s letter was filed as Exhibit 16.1 to our Current Report on Form 8-K filed with the SEC on June 7, 2024.</w:t>
      </w:r>
    </w:p>
    <w:p>
      <w:pPr>
        <w:spacing w:after="0" w:line="161" w:lineRule="exact"/>
        <w:rPr>
          <w:sz w:val="20"/>
          <w:szCs w:val="20"/>
          <w:color w:val="auto"/>
        </w:rPr>
      </w:pPr>
    </w:p>
    <w:p>
      <w:pPr>
        <w:ind w:left="1260" w:right="519"/>
        <w:spacing w:after="0" w:line="247" w:lineRule="auto"/>
        <w:rPr>
          <w:sz w:val="20"/>
          <w:szCs w:val="20"/>
          <w:color w:val="auto"/>
        </w:rPr>
      </w:pPr>
      <w:r>
        <w:rPr>
          <w:rFonts w:ascii="Arial" w:cs="Arial" w:eastAsia="Arial" w:hAnsi="Arial"/>
          <w:sz w:val="18"/>
          <w:szCs w:val="18"/>
          <w:color w:val="4C4C4C"/>
        </w:rPr>
        <w:t>In approving the selection of Deloitte &amp; Touche LLP as the Company’s independent registered public accounting firm, the Audit Committee considered all relevant factors, including any non-audit services previously provided by Deloitte &amp; Touche LLP to the Company.</w:t>
      </w:r>
    </w:p>
    <w:p>
      <w:pPr>
        <w:spacing w:after="0" w:line="171" w:lineRule="exact"/>
        <w:rPr>
          <w:sz w:val="20"/>
          <w:szCs w:val="20"/>
          <w:color w:val="auto"/>
        </w:rPr>
      </w:pPr>
    </w:p>
    <w:p>
      <w:pPr>
        <w:ind w:left="1260" w:right="539"/>
        <w:spacing w:after="0" w:line="239" w:lineRule="auto"/>
        <w:rPr>
          <w:sz w:val="20"/>
          <w:szCs w:val="20"/>
          <w:color w:val="auto"/>
        </w:rPr>
      </w:pPr>
      <w:r>
        <w:rPr>
          <w:rFonts w:ascii="Arial" w:cs="Arial" w:eastAsia="Arial" w:hAnsi="Arial"/>
          <w:sz w:val="18"/>
          <w:szCs w:val="18"/>
          <w:color w:val="4C4C4C"/>
        </w:rPr>
        <w:t>Stockholder ratification of the appointment of Deloitte &amp; Touche LLP as our independent registered public accounting firm is not required by our Third Amended and Restated Bylaws (“Bylaws”) or otherwise.</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1260"/>
        <w:spacing w:after="0"/>
        <w:tabs>
          <w:tab w:leader="none" w:pos="2160" w:val="left"/>
        </w:tabs>
        <w:rPr>
          <w:sz w:val="20"/>
          <w:szCs w:val="20"/>
          <w:color w:val="auto"/>
        </w:rPr>
      </w:pPr>
      <w:r>
        <w:rPr>
          <w:rFonts w:ascii="Arial" w:cs="Arial" w:eastAsia="Arial" w:hAnsi="Arial"/>
          <w:sz w:val="14"/>
          <w:szCs w:val="14"/>
          <w:color w:val="346094"/>
        </w:rPr>
        <w:t>PROPOSAL 2</w:t>
      </w:r>
      <w:r>
        <w:rPr>
          <w:sz w:val="20"/>
          <w:szCs w:val="20"/>
          <w:color w:val="auto"/>
        </w:rPr>
        <w:tab/>
      </w:r>
      <w:r>
        <w:rPr>
          <w:rFonts w:ascii="Arial" w:cs="Arial" w:eastAsia="Arial" w:hAnsi="Arial"/>
          <w:sz w:val="12"/>
          <w:szCs w:val="12"/>
          <w:color w:val="346094"/>
        </w:rPr>
        <w:t>RATIFICATION OF APPOINTMENT OF INDEPENDENT REGISTERED PUBLIC ACCOUNTING FIRM</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260" w:right="579"/>
        <w:spacing w:after="0" w:line="251" w:lineRule="auto"/>
        <w:rPr>
          <w:sz w:val="20"/>
          <w:szCs w:val="20"/>
          <w:color w:val="auto"/>
        </w:rPr>
      </w:pPr>
      <w:r>
        <w:rPr>
          <w:rFonts w:ascii="Arial" w:cs="Arial" w:eastAsia="Arial" w:hAnsi="Arial"/>
          <w:sz w:val="18"/>
          <w:szCs w:val="18"/>
          <w:color w:val="4C4C4C"/>
        </w:rPr>
        <w:t>However, the Board is submitting the appointment of Deloitte &amp; Touche LLP to the stockholders for ratification as a matter of good corporate governance. If the stockholders do not ratify the selection, the Board and the Audit Committee will reconsider whether or not to retain Deloitte &amp; Touche LLP. Even if the selection is ratified, the Board and the Audit Committee may, in their discretion, direct the appointment of a different independent registered public accounting firm at any time during the year if they determine that such a change would be in the best interests of our Company and our stockholders.</w:t>
      </w:r>
    </w:p>
    <w:p>
      <w:pPr>
        <w:spacing w:after="0" w:line="160" w:lineRule="exact"/>
        <w:rPr>
          <w:sz w:val="20"/>
          <w:szCs w:val="20"/>
          <w:color w:val="auto"/>
        </w:rPr>
      </w:pPr>
    </w:p>
    <w:p>
      <w:pPr>
        <w:jc w:val="both"/>
        <w:ind w:left="1260" w:right="639"/>
        <w:spacing w:after="0" w:line="269" w:lineRule="auto"/>
        <w:rPr>
          <w:sz w:val="20"/>
          <w:szCs w:val="20"/>
          <w:color w:val="auto"/>
        </w:rPr>
      </w:pPr>
      <w:r>
        <w:rPr>
          <w:rFonts w:ascii="Arial" w:cs="Arial" w:eastAsia="Arial" w:hAnsi="Arial"/>
          <w:sz w:val="18"/>
          <w:szCs w:val="18"/>
          <w:color w:val="4C4C4C"/>
        </w:rPr>
        <w:t>We expect representatives of Deloitte &amp; Touche LLP to virtually attend the Annual Meeting and be available to respond to appropriate questions by stockholders. Additionally, the representatives of Deloitte &amp; Touche LLP will have the opportunity to make a statement if they so desire.</w:t>
      </w:r>
    </w:p>
    <w:p>
      <w:pPr>
        <w:spacing w:after="0" w:line="165"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Principal Accountant Fees and Services</w:t>
      </w:r>
    </w:p>
    <w:p>
      <w:pPr>
        <w:spacing w:after="0" w:line="205" w:lineRule="exact"/>
        <w:rPr>
          <w:sz w:val="20"/>
          <w:szCs w:val="20"/>
          <w:color w:val="auto"/>
        </w:rPr>
      </w:pPr>
    </w:p>
    <w:p>
      <w:pPr>
        <w:ind w:left="1260" w:right="539"/>
        <w:spacing w:after="0" w:line="259" w:lineRule="auto"/>
        <w:rPr>
          <w:sz w:val="20"/>
          <w:szCs w:val="20"/>
          <w:color w:val="auto"/>
        </w:rPr>
      </w:pPr>
      <w:r>
        <w:rPr>
          <w:rFonts w:ascii="Arial" w:cs="Arial" w:eastAsia="Arial" w:hAnsi="Arial"/>
          <w:sz w:val="18"/>
          <w:szCs w:val="18"/>
          <w:color w:val="4C4C4C"/>
        </w:rPr>
        <w:t>The following table presents the aggregate fees billed or accrued for professional services rendered by Deloitte &amp; Touche LLP during the last two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123825</wp:posOffset>
            </wp:positionV>
            <wp:extent cx="521208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243"/>
        </w:trPr>
        <w:tc>
          <w:tcPr>
            <w:tcW w:w="3860" w:type="dxa"/>
            <w:vAlign w:val="bottom"/>
          </w:tcPr>
          <w:p>
            <w:pPr>
              <w:ind w:left="60"/>
              <w:spacing w:after="0"/>
              <w:rPr>
                <w:sz w:val="20"/>
                <w:szCs w:val="20"/>
                <w:color w:val="auto"/>
              </w:rPr>
            </w:pPr>
            <w:r>
              <w:rPr>
                <w:rFonts w:ascii="Arial" w:cs="Arial" w:eastAsia="Arial" w:hAnsi="Arial"/>
                <w:sz w:val="16"/>
                <w:szCs w:val="16"/>
                <w:b w:val="1"/>
                <w:bCs w:val="1"/>
                <w:color w:val="FFFFFF"/>
              </w:rPr>
              <w:t>Type</w:t>
            </w:r>
          </w:p>
        </w:tc>
        <w:tc>
          <w:tcPr>
            <w:tcW w:w="2560" w:type="dxa"/>
            <w:vAlign w:val="bottom"/>
          </w:tcPr>
          <w:p>
            <w:pPr>
              <w:spacing w:after="0"/>
              <w:rPr>
                <w:sz w:val="21"/>
                <w:szCs w:val="21"/>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FFFFFF"/>
              </w:rPr>
              <w:t>2025</w:t>
            </w:r>
          </w:p>
        </w:tc>
        <w:tc>
          <w:tcPr>
            <w:tcW w:w="20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b w:val="1"/>
                <w:bCs w:val="1"/>
                <w:color w:val="FFFFFF"/>
              </w:rPr>
              <w:t>2024</w:t>
            </w:r>
          </w:p>
        </w:tc>
        <w:tc>
          <w:tcPr>
            <w:tcW w:w="60" w:type="dxa"/>
            <w:vAlign w:val="bottom"/>
            <w:gridSpan w:val="2"/>
          </w:tcPr>
          <w:p>
            <w:pPr>
              <w:jc w:val="right"/>
              <w:spacing w:after="0"/>
              <w:rPr>
                <w:sz w:val="20"/>
                <w:szCs w:val="20"/>
                <w:color w:val="auto"/>
              </w:rPr>
            </w:pPr>
            <w:r>
              <w:rPr>
                <w:rFonts w:ascii="Arial" w:cs="Arial" w:eastAsia="Arial" w:hAnsi="Arial"/>
                <w:sz w:val="16"/>
                <w:szCs w:val="16"/>
                <w:b w:val="1"/>
                <w:bCs w:val="1"/>
                <w:color w:val="FFFFFF"/>
              </w:rPr>
              <w:t>​</w:t>
            </w:r>
          </w:p>
        </w:tc>
      </w:tr>
      <w:tr>
        <w:trPr>
          <w:trHeight w:val="243"/>
        </w:trPr>
        <w:tc>
          <w:tcPr>
            <w:tcW w:w="3860" w:type="dxa"/>
            <w:vAlign w:val="bottom"/>
          </w:tcPr>
          <w:p>
            <w:pPr>
              <w:ind w:left="60"/>
              <w:spacing w:after="0"/>
              <w:rPr>
                <w:sz w:val="20"/>
                <w:szCs w:val="20"/>
                <w:color w:val="auto"/>
              </w:rPr>
            </w:pPr>
            <w:r>
              <w:rPr>
                <w:rFonts w:ascii="Arial" w:cs="Arial" w:eastAsia="Arial" w:hAnsi="Arial"/>
                <w:sz w:val="16"/>
                <w:szCs w:val="16"/>
                <w:color w:val="4C4C4C"/>
              </w:rPr>
              <w:t>Audit Fees</w:t>
            </w:r>
          </w:p>
        </w:tc>
        <w:tc>
          <w:tcPr>
            <w:tcW w:w="3360" w:type="dxa"/>
            <w:vAlign w:val="bottom"/>
            <w:gridSpan w:val="2"/>
          </w:tcPr>
          <w:p>
            <w:pPr>
              <w:jc w:val="right"/>
              <w:ind w:right="39"/>
              <w:spacing w:after="0"/>
              <w:rPr>
                <w:sz w:val="20"/>
                <w:szCs w:val="20"/>
                <w:color w:val="auto"/>
              </w:rPr>
            </w:pPr>
            <w:r>
              <w:rPr>
                <w:rFonts w:ascii="Arial" w:cs="Arial" w:eastAsia="Arial" w:hAnsi="Arial"/>
                <w:sz w:val="16"/>
                <w:szCs w:val="16"/>
                <w:color w:val="4C4C4C"/>
              </w:rPr>
              <w:t>​$1,353,082</w:t>
            </w:r>
          </w:p>
        </w:tc>
        <w:tc>
          <w:tcPr>
            <w:tcW w:w="200" w:type="dxa"/>
            <w:vAlign w:val="bottom"/>
          </w:tcPr>
          <w:p>
            <w:pPr>
              <w:ind w:left="100"/>
              <w:spacing w:after="0"/>
              <w:rPr>
                <w:sz w:val="20"/>
                <w:szCs w:val="20"/>
                <w:color w:val="auto"/>
              </w:rPr>
            </w:pPr>
            <w:r>
              <w:rPr>
                <w:rFonts w:ascii="Arial" w:cs="Arial" w:eastAsia="Arial" w:hAnsi="Arial"/>
                <w:sz w:val="16"/>
                <w:szCs w:val="16"/>
                <w:color w:val="4C4C4C"/>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4C4C4C"/>
              </w:rPr>
              <w:t>$885,398 ​</w:t>
            </w:r>
          </w:p>
        </w:tc>
      </w:tr>
      <w:tr>
        <w:trPr>
          <w:trHeight w:val="243"/>
        </w:trPr>
        <w:tc>
          <w:tcPr>
            <w:tcW w:w="3860" w:type="dxa"/>
            <w:vAlign w:val="bottom"/>
          </w:tcPr>
          <w:p>
            <w:pPr>
              <w:ind w:left="60"/>
              <w:spacing w:after="0"/>
              <w:rPr>
                <w:sz w:val="20"/>
                <w:szCs w:val="20"/>
                <w:color w:val="auto"/>
              </w:rPr>
            </w:pPr>
            <w:r>
              <w:rPr>
                <w:rFonts w:ascii="Arial" w:cs="Arial" w:eastAsia="Arial" w:hAnsi="Arial"/>
                <w:sz w:val="16"/>
                <w:szCs w:val="16"/>
                <w:color w:val="4C4C4C"/>
              </w:rPr>
              <w:t>Audit-Related Fees</w:t>
            </w:r>
          </w:p>
        </w:tc>
        <w:tc>
          <w:tcPr>
            <w:tcW w:w="2560" w:type="dxa"/>
            <w:vAlign w:val="bottom"/>
          </w:tcPr>
          <w:p>
            <w:pPr>
              <w:ind w:left="2420"/>
              <w:spacing w:after="0"/>
              <w:rPr>
                <w:sz w:val="20"/>
                <w:szCs w:val="20"/>
                <w:color w:val="auto"/>
              </w:rPr>
            </w:pPr>
            <w:r>
              <w:rPr>
                <w:rFonts w:ascii="Arial" w:cs="Arial" w:eastAsia="Arial" w:hAnsi="Arial"/>
                <w:sz w:val="16"/>
                <w:szCs w:val="16"/>
                <w:color w:val="4C4C4C"/>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4C4C4C"/>
              </w:rPr>
              <w:t>225,000</w:t>
            </w:r>
          </w:p>
        </w:tc>
        <w:tc>
          <w:tcPr>
            <w:tcW w:w="200" w:type="dxa"/>
            <w:vAlign w:val="bottom"/>
          </w:tcPr>
          <w:p>
            <w:pPr>
              <w:ind w:left="100"/>
              <w:spacing w:after="0"/>
              <w:rPr>
                <w:sz w:val="20"/>
                <w:szCs w:val="20"/>
                <w:color w:val="auto"/>
              </w:rPr>
            </w:pPr>
            <w:r>
              <w:rPr>
                <w:rFonts w:ascii="Arial" w:cs="Arial" w:eastAsia="Arial" w:hAnsi="Arial"/>
                <w:sz w:val="16"/>
                <w:szCs w:val="16"/>
                <w:color w:val="4C4C4C"/>
              </w:rPr>
              <w:t>​</w:t>
            </w:r>
          </w:p>
        </w:tc>
        <w:tc>
          <w:tcPr>
            <w:tcW w:w="740" w:type="dxa"/>
            <w:vAlign w:val="bottom"/>
          </w:tcPr>
          <w:p>
            <w:pPr>
              <w:jc w:val="right"/>
              <w:spacing w:after="0"/>
              <w:rPr>
                <w:sz w:val="20"/>
                <w:szCs w:val="20"/>
                <w:color w:val="auto"/>
              </w:rPr>
            </w:pPr>
            <w:r>
              <w:rPr>
                <w:rFonts w:ascii="Arial" w:cs="Arial" w:eastAsia="Arial" w:hAnsi="Arial"/>
                <w:sz w:val="16"/>
                <w:szCs w:val="16"/>
                <w:color w:val="4C4C4C"/>
              </w:rPr>
              <w:t>64,800</w:t>
            </w:r>
          </w:p>
        </w:tc>
        <w:tc>
          <w:tcPr>
            <w:tcW w:w="60" w:type="dxa"/>
            <w:vAlign w:val="bottom"/>
            <w:gridSpan w:val="2"/>
          </w:tcPr>
          <w:p>
            <w:pPr>
              <w:jc w:val="right"/>
              <w:spacing w:after="0"/>
              <w:rPr>
                <w:sz w:val="20"/>
                <w:szCs w:val="20"/>
                <w:color w:val="auto"/>
              </w:rPr>
            </w:pPr>
            <w:r>
              <w:rPr>
                <w:rFonts w:ascii="Arial" w:cs="Arial" w:eastAsia="Arial" w:hAnsi="Arial"/>
                <w:sz w:val="16"/>
                <w:szCs w:val="16"/>
                <w:color w:val="4C4C4C"/>
              </w:rPr>
              <w:t>​</w:t>
            </w:r>
          </w:p>
        </w:tc>
      </w:tr>
      <w:tr>
        <w:trPr>
          <w:trHeight w:val="243"/>
        </w:trPr>
        <w:tc>
          <w:tcPr>
            <w:tcW w:w="3860" w:type="dxa"/>
            <w:vAlign w:val="bottom"/>
          </w:tcPr>
          <w:p>
            <w:pPr>
              <w:ind w:left="60"/>
              <w:spacing w:after="0"/>
              <w:rPr>
                <w:sz w:val="20"/>
                <w:szCs w:val="20"/>
                <w:color w:val="auto"/>
              </w:rPr>
            </w:pPr>
            <w:r>
              <w:rPr>
                <w:rFonts w:ascii="Arial" w:cs="Arial" w:eastAsia="Arial" w:hAnsi="Arial"/>
                <w:sz w:val="16"/>
                <w:szCs w:val="16"/>
                <w:color w:val="4C4C4C"/>
              </w:rPr>
              <w:t>Tax Fees</w:t>
            </w:r>
          </w:p>
        </w:tc>
        <w:tc>
          <w:tcPr>
            <w:tcW w:w="2560" w:type="dxa"/>
            <w:vAlign w:val="bottom"/>
          </w:tcPr>
          <w:p>
            <w:pPr>
              <w:ind w:left="2420"/>
              <w:spacing w:after="0"/>
              <w:rPr>
                <w:sz w:val="20"/>
                <w:szCs w:val="20"/>
                <w:color w:val="auto"/>
              </w:rPr>
            </w:pPr>
            <w:r>
              <w:rPr>
                <w:rFonts w:ascii="Arial" w:cs="Arial" w:eastAsia="Arial" w:hAnsi="Arial"/>
                <w:sz w:val="16"/>
                <w:szCs w:val="16"/>
                <w:color w:val="4C4C4C"/>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4C4C4C"/>
              </w:rPr>
              <w:t>116,640</w:t>
            </w:r>
          </w:p>
        </w:tc>
        <w:tc>
          <w:tcPr>
            <w:tcW w:w="200" w:type="dxa"/>
            <w:vAlign w:val="bottom"/>
          </w:tcPr>
          <w:p>
            <w:pPr>
              <w:ind w:left="100"/>
              <w:spacing w:after="0"/>
              <w:rPr>
                <w:sz w:val="20"/>
                <w:szCs w:val="20"/>
                <w:color w:val="auto"/>
              </w:rPr>
            </w:pPr>
            <w:r>
              <w:rPr>
                <w:rFonts w:ascii="Arial" w:cs="Arial" w:eastAsia="Arial" w:hAnsi="Arial"/>
                <w:sz w:val="16"/>
                <w:szCs w:val="16"/>
                <w:color w:val="4C4C4C"/>
              </w:rPr>
              <w:t>​</w:t>
            </w:r>
          </w:p>
        </w:tc>
        <w:tc>
          <w:tcPr>
            <w:tcW w:w="740" w:type="dxa"/>
            <w:vAlign w:val="bottom"/>
          </w:tcPr>
          <w:p>
            <w:pPr>
              <w:jc w:val="right"/>
              <w:spacing w:after="0"/>
              <w:rPr>
                <w:sz w:val="20"/>
                <w:szCs w:val="20"/>
                <w:color w:val="auto"/>
              </w:rPr>
            </w:pPr>
            <w:r>
              <w:rPr>
                <w:rFonts w:ascii="Arial" w:cs="Arial" w:eastAsia="Arial" w:hAnsi="Arial"/>
                <w:sz w:val="16"/>
                <w:szCs w:val="16"/>
                <w:color w:val="4C4C4C"/>
              </w:rPr>
              <w:t>547,189</w:t>
            </w:r>
          </w:p>
        </w:tc>
        <w:tc>
          <w:tcPr>
            <w:tcW w:w="60" w:type="dxa"/>
            <w:vAlign w:val="bottom"/>
            <w:gridSpan w:val="2"/>
          </w:tcPr>
          <w:p>
            <w:pPr>
              <w:jc w:val="right"/>
              <w:spacing w:after="0"/>
              <w:rPr>
                <w:sz w:val="20"/>
                <w:szCs w:val="20"/>
                <w:color w:val="auto"/>
              </w:rPr>
            </w:pPr>
            <w:r>
              <w:rPr>
                <w:rFonts w:ascii="Arial" w:cs="Arial" w:eastAsia="Arial" w:hAnsi="Arial"/>
                <w:sz w:val="16"/>
                <w:szCs w:val="16"/>
                <w:color w:val="4C4C4C"/>
              </w:rPr>
              <w:t>​</w:t>
            </w:r>
          </w:p>
        </w:tc>
      </w:tr>
      <w:tr>
        <w:trPr>
          <w:trHeight w:val="257"/>
        </w:trPr>
        <w:tc>
          <w:tcPr>
            <w:tcW w:w="3860" w:type="dxa"/>
            <w:vAlign w:val="bottom"/>
          </w:tcPr>
          <w:p>
            <w:pPr>
              <w:ind w:left="60"/>
              <w:spacing w:after="0"/>
              <w:rPr>
                <w:sz w:val="20"/>
                <w:szCs w:val="20"/>
                <w:color w:val="auto"/>
              </w:rPr>
            </w:pPr>
            <w:r>
              <w:rPr>
                <w:rFonts w:ascii="Arial" w:cs="Arial" w:eastAsia="Arial" w:hAnsi="Arial"/>
                <w:sz w:val="16"/>
                <w:szCs w:val="16"/>
                <w:color w:val="4C4C4C"/>
              </w:rPr>
              <w:t>All Other Fees</w:t>
            </w:r>
          </w:p>
        </w:tc>
        <w:tc>
          <w:tcPr>
            <w:tcW w:w="2560" w:type="dxa"/>
            <w:vAlign w:val="bottom"/>
          </w:tcPr>
          <w:p>
            <w:pPr>
              <w:ind w:left="2420"/>
              <w:spacing w:after="0"/>
              <w:rPr>
                <w:sz w:val="20"/>
                <w:szCs w:val="20"/>
                <w:color w:val="auto"/>
              </w:rPr>
            </w:pPr>
            <w:r>
              <w:rPr>
                <w:rFonts w:ascii="Arial" w:cs="Arial" w:eastAsia="Arial" w:hAnsi="Arial"/>
                <w:sz w:val="16"/>
                <w:szCs w:val="16"/>
                <w:color w:val="4C4C4C"/>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4C4C4C"/>
              </w:rPr>
              <w:t>33,466</w:t>
            </w:r>
          </w:p>
        </w:tc>
        <w:tc>
          <w:tcPr>
            <w:tcW w:w="200" w:type="dxa"/>
            <w:vAlign w:val="bottom"/>
          </w:tcPr>
          <w:p>
            <w:pPr>
              <w:ind w:left="100"/>
              <w:spacing w:after="0"/>
              <w:rPr>
                <w:sz w:val="20"/>
                <w:szCs w:val="20"/>
                <w:color w:val="auto"/>
              </w:rPr>
            </w:pPr>
            <w:r>
              <w:rPr>
                <w:rFonts w:ascii="Arial" w:cs="Arial" w:eastAsia="Arial" w:hAnsi="Arial"/>
                <w:sz w:val="16"/>
                <w:szCs w:val="16"/>
                <w:color w:val="4C4C4C"/>
              </w:rPr>
              <w:t>​</w:t>
            </w:r>
          </w:p>
        </w:tc>
        <w:tc>
          <w:tcPr>
            <w:tcW w:w="740" w:type="dxa"/>
            <w:vAlign w:val="bottom"/>
          </w:tcPr>
          <w:p>
            <w:pPr>
              <w:jc w:val="right"/>
              <w:spacing w:after="0"/>
              <w:rPr>
                <w:sz w:val="20"/>
                <w:szCs w:val="20"/>
                <w:color w:val="auto"/>
              </w:rPr>
            </w:pPr>
            <w:r>
              <w:rPr>
                <w:rFonts w:ascii="Arial" w:cs="Arial" w:eastAsia="Arial" w:hAnsi="Arial"/>
                <w:sz w:val="16"/>
                <w:szCs w:val="16"/>
                <w:color w:val="4C4C4C"/>
              </w:rPr>
              <w:t>161,225</w:t>
            </w:r>
          </w:p>
        </w:tc>
        <w:tc>
          <w:tcPr>
            <w:tcW w:w="60" w:type="dxa"/>
            <w:vAlign w:val="bottom"/>
            <w:gridSpan w:val="2"/>
          </w:tcPr>
          <w:p>
            <w:pPr>
              <w:jc w:val="right"/>
              <w:spacing w:after="0"/>
              <w:rPr>
                <w:sz w:val="20"/>
                <w:szCs w:val="20"/>
                <w:color w:val="auto"/>
              </w:rPr>
            </w:pPr>
            <w:r>
              <w:rPr>
                <w:rFonts w:ascii="Arial" w:cs="Arial" w:eastAsia="Arial" w:hAnsi="Arial"/>
                <w:sz w:val="16"/>
                <w:szCs w:val="16"/>
                <w:color w:val="4C4C4C"/>
              </w:rPr>
              <w:t>​</w:t>
            </w:r>
          </w:p>
        </w:tc>
      </w:tr>
      <w:tr>
        <w:trPr>
          <w:trHeight w:val="27"/>
        </w:trPr>
        <w:tc>
          <w:tcPr>
            <w:tcW w:w="3860" w:type="dxa"/>
            <w:vAlign w:val="bottom"/>
            <w:shd w:val="clear" w:color="auto" w:fill="346094"/>
          </w:tcPr>
          <w:p>
            <w:pPr>
              <w:spacing w:after="0"/>
              <w:rPr>
                <w:sz w:val="2"/>
                <w:szCs w:val="2"/>
                <w:color w:val="auto"/>
              </w:rPr>
            </w:pPr>
          </w:p>
        </w:tc>
        <w:tc>
          <w:tcPr>
            <w:tcW w:w="3360" w:type="dxa"/>
            <w:vAlign w:val="bottom"/>
            <w:gridSpan w:val="2"/>
            <w:shd w:val="clear" w:color="auto" w:fill="346094"/>
          </w:tcPr>
          <w:p>
            <w:pPr>
              <w:spacing w:after="0"/>
              <w:rPr>
                <w:sz w:val="2"/>
                <w:szCs w:val="2"/>
                <w:color w:val="auto"/>
              </w:rPr>
            </w:pPr>
          </w:p>
        </w:tc>
        <w:tc>
          <w:tcPr>
            <w:tcW w:w="980" w:type="dxa"/>
            <w:vAlign w:val="bottom"/>
            <w:gridSpan w:val="3"/>
            <w:shd w:val="clear" w:color="auto" w:fill="346094"/>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860" w:type="dxa"/>
            <w:vAlign w:val="bottom"/>
            <w:tcBorders>
              <w:bottom w:val="single" w:sz="8" w:color="346094"/>
            </w:tcBorders>
          </w:tcPr>
          <w:p>
            <w:pPr>
              <w:ind w:left="60"/>
              <w:spacing w:after="0"/>
              <w:rPr>
                <w:sz w:val="20"/>
                <w:szCs w:val="20"/>
                <w:color w:val="auto"/>
              </w:rPr>
            </w:pPr>
            <w:r>
              <w:rPr>
                <w:rFonts w:ascii="Arial" w:cs="Arial" w:eastAsia="Arial" w:hAnsi="Arial"/>
                <w:sz w:val="16"/>
                <w:szCs w:val="16"/>
                <w:color w:val="4C4C4C"/>
              </w:rPr>
              <w:t>Total Fees</w:t>
            </w:r>
          </w:p>
        </w:tc>
        <w:tc>
          <w:tcPr>
            <w:tcW w:w="3360" w:type="dxa"/>
            <w:vAlign w:val="bottom"/>
            <w:tcBorders>
              <w:bottom w:val="single" w:sz="8" w:color="346094"/>
            </w:tcBorders>
            <w:gridSpan w:val="2"/>
          </w:tcPr>
          <w:p>
            <w:pPr>
              <w:jc w:val="right"/>
              <w:ind w:right="39"/>
              <w:spacing w:after="0" w:line="243" w:lineRule="exact"/>
              <w:rPr>
                <w:sz w:val="20"/>
                <w:szCs w:val="20"/>
                <w:color w:val="auto"/>
              </w:rPr>
            </w:pPr>
            <w:r>
              <w:rPr>
                <w:rFonts w:ascii="Arial" w:cs="Arial" w:eastAsia="Arial" w:hAnsi="Arial"/>
                <w:sz w:val="28"/>
                <w:szCs w:val="28"/>
                <w:color w:val="4C4C4C"/>
                <w:vertAlign w:val="subscript"/>
              </w:rPr>
              <w:t>​</w:t>
            </w:r>
            <w:r>
              <w:rPr>
                <w:rFonts w:ascii="Arial" w:cs="Arial" w:eastAsia="Arial" w:hAnsi="Arial"/>
                <w:sz w:val="15"/>
                <w:szCs w:val="15"/>
                <w:color w:val="4C4C4C"/>
              </w:rPr>
              <w:t>$1,728,188</w:t>
            </w:r>
          </w:p>
        </w:tc>
        <w:tc>
          <w:tcPr>
            <w:tcW w:w="1000" w:type="dxa"/>
            <w:vAlign w:val="bottom"/>
            <w:tcBorders>
              <w:bottom w:val="single" w:sz="8" w:color="346094"/>
            </w:tcBorders>
            <w:gridSpan w:val="4"/>
          </w:tcPr>
          <w:p>
            <w:pPr>
              <w:jc w:val="right"/>
              <w:spacing w:after="0" w:line="243" w:lineRule="exact"/>
              <w:rPr>
                <w:sz w:val="20"/>
                <w:szCs w:val="20"/>
                <w:color w:val="auto"/>
              </w:rPr>
            </w:pPr>
            <w:r>
              <w:rPr>
                <w:rFonts w:ascii="Arial" w:cs="Arial" w:eastAsia="Arial" w:hAnsi="Arial"/>
                <w:sz w:val="28"/>
                <w:szCs w:val="28"/>
                <w:color w:val="4C4C4C"/>
                <w:vertAlign w:val="subscript"/>
              </w:rPr>
              <w:t>​</w:t>
            </w:r>
            <w:r>
              <w:rPr>
                <w:rFonts w:ascii="Arial" w:cs="Arial" w:eastAsia="Arial" w:hAnsi="Arial"/>
                <w:sz w:val="15"/>
                <w:szCs w:val="15"/>
                <w:color w:val="4C4C4C"/>
              </w:rPr>
              <w:t xml:space="preserve">$1,658,612 </w:t>
            </w:r>
            <w:r>
              <w:rPr>
                <w:rFonts w:ascii="Arial" w:cs="Arial" w:eastAsia="Arial" w:hAnsi="Arial"/>
                <w:sz w:val="28"/>
                <w:szCs w:val="28"/>
                <w:color w:val="4C4C4C"/>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-659130</wp:posOffset>
            </wp:positionV>
            <wp:extent cx="52120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-350520</wp:posOffset>
            </wp:positionV>
            <wp:extent cx="52120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72" w:lineRule="exact"/>
        <w:rPr>
          <w:sz w:val="20"/>
          <w:szCs w:val="20"/>
          <w:color w:val="auto"/>
        </w:rPr>
      </w:pPr>
    </w:p>
    <w:p>
      <w:pPr>
        <w:ind w:left="1260" w:right="559"/>
        <w:spacing w:after="0" w:line="252" w:lineRule="auto"/>
        <w:rPr>
          <w:sz w:val="20"/>
          <w:szCs w:val="20"/>
          <w:color w:val="auto"/>
        </w:rPr>
      </w:pPr>
      <w:r>
        <w:rPr>
          <w:rFonts w:ascii="Trebuchet MS" w:cs="Trebuchet MS" w:eastAsia="Trebuchet MS" w:hAnsi="Trebuchet MS"/>
          <w:sz w:val="18"/>
          <w:szCs w:val="18"/>
          <w:b w:val="1"/>
          <w:bCs w:val="1"/>
          <w:i w:val="1"/>
          <w:iCs w:val="1"/>
          <w:color w:val="4C4C4C"/>
        </w:rPr>
        <w:t>Audit Fees</w:t>
      </w:r>
      <w:r>
        <w:rPr>
          <w:rFonts w:ascii="Arial" w:cs="Arial" w:eastAsia="Arial" w:hAnsi="Arial"/>
          <w:sz w:val="18"/>
          <w:szCs w:val="18"/>
          <w:color w:val="4C4C4C"/>
        </w:rPr>
        <w:t> — These fees are composed of professional services rendered for the audit of our annual</w:t>
      </w:r>
      <w:r>
        <w:rPr>
          <w:rFonts w:ascii="Trebuchet MS" w:cs="Trebuchet MS" w:eastAsia="Trebuchet MS" w:hAnsi="Trebuchet MS"/>
          <w:sz w:val="18"/>
          <w:szCs w:val="18"/>
          <w:b w:val="1"/>
          <w:bCs w:val="1"/>
          <w:i w:val="1"/>
          <w:iCs w:val="1"/>
          <w:color w:val="4C4C4C"/>
        </w:rPr>
        <w:t xml:space="preserve"> </w:t>
      </w:r>
      <w:r>
        <w:rPr>
          <w:rFonts w:ascii="Arial" w:cs="Arial" w:eastAsia="Arial" w:hAnsi="Arial"/>
          <w:sz w:val="18"/>
          <w:szCs w:val="18"/>
          <w:color w:val="4C4C4C"/>
        </w:rPr>
        <w:t>financial statements, review of financial statements included in our registration statements and quarterly reports filed with the SEC, and services that are normally provided by the independent auditors in connection with other statutory and regulatory filings made by the Company during the fiscal year.</w:t>
      </w:r>
    </w:p>
    <w:p>
      <w:pPr>
        <w:spacing w:after="0" w:line="165" w:lineRule="exact"/>
        <w:rPr>
          <w:sz w:val="20"/>
          <w:szCs w:val="20"/>
          <w:color w:val="auto"/>
        </w:rPr>
      </w:pPr>
    </w:p>
    <w:p>
      <w:pPr>
        <w:ind w:left="1260" w:right="479"/>
        <w:spacing w:after="0" w:line="254" w:lineRule="auto"/>
        <w:rPr>
          <w:sz w:val="20"/>
          <w:szCs w:val="20"/>
          <w:color w:val="auto"/>
        </w:rPr>
      </w:pPr>
      <w:r>
        <w:rPr>
          <w:rFonts w:ascii="Trebuchet MS" w:cs="Trebuchet MS" w:eastAsia="Trebuchet MS" w:hAnsi="Trebuchet MS"/>
          <w:sz w:val="18"/>
          <w:szCs w:val="18"/>
          <w:b w:val="1"/>
          <w:bCs w:val="1"/>
          <w:i w:val="1"/>
          <w:iCs w:val="1"/>
          <w:color w:val="4C4C4C"/>
        </w:rPr>
        <w:t>Audit-Related Fees</w:t>
      </w:r>
      <w:r>
        <w:rPr>
          <w:rFonts w:ascii="Arial" w:cs="Arial" w:eastAsia="Arial" w:hAnsi="Arial"/>
          <w:sz w:val="18"/>
          <w:szCs w:val="18"/>
          <w:color w:val="4C4C4C"/>
        </w:rPr>
        <w:t> — These fees are composed of professional services rendered for audit planning.</w:t>
      </w:r>
      <w:r>
        <w:rPr>
          <w:rFonts w:ascii="Trebuchet MS" w:cs="Trebuchet MS" w:eastAsia="Trebuchet MS" w:hAnsi="Trebuchet MS"/>
          <w:sz w:val="18"/>
          <w:szCs w:val="18"/>
          <w:b w:val="1"/>
          <w:bCs w:val="1"/>
          <w:i w:val="1"/>
          <w:iCs w:val="1"/>
          <w:color w:val="4C4C4C"/>
        </w:rPr>
        <w:t xml:space="preserve"> </w:t>
      </w:r>
      <w:r>
        <w:rPr>
          <w:rFonts w:ascii="Arial" w:cs="Arial" w:eastAsia="Arial" w:hAnsi="Arial"/>
          <w:sz w:val="18"/>
          <w:szCs w:val="18"/>
          <w:color w:val="4C4C4C"/>
        </w:rPr>
        <w:t>Audit-related fees also include comfort letters, consents for other SEC filings and reviews of documents filed with the SEC.</w:t>
      </w:r>
    </w:p>
    <w:p>
      <w:pPr>
        <w:spacing w:after="0" w:line="162" w:lineRule="exact"/>
        <w:rPr>
          <w:sz w:val="20"/>
          <w:szCs w:val="20"/>
          <w:color w:val="auto"/>
        </w:rPr>
      </w:pPr>
    </w:p>
    <w:p>
      <w:pPr>
        <w:ind w:left="1260" w:right="519"/>
        <w:spacing w:after="0" w:line="259" w:lineRule="auto"/>
        <w:rPr>
          <w:sz w:val="20"/>
          <w:szCs w:val="20"/>
          <w:color w:val="auto"/>
        </w:rPr>
      </w:pPr>
      <w:r>
        <w:rPr>
          <w:rFonts w:ascii="Trebuchet MS" w:cs="Trebuchet MS" w:eastAsia="Trebuchet MS" w:hAnsi="Trebuchet MS"/>
          <w:sz w:val="18"/>
          <w:szCs w:val="18"/>
          <w:b w:val="1"/>
          <w:bCs w:val="1"/>
          <w:i w:val="1"/>
          <w:iCs w:val="1"/>
          <w:color w:val="4C4C4C"/>
        </w:rPr>
        <w:t>Tax Fees</w:t>
      </w:r>
      <w:r>
        <w:rPr>
          <w:rFonts w:ascii="Arial" w:cs="Arial" w:eastAsia="Arial" w:hAnsi="Arial"/>
          <w:sz w:val="18"/>
          <w:szCs w:val="18"/>
          <w:color w:val="4C4C4C"/>
        </w:rPr>
        <w:t> — These fees are composed of professional services rendered for cost allocation items, tax</w:t>
      </w:r>
      <w:r>
        <w:rPr>
          <w:rFonts w:ascii="Trebuchet MS" w:cs="Trebuchet MS" w:eastAsia="Trebuchet MS" w:hAnsi="Trebuchet MS"/>
          <w:sz w:val="18"/>
          <w:szCs w:val="18"/>
          <w:b w:val="1"/>
          <w:bCs w:val="1"/>
          <w:i w:val="1"/>
          <w:iCs w:val="1"/>
          <w:color w:val="4C4C4C"/>
        </w:rPr>
        <w:t xml:space="preserve"> </w:t>
      </w:r>
      <w:r>
        <w:rPr>
          <w:rFonts w:ascii="Arial" w:cs="Arial" w:eastAsia="Arial" w:hAnsi="Arial"/>
          <w:sz w:val="18"/>
          <w:szCs w:val="18"/>
          <w:color w:val="4C4C4C"/>
        </w:rPr>
        <w:t>credit related work and services related to mergers and acquisitions.</w:t>
      </w:r>
    </w:p>
    <w:p>
      <w:pPr>
        <w:spacing w:after="0" w:line="170" w:lineRule="exact"/>
        <w:rPr>
          <w:sz w:val="20"/>
          <w:szCs w:val="20"/>
          <w:color w:val="auto"/>
        </w:rPr>
      </w:pPr>
    </w:p>
    <w:p>
      <w:pPr>
        <w:ind w:left="1260" w:right="419"/>
        <w:spacing w:after="0" w:line="259" w:lineRule="auto"/>
        <w:rPr>
          <w:sz w:val="20"/>
          <w:szCs w:val="20"/>
          <w:color w:val="auto"/>
        </w:rPr>
      </w:pPr>
      <w:r>
        <w:rPr>
          <w:rFonts w:ascii="Trebuchet MS" w:cs="Trebuchet MS" w:eastAsia="Trebuchet MS" w:hAnsi="Trebuchet MS"/>
          <w:sz w:val="18"/>
          <w:szCs w:val="18"/>
          <w:b w:val="1"/>
          <w:bCs w:val="1"/>
          <w:i w:val="1"/>
          <w:iCs w:val="1"/>
          <w:color w:val="4C4C4C"/>
        </w:rPr>
        <w:t>All Other Fees</w:t>
      </w:r>
      <w:r>
        <w:rPr>
          <w:rFonts w:ascii="Arial" w:cs="Arial" w:eastAsia="Arial" w:hAnsi="Arial"/>
          <w:sz w:val="18"/>
          <w:szCs w:val="18"/>
          <w:color w:val="4C4C4C"/>
        </w:rPr>
        <w:t> — These fees are composed of professional services rendered for contract reviews and</w:t>
      </w:r>
      <w:r>
        <w:rPr>
          <w:rFonts w:ascii="Trebuchet MS" w:cs="Trebuchet MS" w:eastAsia="Trebuchet MS" w:hAnsi="Trebuchet MS"/>
          <w:sz w:val="18"/>
          <w:szCs w:val="18"/>
          <w:b w:val="1"/>
          <w:bCs w:val="1"/>
          <w:i w:val="1"/>
          <w:iCs w:val="1"/>
          <w:color w:val="4C4C4C"/>
        </w:rPr>
        <w:t xml:space="preserve"> </w:t>
      </w:r>
      <w:r>
        <w:rPr>
          <w:rFonts w:ascii="Arial" w:cs="Arial" w:eastAsia="Arial" w:hAnsi="Arial"/>
          <w:sz w:val="18"/>
          <w:szCs w:val="18"/>
          <w:color w:val="4C4C4C"/>
        </w:rPr>
        <w:t>work surrounding tax credits.</w:t>
      </w:r>
    </w:p>
    <w:p>
      <w:pPr>
        <w:spacing w:after="0" w:line="173"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Audit Committee</w:t>
      </w:r>
      <w:r>
        <w:rPr>
          <w:rFonts w:ascii="Trebuchet MS" w:cs="Trebuchet MS" w:eastAsia="Trebuchet MS" w:hAnsi="Trebuchet MS"/>
          <w:sz w:val="22"/>
          <w:szCs w:val="22"/>
          <w:color w:val="346094"/>
        </w:rPr>
        <w:t>’</w:t>
      </w:r>
      <w:r>
        <w:rPr>
          <w:rFonts w:ascii="Trebuchet MS" w:cs="Trebuchet MS" w:eastAsia="Trebuchet MS" w:hAnsi="Trebuchet MS"/>
          <w:sz w:val="22"/>
          <w:szCs w:val="22"/>
          <w:b w:val="1"/>
          <w:bCs w:val="1"/>
          <w:color w:val="346094"/>
        </w:rPr>
        <w:t>s Pre-Approval Policies and Procedures</w:t>
      </w:r>
    </w:p>
    <w:p>
      <w:pPr>
        <w:spacing w:after="0" w:line="205"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4C4C4C"/>
        </w:rPr>
        <w:t>Before our independent registered public accounting firm is engaged by us to render audit or non-audit services, each such engagement is approved by our Audit Committee. From time to time, our Audit Committee may pre-approve specified types of services that are expected to be provided to us by our registered public accounting firm during the next 12 months. Any such pre-approval is detailed as to the particular service or type of services to be provided and is also generally subject to a maximum dollar amount. The Audit Committee pre-approved all services performed by, and audit fees paid to, our independent registered public accounting firm during fiscal years 2025 and 2024.</w:t>
      </w:r>
    </w:p>
    <w:p>
      <w:pPr>
        <w:spacing w:after="0" w:line="382" w:lineRule="exact"/>
        <w:rPr>
          <w:sz w:val="20"/>
          <w:szCs w:val="20"/>
          <w:color w:val="auto"/>
        </w:rPr>
      </w:pPr>
    </w:p>
    <w:p>
      <w:pPr>
        <w:ind w:left="1260" w:right="639"/>
        <w:spacing w:after="0" w:line="252" w:lineRule="auto"/>
        <w:rPr>
          <w:sz w:val="20"/>
          <w:szCs w:val="20"/>
          <w:color w:val="auto"/>
        </w:rPr>
      </w:pPr>
      <w:r>
        <w:rPr>
          <w:rFonts w:ascii="Arial" w:cs="Arial" w:eastAsia="Arial" w:hAnsi="Arial"/>
          <w:sz w:val="18"/>
          <w:szCs w:val="18"/>
          <w:color w:val="4C4C4C"/>
        </w:rPr>
        <w:t>Our Audit Committee may delegate the authority to approve any audit or non-audit services to be provided to us by our registered public accounting firm to one or more subcommittees (including a subcommittee consisting of a single member). Any approval of services by a subcommittee of our Audit Committee pursuant to this delegated authority is reported at the next meeting of our Audit Committee.</w:t>
      </w:r>
    </w:p>
    <w:p>
      <w:pPr>
        <w:spacing w:after="0" w:line="375" w:lineRule="exact"/>
        <w:rPr>
          <w:sz w:val="20"/>
          <w:szCs w:val="20"/>
          <w:color w:val="auto"/>
        </w:rPr>
      </w:pPr>
    </w:p>
    <w:p>
      <w:pPr>
        <w:ind w:left="1780" w:hanging="520"/>
        <w:spacing w:after="0"/>
        <w:tabs>
          <w:tab w:leader="none" w:pos="1780" w:val="left"/>
        </w:tabs>
        <w:numPr>
          <w:ilvl w:val="0"/>
          <w:numId w:val="32"/>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jc w:val="right"/>
        <w:ind w:right="1260"/>
        <w:spacing w:after="0"/>
        <w:tabs>
          <w:tab w:leader="none" w:pos="7020" w:val="left"/>
        </w:tabs>
        <w:rPr>
          <w:sz w:val="20"/>
          <w:szCs w:val="20"/>
          <w:color w:val="auto"/>
        </w:rPr>
      </w:pPr>
      <w:r>
        <w:rPr>
          <w:rFonts w:ascii="Arial" w:cs="Arial" w:eastAsia="Arial" w:hAnsi="Arial"/>
          <w:sz w:val="14"/>
          <w:szCs w:val="14"/>
          <w:color w:val="346094"/>
        </w:rPr>
        <w:t>PROPOSAL 2</w:t>
      </w:r>
      <w:r>
        <w:rPr>
          <w:sz w:val="20"/>
          <w:szCs w:val="20"/>
          <w:color w:val="auto"/>
        </w:rPr>
        <w:tab/>
      </w:r>
      <w:r>
        <w:rPr>
          <w:rFonts w:ascii="Arial" w:cs="Arial" w:eastAsia="Arial" w:hAnsi="Arial"/>
          <w:sz w:val="12"/>
          <w:szCs w:val="12"/>
          <w:color w:val="346094"/>
        </w:rPr>
        <w:t>RATIFICATION OF APPOINTMENT OF INDEPENDENT REGISTERED PUBLIC ACCOUNTING FIRM</w:t>
      </w:r>
    </w:p>
    <w:p>
      <w:pPr>
        <w:spacing w:after="0" w:line="10"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87"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Vote Required and Board Recommendation</w:t>
      </w:r>
    </w:p>
    <w:p>
      <w:pPr>
        <w:spacing w:after="0" w:line="205" w:lineRule="exact"/>
        <w:rPr>
          <w:sz w:val="20"/>
          <w:szCs w:val="20"/>
          <w:color w:val="auto"/>
        </w:rPr>
      </w:pPr>
    </w:p>
    <w:p>
      <w:pPr>
        <w:ind w:left="1260" w:right="1280"/>
        <w:spacing w:after="0" w:line="253" w:lineRule="auto"/>
        <w:rPr>
          <w:sz w:val="20"/>
          <w:szCs w:val="20"/>
          <w:color w:val="auto"/>
        </w:rPr>
      </w:pPr>
      <w:r>
        <w:rPr>
          <w:rFonts w:ascii="Arial" w:cs="Arial" w:eastAsia="Arial" w:hAnsi="Arial"/>
          <w:sz w:val="18"/>
          <w:szCs w:val="18"/>
          <w:color w:val="4C4C4C"/>
        </w:rPr>
        <w:t>Stockholder ratification of Deloitte &amp; Touche LLP as our independent registered public accounting firm requires the affirmative vote of the holders of a majority of the votes cast by the holders of our stock which are entitled to vote on the question and are present in person, including by means of remote communication, or represented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127635</wp:posOffset>
            </wp:positionV>
            <wp:extent cx="5212080"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spacing w:after="0" w:line="343" w:lineRule="exact"/>
        <w:rPr>
          <w:sz w:val="20"/>
          <w:szCs w:val="20"/>
          <w:color w:val="auto"/>
        </w:rPr>
      </w:pPr>
    </w:p>
    <w:p>
      <w:pPr>
        <w:ind w:left="1300"/>
        <w:spacing w:after="0"/>
        <w:tabs>
          <w:tab w:leader="none" w:pos="3760" w:val="left"/>
        </w:tabs>
        <w:rPr>
          <w:sz w:val="20"/>
          <w:szCs w:val="20"/>
          <w:color w:val="auto"/>
        </w:rPr>
      </w:pPr>
      <w:r>
        <w:rPr>
          <w:rFonts w:ascii="Arial" w:cs="Arial" w:eastAsia="Arial" w:hAnsi="Arial"/>
          <w:sz w:val="23"/>
          <w:szCs w:val="23"/>
          <w:b w:val="1"/>
          <w:bCs w:val="1"/>
          <w:color w:val="FFFFFF"/>
        </w:rPr>
        <w:t>​</w:t>
      </w:r>
      <w:r>
        <w:rPr>
          <w:sz w:val="20"/>
          <w:szCs w:val="20"/>
          <w:color w:val="auto"/>
        </w:rPr>
        <w:tab/>
      </w:r>
      <w:r>
        <w:rPr>
          <w:rFonts w:ascii="Arial" w:cs="Arial" w:eastAsia="Arial" w:hAnsi="Arial"/>
          <w:sz w:val="23"/>
          <w:szCs w:val="23"/>
          <w:b w:val="1"/>
          <w:bCs w:val="1"/>
          <w:color w:val="FFFFFF"/>
        </w:rPr>
        <w:t>BOARD RECO</w:t>
      </w:r>
      <w:r>
        <w:rPr>
          <w:rFonts w:ascii="Arial" w:cs="Arial" w:eastAsia="Arial" w:hAnsi="Arial"/>
          <w:sz w:val="22"/>
          <w:szCs w:val="22"/>
          <w:b w:val="1"/>
          <w:bCs w:val="1"/>
          <w:color w:val="FFFFFF"/>
        </w:rPr>
        <w:t>MM</w:t>
      </w:r>
      <w:r>
        <w:rPr>
          <w:rFonts w:ascii="Arial" w:cs="Arial" w:eastAsia="Arial" w:hAnsi="Arial"/>
          <w:sz w:val="23"/>
          <w:szCs w:val="23"/>
          <w:b w:val="1"/>
          <w:bCs w:val="1"/>
          <w:color w:val="FFFFFF"/>
        </w:rPr>
        <w:t xml:space="preserve">ENDATION </w:t>
      </w:r>
      <w:r>
        <w:rPr>
          <w:sz w:val="1"/>
          <w:szCs w:val="1"/>
          <w:color w:val="auto"/>
        </w:rPr>
        <w:drawing>
          <wp:inline distT="0" distB="0" distL="0" distR="0">
            <wp:extent cx="146050" cy="14541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050" cy="1454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5829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582930"/>
                    </a:xfrm>
                    <a:prstGeom prst="rect">
                      <a:avLst/>
                    </a:prstGeom>
                    <a:noFill/>
                  </pic:spPr>
                </pic:pic>
              </a:graphicData>
            </a:graphic>
          </wp:anchor>
        </w:drawing>
      </w:r>
    </w:p>
    <w:p>
      <w:pPr>
        <w:spacing w:after="0" w:line="58" w:lineRule="exact"/>
        <w:rPr>
          <w:sz w:val="20"/>
          <w:szCs w:val="20"/>
          <w:color w:val="auto"/>
        </w:rPr>
      </w:pPr>
    </w:p>
    <w:p>
      <w:pPr>
        <w:jc w:val="center"/>
        <w:ind w:left="1500" w:right="1500" w:hanging="206"/>
        <w:spacing w:after="0" w:line="220" w:lineRule="auto"/>
        <w:tabs>
          <w:tab w:leader="none" w:pos="1687" w:val="left"/>
        </w:tabs>
        <w:numPr>
          <w:ilvl w:val="0"/>
          <w:numId w:val="33"/>
        </w:numPr>
        <w:rPr>
          <w:rFonts w:ascii="Arial" w:cs="Arial" w:eastAsia="Arial" w:hAnsi="Arial"/>
          <w:sz w:val="32"/>
          <w:szCs w:val="32"/>
          <w:b w:val="1"/>
          <w:bCs w:val="1"/>
          <w:color w:val="4C4C4C"/>
          <w:vertAlign w:val="superscript"/>
        </w:rPr>
      </w:pPr>
      <w:r>
        <w:rPr>
          <w:rFonts w:ascii="Arial" w:cs="Arial" w:eastAsia="Arial" w:hAnsi="Arial"/>
          <w:sz w:val="16"/>
          <w:szCs w:val="16"/>
          <w:b w:val="1"/>
          <w:bCs w:val="1"/>
          <w:color w:val="4C4C4C"/>
        </w:rPr>
        <w:t>THE BOARD RECOMMENDS A VOTE “</w:t>
      </w:r>
      <w:r>
        <w:rPr>
          <w:rFonts w:ascii="Trebuchet MS" w:cs="Trebuchet MS" w:eastAsia="Trebuchet MS" w:hAnsi="Trebuchet MS"/>
          <w:sz w:val="19"/>
          <w:szCs w:val="19"/>
          <w:b w:val="1"/>
          <w:bCs w:val="1"/>
          <w:color w:val="346094"/>
        </w:rPr>
        <w:t>FOR</w:t>
      </w:r>
      <w:r>
        <w:rPr>
          <w:rFonts w:ascii="Arial" w:cs="Arial" w:eastAsia="Arial" w:hAnsi="Arial"/>
          <w:sz w:val="16"/>
          <w:szCs w:val="16"/>
          <w:b w:val="1"/>
          <w:bCs w:val="1"/>
          <w:color w:val="4C4C4C"/>
        </w:rPr>
        <w:t>” THE RATIFICATION OF THE APPOINTMENT OF DELOITTE &amp; TOUCHE LLP AS OUR INDEPENDENT REGISTERED PUBLIC ACCOUNTING FIRM FOR</w:t>
      </w:r>
    </w:p>
    <w:p>
      <w:pPr>
        <w:jc w:val="center"/>
        <w:spacing w:after="0"/>
        <w:rPr>
          <w:sz w:val="20"/>
          <w:szCs w:val="20"/>
          <w:color w:val="auto"/>
        </w:rPr>
      </w:pPr>
      <w:r>
        <w:rPr>
          <w:rFonts w:ascii="Arial" w:cs="Arial" w:eastAsia="Arial" w:hAnsi="Arial"/>
          <w:sz w:val="18"/>
          <w:szCs w:val="18"/>
          <w:b w:val="1"/>
          <w:bCs w:val="1"/>
          <w:color w:val="4C4C4C"/>
        </w:rPr>
        <w:t>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20" w:type="dxa"/>
            <w:vAlign w:val="bottom"/>
          </w:tcPr>
          <w:p>
            <w:pPr>
              <w:ind w:left="5880"/>
              <w:spacing w:after="0"/>
              <w:rPr>
                <w:sz w:val="20"/>
                <w:szCs w:val="20"/>
                <w:color w:val="auto"/>
              </w:rPr>
            </w:pPr>
            <w:r>
              <w:rPr>
                <w:rFonts w:ascii="Arial" w:cs="Arial" w:eastAsia="Arial" w:hAnsi="Arial"/>
                <w:sz w:val="18"/>
                <w:szCs w:val="18"/>
                <w:color w:val="346094"/>
                <w:w w:val="93"/>
              </w:rPr>
              <w:t xml:space="preserve">GEVO, INC.  |  </w:t>
            </w:r>
            <w:r>
              <w:rPr>
                <w:rFonts w:ascii="Arial" w:cs="Arial" w:eastAsia="Arial" w:hAnsi="Arial"/>
                <w:sz w:val="18"/>
                <w:szCs w:val="18"/>
                <w:i w:val="1"/>
                <w:iCs w:val="1"/>
                <w:color w:val="4C4C4C"/>
                <w:w w:val="93"/>
              </w:rPr>
              <w:t>2026 PROXY STATEMENT</w:t>
            </w:r>
          </w:p>
        </w:tc>
        <w:tc>
          <w:tcPr>
            <w:tcW w:w="1600" w:type="dxa"/>
            <w:vAlign w:val="bottom"/>
          </w:tcPr>
          <w:p>
            <w:pPr>
              <w:jc w:val="right"/>
              <w:ind w:right="1170"/>
              <w:spacing w:after="0"/>
              <w:rPr>
                <w:sz w:val="20"/>
                <w:szCs w:val="20"/>
                <w:color w:val="auto"/>
              </w:rPr>
            </w:pPr>
            <w:r>
              <w:rPr>
                <w:rFonts w:ascii="Arial" w:cs="Arial" w:eastAsia="Arial" w:hAnsi="Arial"/>
                <w:sz w:val="18"/>
                <w:szCs w:val="18"/>
                <w:color w:val="4C4C4C"/>
              </w:rPr>
              <w:t>15</w:t>
            </w:r>
          </w:p>
        </w:tc>
      </w:tr>
      <w:tr>
        <w:trPr>
          <w:trHeight w:val="395"/>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540"/>
        <w:spacing w:after="0"/>
        <w:rPr>
          <w:sz w:val="20"/>
          <w:szCs w:val="20"/>
          <w:color w:val="auto"/>
        </w:rPr>
      </w:pPr>
      <w:r>
        <w:rPr>
          <w:rFonts w:ascii="Trebuchet MS" w:cs="Trebuchet MS" w:eastAsia="Trebuchet MS" w:hAnsi="Trebuchet MS"/>
          <w:sz w:val="29"/>
          <w:szCs w:val="29"/>
          <w:b w:val="1"/>
          <w:bCs w:val="1"/>
          <w:color w:val="FFFFFF"/>
        </w:rPr>
        <w:t>AUDIT CO</w:t>
      </w:r>
      <w:r>
        <w:rPr>
          <w:rFonts w:ascii="Arial" w:cs="Arial" w:eastAsia="Arial" w:hAnsi="Arial"/>
          <w:sz w:val="27"/>
          <w:szCs w:val="27"/>
          <w:b w:val="1"/>
          <w:bCs w:val="1"/>
          <w:color w:val="FFFFFF"/>
        </w:rPr>
        <w:t>MM</w:t>
      </w:r>
      <w:r>
        <w:rPr>
          <w:rFonts w:ascii="Trebuchet MS" w:cs="Trebuchet MS" w:eastAsia="Trebuchet MS" w:hAnsi="Trebuchet MS"/>
          <w:sz w:val="29"/>
          <w:szCs w:val="29"/>
          <w:b w:val="1"/>
          <w:bCs w:val="1"/>
          <w:color w:val="FFFFFF"/>
        </w:rPr>
        <w:t>ITTEE REPORT</w:t>
      </w:r>
    </w:p>
    <w:p>
      <w:pPr>
        <w:spacing w:after="0" w:line="234"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4C4C4C"/>
        </w:rPr>
        <w:t>The Audit Committee assists the Board with its oversight responsibilities regarding the Company’s financial reporting process. The Company’s management is responsible for the preparation, presentation and integrity of the Company’s financial statements and the reporting process, including the Company’s accounting policies, internal control over financial reporting and disclosure controls and procedures. Deloitte &amp; Touche LLP, the Company’s independent registered public accounting firm, is responsible for performing an audit of the Company’s financial statements.</w:t>
      </w:r>
    </w:p>
    <w:p>
      <w:pPr>
        <w:spacing w:after="0" w:line="168"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4C4C4C"/>
        </w:rPr>
        <w:t>We have reviewed and discussed with management and Deloitte &amp; Touche LLP the Company’s audited financial statements. We discussed with Deloitte &amp; Touche LLP the overall scope and plans of their audit. We met with Deloitte &amp; Touche LLP, with and without management present, to discuss the results of its examinations, its evaluation of the Company’s internal controls, and the overall quality of the Company’s financial reporting.</w:t>
      </w:r>
    </w:p>
    <w:p>
      <w:pPr>
        <w:spacing w:after="0" w:line="182"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4C4C4C"/>
        </w:rPr>
        <w:t>With regard to the fiscal year ended December 31, 2025, the Audit Committee has (i) reviewed and discussed with management the Company’s audited consolidated financial statements as of December 31, 2025, and for the year then ended; (ii) discussed with Deloitte &amp; Touche LLP the matters required by the applicable requirements of the Public Company Accounting Oversight Board (PCAOB) and the SEC; (iii) received the written disclosures and the letter from Deloitte &amp; Touche LLP required by applicable requirements of the PCAOB regarding Deloitte &amp; Touche LLP’s communications with the Audit Committee concerning independence; and (iv) discussed with Deloitte &amp; Touche LLP their independence.</w:t>
      </w:r>
    </w:p>
    <w:p>
      <w:pPr>
        <w:spacing w:after="0" w:line="172" w:lineRule="exact"/>
        <w:rPr>
          <w:sz w:val="20"/>
          <w:szCs w:val="20"/>
          <w:color w:val="auto"/>
        </w:rPr>
      </w:pPr>
    </w:p>
    <w:p>
      <w:pPr>
        <w:ind w:left="1260" w:right="519"/>
        <w:spacing w:after="0" w:line="255" w:lineRule="auto"/>
        <w:rPr>
          <w:sz w:val="20"/>
          <w:szCs w:val="20"/>
          <w:color w:val="auto"/>
        </w:rPr>
      </w:pPr>
      <w:r>
        <w:rPr>
          <w:rFonts w:ascii="Arial" w:cs="Arial" w:eastAsia="Arial" w:hAnsi="Arial"/>
          <w:sz w:val="18"/>
          <w:szCs w:val="18"/>
          <w:color w:val="4C4C4C"/>
        </w:rPr>
        <w:t>Based on the review and discussions described above, the Audit Committee recommended to the Board that the Company’s audited financial statements be included in the Company’s Annual Report on Form 10-K for the fiscal year ended December 31, 2025, for filing with the SEC.</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4C4C4C"/>
        </w:rPr>
        <w:t>Respectfully submitted,</w:t>
      </w:r>
    </w:p>
    <w:p>
      <w:pPr>
        <w:spacing w:after="0" w:line="186" w:lineRule="exact"/>
        <w:rPr>
          <w:sz w:val="20"/>
          <w:szCs w:val="20"/>
          <w:color w:val="auto"/>
        </w:rPr>
      </w:pPr>
    </w:p>
    <w:p>
      <w:pPr>
        <w:ind w:left="5580"/>
        <w:spacing w:after="0"/>
        <w:rPr>
          <w:sz w:val="20"/>
          <w:szCs w:val="20"/>
          <w:color w:val="auto"/>
        </w:rPr>
      </w:pPr>
      <w:r>
        <w:rPr>
          <w:rFonts w:ascii="Trebuchet MS" w:cs="Trebuchet MS" w:eastAsia="Trebuchet MS" w:hAnsi="Trebuchet MS"/>
          <w:sz w:val="18"/>
          <w:szCs w:val="18"/>
          <w:b w:val="1"/>
          <w:bCs w:val="1"/>
          <w:color w:val="4C4C4C"/>
        </w:rPr>
        <w:t>AUDIT CO</w:t>
      </w:r>
      <w:r>
        <w:rPr>
          <w:rFonts w:ascii="Arial" w:cs="Arial" w:eastAsia="Arial" w:hAnsi="Arial"/>
          <w:sz w:val="18"/>
          <w:szCs w:val="18"/>
          <w:b w:val="1"/>
          <w:bCs w:val="1"/>
          <w:color w:val="4C4C4C"/>
        </w:rPr>
        <w:t>MM</w:t>
      </w:r>
      <w:r>
        <w:rPr>
          <w:rFonts w:ascii="Trebuchet MS" w:cs="Trebuchet MS" w:eastAsia="Trebuchet MS" w:hAnsi="Trebuchet MS"/>
          <w:sz w:val="18"/>
          <w:szCs w:val="18"/>
          <w:b w:val="1"/>
          <w:bCs w:val="1"/>
          <w:color w:val="4C4C4C"/>
        </w:rPr>
        <w:t>ITTEE</w:t>
      </w:r>
    </w:p>
    <w:p>
      <w:pPr>
        <w:spacing w:after="0" w:line="208" w:lineRule="exact"/>
        <w:rPr>
          <w:sz w:val="20"/>
          <w:szCs w:val="20"/>
          <w:color w:val="auto"/>
        </w:rPr>
      </w:pPr>
    </w:p>
    <w:p>
      <w:pPr>
        <w:ind w:left="5580"/>
        <w:spacing w:after="0"/>
        <w:rPr>
          <w:sz w:val="20"/>
          <w:szCs w:val="20"/>
          <w:color w:val="auto"/>
        </w:rPr>
      </w:pPr>
      <w:r>
        <w:rPr>
          <w:rFonts w:ascii="Arial" w:cs="Arial" w:eastAsia="Arial" w:hAnsi="Arial"/>
          <w:sz w:val="18"/>
          <w:szCs w:val="18"/>
          <w:color w:val="4C4C4C"/>
        </w:rPr>
        <w:t>Jaime Guillen, Chair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4C4C4C"/>
        </w:rPr>
        <w:t>James J. Barber</w:t>
      </w:r>
    </w:p>
    <w:p>
      <w:pPr>
        <w:spacing w:after="0" w:line="8" w:lineRule="exact"/>
        <w:rPr>
          <w:sz w:val="20"/>
          <w:szCs w:val="20"/>
          <w:color w:val="auto"/>
        </w:rPr>
      </w:pPr>
    </w:p>
    <w:p>
      <w:pPr>
        <w:ind w:left="5580"/>
        <w:spacing w:after="0"/>
        <w:rPr>
          <w:sz w:val="20"/>
          <w:szCs w:val="20"/>
          <w:color w:val="auto"/>
        </w:rPr>
      </w:pPr>
      <w:r>
        <w:rPr>
          <w:rFonts w:ascii="Arial" w:cs="Arial" w:eastAsia="Arial" w:hAnsi="Arial"/>
          <w:sz w:val="18"/>
          <w:szCs w:val="18"/>
          <w:color w:val="4C4C4C"/>
        </w:rPr>
        <w:t>Mary Kathryn Ellet</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8"/>
          <w:szCs w:val="18"/>
          <w:color w:val="4C4C4C"/>
        </w:rPr>
        <w:t>Gary W. Mize</w:t>
      </w:r>
    </w:p>
    <w:p>
      <w:pPr>
        <w:spacing w:after="0" w:line="201" w:lineRule="exact"/>
        <w:rPr>
          <w:sz w:val="20"/>
          <w:szCs w:val="20"/>
          <w:color w:val="auto"/>
        </w:rPr>
      </w:pPr>
    </w:p>
    <w:p>
      <w:pPr>
        <w:ind w:left="1260" w:right="559"/>
        <w:spacing w:after="0" w:line="253" w:lineRule="auto"/>
        <w:rPr>
          <w:sz w:val="20"/>
          <w:szCs w:val="20"/>
          <w:color w:val="auto"/>
        </w:rPr>
      </w:pPr>
      <w:r>
        <w:rPr>
          <w:rFonts w:ascii="Arial" w:cs="Arial" w:eastAsia="Arial" w:hAnsi="Arial"/>
          <w:sz w:val="18"/>
          <w:szCs w:val="18"/>
          <w:i w:val="1"/>
          <w:iCs w:val="1"/>
          <w:color w:val="4C4C4C"/>
        </w:rPr>
        <w:t>The foregoing Audit Committee Report does not constitute soliciting material and should not be deemed filed or incorporated by reference into any other filing of the Company under the Securities Act of 1933, as amended, or the Securities Exchange Act of 1934, as amended, except to the extent that the Company specifically incorporates the Audit Committee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780" w:hanging="520"/>
        <w:spacing w:after="0"/>
        <w:tabs>
          <w:tab w:leader="none" w:pos="1780" w:val="left"/>
        </w:tabs>
        <w:numPr>
          <w:ilvl w:val="0"/>
          <w:numId w:val="34"/>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4800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20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40"/>
        <w:spacing w:after="0"/>
        <w:rPr>
          <w:sz w:val="20"/>
          <w:szCs w:val="20"/>
          <w:color w:val="auto"/>
        </w:rPr>
      </w:pPr>
      <w:r>
        <w:rPr>
          <w:rFonts w:ascii="Arial" w:cs="Arial" w:eastAsia="Arial" w:hAnsi="Arial"/>
          <w:sz w:val="29"/>
          <w:szCs w:val="29"/>
          <w:b w:val="1"/>
          <w:bCs w:val="1"/>
          <w:color w:val="FFFFFF"/>
        </w:rPr>
        <w:t>PROPOSAL 3 — ADVISORY VOTE TO APPROVE THE</w:t>
      </w:r>
    </w:p>
    <w:p>
      <w:pPr>
        <w:spacing w:after="0" w:line="1" w:lineRule="exact"/>
        <w:rPr>
          <w:sz w:val="20"/>
          <w:szCs w:val="20"/>
          <w:color w:val="auto"/>
        </w:rPr>
      </w:pPr>
    </w:p>
    <w:p>
      <w:pPr>
        <w:jc w:val="center"/>
        <w:ind w:right="-840"/>
        <w:spacing w:after="0"/>
        <w:rPr>
          <w:sz w:val="20"/>
          <w:szCs w:val="20"/>
          <w:color w:val="auto"/>
        </w:rPr>
      </w:pPr>
      <w:r>
        <w:rPr>
          <w:rFonts w:ascii="Arial" w:cs="Arial" w:eastAsia="Arial" w:hAnsi="Arial"/>
          <w:sz w:val="29"/>
          <w:szCs w:val="29"/>
          <w:b w:val="1"/>
          <w:bCs w:val="1"/>
          <w:color w:val="FFFFFF"/>
        </w:rPr>
        <w:t>CO</w:t>
      </w:r>
      <w:r>
        <w:rPr>
          <w:rFonts w:ascii="Arial" w:cs="Arial" w:eastAsia="Arial" w:hAnsi="Arial"/>
          <w:sz w:val="27"/>
          <w:szCs w:val="27"/>
          <w:b w:val="1"/>
          <w:bCs w:val="1"/>
          <w:color w:val="FFFFFF"/>
        </w:rPr>
        <w:t>M</w:t>
      </w:r>
      <w:r>
        <w:rPr>
          <w:rFonts w:ascii="Arial" w:cs="Arial" w:eastAsia="Arial" w:hAnsi="Arial"/>
          <w:sz w:val="29"/>
          <w:szCs w:val="29"/>
          <w:b w:val="1"/>
          <w:bCs w:val="1"/>
          <w:color w:val="FFFFFF"/>
        </w:rPr>
        <w:t>PENSATION OF OUR NA</w:t>
      </w:r>
      <w:r>
        <w:rPr>
          <w:rFonts w:ascii="Arial" w:cs="Arial" w:eastAsia="Arial" w:hAnsi="Arial"/>
          <w:sz w:val="27"/>
          <w:szCs w:val="27"/>
          <w:b w:val="1"/>
          <w:bCs w:val="1"/>
          <w:color w:val="FFFFFF"/>
        </w:rPr>
        <w:t>M</w:t>
      </w:r>
      <w:r>
        <w:rPr>
          <w:rFonts w:ascii="Arial" w:cs="Arial" w:eastAsia="Arial" w:hAnsi="Arial"/>
          <w:sz w:val="29"/>
          <w:szCs w:val="29"/>
          <w:b w:val="1"/>
          <w:bCs w:val="1"/>
          <w:color w:val="FFFFFF"/>
        </w:rPr>
        <w:t>ED EXECUTIVE OFFICERS</w:t>
      </w:r>
    </w:p>
    <w:p>
      <w:pPr>
        <w:spacing w:after="0" w:line="227" w:lineRule="exact"/>
        <w:rPr>
          <w:sz w:val="20"/>
          <w:szCs w:val="20"/>
          <w:color w:val="auto"/>
        </w:rPr>
      </w:pPr>
    </w:p>
    <w:p>
      <w:pPr>
        <w:ind w:left="1260" w:right="459"/>
        <w:spacing w:after="0" w:line="262" w:lineRule="auto"/>
        <w:rPr>
          <w:sz w:val="20"/>
          <w:szCs w:val="20"/>
          <w:color w:val="auto"/>
        </w:rPr>
      </w:pPr>
      <w:r>
        <w:rPr>
          <w:rFonts w:ascii="Arial" w:cs="Arial" w:eastAsia="Arial" w:hAnsi="Arial"/>
          <w:sz w:val="18"/>
          <w:szCs w:val="18"/>
          <w:color w:val="4C4C4C"/>
        </w:rPr>
        <w:t>Pursuant to Section 14A of the Exchange Act, we are providing our stockholders the opportunity to vote on a non-binding, advisory resolution, commonly known as a “say-on-pay” vote, to approve the compensation of our named executive officers as described in this proxy statement in the compensation tables in the section entitled “Executive Compensation” and any related narrative discussion contained in this proxy statement. This proposal gives our stockholders the opportunity to express their views on the design and effectiveness of our executive compensation program. While this stockholder vote on executive compensation is an advisory vote that is not binding on our Company or the Board, we value the opinions of our stockholders and will consider the outcome of the vote when making future compensation decisions. The advisory vote to approve the compensation of our named executive officers requires the affirmative vote of the holders of a majority in voting power of the shares of our stock present, including by means of remote communication, or represented by proxy and entitled to vote at the Annual Meeting.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At our 2023 Annual Meeting of Stockholders, we provided our stockholders with an advisory vote</w:t>
      </w:r>
    </w:p>
    <w:p>
      <w:pPr>
        <w:spacing w:after="0" w:line="48"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color w:val="4C4C4C"/>
        </w:rPr>
        <w:t>regarding how frequently the Company will conduct future stockholder advisory votes to approve the compensation paid to our named executive officers. The holders of a majority in voting power of the shares of our stock present in person, including by means of remote communication, or represented by proxy and entitled to vote were voted in favor of an annual vote. Based on these results, the Board has determined to hold an annual advisory vote on the compensation paid to our named executive officers.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At our 2025 Annual Meeting of Stockholders, we held our previous vote on an advisory resolution to</w:t>
      </w:r>
    </w:p>
    <w:p>
      <w:pPr>
        <w:spacing w:after="0" w:line="48" w:lineRule="exact"/>
        <w:rPr>
          <w:sz w:val="20"/>
          <w:szCs w:val="20"/>
          <w:color w:val="auto"/>
        </w:rPr>
      </w:pPr>
    </w:p>
    <w:p>
      <w:pPr>
        <w:ind w:left="1260" w:right="419"/>
        <w:spacing w:after="0" w:line="266" w:lineRule="auto"/>
        <w:rPr>
          <w:sz w:val="20"/>
          <w:szCs w:val="20"/>
          <w:color w:val="auto"/>
        </w:rPr>
      </w:pPr>
      <w:r>
        <w:rPr>
          <w:rFonts w:ascii="Arial" w:cs="Arial" w:eastAsia="Arial" w:hAnsi="Arial"/>
          <w:sz w:val="18"/>
          <w:szCs w:val="18"/>
          <w:color w:val="4C4C4C"/>
        </w:rPr>
        <w:t>approve the compensation of our named executive officers. The compensation of our named executive officers reported in our 2025 proxy statement was approved by approximately 74.8% of the votes at the 2025 Annual Meeting of Stockholders. Our Board and the Compensation Committee</w:t>
      </w:r>
    </w:p>
    <w:p>
      <w:pPr>
        <w:ind w:left="1260" w:right="439"/>
        <w:spacing w:after="0" w:line="263" w:lineRule="auto"/>
        <w:rPr>
          <w:sz w:val="20"/>
          <w:szCs w:val="20"/>
          <w:color w:val="auto"/>
        </w:rPr>
      </w:pPr>
      <w:r>
        <w:rPr>
          <w:rFonts w:ascii="Arial" w:cs="Arial" w:eastAsia="Arial" w:hAnsi="Arial"/>
          <w:sz w:val="18"/>
          <w:szCs w:val="18"/>
          <w:color w:val="4C4C4C"/>
        </w:rPr>
        <w:t>believe this affirms our stockholders’ support of our approach to executive compensation. The Board and the Compensation Committee will continue to consider the outcome of our say-on-pay votes when making future compensation decisions for our named executive officers and will continue to reach out to stockholders to discuss our approach to executive compensation.</w:t>
      </w:r>
    </w:p>
    <w:p>
      <w:pPr>
        <w:spacing w:after="0" w:line="173"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color w:val="4C4C4C"/>
        </w:rPr>
        <w:t>We encourage stockholders to read the sections titled “Compensation Discussion and Analysis” and “Executive Compensation” in this proxy statement, including the compensation tables and the related narrative disclosure, which describes the structure and amounts of the compensation of our named executive officers in fiscal year 2025. The compensation of our named executive officers is designed to enable us to attract and retain talented and experienced executives to lead us successfully in a competitive environment. The Compensation Committee and our Board believe that our executive compensation strikes the appropriate balance between utilizing responsible, measured pay practices and effectively incentivizing our named executive officers to dedicate themselves fully to value creation for our stockholders.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Accordingly, the following resolution will be submitted for a stockholder vote at the Annual Meeting:</w:t>
      </w:r>
    </w:p>
    <w:p>
      <w:pPr>
        <w:spacing w:after="0" w:line="210" w:lineRule="exact"/>
        <w:rPr>
          <w:sz w:val="20"/>
          <w:szCs w:val="20"/>
          <w:color w:val="auto"/>
        </w:rPr>
      </w:pPr>
    </w:p>
    <w:p>
      <w:pPr>
        <w:ind w:left="1620" w:right="519"/>
        <w:spacing w:after="0" w:line="263" w:lineRule="auto"/>
        <w:rPr>
          <w:sz w:val="20"/>
          <w:szCs w:val="20"/>
          <w:color w:val="auto"/>
        </w:rPr>
      </w:pPr>
      <w:r>
        <w:rPr>
          <w:rFonts w:ascii="Arial" w:cs="Arial" w:eastAsia="Arial" w:hAnsi="Arial"/>
          <w:sz w:val="18"/>
          <w:szCs w:val="18"/>
          <w:color w:val="4C4C4C"/>
        </w:rPr>
        <w:t>“RESOLVED, that the stockholders approve, on an advisory and non-binding basis, the compensation of our named executive officers, as disclosed in this proxy statement pursuant to Item 402 of Regulation S-K, including the compensation tables and narrative discussion in this proxy statement.”</w:t>
      </w:r>
    </w:p>
    <w:p>
      <w:pPr>
        <w:spacing w:after="0" w:line="185"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Vote Required and Board Recommendation</w:t>
      </w:r>
    </w:p>
    <w:p>
      <w:pPr>
        <w:spacing w:after="0" w:line="205" w:lineRule="exact"/>
        <w:rPr>
          <w:sz w:val="20"/>
          <w:szCs w:val="20"/>
          <w:color w:val="auto"/>
        </w:rPr>
      </w:pPr>
    </w:p>
    <w:p>
      <w:pPr>
        <w:ind w:left="1260" w:right="739"/>
        <w:spacing w:after="0" w:line="263" w:lineRule="auto"/>
        <w:rPr>
          <w:sz w:val="20"/>
          <w:szCs w:val="20"/>
          <w:color w:val="auto"/>
        </w:rPr>
      </w:pPr>
      <w:r>
        <w:rPr>
          <w:rFonts w:ascii="Arial" w:cs="Arial" w:eastAsia="Arial" w:hAnsi="Arial"/>
          <w:sz w:val="18"/>
          <w:szCs w:val="18"/>
          <w:color w:val="4C4C4C"/>
        </w:rPr>
        <w:t>This vote is not intended to address any specific element of compensation, but rather the overall compensation of our named executive officers and the compensation philosophy, policies and practices described in this proxy statement. Approval of the above resolution requires the affirmative vote of the</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1260"/>
        <w:spacing w:after="0"/>
        <w:tabs>
          <w:tab w:leader="none" w:pos="2160" w:val="left"/>
        </w:tabs>
        <w:rPr>
          <w:sz w:val="20"/>
          <w:szCs w:val="20"/>
          <w:color w:val="auto"/>
        </w:rPr>
      </w:pPr>
      <w:r>
        <w:rPr>
          <w:rFonts w:ascii="Arial" w:cs="Arial" w:eastAsia="Arial" w:hAnsi="Arial"/>
          <w:sz w:val="14"/>
          <w:szCs w:val="14"/>
          <w:color w:val="346094"/>
        </w:rPr>
        <w:t>PROPOSAL 3</w:t>
      </w:r>
      <w:r>
        <w:rPr>
          <w:sz w:val="20"/>
          <w:szCs w:val="20"/>
          <w:color w:val="auto"/>
        </w:rPr>
        <w:tab/>
      </w:r>
      <w:r>
        <w:rPr>
          <w:rFonts w:ascii="Arial" w:cs="Arial" w:eastAsia="Arial" w:hAnsi="Arial"/>
          <w:sz w:val="12"/>
          <w:szCs w:val="12"/>
          <w:color w:val="346094"/>
        </w:rPr>
        <w:t>ADVISORY VOTE TO APPROVE THE COMPENSATION OF OUR NAMED EXECUTIVE OFFICERS</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4C4C4C"/>
        </w:rPr>
        <w:t>holders of a majority of the votes cast by the holders of our stock which are entitled to vote on the question and are present in person, including by means of remote communication, or represented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125730</wp:posOffset>
            </wp:positionV>
            <wp:extent cx="5212080" cy="291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spacing w:after="0" w:line="340" w:lineRule="exact"/>
        <w:rPr>
          <w:sz w:val="20"/>
          <w:szCs w:val="20"/>
          <w:color w:val="auto"/>
        </w:rPr>
      </w:pPr>
    </w:p>
    <w:p>
      <w:pPr>
        <w:ind w:left="1300"/>
        <w:spacing w:after="0"/>
        <w:tabs>
          <w:tab w:leader="none" w:pos="3760" w:val="left"/>
        </w:tabs>
        <w:rPr>
          <w:sz w:val="20"/>
          <w:szCs w:val="20"/>
          <w:color w:val="auto"/>
        </w:rPr>
      </w:pPr>
      <w:r>
        <w:rPr>
          <w:rFonts w:ascii="Arial" w:cs="Arial" w:eastAsia="Arial" w:hAnsi="Arial"/>
          <w:sz w:val="23"/>
          <w:szCs w:val="23"/>
          <w:b w:val="1"/>
          <w:bCs w:val="1"/>
          <w:color w:val="FFFFFF"/>
        </w:rPr>
        <w:t>​</w:t>
      </w:r>
      <w:r>
        <w:rPr>
          <w:sz w:val="20"/>
          <w:szCs w:val="20"/>
          <w:color w:val="auto"/>
        </w:rPr>
        <w:tab/>
      </w:r>
      <w:r>
        <w:rPr>
          <w:rFonts w:ascii="Arial" w:cs="Arial" w:eastAsia="Arial" w:hAnsi="Arial"/>
          <w:sz w:val="23"/>
          <w:szCs w:val="23"/>
          <w:b w:val="1"/>
          <w:bCs w:val="1"/>
          <w:color w:val="FFFFFF"/>
        </w:rPr>
        <w:t>BOARD RECO</w:t>
      </w:r>
      <w:r>
        <w:rPr>
          <w:rFonts w:ascii="Arial" w:cs="Arial" w:eastAsia="Arial" w:hAnsi="Arial"/>
          <w:sz w:val="22"/>
          <w:szCs w:val="22"/>
          <w:b w:val="1"/>
          <w:bCs w:val="1"/>
          <w:color w:val="FFFFFF"/>
        </w:rPr>
        <w:t>MM</w:t>
      </w:r>
      <w:r>
        <w:rPr>
          <w:rFonts w:ascii="Arial" w:cs="Arial" w:eastAsia="Arial" w:hAnsi="Arial"/>
          <w:sz w:val="23"/>
          <w:szCs w:val="23"/>
          <w:b w:val="1"/>
          <w:bCs w:val="1"/>
          <w:color w:val="FFFFFF"/>
        </w:rPr>
        <w:t xml:space="preserve">ENDATION </w:t>
      </w:r>
      <w:r>
        <w:rPr>
          <w:sz w:val="1"/>
          <w:szCs w:val="1"/>
          <w:color w:val="auto"/>
        </w:rPr>
        <w:drawing>
          <wp:inline distT="0" distB="0" distL="0" distR="0">
            <wp:extent cx="146050" cy="1460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6050" cy="1460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436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2080" cy="436880"/>
                    </a:xfrm>
                    <a:prstGeom prst="rect">
                      <a:avLst/>
                    </a:prstGeom>
                    <a:noFill/>
                  </pic:spPr>
                </pic:pic>
              </a:graphicData>
            </a:graphic>
          </wp:anchor>
        </w:drawing>
      </w:r>
    </w:p>
    <w:p>
      <w:pPr>
        <w:ind w:left="1960" w:hanging="666"/>
        <w:spacing w:after="0" w:line="202" w:lineRule="auto"/>
        <w:tabs>
          <w:tab w:leader="none" w:pos="1960" w:val="left"/>
        </w:tabs>
        <w:numPr>
          <w:ilvl w:val="0"/>
          <w:numId w:val="35"/>
        </w:numPr>
        <w:rPr>
          <w:rFonts w:ascii="Arial" w:cs="Arial" w:eastAsia="Arial" w:hAnsi="Arial"/>
          <w:sz w:val="36"/>
          <w:szCs w:val="36"/>
          <w:b w:val="1"/>
          <w:bCs w:val="1"/>
          <w:color w:val="4C4C4C"/>
          <w:vertAlign w:val="superscript"/>
        </w:rPr>
      </w:pPr>
      <w:r>
        <w:rPr>
          <w:rFonts w:ascii="Arial" w:cs="Arial" w:eastAsia="Arial" w:hAnsi="Arial"/>
          <w:sz w:val="18"/>
          <w:szCs w:val="18"/>
          <w:b w:val="1"/>
          <w:bCs w:val="1"/>
          <w:color w:val="4C4C4C"/>
        </w:rPr>
        <w:t>THE BOARD RECOMMENDS A VOTE “</w:t>
      </w:r>
      <w:r>
        <w:rPr>
          <w:rFonts w:ascii="Trebuchet MS" w:cs="Trebuchet MS" w:eastAsia="Trebuchet MS" w:hAnsi="Trebuchet MS"/>
          <w:sz w:val="21"/>
          <w:szCs w:val="21"/>
          <w:b w:val="1"/>
          <w:bCs w:val="1"/>
          <w:color w:val="346094"/>
        </w:rPr>
        <w:t>FOR</w:t>
      </w:r>
      <w:r>
        <w:rPr>
          <w:rFonts w:ascii="Arial" w:cs="Arial" w:eastAsia="Arial" w:hAnsi="Arial"/>
          <w:sz w:val="18"/>
          <w:szCs w:val="18"/>
          <w:b w:val="1"/>
          <w:bCs w:val="1"/>
          <w:color w:val="4C4C4C"/>
        </w:rPr>
        <w:t>” THE ADVISORY VOTE TO APPROVE THE</w:t>
      </w:r>
    </w:p>
    <w:p>
      <w:pPr>
        <w:ind w:left="3080"/>
        <w:spacing w:after="0"/>
        <w:rPr>
          <w:rFonts w:ascii="Arial" w:cs="Arial" w:eastAsia="Arial" w:hAnsi="Arial"/>
          <w:sz w:val="36"/>
          <w:szCs w:val="36"/>
          <w:b w:val="1"/>
          <w:bCs w:val="1"/>
          <w:color w:val="4C4C4C"/>
          <w:vertAlign w:val="superscript"/>
        </w:rPr>
      </w:pPr>
      <w:r>
        <w:rPr>
          <w:rFonts w:ascii="Arial" w:cs="Arial" w:eastAsia="Arial" w:hAnsi="Arial"/>
          <w:sz w:val="18"/>
          <w:szCs w:val="18"/>
          <w:b w:val="1"/>
          <w:bCs w:val="1"/>
          <w:color w:val="4C4C4C"/>
        </w:rPr>
        <w:t>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780" w:hanging="520"/>
        <w:spacing w:after="0"/>
        <w:tabs>
          <w:tab w:leader="none" w:pos="1780" w:val="left"/>
        </w:tabs>
        <w:numPr>
          <w:ilvl w:val="0"/>
          <w:numId w:val="36"/>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780"/>
        <w:spacing w:after="0"/>
        <w:rPr>
          <w:sz w:val="20"/>
          <w:szCs w:val="20"/>
          <w:color w:val="auto"/>
        </w:rPr>
      </w:pPr>
      <w:r>
        <w:rPr>
          <w:rFonts w:ascii="Trebuchet MS" w:cs="Trebuchet MS" w:eastAsia="Trebuchet MS" w:hAnsi="Trebuchet MS"/>
          <w:sz w:val="29"/>
          <w:szCs w:val="29"/>
          <w:b w:val="1"/>
          <w:bCs w:val="1"/>
          <w:color w:val="FFFFFF"/>
        </w:rPr>
        <w:t>BOARD OF DIRECTORS AND CORPORATE GOVERNANCE</w:t>
      </w:r>
    </w:p>
    <w:p>
      <w:pPr>
        <w:spacing w:after="0" w:line="232"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General</w:t>
      </w:r>
    </w:p>
    <w:p>
      <w:pPr>
        <w:spacing w:after="0" w:line="191" w:lineRule="exact"/>
        <w:rPr>
          <w:sz w:val="20"/>
          <w:szCs w:val="20"/>
          <w:color w:val="auto"/>
        </w:rPr>
      </w:pPr>
    </w:p>
    <w:p>
      <w:pPr>
        <w:ind w:left="1260" w:right="439"/>
        <w:spacing w:after="0" w:line="242" w:lineRule="auto"/>
        <w:rPr>
          <w:sz w:val="20"/>
          <w:szCs w:val="20"/>
          <w:color w:val="auto"/>
        </w:rPr>
      </w:pPr>
      <w:r>
        <w:rPr>
          <w:rFonts w:ascii="Arial" w:cs="Arial" w:eastAsia="Arial" w:hAnsi="Arial"/>
          <w:sz w:val="18"/>
          <w:szCs w:val="18"/>
          <w:color w:val="4C4C4C"/>
        </w:rPr>
        <w:t>This section describes key corporate governance guidelines and practices that we have adopted. Complete copies of our Corporate Governance Guidelines, the charters of the committees of our Board and our Code of Business Conduct and Ethics described below may be viewed on our website at https://investors.gevo.com/ under the heading “Governance.” Alternatively, you can request a copy of any of these documents free of charge by writing to our Corporate Secretary, c/o Gevo, Inc., 345 Inverness Drive South, Building C, Suite 310, Englewood, Colorado 80112.</w:t>
      </w:r>
    </w:p>
    <w:p>
      <w:pPr>
        <w:spacing w:after="0" w:line="179" w:lineRule="exact"/>
        <w:rPr>
          <w:sz w:val="20"/>
          <w:szCs w:val="20"/>
          <w:color w:val="auto"/>
        </w:rPr>
      </w:pPr>
    </w:p>
    <w:p>
      <w:pPr>
        <w:ind w:left="1260" w:right="519"/>
        <w:spacing w:after="0" w:line="241" w:lineRule="auto"/>
        <w:rPr>
          <w:sz w:val="20"/>
          <w:szCs w:val="20"/>
          <w:color w:val="auto"/>
        </w:rPr>
      </w:pPr>
      <w:r>
        <w:rPr>
          <w:rFonts w:ascii="Arial" w:cs="Arial" w:eastAsia="Arial" w:hAnsi="Arial"/>
          <w:sz w:val="18"/>
          <w:szCs w:val="18"/>
          <w:color w:val="4C4C4C"/>
        </w:rPr>
        <w:t>Our Board has adopted Corporate Governance Guidelines to assist the Board in the exercise of its duties and responsibilities and to serve the best interests of our Company and our stockholders. The Corporate Governance Guidelines are available for review on our website at https://investors.gevo.com/ under the heading “Governance.” These Corporate Governance Guidelines, which provide a framework for the conduct of our Board’s business, provide:</w:t>
      </w:r>
    </w:p>
    <w:p>
      <w:pPr>
        <w:spacing w:after="0" w:line="108" w:lineRule="exact"/>
        <w:rPr>
          <w:sz w:val="20"/>
          <w:szCs w:val="20"/>
          <w:color w:val="auto"/>
        </w:rPr>
      </w:pPr>
    </w:p>
    <w:p>
      <w:pPr>
        <w:ind w:left="1800" w:right="1059" w:hanging="180"/>
        <w:spacing w:after="0" w:line="250" w:lineRule="auto"/>
        <w:tabs>
          <w:tab w:leader="none" w:pos="1800" w:val="left"/>
        </w:tabs>
        <w:numPr>
          <w:ilvl w:val="0"/>
          <w:numId w:val="37"/>
        </w:numPr>
        <w:rPr>
          <w:rFonts w:ascii="Arial" w:cs="Arial" w:eastAsia="Arial" w:hAnsi="Arial"/>
          <w:sz w:val="18"/>
          <w:szCs w:val="18"/>
          <w:color w:val="4C4C4C"/>
        </w:rPr>
      </w:pPr>
      <w:r>
        <w:rPr>
          <w:rFonts w:ascii="Arial" w:cs="Arial" w:eastAsia="Arial" w:hAnsi="Arial"/>
          <w:sz w:val="18"/>
          <w:szCs w:val="18"/>
          <w:color w:val="4C4C4C"/>
        </w:rPr>
        <w:t>that the Board’s principal responsibility is to oversee the management of the Company (including human capital management);</w:t>
      </w:r>
    </w:p>
    <w:p>
      <w:pPr>
        <w:ind w:left="1800" w:hanging="180"/>
        <w:spacing w:after="0"/>
        <w:tabs>
          <w:tab w:leader="none" w:pos="1800" w:val="left"/>
        </w:tabs>
        <w:numPr>
          <w:ilvl w:val="0"/>
          <w:numId w:val="37"/>
        </w:numPr>
        <w:rPr>
          <w:rFonts w:ascii="Arial" w:cs="Arial" w:eastAsia="Arial" w:hAnsi="Arial"/>
          <w:sz w:val="18"/>
          <w:szCs w:val="18"/>
          <w:color w:val="4C4C4C"/>
        </w:rPr>
      </w:pPr>
      <w:r>
        <w:rPr>
          <w:rFonts w:ascii="Arial" w:cs="Arial" w:eastAsia="Arial" w:hAnsi="Arial"/>
          <w:sz w:val="18"/>
          <w:szCs w:val="18"/>
          <w:color w:val="4C4C4C"/>
        </w:rPr>
        <w:t>criteria for Board membership;</w:t>
      </w:r>
    </w:p>
    <w:p>
      <w:pPr>
        <w:spacing w:after="0" w:line="7" w:lineRule="exact"/>
        <w:rPr>
          <w:rFonts w:ascii="Arial" w:cs="Arial" w:eastAsia="Arial" w:hAnsi="Arial"/>
          <w:sz w:val="18"/>
          <w:szCs w:val="18"/>
          <w:color w:val="4C4C4C"/>
        </w:rPr>
      </w:pPr>
    </w:p>
    <w:p>
      <w:pPr>
        <w:ind w:left="1800" w:hanging="180"/>
        <w:spacing w:after="0" w:line="235" w:lineRule="auto"/>
        <w:tabs>
          <w:tab w:leader="none" w:pos="1800" w:val="left"/>
        </w:tabs>
        <w:numPr>
          <w:ilvl w:val="0"/>
          <w:numId w:val="37"/>
        </w:numPr>
        <w:rPr>
          <w:rFonts w:ascii="Arial" w:cs="Arial" w:eastAsia="Arial" w:hAnsi="Arial"/>
          <w:sz w:val="18"/>
          <w:szCs w:val="18"/>
          <w:color w:val="4C4C4C"/>
        </w:rPr>
      </w:pPr>
      <w:r>
        <w:rPr>
          <w:rFonts w:ascii="Arial" w:cs="Arial" w:eastAsia="Arial" w:hAnsi="Arial"/>
          <w:sz w:val="18"/>
          <w:szCs w:val="18"/>
          <w:color w:val="4C4C4C"/>
        </w:rPr>
        <w:t>that a majority of the members of the Board shall be independent directors;</w:t>
      </w:r>
    </w:p>
    <w:p>
      <w:pPr>
        <w:ind w:left="1800" w:hanging="180"/>
        <w:spacing w:after="0"/>
        <w:tabs>
          <w:tab w:leader="none" w:pos="1800" w:val="left"/>
        </w:tabs>
        <w:numPr>
          <w:ilvl w:val="0"/>
          <w:numId w:val="37"/>
        </w:numPr>
        <w:rPr>
          <w:rFonts w:ascii="Arial" w:cs="Arial" w:eastAsia="Arial" w:hAnsi="Arial"/>
          <w:sz w:val="18"/>
          <w:szCs w:val="18"/>
          <w:color w:val="4C4C4C"/>
        </w:rPr>
      </w:pPr>
      <w:r>
        <w:rPr>
          <w:rFonts w:ascii="Arial" w:cs="Arial" w:eastAsia="Arial" w:hAnsi="Arial"/>
          <w:sz w:val="18"/>
          <w:szCs w:val="18"/>
          <w:color w:val="4C4C4C"/>
        </w:rPr>
        <w:t>limits on a director’s service on boards of directors of other public companies;</w:t>
      </w:r>
    </w:p>
    <w:p>
      <w:pPr>
        <w:spacing w:after="0" w:line="9" w:lineRule="exact"/>
        <w:rPr>
          <w:rFonts w:ascii="Arial" w:cs="Arial" w:eastAsia="Arial" w:hAnsi="Arial"/>
          <w:sz w:val="18"/>
          <w:szCs w:val="18"/>
          <w:color w:val="4C4C4C"/>
        </w:rPr>
      </w:pPr>
    </w:p>
    <w:p>
      <w:pPr>
        <w:ind w:left="1800" w:hanging="180"/>
        <w:spacing w:after="0"/>
        <w:tabs>
          <w:tab w:leader="none" w:pos="1800" w:val="left"/>
        </w:tabs>
        <w:numPr>
          <w:ilvl w:val="0"/>
          <w:numId w:val="37"/>
        </w:numPr>
        <w:rPr>
          <w:rFonts w:ascii="Arial" w:cs="Arial" w:eastAsia="Arial" w:hAnsi="Arial"/>
          <w:sz w:val="18"/>
          <w:szCs w:val="18"/>
          <w:color w:val="4C4C4C"/>
        </w:rPr>
      </w:pPr>
      <w:r>
        <w:rPr>
          <w:rFonts w:ascii="Arial" w:cs="Arial" w:eastAsia="Arial" w:hAnsi="Arial"/>
          <w:sz w:val="18"/>
          <w:szCs w:val="18"/>
          <w:color w:val="4C4C4C"/>
        </w:rPr>
        <w:t>for the appointment of a lead independent director;</w:t>
      </w:r>
    </w:p>
    <w:p>
      <w:pPr>
        <w:spacing w:after="0" w:line="7" w:lineRule="exact"/>
        <w:rPr>
          <w:rFonts w:ascii="Arial" w:cs="Arial" w:eastAsia="Arial" w:hAnsi="Arial"/>
          <w:sz w:val="18"/>
          <w:szCs w:val="18"/>
          <w:color w:val="4C4C4C"/>
        </w:rPr>
      </w:pPr>
    </w:p>
    <w:p>
      <w:pPr>
        <w:ind w:left="1800" w:hanging="180"/>
        <w:spacing w:after="0" w:line="235" w:lineRule="auto"/>
        <w:tabs>
          <w:tab w:leader="none" w:pos="1800" w:val="left"/>
        </w:tabs>
        <w:numPr>
          <w:ilvl w:val="0"/>
          <w:numId w:val="37"/>
        </w:numPr>
        <w:rPr>
          <w:rFonts w:ascii="Arial" w:cs="Arial" w:eastAsia="Arial" w:hAnsi="Arial"/>
          <w:sz w:val="18"/>
          <w:szCs w:val="18"/>
          <w:color w:val="4C4C4C"/>
        </w:rPr>
      </w:pPr>
      <w:r>
        <w:rPr>
          <w:rFonts w:ascii="Arial" w:cs="Arial" w:eastAsia="Arial" w:hAnsi="Arial"/>
          <w:sz w:val="18"/>
          <w:szCs w:val="18"/>
          <w:color w:val="4C4C4C"/>
        </w:rPr>
        <w:t>that the independent directors meet regularly in executive session;</w:t>
      </w:r>
    </w:p>
    <w:p>
      <w:pPr>
        <w:ind w:left="1800" w:hanging="180"/>
        <w:spacing w:after="0"/>
        <w:tabs>
          <w:tab w:leader="none" w:pos="1800" w:val="left"/>
        </w:tabs>
        <w:numPr>
          <w:ilvl w:val="0"/>
          <w:numId w:val="37"/>
        </w:numPr>
        <w:rPr>
          <w:rFonts w:ascii="Arial" w:cs="Arial" w:eastAsia="Arial" w:hAnsi="Arial"/>
          <w:sz w:val="18"/>
          <w:szCs w:val="18"/>
          <w:color w:val="4C4C4C"/>
        </w:rPr>
      </w:pPr>
      <w:r>
        <w:rPr>
          <w:rFonts w:ascii="Arial" w:cs="Arial" w:eastAsia="Arial" w:hAnsi="Arial"/>
          <w:sz w:val="18"/>
          <w:szCs w:val="18"/>
          <w:color w:val="4C4C4C"/>
        </w:rPr>
        <w:t>that at least annually, the Board and its committees will conduct a self-evaluation;</w:t>
      </w:r>
    </w:p>
    <w:p>
      <w:pPr>
        <w:spacing w:after="0" w:line="9" w:lineRule="exact"/>
        <w:rPr>
          <w:rFonts w:ascii="Arial" w:cs="Arial" w:eastAsia="Arial" w:hAnsi="Arial"/>
          <w:sz w:val="18"/>
          <w:szCs w:val="18"/>
          <w:color w:val="4C4C4C"/>
        </w:rPr>
      </w:pPr>
    </w:p>
    <w:p>
      <w:pPr>
        <w:ind w:left="1800" w:hanging="180"/>
        <w:spacing w:after="0"/>
        <w:tabs>
          <w:tab w:leader="none" w:pos="1800" w:val="left"/>
        </w:tabs>
        <w:numPr>
          <w:ilvl w:val="0"/>
          <w:numId w:val="37"/>
        </w:numPr>
        <w:rPr>
          <w:rFonts w:ascii="Arial" w:cs="Arial" w:eastAsia="Arial" w:hAnsi="Arial"/>
          <w:sz w:val="18"/>
          <w:szCs w:val="18"/>
          <w:color w:val="4C4C4C"/>
        </w:rPr>
      </w:pPr>
      <w:r>
        <w:rPr>
          <w:rFonts w:ascii="Arial" w:cs="Arial" w:eastAsia="Arial" w:hAnsi="Arial"/>
          <w:sz w:val="18"/>
          <w:szCs w:val="18"/>
          <w:color w:val="4C4C4C"/>
        </w:rPr>
        <w:t>that directors have complete access to all officers and employees; and</w:t>
      </w:r>
    </w:p>
    <w:p>
      <w:pPr>
        <w:spacing w:after="0" w:line="9" w:lineRule="exact"/>
        <w:rPr>
          <w:rFonts w:ascii="Arial" w:cs="Arial" w:eastAsia="Arial" w:hAnsi="Arial"/>
          <w:sz w:val="18"/>
          <w:szCs w:val="18"/>
          <w:color w:val="4C4C4C"/>
        </w:rPr>
      </w:pPr>
    </w:p>
    <w:p>
      <w:pPr>
        <w:ind w:left="1800" w:right="619" w:hanging="180"/>
        <w:spacing w:after="0" w:line="255" w:lineRule="auto"/>
        <w:tabs>
          <w:tab w:leader="none" w:pos="1800" w:val="left"/>
        </w:tabs>
        <w:numPr>
          <w:ilvl w:val="0"/>
          <w:numId w:val="37"/>
        </w:numPr>
        <w:rPr>
          <w:rFonts w:ascii="Arial" w:cs="Arial" w:eastAsia="Arial" w:hAnsi="Arial"/>
          <w:sz w:val="18"/>
          <w:szCs w:val="18"/>
          <w:color w:val="4C4C4C"/>
        </w:rPr>
      </w:pPr>
      <w:r>
        <w:rPr>
          <w:rFonts w:ascii="Arial" w:cs="Arial" w:eastAsia="Arial" w:hAnsi="Arial"/>
          <w:sz w:val="18"/>
          <w:szCs w:val="18"/>
          <w:color w:val="4C4C4C"/>
        </w:rPr>
        <w:t>that the Board is charged with overseeing environmental, health, safety and sustainability matters of the Company, including those related to climate change, that are relevant to the Company’s activities and performance.</w:t>
      </w:r>
    </w:p>
    <w:p>
      <w:pPr>
        <w:spacing w:after="0" w:line="176"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Director Independence</w:t>
      </w:r>
    </w:p>
    <w:p>
      <w:pPr>
        <w:spacing w:after="0" w:line="191"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color w:val="4C4C4C"/>
        </w:rPr>
        <w:t>As required by Nasdaq listing standards, a majority of the members of our Board must qualify as “independent,” as affirmatively determined by our Board. The Board consults with our legal counsel to ensure that its determinations are consistent with all relevant securities and other laws and regulations regarding the definition of  “independent,” including those set forth in the applicable Nasdaq listing standards.</w:t>
      </w:r>
    </w:p>
    <w:p>
      <w:pPr>
        <w:spacing w:after="0" w:line="176"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4C4C4C"/>
        </w:rPr>
        <w:t>The Board has unanimously determined that all of our current directors, other than Paul Bloom and Patrick Gruber are “independent” directors as that term is defined by the Nasdaq listing standards. In making this determination, the Board has affirmatively determined, considering broadly all relevant facts and circumstances regarding each independent director, that none of the independent directors has a material relationship with us (either directly or as a partner, stockholder, officer or affiliate of an organization that has a relationship with us). In addition, based upon such standards, the Board determined that Mr. Bloom is not “independent” because he is our Chief Executive Officer, and Mr. Gruber is not “independent” because he served as our Chief Executive Officer until March 2026.</w:t>
      </w:r>
    </w:p>
    <w:p>
      <w:pPr>
        <w:spacing w:after="0" w:line="388"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Board Leadership Structure</w:t>
      </w:r>
    </w:p>
    <w:p>
      <w:pPr>
        <w:spacing w:after="0" w:line="191" w:lineRule="exact"/>
        <w:rPr>
          <w:sz w:val="20"/>
          <w:szCs w:val="20"/>
          <w:color w:val="auto"/>
        </w:rPr>
      </w:pPr>
    </w:p>
    <w:p>
      <w:pPr>
        <w:ind w:left="1260" w:right="579"/>
        <w:spacing w:after="0" w:line="241" w:lineRule="auto"/>
        <w:rPr>
          <w:sz w:val="20"/>
          <w:szCs w:val="20"/>
          <w:color w:val="auto"/>
        </w:rPr>
      </w:pPr>
      <w:r>
        <w:rPr>
          <w:rFonts w:ascii="Arial" w:cs="Arial" w:eastAsia="Arial" w:hAnsi="Arial"/>
          <w:sz w:val="18"/>
          <w:szCs w:val="18"/>
          <w:color w:val="4C4C4C"/>
        </w:rPr>
        <w:t>The Board believes that its current independent Chairman structure is best for our Company and provides good corporate governance and accountability. The Board does not have a fixed policy regarding the separation of the roles of the Chairman of the Board and the Chief Executive Officer because it believes the Board should be able to freely select the Chairman based on criteria that it deems to be in the best interests of the Company and its stockholders. The functions of the Board are carried out by the full Board, and when delegated, by the Board committees. Each director is a full and equal participant in the major strategic and policy decisions of our Company.</w:t>
      </w:r>
    </w:p>
    <w:p>
      <w:pPr>
        <w:sectPr>
          <w:pgSz w:w="11900" w:h="16838" w:orient="portrait"/>
          <w:cols w:equalWidth="0" w:num="1">
            <w:col w:w="9879"/>
          </w:cols>
          <w:pgMar w:left="580" w:top="97" w:right="1440" w:bottom="1440" w:gutter="0" w:footer="0" w:header="0"/>
        </w:sectPr>
      </w:pPr>
    </w:p>
    <w:p>
      <w:pPr>
        <w:spacing w:after="0" w:line="385"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317"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BOARD OF DIRECTORS AND CORPORATE GOVERNANCE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color w:val="4C4C4C"/>
        </w:rPr>
        <w:t>The Board has determined that an independent director serving as Chairman is in the best interests of our stockholders at this time. This structure ensures a greater role of independent directors in the active oversight of our business, including risk management oversight, and in setting agendas and establishing Board priorities and procedures. This structure also allows the Chief Executive Officer to focus to a greater extent on the management of our day-to-day operations. The Board believes this split structure recognizes the time, effort, and energy the Chief Executive Officer is required to devote to the position in the current business environment, as well as the commitment required to serve as the Chairman. William H. Baum is the independent Chairman of our Board and Mr. Bloom is our Chief Executive Officer. The Board believes that the current structure of a separate Chairman and Chief Executive Officer is the optimum structure for the Company at this time.</w:t>
      </w:r>
    </w:p>
    <w:p>
      <w:pPr>
        <w:spacing w:after="0" w:line="187"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Board Role in Risk Oversight</w:t>
      </w:r>
    </w:p>
    <w:p>
      <w:pPr>
        <w:spacing w:after="0" w:line="205" w:lineRule="exact"/>
        <w:rPr>
          <w:sz w:val="20"/>
          <w:szCs w:val="20"/>
          <w:color w:val="auto"/>
        </w:rPr>
      </w:pPr>
    </w:p>
    <w:p>
      <w:pPr>
        <w:jc w:val="both"/>
        <w:ind w:left="1260" w:right="539"/>
        <w:spacing w:after="0" w:line="263" w:lineRule="auto"/>
        <w:rPr>
          <w:sz w:val="20"/>
          <w:szCs w:val="20"/>
          <w:color w:val="auto"/>
        </w:rPr>
      </w:pPr>
      <w:r>
        <w:rPr>
          <w:rFonts w:ascii="Arial" w:cs="Arial" w:eastAsia="Arial" w:hAnsi="Arial"/>
          <w:sz w:val="18"/>
          <w:szCs w:val="18"/>
          <w:color w:val="4C4C4C"/>
        </w:rPr>
        <w:t>The risk oversight function of the Board is carried out by both the full Board and the committees of the Board. The Board regularly reviews information regarding environmental, health and safety and sustainability concerns as well as our credit, liquidity and operations, and the risks associated with each.</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290"/>
        </w:trPr>
        <w:tc>
          <w:tcPr>
            <w:tcW w:w="60" w:type="dxa"/>
            <w:vAlign w:val="bottom"/>
            <w:tcBorders>
              <w:top w:val="single" w:sz="8" w:color="346094"/>
            </w:tcBorders>
            <w:shd w:val="clear" w:color="auto" w:fill="E1E7EF"/>
          </w:tcPr>
          <w:p>
            <w:pPr>
              <w:spacing w:after="0"/>
              <w:rPr>
                <w:sz w:val="24"/>
                <w:szCs w:val="24"/>
                <w:color w:val="auto"/>
              </w:rPr>
            </w:pPr>
          </w:p>
        </w:tc>
        <w:tc>
          <w:tcPr>
            <w:tcW w:w="2360" w:type="dxa"/>
            <w:vAlign w:val="bottom"/>
            <w:tcBorders>
              <w:top w:val="single" w:sz="8" w:color="346094"/>
            </w:tcBorders>
            <w:gridSpan w:val="2"/>
            <w:shd w:val="clear" w:color="auto" w:fill="E1E7EF"/>
          </w:tcPr>
          <w:p>
            <w:pPr>
              <w:spacing w:after="0"/>
              <w:rPr>
                <w:sz w:val="20"/>
                <w:szCs w:val="20"/>
                <w:color w:val="auto"/>
              </w:rPr>
            </w:pPr>
            <w:r>
              <w:rPr>
                <w:rFonts w:ascii="Trebuchet MS" w:cs="Trebuchet MS" w:eastAsia="Trebuchet MS" w:hAnsi="Trebuchet MS"/>
                <w:sz w:val="18"/>
                <w:szCs w:val="18"/>
                <w:b w:val="1"/>
                <w:bCs w:val="1"/>
                <w:color w:val="4C4C4C"/>
              </w:rPr>
              <w:t>Audit Committee</w:t>
            </w:r>
          </w:p>
        </w:tc>
        <w:tc>
          <w:tcPr>
            <w:tcW w:w="5780" w:type="dxa"/>
            <w:vAlign w:val="bottom"/>
            <w:tcBorders>
              <w:top w:val="single" w:sz="8" w:color="346094"/>
            </w:tcBorders>
          </w:tcPr>
          <w:p>
            <w:pPr>
              <w:ind w:left="100"/>
              <w:spacing w:after="0"/>
              <w:rPr>
                <w:sz w:val="20"/>
                <w:szCs w:val="20"/>
                <w:color w:val="auto"/>
              </w:rPr>
            </w:pPr>
            <w:r>
              <w:rPr>
                <w:rFonts w:ascii="Arial" w:cs="Arial" w:eastAsia="Arial" w:hAnsi="Arial"/>
                <w:sz w:val="18"/>
                <w:szCs w:val="18"/>
                <w:color w:val="4C4C4C"/>
              </w:rPr>
              <w:t>Meets periodically with management to discuss our major financial</w:t>
            </w:r>
          </w:p>
        </w:tc>
        <w:tc>
          <w:tcPr>
            <w:tcW w:w="0" w:type="dxa"/>
            <w:vAlign w:val="bottom"/>
          </w:tcPr>
          <w:p>
            <w:pPr>
              <w:spacing w:after="0"/>
              <w:rPr>
                <w:sz w:val="1"/>
                <w:szCs w:val="1"/>
                <w:color w:val="auto"/>
              </w:rPr>
            </w:pPr>
          </w:p>
        </w:tc>
      </w:tr>
      <w:tr>
        <w:trPr>
          <w:trHeight w:val="215"/>
        </w:trPr>
        <w:tc>
          <w:tcPr>
            <w:tcW w:w="60" w:type="dxa"/>
            <w:vAlign w:val="bottom"/>
            <w:shd w:val="clear" w:color="auto" w:fill="E1E7EF"/>
          </w:tcPr>
          <w:p>
            <w:pPr>
              <w:spacing w:after="0"/>
              <w:rPr>
                <w:sz w:val="18"/>
                <w:szCs w:val="18"/>
                <w:color w:val="auto"/>
              </w:rPr>
            </w:pPr>
          </w:p>
        </w:tc>
        <w:tc>
          <w:tcPr>
            <w:tcW w:w="2240" w:type="dxa"/>
            <w:vAlign w:val="bottom"/>
            <w:shd w:val="clear" w:color="auto" w:fill="E1E7EF"/>
          </w:tcPr>
          <w:p>
            <w:pPr>
              <w:spacing w:after="0"/>
              <w:rPr>
                <w:sz w:val="18"/>
                <w:szCs w:val="18"/>
                <w:color w:val="auto"/>
              </w:rPr>
            </w:pPr>
          </w:p>
        </w:tc>
        <w:tc>
          <w:tcPr>
            <w:tcW w:w="120" w:type="dxa"/>
            <w:vAlign w:val="bottom"/>
            <w:shd w:val="clear" w:color="auto" w:fill="E1E7EF"/>
          </w:tcPr>
          <w:p>
            <w:pPr>
              <w:spacing w:after="0"/>
              <w:rPr>
                <w:sz w:val="18"/>
                <w:szCs w:val="18"/>
                <w:color w:val="auto"/>
              </w:rPr>
            </w:pPr>
          </w:p>
        </w:tc>
        <w:tc>
          <w:tcPr>
            <w:tcW w:w="5780" w:type="dxa"/>
            <w:vAlign w:val="bottom"/>
          </w:tcPr>
          <w:p>
            <w:pPr>
              <w:ind w:left="100"/>
              <w:spacing w:after="0"/>
              <w:rPr>
                <w:sz w:val="20"/>
                <w:szCs w:val="20"/>
                <w:color w:val="auto"/>
              </w:rPr>
            </w:pPr>
            <w:r>
              <w:rPr>
                <w:rFonts w:ascii="Arial" w:cs="Arial" w:eastAsia="Arial" w:hAnsi="Arial"/>
                <w:sz w:val="18"/>
                <w:szCs w:val="18"/>
                <w:color w:val="4C4C4C"/>
              </w:rPr>
              <w:t>and operating risk exposures and the steps, guidelines and policies</w:t>
            </w:r>
          </w:p>
        </w:tc>
        <w:tc>
          <w:tcPr>
            <w:tcW w:w="0" w:type="dxa"/>
            <w:vAlign w:val="bottom"/>
          </w:tcPr>
          <w:p>
            <w:pPr>
              <w:spacing w:after="0"/>
              <w:rPr>
                <w:sz w:val="1"/>
                <w:szCs w:val="1"/>
                <w:color w:val="auto"/>
              </w:rPr>
            </w:pPr>
          </w:p>
        </w:tc>
      </w:tr>
      <w:tr>
        <w:trPr>
          <w:trHeight w:val="216"/>
        </w:trPr>
        <w:tc>
          <w:tcPr>
            <w:tcW w:w="60" w:type="dxa"/>
            <w:vAlign w:val="bottom"/>
            <w:shd w:val="clear" w:color="auto" w:fill="E1E7EF"/>
          </w:tcPr>
          <w:p>
            <w:pPr>
              <w:spacing w:after="0"/>
              <w:rPr>
                <w:sz w:val="18"/>
                <w:szCs w:val="18"/>
                <w:color w:val="auto"/>
              </w:rPr>
            </w:pPr>
          </w:p>
        </w:tc>
        <w:tc>
          <w:tcPr>
            <w:tcW w:w="2240" w:type="dxa"/>
            <w:vAlign w:val="bottom"/>
            <w:shd w:val="clear" w:color="auto" w:fill="E1E7EF"/>
          </w:tcPr>
          <w:p>
            <w:pPr>
              <w:spacing w:after="0"/>
              <w:rPr>
                <w:sz w:val="18"/>
                <w:szCs w:val="18"/>
                <w:color w:val="auto"/>
              </w:rPr>
            </w:pPr>
          </w:p>
        </w:tc>
        <w:tc>
          <w:tcPr>
            <w:tcW w:w="120" w:type="dxa"/>
            <w:vAlign w:val="bottom"/>
            <w:shd w:val="clear" w:color="auto" w:fill="E1E7EF"/>
          </w:tcPr>
          <w:p>
            <w:pPr>
              <w:spacing w:after="0"/>
              <w:rPr>
                <w:sz w:val="18"/>
                <w:szCs w:val="18"/>
                <w:color w:val="auto"/>
              </w:rPr>
            </w:pPr>
          </w:p>
        </w:tc>
        <w:tc>
          <w:tcPr>
            <w:tcW w:w="5780" w:type="dxa"/>
            <w:vAlign w:val="bottom"/>
          </w:tcPr>
          <w:p>
            <w:pPr>
              <w:ind w:left="100"/>
              <w:spacing w:after="0"/>
              <w:rPr>
                <w:sz w:val="20"/>
                <w:szCs w:val="20"/>
                <w:color w:val="auto"/>
              </w:rPr>
            </w:pPr>
            <w:r>
              <w:rPr>
                <w:rFonts w:ascii="Arial" w:cs="Arial" w:eastAsia="Arial" w:hAnsi="Arial"/>
                <w:sz w:val="18"/>
                <w:szCs w:val="18"/>
                <w:color w:val="4C4C4C"/>
              </w:rPr>
              <w:t>taken or implemented relating to risk assessment and risk</w:t>
            </w:r>
          </w:p>
        </w:tc>
        <w:tc>
          <w:tcPr>
            <w:tcW w:w="0" w:type="dxa"/>
            <w:vAlign w:val="bottom"/>
          </w:tcPr>
          <w:p>
            <w:pPr>
              <w:spacing w:after="0"/>
              <w:rPr>
                <w:sz w:val="1"/>
                <w:szCs w:val="1"/>
                <w:color w:val="auto"/>
              </w:rPr>
            </w:pPr>
          </w:p>
        </w:tc>
      </w:tr>
      <w:tr>
        <w:trPr>
          <w:trHeight w:val="204"/>
        </w:trPr>
        <w:tc>
          <w:tcPr>
            <w:tcW w:w="60" w:type="dxa"/>
            <w:vAlign w:val="bottom"/>
            <w:shd w:val="clear" w:color="auto" w:fill="E1E7EF"/>
          </w:tcPr>
          <w:p>
            <w:pPr>
              <w:spacing w:after="0"/>
              <w:rPr>
                <w:sz w:val="17"/>
                <w:szCs w:val="17"/>
                <w:color w:val="auto"/>
              </w:rPr>
            </w:pPr>
          </w:p>
        </w:tc>
        <w:tc>
          <w:tcPr>
            <w:tcW w:w="2240" w:type="dxa"/>
            <w:vAlign w:val="bottom"/>
            <w:shd w:val="clear" w:color="auto" w:fill="E1E7EF"/>
          </w:tcPr>
          <w:p>
            <w:pPr>
              <w:spacing w:after="0"/>
              <w:rPr>
                <w:sz w:val="17"/>
                <w:szCs w:val="17"/>
                <w:color w:val="auto"/>
              </w:rPr>
            </w:pPr>
          </w:p>
        </w:tc>
        <w:tc>
          <w:tcPr>
            <w:tcW w:w="120" w:type="dxa"/>
            <w:vAlign w:val="bottom"/>
            <w:shd w:val="clear" w:color="auto" w:fill="E1E7EF"/>
          </w:tcPr>
          <w:p>
            <w:pPr>
              <w:spacing w:after="0"/>
              <w:rPr>
                <w:sz w:val="17"/>
                <w:szCs w:val="17"/>
                <w:color w:val="auto"/>
              </w:rPr>
            </w:pPr>
          </w:p>
        </w:tc>
        <w:tc>
          <w:tcPr>
            <w:tcW w:w="5780" w:type="dxa"/>
            <w:vAlign w:val="bottom"/>
          </w:tcPr>
          <w:p>
            <w:pPr>
              <w:ind w:left="100"/>
              <w:spacing w:after="0" w:line="203" w:lineRule="exact"/>
              <w:rPr>
                <w:sz w:val="20"/>
                <w:szCs w:val="20"/>
                <w:color w:val="auto"/>
              </w:rPr>
            </w:pPr>
            <w:r>
              <w:rPr>
                <w:rFonts w:ascii="Arial" w:cs="Arial" w:eastAsia="Arial" w:hAnsi="Arial"/>
                <w:sz w:val="18"/>
                <w:szCs w:val="18"/>
                <w:color w:val="4C4C4C"/>
              </w:rPr>
              <w:t>management. The Audit Committee also reviews cybersecurity risks</w:t>
            </w:r>
          </w:p>
        </w:tc>
        <w:tc>
          <w:tcPr>
            <w:tcW w:w="0" w:type="dxa"/>
            <w:vAlign w:val="bottom"/>
          </w:tcPr>
          <w:p>
            <w:pPr>
              <w:spacing w:after="0"/>
              <w:rPr>
                <w:sz w:val="1"/>
                <w:szCs w:val="1"/>
                <w:color w:val="auto"/>
              </w:rPr>
            </w:pPr>
          </w:p>
        </w:tc>
      </w:tr>
      <w:tr>
        <w:trPr>
          <w:trHeight w:val="215"/>
        </w:trPr>
        <w:tc>
          <w:tcPr>
            <w:tcW w:w="60" w:type="dxa"/>
            <w:vAlign w:val="bottom"/>
            <w:shd w:val="clear" w:color="auto" w:fill="E1E7EF"/>
          </w:tcPr>
          <w:p>
            <w:pPr>
              <w:spacing w:after="0"/>
              <w:rPr>
                <w:sz w:val="18"/>
                <w:szCs w:val="18"/>
                <w:color w:val="auto"/>
              </w:rPr>
            </w:pPr>
          </w:p>
        </w:tc>
        <w:tc>
          <w:tcPr>
            <w:tcW w:w="2240" w:type="dxa"/>
            <w:vAlign w:val="bottom"/>
            <w:shd w:val="clear" w:color="auto" w:fill="E1E7EF"/>
          </w:tcPr>
          <w:p>
            <w:pPr>
              <w:spacing w:after="0"/>
              <w:rPr>
                <w:sz w:val="18"/>
                <w:szCs w:val="18"/>
                <w:color w:val="auto"/>
              </w:rPr>
            </w:pPr>
          </w:p>
        </w:tc>
        <w:tc>
          <w:tcPr>
            <w:tcW w:w="120" w:type="dxa"/>
            <w:vAlign w:val="bottom"/>
            <w:shd w:val="clear" w:color="auto" w:fill="E1E7EF"/>
          </w:tcPr>
          <w:p>
            <w:pPr>
              <w:spacing w:after="0"/>
              <w:rPr>
                <w:sz w:val="18"/>
                <w:szCs w:val="18"/>
                <w:color w:val="auto"/>
              </w:rPr>
            </w:pPr>
          </w:p>
        </w:tc>
        <w:tc>
          <w:tcPr>
            <w:tcW w:w="5780" w:type="dxa"/>
            <w:vAlign w:val="bottom"/>
          </w:tcPr>
          <w:p>
            <w:pPr>
              <w:ind w:left="100"/>
              <w:spacing w:after="0"/>
              <w:rPr>
                <w:sz w:val="20"/>
                <w:szCs w:val="20"/>
                <w:color w:val="auto"/>
              </w:rPr>
            </w:pPr>
            <w:r>
              <w:rPr>
                <w:rFonts w:ascii="Arial" w:cs="Arial" w:eastAsia="Arial" w:hAnsi="Arial"/>
                <w:sz w:val="18"/>
                <w:szCs w:val="18"/>
                <w:color w:val="4C4C4C"/>
              </w:rPr>
              <w:t>and receives regular reports from our Chief of Staff on various</w:t>
            </w:r>
          </w:p>
        </w:tc>
        <w:tc>
          <w:tcPr>
            <w:tcW w:w="0" w:type="dxa"/>
            <w:vAlign w:val="bottom"/>
          </w:tcPr>
          <w:p>
            <w:pPr>
              <w:spacing w:after="0"/>
              <w:rPr>
                <w:sz w:val="1"/>
                <w:szCs w:val="1"/>
                <w:color w:val="auto"/>
              </w:rPr>
            </w:pPr>
          </w:p>
        </w:tc>
      </w:tr>
      <w:tr>
        <w:trPr>
          <w:trHeight w:val="204"/>
        </w:trPr>
        <w:tc>
          <w:tcPr>
            <w:tcW w:w="60" w:type="dxa"/>
            <w:vAlign w:val="bottom"/>
            <w:shd w:val="clear" w:color="auto" w:fill="E1E7EF"/>
          </w:tcPr>
          <w:p>
            <w:pPr>
              <w:spacing w:after="0"/>
              <w:rPr>
                <w:sz w:val="17"/>
                <w:szCs w:val="17"/>
                <w:color w:val="auto"/>
              </w:rPr>
            </w:pPr>
          </w:p>
        </w:tc>
        <w:tc>
          <w:tcPr>
            <w:tcW w:w="2240" w:type="dxa"/>
            <w:vAlign w:val="bottom"/>
            <w:shd w:val="clear" w:color="auto" w:fill="E1E7EF"/>
          </w:tcPr>
          <w:p>
            <w:pPr>
              <w:spacing w:after="0"/>
              <w:rPr>
                <w:sz w:val="17"/>
                <w:szCs w:val="17"/>
                <w:color w:val="auto"/>
              </w:rPr>
            </w:pPr>
          </w:p>
        </w:tc>
        <w:tc>
          <w:tcPr>
            <w:tcW w:w="120" w:type="dxa"/>
            <w:vAlign w:val="bottom"/>
            <w:shd w:val="clear" w:color="auto" w:fill="E1E7EF"/>
          </w:tcPr>
          <w:p>
            <w:pPr>
              <w:spacing w:after="0"/>
              <w:rPr>
                <w:sz w:val="17"/>
                <w:szCs w:val="17"/>
                <w:color w:val="auto"/>
              </w:rPr>
            </w:pPr>
          </w:p>
        </w:tc>
        <w:tc>
          <w:tcPr>
            <w:tcW w:w="5780" w:type="dxa"/>
            <w:vAlign w:val="bottom"/>
          </w:tcPr>
          <w:p>
            <w:pPr>
              <w:ind w:left="100"/>
              <w:spacing w:after="0" w:line="203" w:lineRule="exact"/>
              <w:rPr>
                <w:sz w:val="20"/>
                <w:szCs w:val="20"/>
                <w:color w:val="auto"/>
              </w:rPr>
            </w:pPr>
            <w:r>
              <w:rPr>
                <w:rFonts w:ascii="Arial" w:cs="Arial" w:eastAsia="Arial" w:hAnsi="Arial"/>
                <w:sz w:val="18"/>
                <w:szCs w:val="18"/>
                <w:color w:val="4C4C4C"/>
              </w:rPr>
              <w:t>cybersecurity matters, including risk assessments, mitigation</w:t>
            </w:r>
          </w:p>
        </w:tc>
        <w:tc>
          <w:tcPr>
            <w:tcW w:w="0" w:type="dxa"/>
            <w:vAlign w:val="bottom"/>
          </w:tcPr>
          <w:p>
            <w:pPr>
              <w:spacing w:after="0"/>
              <w:rPr>
                <w:sz w:val="1"/>
                <w:szCs w:val="1"/>
                <w:color w:val="auto"/>
              </w:rPr>
            </w:pPr>
          </w:p>
        </w:tc>
      </w:tr>
      <w:tr>
        <w:trPr>
          <w:trHeight w:val="215"/>
        </w:trPr>
        <w:tc>
          <w:tcPr>
            <w:tcW w:w="60" w:type="dxa"/>
            <w:vAlign w:val="bottom"/>
            <w:shd w:val="clear" w:color="auto" w:fill="E1E7EF"/>
          </w:tcPr>
          <w:p>
            <w:pPr>
              <w:spacing w:after="0"/>
              <w:rPr>
                <w:sz w:val="18"/>
                <w:szCs w:val="18"/>
                <w:color w:val="auto"/>
              </w:rPr>
            </w:pPr>
          </w:p>
        </w:tc>
        <w:tc>
          <w:tcPr>
            <w:tcW w:w="2240" w:type="dxa"/>
            <w:vAlign w:val="bottom"/>
            <w:shd w:val="clear" w:color="auto" w:fill="E1E7EF"/>
          </w:tcPr>
          <w:p>
            <w:pPr>
              <w:spacing w:after="0"/>
              <w:rPr>
                <w:sz w:val="18"/>
                <w:szCs w:val="18"/>
                <w:color w:val="auto"/>
              </w:rPr>
            </w:pPr>
          </w:p>
        </w:tc>
        <w:tc>
          <w:tcPr>
            <w:tcW w:w="120" w:type="dxa"/>
            <w:vAlign w:val="bottom"/>
            <w:shd w:val="clear" w:color="auto" w:fill="E1E7EF"/>
          </w:tcPr>
          <w:p>
            <w:pPr>
              <w:spacing w:after="0"/>
              <w:rPr>
                <w:sz w:val="18"/>
                <w:szCs w:val="18"/>
                <w:color w:val="auto"/>
              </w:rPr>
            </w:pPr>
          </w:p>
        </w:tc>
        <w:tc>
          <w:tcPr>
            <w:tcW w:w="5780" w:type="dxa"/>
            <w:vAlign w:val="bottom"/>
          </w:tcPr>
          <w:p>
            <w:pPr>
              <w:ind w:left="100"/>
              <w:spacing w:after="0"/>
              <w:rPr>
                <w:sz w:val="20"/>
                <w:szCs w:val="20"/>
                <w:color w:val="auto"/>
              </w:rPr>
            </w:pPr>
            <w:r>
              <w:rPr>
                <w:rFonts w:ascii="Arial" w:cs="Arial" w:eastAsia="Arial" w:hAnsi="Arial"/>
                <w:sz w:val="18"/>
                <w:szCs w:val="18"/>
                <w:color w:val="4C4C4C"/>
              </w:rPr>
              <w:t>strategies, areas of emerging risks, incidents and industry trends,</w:t>
            </w:r>
          </w:p>
        </w:tc>
        <w:tc>
          <w:tcPr>
            <w:tcW w:w="0" w:type="dxa"/>
            <w:vAlign w:val="bottom"/>
          </w:tcPr>
          <w:p>
            <w:pPr>
              <w:spacing w:after="0"/>
              <w:rPr>
                <w:sz w:val="1"/>
                <w:szCs w:val="1"/>
                <w:color w:val="auto"/>
              </w:rPr>
            </w:pPr>
          </w:p>
        </w:tc>
      </w:tr>
      <w:tr>
        <w:trPr>
          <w:trHeight w:val="258"/>
        </w:trPr>
        <w:tc>
          <w:tcPr>
            <w:tcW w:w="60" w:type="dxa"/>
            <w:vAlign w:val="bottom"/>
            <w:tcBorders>
              <w:bottom w:val="single" w:sz="8" w:color="E1E7EF"/>
            </w:tcBorders>
            <w:shd w:val="clear" w:color="auto" w:fill="E1E7EF"/>
          </w:tcPr>
          <w:p>
            <w:pPr>
              <w:spacing w:after="0"/>
              <w:rPr>
                <w:sz w:val="22"/>
                <w:szCs w:val="22"/>
                <w:color w:val="auto"/>
              </w:rPr>
            </w:pPr>
          </w:p>
        </w:tc>
        <w:tc>
          <w:tcPr>
            <w:tcW w:w="2240" w:type="dxa"/>
            <w:vAlign w:val="bottom"/>
            <w:tcBorders>
              <w:bottom w:val="single" w:sz="8" w:color="E1E7EF"/>
            </w:tcBorders>
            <w:shd w:val="clear" w:color="auto" w:fill="E1E7EF"/>
          </w:tcPr>
          <w:p>
            <w:pPr>
              <w:spacing w:after="0"/>
              <w:rPr>
                <w:sz w:val="22"/>
                <w:szCs w:val="22"/>
                <w:color w:val="auto"/>
              </w:rPr>
            </w:pPr>
          </w:p>
        </w:tc>
        <w:tc>
          <w:tcPr>
            <w:tcW w:w="120" w:type="dxa"/>
            <w:vAlign w:val="bottom"/>
            <w:tcBorders>
              <w:bottom w:val="single" w:sz="8" w:color="E1E7EF"/>
            </w:tcBorders>
            <w:shd w:val="clear" w:color="auto" w:fill="E1E7EF"/>
          </w:tcPr>
          <w:p>
            <w:pPr>
              <w:spacing w:after="0"/>
              <w:rPr>
                <w:sz w:val="22"/>
                <w:szCs w:val="22"/>
                <w:color w:val="auto"/>
              </w:rPr>
            </w:pPr>
          </w:p>
        </w:tc>
        <w:tc>
          <w:tcPr>
            <w:tcW w:w="5780" w:type="dxa"/>
            <w:vAlign w:val="bottom"/>
          </w:tcPr>
          <w:p>
            <w:pPr>
              <w:ind w:left="100"/>
              <w:spacing w:after="0"/>
              <w:rPr>
                <w:sz w:val="20"/>
                <w:szCs w:val="20"/>
                <w:color w:val="auto"/>
              </w:rPr>
            </w:pPr>
            <w:r>
              <w:rPr>
                <w:rFonts w:ascii="Arial" w:cs="Arial" w:eastAsia="Arial" w:hAnsi="Arial"/>
                <w:sz w:val="18"/>
                <w:szCs w:val="18"/>
                <w:color w:val="4C4C4C"/>
              </w:rPr>
              <w:t>and other areas of importance.</w:t>
            </w:r>
          </w:p>
        </w:tc>
        <w:tc>
          <w:tcPr>
            <w:tcW w:w="0" w:type="dxa"/>
            <w:vAlign w:val="bottom"/>
          </w:tcPr>
          <w:p>
            <w:pPr>
              <w:spacing w:after="0"/>
              <w:rPr>
                <w:sz w:val="1"/>
                <w:szCs w:val="1"/>
                <w:color w:val="auto"/>
              </w:rPr>
            </w:pPr>
          </w:p>
        </w:tc>
      </w:tr>
      <w:tr>
        <w:trPr>
          <w:trHeight w:val="196"/>
        </w:trPr>
        <w:tc>
          <w:tcPr>
            <w:tcW w:w="60" w:type="dxa"/>
            <w:vAlign w:val="bottom"/>
            <w:tcBorders>
              <w:top w:val="single" w:sz="8" w:color="346094"/>
            </w:tcBorders>
            <w:shd w:val="clear" w:color="auto" w:fill="E1E7EF"/>
          </w:tcPr>
          <w:p>
            <w:pPr>
              <w:spacing w:after="0"/>
              <w:rPr>
                <w:sz w:val="17"/>
                <w:szCs w:val="17"/>
                <w:color w:val="auto"/>
              </w:rPr>
            </w:pPr>
          </w:p>
        </w:tc>
        <w:tc>
          <w:tcPr>
            <w:tcW w:w="2240" w:type="dxa"/>
            <w:vAlign w:val="bottom"/>
            <w:tcBorders>
              <w:top w:val="single" w:sz="8" w:color="346094"/>
            </w:tcBorders>
            <w:vMerge w:val="restart"/>
            <w:shd w:val="clear" w:color="auto" w:fill="E1E7EF"/>
          </w:tcPr>
          <w:p>
            <w:pPr>
              <w:spacing w:after="0"/>
              <w:rPr>
                <w:sz w:val="20"/>
                <w:szCs w:val="20"/>
                <w:color w:val="auto"/>
              </w:rPr>
            </w:pPr>
            <w:r>
              <w:rPr>
                <w:rFonts w:ascii="Trebuchet MS" w:cs="Trebuchet MS" w:eastAsia="Trebuchet MS" w:hAnsi="Trebuchet MS"/>
                <w:sz w:val="18"/>
                <w:szCs w:val="18"/>
                <w:b w:val="1"/>
                <w:bCs w:val="1"/>
                <w:color w:val="4C4C4C"/>
              </w:rPr>
              <w:t>The Compensation</w:t>
            </w:r>
          </w:p>
        </w:tc>
        <w:tc>
          <w:tcPr>
            <w:tcW w:w="120" w:type="dxa"/>
            <w:vAlign w:val="bottom"/>
            <w:tcBorders>
              <w:top w:val="single" w:sz="8" w:color="346094"/>
            </w:tcBorders>
            <w:shd w:val="clear" w:color="auto" w:fill="E1E7EF"/>
          </w:tcPr>
          <w:p>
            <w:pPr>
              <w:spacing w:after="0"/>
              <w:rPr>
                <w:sz w:val="17"/>
                <w:szCs w:val="17"/>
                <w:color w:val="auto"/>
              </w:rPr>
            </w:pPr>
          </w:p>
        </w:tc>
        <w:tc>
          <w:tcPr>
            <w:tcW w:w="5780" w:type="dxa"/>
            <w:vAlign w:val="bottom"/>
            <w:tcBorders>
              <w:top w:val="single" w:sz="8" w:color="346094"/>
            </w:tcBorders>
          </w:tcPr>
          <w:p>
            <w:pPr>
              <w:ind w:left="100"/>
              <w:spacing w:after="0" w:line="195" w:lineRule="exact"/>
              <w:rPr>
                <w:sz w:val="20"/>
                <w:szCs w:val="20"/>
                <w:color w:val="auto"/>
              </w:rPr>
            </w:pPr>
            <w:r>
              <w:rPr>
                <w:rFonts w:ascii="Arial" w:cs="Arial" w:eastAsia="Arial" w:hAnsi="Arial"/>
                <w:sz w:val="18"/>
                <w:szCs w:val="18"/>
                <w:color w:val="4C4C4C"/>
              </w:rPr>
              <w:t>Responsible for overseeing the management of risks relating to our</w:t>
            </w:r>
          </w:p>
        </w:tc>
        <w:tc>
          <w:tcPr>
            <w:tcW w:w="0" w:type="dxa"/>
            <w:vAlign w:val="bottom"/>
          </w:tcPr>
          <w:p>
            <w:pPr>
              <w:spacing w:after="0"/>
              <w:rPr>
                <w:sz w:val="1"/>
                <w:szCs w:val="1"/>
                <w:color w:val="auto"/>
              </w:rPr>
            </w:pPr>
          </w:p>
        </w:tc>
      </w:tr>
      <w:tr>
        <w:trPr>
          <w:trHeight w:val="102"/>
        </w:trPr>
        <w:tc>
          <w:tcPr>
            <w:tcW w:w="60" w:type="dxa"/>
            <w:vAlign w:val="bottom"/>
            <w:shd w:val="clear" w:color="auto" w:fill="E1E7EF"/>
          </w:tcPr>
          <w:p>
            <w:pPr>
              <w:spacing w:after="0"/>
              <w:rPr>
                <w:sz w:val="8"/>
                <w:szCs w:val="8"/>
                <w:color w:val="auto"/>
              </w:rPr>
            </w:pPr>
          </w:p>
        </w:tc>
        <w:tc>
          <w:tcPr>
            <w:tcW w:w="2240" w:type="dxa"/>
            <w:vAlign w:val="bottom"/>
            <w:vMerge w:val="continue"/>
            <w:shd w:val="clear" w:color="auto" w:fill="E1E7EF"/>
          </w:tcPr>
          <w:p>
            <w:pPr>
              <w:spacing w:after="0"/>
              <w:rPr>
                <w:sz w:val="8"/>
                <w:szCs w:val="8"/>
                <w:color w:val="auto"/>
              </w:rPr>
            </w:pPr>
          </w:p>
        </w:tc>
        <w:tc>
          <w:tcPr>
            <w:tcW w:w="120" w:type="dxa"/>
            <w:vAlign w:val="bottom"/>
            <w:shd w:val="clear" w:color="auto" w:fill="E1E7EF"/>
          </w:tcPr>
          <w:p>
            <w:pPr>
              <w:spacing w:after="0"/>
              <w:rPr>
                <w:sz w:val="8"/>
                <w:szCs w:val="8"/>
                <w:color w:val="auto"/>
              </w:rPr>
            </w:pPr>
          </w:p>
        </w:tc>
        <w:tc>
          <w:tcPr>
            <w:tcW w:w="5780" w:type="dxa"/>
            <w:vAlign w:val="bottom"/>
            <w:vMerge w:val="restart"/>
          </w:tcPr>
          <w:p>
            <w:pPr>
              <w:ind w:left="100"/>
              <w:spacing w:after="0"/>
              <w:rPr>
                <w:sz w:val="20"/>
                <w:szCs w:val="20"/>
                <w:color w:val="auto"/>
              </w:rPr>
            </w:pPr>
            <w:r>
              <w:rPr>
                <w:rFonts w:ascii="Arial" w:cs="Arial" w:eastAsia="Arial" w:hAnsi="Arial"/>
                <w:sz w:val="18"/>
                <w:szCs w:val="18"/>
                <w:color w:val="4C4C4C"/>
              </w:rPr>
              <w:t>executive compensation plans and arrangements.</w:t>
            </w:r>
          </w:p>
        </w:tc>
        <w:tc>
          <w:tcPr>
            <w:tcW w:w="0" w:type="dxa"/>
            <w:vAlign w:val="bottom"/>
          </w:tcPr>
          <w:p>
            <w:pPr>
              <w:spacing w:after="0"/>
              <w:rPr>
                <w:sz w:val="1"/>
                <w:szCs w:val="1"/>
                <w:color w:val="auto"/>
              </w:rPr>
            </w:pPr>
          </w:p>
        </w:tc>
      </w:tr>
      <w:tr>
        <w:trPr>
          <w:trHeight w:val="113"/>
        </w:trPr>
        <w:tc>
          <w:tcPr>
            <w:tcW w:w="60" w:type="dxa"/>
            <w:vAlign w:val="bottom"/>
            <w:shd w:val="clear" w:color="auto" w:fill="E1E7EF"/>
          </w:tcPr>
          <w:p>
            <w:pPr>
              <w:spacing w:after="0"/>
              <w:rPr>
                <w:sz w:val="9"/>
                <w:szCs w:val="9"/>
                <w:color w:val="auto"/>
              </w:rPr>
            </w:pPr>
          </w:p>
        </w:tc>
        <w:tc>
          <w:tcPr>
            <w:tcW w:w="2240" w:type="dxa"/>
            <w:vAlign w:val="bottom"/>
            <w:vMerge w:val="restart"/>
            <w:shd w:val="clear" w:color="auto" w:fill="E1E7EF"/>
          </w:tcPr>
          <w:p>
            <w:pPr>
              <w:spacing w:after="0"/>
              <w:rPr>
                <w:sz w:val="20"/>
                <w:szCs w:val="20"/>
                <w:color w:val="auto"/>
              </w:rPr>
            </w:pPr>
            <w:r>
              <w:rPr>
                <w:rFonts w:ascii="Trebuchet MS" w:cs="Trebuchet MS" w:eastAsia="Trebuchet MS" w:hAnsi="Trebuchet MS"/>
                <w:sz w:val="18"/>
                <w:szCs w:val="18"/>
                <w:b w:val="1"/>
                <w:bCs w:val="1"/>
                <w:color w:val="4C4C4C"/>
              </w:rPr>
              <w:t>Committee</w:t>
            </w:r>
          </w:p>
        </w:tc>
        <w:tc>
          <w:tcPr>
            <w:tcW w:w="120" w:type="dxa"/>
            <w:vAlign w:val="bottom"/>
            <w:shd w:val="clear" w:color="auto" w:fill="E1E7EF"/>
          </w:tcPr>
          <w:p>
            <w:pPr>
              <w:spacing w:after="0"/>
              <w:rPr>
                <w:sz w:val="9"/>
                <w:szCs w:val="9"/>
                <w:color w:val="auto"/>
              </w:rPr>
            </w:pPr>
          </w:p>
        </w:tc>
        <w:tc>
          <w:tcPr>
            <w:tcW w:w="5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60" w:type="dxa"/>
            <w:vAlign w:val="bottom"/>
            <w:tcBorders>
              <w:bottom w:val="single" w:sz="8" w:color="E1E7EF"/>
            </w:tcBorders>
            <w:shd w:val="clear" w:color="auto" w:fill="E1E7EF"/>
          </w:tcPr>
          <w:p>
            <w:pPr>
              <w:spacing w:after="0"/>
              <w:rPr>
                <w:sz w:val="14"/>
                <w:szCs w:val="14"/>
                <w:color w:val="auto"/>
              </w:rPr>
            </w:pPr>
          </w:p>
        </w:tc>
        <w:tc>
          <w:tcPr>
            <w:tcW w:w="2240" w:type="dxa"/>
            <w:vAlign w:val="bottom"/>
            <w:tcBorders>
              <w:bottom w:val="single" w:sz="8" w:color="E1E7EF"/>
            </w:tcBorders>
            <w:vMerge w:val="continue"/>
            <w:shd w:val="clear" w:color="auto" w:fill="E1E7EF"/>
          </w:tcPr>
          <w:p>
            <w:pPr>
              <w:spacing w:after="0"/>
              <w:rPr>
                <w:sz w:val="14"/>
                <w:szCs w:val="14"/>
                <w:color w:val="auto"/>
              </w:rPr>
            </w:pPr>
          </w:p>
        </w:tc>
        <w:tc>
          <w:tcPr>
            <w:tcW w:w="120" w:type="dxa"/>
            <w:vAlign w:val="bottom"/>
            <w:tcBorders>
              <w:bottom w:val="single" w:sz="8" w:color="E1E7EF"/>
            </w:tcBorders>
            <w:shd w:val="clear" w:color="auto" w:fill="E1E7EF"/>
          </w:tcPr>
          <w:p>
            <w:pPr>
              <w:spacing w:after="0"/>
              <w:rPr>
                <w:sz w:val="14"/>
                <w:szCs w:val="14"/>
                <w:color w:val="auto"/>
              </w:rPr>
            </w:pPr>
          </w:p>
        </w:tc>
        <w:tc>
          <w:tcPr>
            <w:tcW w:w="5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0" w:type="dxa"/>
            <w:vAlign w:val="bottom"/>
            <w:tcBorders>
              <w:top w:val="single" w:sz="8" w:color="346094"/>
            </w:tcBorders>
            <w:shd w:val="clear" w:color="auto" w:fill="E1E7EF"/>
          </w:tcPr>
          <w:p>
            <w:pPr>
              <w:spacing w:after="0"/>
              <w:rPr>
                <w:sz w:val="23"/>
                <w:szCs w:val="23"/>
                <w:color w:val="auto"/>
              </w:rPr>
            </w:pPr>
          </w:p>
        </w:tc>
        <w:tc>
          <w:tcPr>
            <w:tcW w:w="2240" w:type="dxa"/>
            <w:vAlign w:val="bottom"/>
            <w:tcBorders>
              <w:top w:val="single" w:sz="8" w:color="346094"/>
            </w:tcBorders>
            <w:shd w:val="clear" w:color="auto" w:fill="E1E7EF"/>
          </w:tcPr>
          <w:p>
            <w:pPr>
              <w:spacing w:after="0"/>
              <w:rPr>
                <w:sz w:val="20"/>
                <w:szCs w:val="20"/>
                <w:color w:val="auto"/>
              </w:rPr>
            </w:pPr>
            <w:r>
              <w:rPr>
                <w:rFonts w:ascii="Trebuchet MS" w:cs="Trebuchet MS" w:eastAsia="Trebuchet MS" w:hAnsi="Trebuchet MS"/>
                <w:sz w:val="18"/>
                <w:szCs w:val="18"/>
                <w:b w:val="1"/>
                <w:bCs w:val="1"/>
                <w:color w:val="4C4C4C"/>
              </w:rPr>
              <w:t>Nominating and Corporate</w:t>
            </w:r>
          </w:p>
        </w:tc>
        <w:tc>
          <w:tcPr>
            <w:tcW w:w="120" w:type="dxa"/>
            <w:vAlign w:val="bottom"/>
            <w:tcBorders>
              <w:top w:val="single" w:sz="8" w:color="346094"/>
            </w:tcBorders>
            <w:shd w:val="clear" w:color="auto" w:fill="E1E7EF"/>
          </w:tcPr>
          <w:p>
            <w:pPr>
              <w:spacing w:after="0"/>
              <w:rPr>
                <w:sz w:val="23"/>
                <w:szCs w:val="23"/>
                <w:color w:val="auto"/>
              </w:rPr>
            </w:pPr>
          </w:p>
        </w:tc>
        <w:tc>
          <w:tcPr>
            <w:tcW w:w="5780" w:type="dxa"/>
            <w:vAlign w:val="bottom"/>
            <w:tcBorders>
              <w:top w:val="single" w:sz="8" w:color="346094"/>
            </w:tcBorders>
          </w:tcPr>
          <w:p>
            <w:pPr>
              <w:ind w:left="100"/>
              <w:spacing w:after="0"/>
              <w:rPr>
                <w:sz w:val="20"/>
                <w:szCs w:val="20"/>
                <w:color w:val="auto"/>
              </w:rPr>
            </w:pPr>
            <w:r>
              <w:rPr>
                <w:rFonts w:ascii="Arial" w:cs="Arial" w:eastAsia="Arial" w:hAnsi="Arial"/>
                <w:sz w:val="18"/>
                <w:szCs w:val="18"/>
                <w:color w:val="4C4C4C"/>
              </w:rPr>
              <w:t>Manages risks associated with the independence of the Board,</w:t>
            </w:r>
          </w:p>
        </w:tc>
        <w:tc>
          <w:tcPr>
            <w:tcW w:w="0" w:type="dxa"/>
            <w:vAlign w:val="bottom"/>
          </w:tcPr>
          <w:p>
            <w:pPr>
              <w:spacing w:after="0"/>
              <w:rPr>
                <w:sz w:val="1"/>
                <w:szCs w:val="1"/>
                <w:color w:val="auto"/>
              </w:rPr>
            </w:pPr>
          </w:p>
        </w:tc>
      </w:tr>
      <w:tr>
        <w:trPr>
          <w:trHeight w:val="142"/>
        </w:trPr>
        <w:tc>
          <w:tcPr>
            <w:tcW w:w="60" w:type="dxa"/>
            <w:vAlign w:val="bottom"/>
            <w:shd w:val="clear" w:color="auto" w:fill="E1E7EF"/>
          </w:tcPr>
          <w:p>
            <w:pPr>
              <w:spacing w:after="0"/>
              <w:rPr>
                <w:sz w:val="12"/>
                <w:szCs w:val="12"/>
                <w:color w:val="auto"/>
              </w:rPr>
            </w:pPr>
          </w:p>
        </w:tc>
        <w:tc>
          <w:tcPr>
            <w:tcW w:w="2240" w:type="dxa"/>
            <w:vAlign w:val="bottom"/>
            <w:vMerge w:val="restart"/>
            <w:shd w:val="clear" w:color="auto" w:fill="E1E7EF"/>
          </w:tcPr>
          <w:p>
            <w:pPr>
              <w:spacing w:after="0"/>
              <w:rPr>
                <w:sz w:val="20"/>
                <w:szCs w:val="20"/>
                <w:color w:val="auto"/>
              </w:rPr>
            </w:pPr>
            <w:r>
              <w:rPr>
                <w:rFonts w:ascii="Trebuchet MS" w:cs="Trebuchet MS" w:eastAsia="Trebuchet MS" w:hAnsi="Trebuchet MS"/>
                <w:sz w:val="18"/>
                <w:szCs w:val="18"/>
                <w:b w:val="1"/>
                <w:bCs w:val="1"/>
                <w:color w:val="4C4C4C"/>
              </w:rPr>
              <w:t>Governance Committee</w:t>
            </w:r>
          </w:p>
        </w:tc>
        <w:tc>
          <w:tcPr>
            <w:tcW w:w="120" w:type="dxa"/>
            <w:vAlign w:val="bottom"/>
            <w:shd w:val="clear" w:color="auto" w:fill="E1E7EF"/>
          </w:tcPr>
          <w:p>
            <w:pPr>
              <w:spacing w:after="0"/>
              <w:rPr>
                <w:sz w:val="12"/>
                <w:szCs w:val="12"/>
                <w:color w:val="auto"/>
              </w:rPr>
            </w:pPr>
          </w:p>
        </w:tc>
        <w:tc>
          <w:tcPr>
            <w:tcW w:w="5780" w:type="dxa"/>
            <w:vAlign w:val="bottom"/>
          </w:tcPr>
          <w:p>
            <w:pPr>
              <w:ind w:left="100"/>
              <w:spacing w:after="0" w:line="142" w:lineRule="exact"/>
              <w:rPr>
                <w:sz w:val="20"/>
                <w:szCs w:val="20"/>
                <w:color w:val="auto"/>
              </w:rPr>
            </w:pPr>
            <w:r>
              <w:rPr>
                <w:rFonts w:ascii="Arial" w:cs="Arial" w:eastAsia="Arial" w:hAnsi="Arial"/>
                <w:sz w:val="16"/>
                <w:szCs w:val="16"/>
                <w:color w:val="4C4C4C"/>
              </w:rPr>
              <w:t>potential conflicts of interest and risks associated with succession</w:t>
            </w:r>
          </w:p>
        </w:tc>
        <w:tc>
          <w:tcPr>
            <w:tcW w:w="0" w:type="dxa"/>
            <w:vAlign w:val="bottom"/>
          </w:tcPr>
          <w:p>
            <w:pPr>
              <w:spacing w:after="0"/>
              <w:rPr>
                <w:sz w:val="1"/>
                <w:szCs w:val="1"/>
                <w:color w:val="auto"/>
              </w:rPr>
            </w:pPr>
          </w:p>
        </w:tc>
      </w:tr>
      <w:tr>
        <w:trPr>
          <w:trHeight w:val="109"/>
        </w:trPr>
        <w:tc>
          <w:tcPr>
            <w:tcW w:w="60" w:type="dxa"/>
            <w:vAlign w:val="bottom"/>
            <w:shd w:val="clear" w:color="auto" w:fill="E1E7EF"/>
          </w:tcPr>
          <w:p>
            <w:pPr>
              <w:spacing w:after="0"/>
              <w:rPr>
                <w:sz w:val="9"/>
                <w:szCs w:val="9"/>
                <w:color w:val="auto"/>
              </w:rPr>
            </w:pPr>
          </w:p>
        </w:tc>
        <w:tc>
          <w:tcPr>
            <w:tcW w:w="2240" w:type="dxa"/>
            <w:vAlign w:val="bottom"/>
            <w:vMerge w:val="continue"/>
            <w:shd w:val="clear" w:color="auto" w:fill="E1E7EF"/>
          </w:tcPr>
          <w:p>
            <w:pPr>
              <w:spacing w:after="0"/>
              <w:rPr>
                <w:sz w:val="9"/>
                <w:szCs w:val="9"/>
                <w:color w:val="auto"/>
              </w:rPr>
            </w:pPr>
          </w:p>
        </w:tc>
        <w:tc>
          <w:tcPr>
            <w:tcW w:w="120" w:type="dxa"/>
            <w:vAlign w:val="bottom"/>
            <w:shd w:val="clear" w:color="auto" w:fill="E1E7EF"/>
          </w:tcPr>
          <w:p>
            <w:pPr>
              <w:spacing w:after="0"/>
              <w:rPr>
                <w:sz w:val="9"/>
                <w:szCs w:val="9"/>
                <w:color w:val="auto"/>
              </w:rPr>
            </w:pPr>
          </w:p>
        </w:tc>
        <w:tc>
          <w:tcPr>
            <w:tcW w:w="5780" w:type="dxa"/>
            <w:vAlign w:val="bottom"/>
            <w:vMerge w:val="restart"/>
          </w:tcPr>
          <w:p>
            <w:pPr>
              <w:ind w:left="100"/>
              <w:spacing w:after="0"/>
              <w:rPr>
                <w:sz w:val="20"/>
                <w:szCs w:val="20"/>
                <w:color w:val="auto"/>
              </w:rPr>
            </w:pPr>
            <w:r>
              <w:rPr>
                <w:rFonts w:ascii="Arial" w:cs="Arial" w:eastAsia="Arial" w:hAnsi="Arial"/>
                <w:sz w:val="18"/>
                <w:szCs w:val="18"/>
                <w:color w:val="4C4C4C"/>
              </w:rPr>
              <w:t>planning for the Company’s management.</w:t>
            </w:r>
          </w:p>
        </w:tc>
        <w:tc>
          <w:tcPr>
            <w:tcW w:w="0" w:type="dxa"/>
            <w:vAlign w:val="bottom"/>
          </w:tcPr>
          <w:p>
            <w:pPr>
              <w:spacing w:after="0"/>
              <w:rPr>
                <w:sz w:val="1"/>
                <w:szCs w:val="1"/>
                <w:color w:val="auto"/>
              </w:rPr>
            </w:pPr>
          </w:p>
        </w:tc>
      </w:tr>
      <w:tr>
        <w:trPr>
          <w:trHeight w:val="106"/>
        </w:trPr>
        <w:tc>
          <w:tcPr>
            <w:tcW w:w="60" w:type="dxa"/>
            <w:vAlign w:val="bottom"/>
            <w:shd w:val="clear" w:color="auto" w:fill="E1E7EF"/>
          </w:tcPr>
          <w:p>
            <w:pPr>
              <w:spacing w:after="0"/>
              <w:rPr>
                <w:sz w:val="9"/>
                <w:szCs w:val="9"/>
                <w:color w:val="auto"/>
              </w:rPr>
            </w:pPr>
          </w:p>
        </w:tc>
        <w:tc>
          <w:tcPr>
            <w:tcW w:w="2240" w:type="dxa"/>
            <w:vAlign w:val="bottom"/>
            <w:shd w:val="clear" w:color="auto" w:fill="E1E7EF"/>
          </w:tcPr>
          <w:p>
            <w:pPr>
              <w:spacing w:after="0"/>
              <w:rPr>
                <w:sz w:val="9"/>
                <w:szCs w:val="9"/>
                <w:color w:val="auto"/>
              </w:rPr>
            </w:pPr>
          </w:p>
        </w:tc>
        <w:tc>
          <w:tcPr>
            <w:tcW w:w="120" w:type="dxa"/>
            <w:vAlign w:val="bottom"/>
            <w:shd w:val="clear" w:color="auto" w:fill="E1E7EF"/>
          </w:tcPr>
          <w:p>
            <w:pPr>
              <w:spacing w:after="0"/>
              <w:rPr>
                <w:sz w:val="9"/>
                <w:szCs w:val="9"/>
                <w:color w:val="auto"/>
              </w:rPr>
            </w:pPr>
          </w:p>
        </w:tc>
        <w:tc>
          <w:tcPr>
            <w:tcW w:w="5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0" w:type="dxa"/>
            <w:vAlign w:val="bottom"/>
            <w:tcBorders>
              <w:bottom w:val="single" w:sz="8" w:color="346094"/>
            </w:tcBorders>
            <w:shd w:val="clear" w:color="auto" w:fill="E1E7EF"/>
          </w:tcPr>
          <w:p>
            <w:pPr>
              <w:spacing w:after="0"/>
              <w:rPr>
                <w:sz w:val="7"/>
                <w:szCs w:val="7"/>
                <w:color w:val="auto"/>
              </w:rPr>
            </w:pPr>
          </w:p>
        </w:tc>
        <w:tc>
          <w:tcPr>
            <w:tcW w:w="2240" w:type="dxa"/>
            <w:vAlign w:val="bottom"/>
            <w:tcBorders>
              <w:bottom w:val="single" w:sz="8" w:color="346094"/>
            </w:tcBorders>
            <w:shd w:val="clear" w:color="auto" w:fill="E1E7EF"/>
          </w:tcPr>
          <w:p>
            <w:pPr>
              <w:spacing w:after="0"/>
              <w:rPr>
                <w:sz w:val="7"/>
                <w:szCs w:val="7"/>
                <w:color w:val="auto"/>
              </w:rPr>
            </w:pPr>
          </w:p>
        </w:tc>
        <w:tc>
          <w:tcPr>
            <w:tcW w:w="120" w:type="dxa"/>
            <w:vAlign w:val="bottom"/>
            <w:tcBorders>
              <w:bottom w:val="single" w:sz="8" w:color="346094"/>
            </w:tcBorders>
            <w:shd w:val="clear" w:color="auto" w:fill="E1E7EF"/>
          </w:tcPr>
          <w:p>
            <w:pPr>
              <w:spacing w:after="0"/>
              <w:rPr>
                <w:sz w:val="7"/>
                <w:szCs w:val="7"/>
                <w:color w:val="auto"/>
              </w:rPr>
            </w:pPr>
          </w:p>
        </w:tc>
        <w:tc>
          <w:tcPr>
            <w:tcW w:w="5780" w:type="dxa"/>
            <w:vAlign w:val="bottom"/>
            <w:tcBorders>
              <w:bottom w:val="single" w:sz="8" w:color="346094"/>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260" w:right="539"/>
        <w:spacing w:after="0" w:line="275" w:lineRule="auto"/>
        <w:rPr>
          <w:sz w:val="20"/>
          <w:szCs w:val="20"/>
          <w:color w:val="auto"/>
        </w:rPr>
      </w:pPr>
      <w:r>
        <w:rPr>
          <w:rFonts w:ascii="Arial" w:cs="Arial" w:eastAsia="Arial" w:hAnsi="Arial"/>
          <w:sz w:val="18"/>
          <w:szCs w:val="18"/>
          <w:color w:val="4C4C4C"/>
        </w:rPr>
        <w:t>While each committee is responsible for evaluating certain risks and overseeing the management of such risks, the entire Board is informed about such risks by the committees.</w:t>
      </w:r>
    </w:p>
    <w:p>
      <w:pPr>
        <w:spacing w:after="0" w:line="159"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 xml:space="preserve">Board </w:t>
      </w:r>
      <w:r>
        <w:rPr>
          <w:rFonts w:ascii="Arial" w:cs="Arial" w:eastAsia="Arial" w:hAnsi="Arial"/>
          <w:sz w:val="20"/>
          <w:szCs w:val="20"/>
          <w:b w:val="1"/>
          <w:bCs w:val="1"/>
          <w:color w:val="346094"/>
        </w:rPr>
        <w:t>M</w:t>
      </w:r>
      <w:r>
        <w:rPr>
          <w:rFonts w:ascii="Trebuchet MS" w:cs="Trebuchet MS" w:eastAsia="Trebuchet MS" w:hAnsi="Trebuchet MS"/>
          <w:sz w:val="22"/>
          <w:szCs w:val="22"/>
          <w:b w:val="1"/>
          <w:bCs w:val="1"/>
          <w:color w:val="346094"/>
        </w:rPr>
        <w:t xml:space="preserve">eetings and Annual Stockholders </w:t>
      </w:r>
      <w:r>
        <w:rPr>
          <w:rFonts w:ascii="Arial" w:cs="Arial" w:eastAsia="Arial" w:hAnsi="Arial"/>
          <w:sz w:val="20"/>
          <w:szCs w:val="20"/>
          <w:b w:val="1"/>
          <w:bCs w:val="1"/>
          <w:color w:val="346094"/>
        </w:rPr>
        <w:t>M</w:t>
      </w:r>
      <w:r>
        <w:rPr>
          <w:rFonts w:ascii="Trebuchet MS" w:cs="Trebuchet MS" w:eastAsia="Trebuchet MS" w:hAnsi="Trebuchet MS"/>
          <w:sz w:val="22"/>
          <w:szCs w:val="22"/>
          <w:b w:val="1"/>
          <w:bCs w:val="1"/>
          <w:color w:val="346094"/>
        </w:rPr>
        <w:t>eetings</w:t>
      </w:r>
    </w:p>
    <w:p>
      <w:pPr>
        <w:spacing w:after="0" w:line="205"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4C4C4C"/>
        </w:rPr>
        <w:t>The Board is responsible for overseeing the management of our business. We keep our directors informed of our business at meetings and through reports and analyses presented to the Board and the Board committees. Regular communications between our directors and management also occur apart from meetings of the Board and Board committees. During 2025, there were 10 meetings of the Board. Each director attended at least 75% of the aggregate number of the total number of meetings of the Board (held during the period for which he or she has been a director) and the total number of meetings of the Board committees on which he or she served (during the periods that he or she served). While we do not have a formal policy requiring our directors to attend stockholder meetings, directors are invited and encouraged to attend all meetings of stockholders. All of our directors attended the 2025 Annual Meeting of Stockholders.</w:t>
      </w:r>
    </w:p>
    <w:p>
      <w:pPr>
        <w:spacing w:after="0" w:line="187"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Information Regarding Board Committees</w:t>
      </w:r>
    </w:p>
    <w:p>
      <w:pPr>
        <w:spacing w:after="0" w:line="205" w:lineRule="exact"/>
        <w:rPr>
          <w:sz w:val="20"/>
          <w:szCs w:val="20"/>
          <w:color w:val="auto"/>
        </w:rPr>
      </w:pPr>
    </w:p>
    <w:p>
      <w:pPr>
        <w:ind w:left="1260" w:right="559"/>
        <w:spacing w:after="0" w:line="260" w:lineRule="auto"/>
        <w:rPr>
          <w:sz w:val="20"/>
          <w:szCs w:val="20"/>
          <w:color w:val="auto"/>
        </w:rPr>
      </w:pPr>
      <w:r>
        <w:rPr>
          <w:rFonts w:ascii="Arial" w:cs="Arial" w:eastAsia="Arial" w:hAnsi="Arial"/>
          <w:sz w:val="18"/>
          <w:szCs w:val="18"/>
          <w:color w:val="4C4C4C"/>
        </w:rPr>
        <w:t>Our Board has established a standing Audit Committee, a standing Compensation Committee and a standing Nominating and Corporate Governance Committee to devote attention to specific subjects and to assist the Board in the discharge of its responsibilities. All three committees operate under written charters adopted by our Board, each of which is available on our website at https://investors.gevo.com/</w:t>
      </w:r>
    </w:p>
    <w:p>
      <w:pPr>
        <w:spacing w:after="0" w:line="381" w:lineRule="exact"/>
        <w:rPr>
          <w:sz w:val="20"/>
          <w:szCs w:val="20"/>
          <w:color w:val="auto"/>
        </w:rPr>
      </w:pPr>
    </w:p>
    <w:p>
      <w:pPr>
        <w:ind w:left="1780" w:hanging="520"/>
        <w:spacing w:after="0"/>
        <w:tabs>
          <w:tab w:leader="none" w:pos="1780" w:val="left"/>
        </w:tabs>
        <w:numPr>
          <w:ilvl w:val="0"/>
          <w:numId w:val="38"/>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317" w:lineRule="exact"/>
        <w:rPr>
          <w:sz w:val="20"/>
          <w:szCs w:val="20"/>
          <w:color w:val="auto"/>
        </w:rPr>
      </w:pPr>
    </w:p>
    <w:p>
      <w:pPr>
        <w:ind w:left="6000"/>
        <w:spacing w:after="0"/>
        <w:rPr>
          <w:sz w:val="20"/>
          <w:szCs w:val="20"/>
          <w:color w:val="auto"/>
        </w:rPr>
      </w:pPr>
      <w:r>
        <w:rPr>
          <w:rFonts w:ascii="Arial" w:cs="Arial" w:eastAsia="Arial" w:hAnsi="Arial"/>
          <w:sz w:val="14"/>
          <w:szCs w:val="14"/>
          <w:color w:val="346094"/>
        </w:rPr>
        <w:t>BOARD OF DIRECTORS AND CORPORATE GOVERNANCE</w:t>
      </w:r>
    </w:p>
    <w:p>
      <w:pPr>
        <w:spacing w:after="0" w:line="1"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260" w:right="1460"/>
        <w:spacing w:after="0" w:line="259" w:lineRule="auto"/>
        <w:rPr>
          <w:sz w:val="20"/>
          <w:szCs w:val="20"/>
          <w:color w:val="auto"/>
        </w:rPr>
      </w:pPr>
      <w:r>
        <w:rPr>
          <w:rFonts w:ascii="Arial" w:cs="Arial" w:eastAsia="Arial" w:hAnsi="Arial"/>
          <w:sz w:val="18"/>
          <w:szCs w:val="18"/>
          <w:color w:val="4C4C4C"/>
        </w:rPr>
        <w:t>under the heading “Governance.” The following table provides membership as of April 9, 2026 and meeting information for 2025 for each of the Board committees.</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206"/>
        </w:trPr>
        <w:tc>
          <w:tcPr>
            <w:tcW w:w="2980" w:type="dxa"/>
            <w:vAlign w:val="bottom"/>
            <w:shd w:val="clear" w:color="auto" w:fill="346094"/>
          </w:tcPr>
          <w:p>
            <w:pPr>
              <w:spacing w:after="0"/>
              <w:rPr>
                <w:sz w:val="17"/>
                <w:szCs w:val="17"/>
                <w:color w:val="auto"/>
              </w:rPr>
            </w:pPr>
          </w:p>
        </w:tc>
        <w:tc>
          <w:tcPr>
            <w:tcW w:w="540" w:type="dxa"/>
            <w:vAlign w:val="bottom"/>
            <w:shd w:val="clear" w:color="auto" w:fill="346094"/>
          </w:tcPr>
          <w:p>
            <w:pPr>
              <w:spacing w:after="0"/>
              <w:rPr>
                <w:sz w:val="17"/>
                <w:szCs w:val="17"/>
                <w:color w:val="auto"/>
              </w:rPr>
            </w:pPr>
          </w:p>
        </w:tc>
        <w:tc>
          <w:tcPr>
            <w:tcW w:w="200" w:type="dxa"/>
            <w:vAlign w:val="bottom"/>
            <w:shd w:val="clear" w:color="auto" w:fill="346094"/>
          </w:tcPr>
          <w:p>
            <w:pPr>
              <w:spacing w:after="0"/>
              <w:rPr>
                <w:sz w:val="17"/>
                <w:szCs w:val="17"/>
                <w:color w:val="auto"/>
              </w:rPr>
            </w:pPr>
          </w:p>
        </w:tc>
        <w:tc>
          <w:tcPr>
            <w:tcW w:w="960" w:type="dxa"/>
            <w:vAlign w:val="bottom"/>
            <w:shd w:val="clear" w:color="auto" w:fill="346094"/>
          </w:tcPr>
          <w:p>
            <w:pPr>
              <w:spacing w:after="0"/>
              <w:rPr>
                <w:sz w:val="17"/>
                <w:szCs w:val="17"/>
                <w:color w:val="auto"/>
              </w:rPr>
            </w:pPr>
          </w:p>
        </w:tc>
        <w:tc>
          <w:tcPr>
            <w:tcW w:w="240" w:type="dxa"/>
            <w:vAlign w:val="bottom"/>
            <w:shd w:val="clear" w:color="auto" w:fill="346094"/>
          </w:tcPr>
          <w:p>
            <w:pPr>
              <w:spacing w:after="0"/>
              <w:rPr>
                <w:sz w:val="17"/>
                <w:szCs w:val="17"/>
                <w:color w:val="auto"/>
              </w:rPr>
            </w:pPr>
          </w:p>
        </w:tc>
        <w:tc>
          <w:tcPr>
            <w:tcW w:w="200" w:type="dxa"/>
            <w:vAlign w:val="bottom"/>
            <w:shd w:val="clear" w:color="auto" w:fill="346094"/>
          </w:tcPr>
          <w:p>
            <w:pPr>
              <w:spacing w:after="0"/>
              <w:rPr>
                <w:sz w:val="17"/>
                <w:szCs w:val="17"/>
                <w:color w:val="auto"/>
              </w:rPr>
            </w:pPr>
          </w:p>
        </w:tc>
        <w:tc>
          <w:tcPr>
            <w:tcW w:w="1220" w:type="dxa"/>
            <w:vAlign w:val="bottom"/>
            <w:shd w:val="clear" w:color="auto" w:fill="346094"/>
          </w:tcPr>
          <w:p>
            <w:pPr>
              <w:spacing w:after="0"/>
              <w:rPr>
                <w:sz w:val="17"/>
                <w:szCs w:val="17"/>
                <w:color w:val="auto"/>
              </w:rPr>
            </w:pPr>
          </w:p>
        </w:tc>
        <w:tc>
          <w:tcPr>
            <w:tcW w:w="240" w:type="dxa"/>
            <w:vAlign w:val="bottom"/>
            <w:shd w:val="clear" w:color="auto" w:fill="346094"/>
          </w:tcPr>
          <w:p>
            <w:pPr>
              <w:spacing w:after="0"/>
              <w:rPr>
                <w:sz w:val="17"/>
                <w:szCs w:val="17"/>
                <w:color w:val="auto"/>
              </w:rPr>
            </w:pPr>
          </w:p>
        </w:tc>
        <w:tc>
          <w:tcPr>
            <w:tcW w:w="220" w:type="dxa"/>
            <w:vAlign w:val="bottom"/>
            <w:shd w:val="clear" w:color="auto" w:fill="346094"/>
          </w:tcPr>
          <w:p>
            <w:pPr>
              <w:spacing w:after="0"/>
              <w:rPr>
                <w:sz w:val="17"/>
                <w:szCs w:val="17"/>
                <w:color w:val="auto"/>
              </w:rPr>
            </w:pPr>
          </w:p>
        </w:tc>
        <w:tc>
          <w:tcPr>
            <w:tcW w:w="1300" w:type="dxa"/>
            <w:vAlign w:val="bottom"/>
            <w:shd w:val="clear" w:color="auto" w:fill="346094"/>
          </w:tcPr>
          <w:p>
            <w:pPr>
              <w:jc w:val="center"/>
              <w:spacing w:after="0"/>
              <w:rPr>
                <w:sz w:val="20"/>
                <w:szCs w:val="20"/>
                <w:color w:val="auto"/>
              </w:rPr>
            </w:pPr>
            <w:r>
              <w:rPr>
                <w:rFonts w:ascii="Arial" w:cs="Arial" w:eastAsia="Arial" w:hAnsi="Arial"/>
                <w:sz w:val="16"/>
                <w:szCs w:val="16"/>
                <w:b w:val="1"/>
                <w:bCs w:val="1"/>
                <w:color w:val="FFFFFF"/>
                <w:w w:val="97"/>
              </w:rPr>
              <w:t>Nominating and</w:t>
            </w:r>
          </w:p>
        </w:tc>
        <w:tc>
          <w:tcPr>
            <w:tcW w:w="100" w:type="dxa"/>
            <w:vAlign w:val="bottom"/>
            <w:shd w:val="clear" w:color="auto" w:fill="346094"/>
          </w:tcPr>
          <w:p>
            <w:pPr>
              <w:spacing w:after="0"/>
              <w:rPr>
                <w:sz w:val="17"/>
                <w:szCs w:val="17"/>
                <w:color w:val="auto"/>
              </w:rPr>
            </w:pPr>
          </w:p>
        </w:tc>
      </w:tr>
      <w:tr>
        <w:trPr>
          <w:trHeight w:val="176"/>
        </w:trPr>
        <w:tc>
          <w:tcPr>
            <w:tcW w:w="2980" w:type="dxa"/>
            <w:vAlign w:val="bottom"/>
            <w:shd w:val="clear" w:color="auto" w:fill="346094"/>
          </w:tcPr>
          <w:p>
            <w:pPr>
              <w:spacing w:after="0"/>
              <w:rPr>
                <w:sz w:val="15"/>
                <w:szCs w:val="15"/>
                <w:color w:val="auto"/>
              </w:rPr>
            </w:pPr>
          </w:p>
        </w:tc>
        <w:tc>
          <w:tcPr>
            <w:tcW w:w="540" w:type="dxa"/>
            <w:vAlign w:val="bottom"/>
            <w:shd w:val="clear" w:color="auto" w:fill="346094"/>
          </w:tcPr>
          <w:p>
            <w:pPr>
              <w:spacing w:after="0"/>
              <w:rPr>
                <w:sz w:val="15"/>
                <w:szCs w:val="15"/>
                <w:color w:val="auto"/>
              </w:rPr>
            </w:pPr>
          </w:p>
        </w:tc>
        <w:tc>
          <w:tcPr>
            <w:tcW w:w="200" w:type="dxa"/>
            <w:vAlign w:val="bottom"/>
            <w:shd w:val="clear" w:color="auto" w:fill="346094"/>
          </w:tcPr>
          <w:p>
            <w:pPr>
              <w:spacing w:after="0"/>
              <w:rPr>
                <w:sz w:val="15"/>
                <w:szCs w:val="15"/>
                <w:color w:val="auto"/>
              </w:rPr>
            </w:pPr>
          </w:p>
        </w:tc>
        <w:tc>
          <w:tcPr>
            <w:tcW w:w="960" w:type="dxa"/>
            <w:vAlign w:val="bottom"/>
            <w:shd w:val="clear" w:color="auto" w:fill="346094"/>
          </w:tcPr>
          <w:p>
            <w:pPr>
              <w:spacing w:after="0"/>
              <w:rPr>
                <w:sz w:val="15"/>
                <w:szCs w:val="15"/>
                <w:color w:val="auto"/>
              </w:rPr>
            </w:pPr>
          </w:p>
        </w:tc>
        <w:tc>
          <w:tcPr>
            <w:tcW w:w="240" w:type="dxa"/>
            <w:vAlign w:val="bottom"/>
            <w:shd w:val="clear" w:color="auto" w:fill="346094"/>
          </w:tcPr>
          <w:p>
            <w:pPr>
              <w:spacing w:after="0"/>
              <w:rPr>
                <w:sz w:val="15"/>
                <w:szCs w:val="15"/>
                <w:color w:val="auto"/>
              </w:rPr>
            </w:pPr>
          </w:p>
        </w:tc>
        <w:tc>
          <w:tcPr>
            <w:tcW w:w="200" w:type="dxa"/>
            <w:vAlign w:val="bottom"/>
            <w:shd w:val="clear" w:color="auto" w:fill="346094"/>
          </w:tcPr>
          <w:p>
            <w:pPr>
              <w:spacing w:after="0"/>
              <w:rPr>
                <w:sz w:val="15"/>
                <w:szCs w:val="15"/>
                <w:color w:val="auto"/>
              </w:rPr>
            </w:pPr>
          </w:p>
        </w:tc>
        <w:tc>
          <w:tcPr>
            <w:tcW w:w="1220" w:type="dxa"/>
            <w:vAlign w:val="bottom"/>
            <w:shd w:val="clear" w:color="auto" w:fill="346094"/>
          </w:tcPr>
          <w:p>
            <w:pPr>
              <w:spacing w:after="0"/>
              <w:rPr>
                <w:sz w:val="15"/>
                <w:szCs w:val="15"/>
                <w:color w:val="auto"/>
              </w:rPr>
            </w:pPr>
          </w:p>
        </w:tc>
        <w:tc>
          <w:tcPr>
            <w:tcW w:w="240" w:type="dxa"/>
            <w:vAlign w:val="bottom"/>
            <w:shd w:val="clear" w:color="auto" w:fill="346094"/>
          </w:tcPr>
          <w:p>
            <w:pPr>
              <w:spacing w:after="0"/>
              <w:rPr>
                <w:sz w:val="15"/>
                <w:szCs w:val="15"/>
                <w:color w:val="auto"/>
              </w:rPr>
            </w:pPr>
          </w:p>
        </w:tc>
        <w:tc>
          <w:tcPr>
            <w:tcW w:w="220" w:type="dxa"/>
            <w:vAlign w:val="bottom"/>
            <w:shd w:val="clear" w:color="auto" w:fill="346094"/>
          </w:tcPr>
          <w:p>
            <w:pPr>
              <w:spacing w:after="0"/>
              <w:rPr>
                <w:sz w:val="15"/>
                <w:szCs w:val="15"/>
                <w:color w:val="auto"/>
              </w:rPr>
            </w:pPr>
          </w:p>
        </w:tc>
        <w:tc>
          <w:tcPr>
            <w:tcW w:w="1300" w:type="dxa"/>
            <w:vAlign w:val="bottom"/>
            <w:shd w:val="clear" w:color="auto" w:fill="346094"/>
          </w:tcPr>
          <w:p>
            <w:pPr>
              <w:jc w:val="center"/>
              <w:spacing w:after="0" w:line="175" w:lineRule="exact"/>
              <w:rPr>
                <w:sz w:val="20"/>
                <w:szCs w:val="20"/>
                <w:color w:val="auto"/>
              </w:rPr>
            </w:pPr>
            <w:r>
              <w:rPr>
                <w:rFonts w:ascii="Arial" w:cs="Arial" w:eastAsia="Arial" w:hAnsi="Arial"/>
                <w:sz w:val="16"/>
                <w:szCs w:val="16"/>
                <w:b w:val="1"/>
                <w:bCs w:val="1"/>
                <w:color w:val="FFFFFF"/>
                <w:w w:val="96"/>
              </w:rPr>
              <w:t>Corporate</w:t>
            </w:r>
          </w:p>
        </w:tc>
        <w:tc>
          <w:tcPr>
            <w:tcW w:w="100" w:type="dxa"/>
            <w:vAlign w:val="bottom"/>
            <w:shd w:val="clear" w:color="auto" w:fill="346094"/>
          </w:tcPr>
          <w:p>
            <w:pPr>
              <w:spacing w:after="0"/>
              <w:rPr>
                <w:sz w:val="15"/>
                <w:szCs w:val="15"/>
                <w:color w:val="auto"/>
              </w:rPr>
            </w:pPr>
          </w:p>
        </w:tc>
      </w:tr>
      <w:tr>
        <w:trPr>
          <w:trHeight w:val="189"/>
        </w:trPr>
        <w:tc>
          <w:tcPr>
            <w:tcW w:w="2980" w:type="dxa"/>
            <w:vAlign w:val="bottom"/>
            <w:shd w:val="clear" w:color="auto" w:fill="346094"/>
          </w:tcPr>
          <w:p>
            <w:pPr>
              <w:spacing w:after="0"/>
              <w:rPr>
                <w:sz w:val="16"/>
                <w:szCs w:val="16"/>
                <w:color w:val="auto"/>
              </w:rPr>
            </w:pPr>
          </w:p>
        </w:tc>
        <w:tc>
          <w:tcPr>
            <w:tcW w:w="540" w:type="dxa"/>
            <w:vAlign w:val="bottom"/>
            <w:shd w:val="clear" w:color="auto" w:fill="346094"/>
          </w:tcPr>
          <w:p>
            <w:pPr>
              <w:spacing w:after="0"/>
              <w:rPr>
                <w:sz w:val="16"/>
                <w:szCs w:val="16"/>
                <w:color w:val="auto"/>
              </w:rPr>
            </w:pPr>
          </w:p>
        </w:tc>
        <w:tc>
          <w:tcPr>
            <w:tcW w:w="200" w:type="dxa"/>
            <w:vAlign w:val="bottom"/>
            <w:shd w:val="clear" w:color="auto" w:fill="346094"/>
          </w:tcPr>
          <w:p>
            <w:pPr>
              <w:spacing w:after="0"/>
              <w:rPr>
                <w:sz w:val="16"/>
                <w:szCs w:val="16"/>
                <w:color w:val="auto"/>
              </w:rPr>
            </w:pPr>
          </w:p>
        </w:tc>
        <w:tc>
          <w:tcPr>
            <w:tcW w:w="960" w:type="dxa"/>
            <w:vAlign w:val="bottom"/>
            <w:shd w:val="clear" w:color="auto" w:fill="346094"/>
          </w:tcPr>
          <w:p>
            <w:pPr>
              <w:jc w:val="center"/>
              <w:spacing w:after="0"/>
              <w:rPr>
                <w:sz w:val="20"/>
                <w:szCs w:val="20"/>
                <w:color w:val="auto"/>
              </w:rPr>
            </w:pPr>
            <w:r>
              <w:rPr>
                <w:rFonts w:ascii="Arial" w:cs="Arial" w:eastAsia="Arial" w:hAnsi="Arial"/>
                <w:sz w:val="16"/>
                <w:szCs w:val="16"/>
                <w:b w:val="1"/>
                <w:bCs w:val="1"/>
                <w:color w:val="FFFFFF"/>
              </w:rPr>
              <w:t>Audit</w:t>
            </w:r>
          </w:p>
        </w:tc>
        <w:tc>
          <w:tcPr>
            <w:tcW w:w="240" w:type="dxa"/>
            <w:vAlign w:val="bottom"/>
            <w:shd w:val="clear" w:color="auto" w:fill="346094"/>
          </w:tcPr>
          <w:p>
            <w:pPr>
              <w:spacing w:after="0"/>
              <w:rPr>
                <w:sz w:val="16"/>
                <w:szCs w:val="16"/>
                <w:color w:val="auto"/>
              </w:rPr>
            </w:pPr>
          </w:p>
        </w:tc>
        <w:tc>
          <w:tcPr>
            <w:tcW w:w="200" w:type="dxa"/>
            <w:vAlign w:val="bottom"/>
            <w:shd w:val="clear" w:color="auto" w:fill="346094"/>
          </w:tcPr>
          <w:p>
            <w:pPr>
              <w:spacing w:after="0"/>
              <w:rPr>
                <w:sz w:val="16"/>
                <w:szCs w:val="16"/>
                <w:color w:val="auto"/>
              </w:rPr>
            </w:pPr>
          </w:p>
        </w:tc>
        <w:tc>
          <w:tcPr>
            <w:tcW w:w="1220" w:type="dxa"/>
            <w:vAlign w:val="bottom"/>
            <w:shd w:val="clear" w:color="auto" w:fill="346094"/>
          </w:tcPr>
          <w:p>
            <w:pPr>
              <w:jc w:val="center"/>
              <w:spacing w:after="0"/>
              <w:rPr>
                <w:sz w:val="20"/>
                <w:szCs w:val="20"/>
                <w:color w:val="auto"/>
              </w:rPr>
            </w:pPr>
            <w:r>
              <w:rPr>
                <w:rFonts w:ascii="Arial" w:cs="Arial" w:eastAsia="Arial" w:hAnsi="Arial"/>
                <w:sz w:val="16"/>
                <w:szCs w:val="16"/>
                <w:b w:val="1"/>
                <w:bCs w:val="1"/>
                <w:color w:val="FFFFFF"/>
                <w:w w:val="97"/>
              </w:rPr>
              <w:t>Compensation</w:t>
            </w:r>
          </w:p>
        </w:tc>
        <w:tc>
          <w:tcPr>
            <w:tcW w:w="240" w:type="dxa"/>
            <w:vAlign w:val="bottom"/>
            <w:shd w:val="clear" w:color="auto" w:fill="346094"/>
          </w:tcPr>
          <w:p>
            <w:pPr>
              <w:spacing w:after="0"/>
              <w:rPr>
                <w:sz w:val="16"/>
                <w:szCs w:val="16"/>
                <w:color w:val="auto"/>
              </w:rPr>
            </w:pPr>
          </w:p>
        </w:tc>
        <w:tc>
          <w:tcPr>
            <w:tcW w:w="220" w:type="dxa"/>
            <w:vAlign w:val="bottom"/>
            <w:shd w:val="clear" w:color="auto" w:fill="346094"/>
          </w:tcPr>
          <w:p>
            <w:pPr>
              <w:spacing w:after="0"/>
              <w:rPr>
                <w:sz w:val="16"/>
                <w:szCs w:val="16"/>
                <w:color w:val="auto"/>
              </w:rPr>
            </w:pPr>
          </w:p>
        </w:tc>
        <w:tc>
          <w:tcPr>
            <w:tcW w:w="1300" w:type="dxa"/>
            <w:vAlign w:val="bottom"/>
            <w:shd w:val="clear" w:color="auto" w:fill="346094"/>
          </w:tcPr>
          <w:p>
            <w:pPr>
              <w:jc w:val="center"/>
              <w:spacing w:after="0"/>
              <w:rPr>
                <w:sz w:val="20"/>
                <w:szCs w:val="20"/>
                <w:color w:val="auto"/>
              </w:rPr>
            </w:pPr>
            <w:r>
              <w:rPr>
                <w:rFonts w:ascii="Arial" w:cs="Arial" w:eastAsia="Arial" w:hAnsi="Arial"/>
                <w:sz w:val="16"/>
                <w:szCs w:val="16"/>
                <w:b w:val="1"/>
                <w:bCs w:val="1"/>
                <w:color w:val="FFFFFF"/>
                <w:w w:val="97"/>
              </w:rPr>
              <w:t>Governance</w:t>
            </w:r>
          </w:p>
        </w:tc>
        <w:tc>
          <w:tcPr>
            <w:tcW w:w="100" w:type="dxa"/>
            <w:vAlign w:val="bottom"/>
            <w:shd w:val="clear" w:color="auto" w:fill="346094"/>
          </w:tcPr>
          <w:p>
            <w:pPr>
              <w:spacing w:after="0"/>
              <w:rPr>
                <w:sz w:val="16"/>
                <w:szCs w:val="16"/>
                <w:color w:val="auto"/>
              </w:rPr>
            </w:pPr>
          </w:p>
        </w:tc>
      </w:tr>
      <w:tr>
        <w:trPr>
          <w:trHeight w:val="199"/>
        </w:trPr>
        <w:tc>
          <w:tcPr>
            <w:tcW w:w="2980" w:type="dxa"/>
            <w:vAlign w:val="bottom"/>
            <w:shd w:val="clear" w:color="auto" w:fill="346094"/>
          </w:tcPr>
          <w:p>
            <w:pPr>
              <w:ind w:left="100"/>
              <w:spacing w:after="0"/>
              <w:rPr>
                <w:sz w:val="20"/>
                <w:szCs w:val="20"/>
                <w:color w:val="auto"/>
              </w:rPr>
            </w:pPr>
            <w:r>
              <w:rPr>
                <w:rFonts w:ascii="Arial" w:cs="Arial" w:eastAsia="Arial" w:hAnsi="Arial"/>
                <w:sz w:val="16"/>
                <w:szCs w:val="16"/>
                <w:b w:val="1"/>
                <w:bCs w:val="1"/>
                <w:color w:val="FFFFFF"/>
              </w:rPr>
              <w:t>Name</w:t>
            </w:r>
          </w:p>
        </w:tc>
        <w:tc>
          <w:tcPr>
            <w:tcW w:w="540" w:type="dxa"/>
            <w:vAlign w:val="bottom"/>
            <w:shd w:val="clear" w:color="auto" w:fill="346094"/>
          </w:tcPr>
          <w:p>
            <w:pPr>
              <w:ind w:left="380"/>
              <w:spacing w:after="0"/>
              <w:rPr>
                <w:sz w:val="20"/>
                <w:szCs w:val="20"/>
                <w:color w:val="auto"/>
              </w:rPr>
            </w:pPr>
            <w:r>
              <w:rPr>
                <w:rFonts w:ascii="Arial" w:cs="Arial" w:eastAsia="Arial" w:hAnsi="Arial"/>
                <w:sz w:val="16"/>
                <w:szCs w:val="16"/>
                <w:b w:val="1"/>
                <w:bCs w:val="1"/>
                <w:color w:val="FFFFFF"/>
              </w:rPr>
              <w:t>​</w:t>
            </w:r>
          </w:p>
        </w:tc>
        <w:tc>
          <w:tcPr>
            <w:tcW w:w="200" w:type="dxa"/>
            <w:vAlign w:val="bottom"/>
            <w:shd w:val="clear" w:color="auto" w:fill="346094"/>
          </w:tcPr>
          <w:p>
            <w:pPr>
              <w:ind w:left="100"/>
              <w:spacing w:after="0"/>
              <w:rPr>
                <w:sz w:val="20"/>
                <w:szCs w:val="20"/>
                <w:color w:val="auto"/>
              </w:rPr>
            </w:pPr>
            <w:r>
              <w:rPr>
                <w:rFonts w:ascii="Arial" w:cs="Arial" w:eastAsia="Arial" w:hAnsi="Arial"/>
                <w:sz w:val="16"/>
                <w:szCs w:val="16"/>
                <w:b w:val="1"/>
                <w:bCs w:val="1"/>
                <w:color w:val="FFFFFF"/>
              </w:rPr>
              <w:t>​</w:t>
            </w:r>
          </w:p>
        </w:tc>
        <w:tc>
          <w:tcPr>
            <w:tcW w:w="960" w:type="dxa"/>
            <w:vAlign w:val="bottom"/>
            <w:shd w:val="clear" w:color="auto" w:fill="346094"/>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240" w:type="dxa"/>
            <w:vAlign w:val="bottom"/>
            <w:shd w:val="clear" w:color="auto" w:fill="346094"/>
          </w:tcPr>
          <w:p>
            <w:pPr>
              <w:ind w:left="80"/>
              <w:spacing w:after="0"/>
              <w:rPr>
                <w:sz w:val="20"/>
                <w:szCs w:val="20"/>
                <w:color w:val="auto"/>
              </w:rPr>
            </w:pPr>
            <w:r>
              <w:rPr>
                <w:rFonts w:ascii="Arial" w:cs="Arial" w:eastAsia="Arial" w:hAnsi="Arial"/>
                <w:sz w:val="16"/>
                <w:szCs w:val="16"/>
                <w:b w:val="1"/>
                <w:bCs w:val="1"/>
                <w:color w:val="FFFFFF"/>
              </w:rPr>
              <w:t>​</w:t>
            </w:r>
          </w:p>
        </w:tc>
        <w:tc>
          <w:tcPr>
            <w:tcW w:w="200" w:type="dxa"/>
            <w:vAlign w:val="bottom"/>
            <w:shd w:val="clear" w:color="auto" w:fill="346094"/>
          </w:tcPr>
          <w:p>
            <w:pPr>
              <w:ind w:left="100"/>
              <w:spacing w:after="0"/>
              <w:rPr>
                <w:sz w:val="20"/>
                <w:szCs w:val="20"/>
                <w:color w:val="auto"/>
              </w:rPr>
            </w:pPr>
            <w:r>
              <w:rPr>
                <w:rFonts w:ascii="Arial" w:cs="Arial" w:eastAsia="Arial" w:hAnsi="Arial"/>
                <w:sz w:val="16"/>
                <w:szCs w:val="16"/>
                <w:b w:val="1"/>
                <w:bCs w:val="1"/>
                <w:color w:val="FFFFFF"/>
              </w:rPr>
              <w:t>​</w:t>
            </w:r>
          </w:p>
        </w:tc>
        <w:tc>
          <w:tcPr>
            <w:tcW w:w="1220" w:type="dxa"/>
            <w:vAlign w:val="bottom"/>
            <w:shd w:val="clear" w:color="auto" w:fill="346094"/>
          </w:tcPr>
          <w:p>
            <w:pPr>
              <w:jc w:val="center"/>
              <w:spacing w:after="0"/>
              <w:rPr>
                <w:sz w:val="20"/>
                <w:szCs w:val="20"/>
                <w:color w:val="auto"/>
              </w:rPr>
            </w:pPr>
            <w:r>
              <w:rPr>
                <w:rFonts w:ascii="Arial" w:cs="Arial" w:eastAsia="Arial" w:hAnsi="Arial"/>
                <w:sz w:val="16"/>
                <w:szCs w:val="16"/>
                <w:b w:val="1"/>
                <w:bCs w:val="1"/>
                <w:color w:val="FFFFFF"/>
              </w:rPr>
              <w:t>Committee</w:t>
            </w:r>
          </w:p>
        </w:tc>
        <w:tc>
          <w:tcPr>
            <w:tcW w:w="240" w:type="dxa"/>
            <w:vAlign w:val="bottom"/>
            <w:shd w:val="clear" w:color="auto" w:fill="346094"/>
          </w:tcPr>
          <w:p>
            <w:pPr>
              <w:ind w:left="100"/>
              <w:spacing w:after="0"/>
              <w:rPr>
                <w:sz w:val="20"/>
                <w:szCs w:val="20"/>
                <w:color w:val="auto"/>
              </w:rPr>
            </w:pPr>
            <w:r>
              <w:rPr>
                <w:rFonts w:ascii="Arial" w:cs="Arial" w:eastAsia="Arial" w:hAnsi="Arial"/>
                <w:sz w:val="16"/>
                <w:szCs w:val="16"/>
                <w:b w:val="1"/>
                <w:bCs w:val="1"/>
                <w:color w:val="FFFFFF"/>
              </w:rPr>
              <w:t>​</w:t>
            </w:r>
          </w:p>
        </w:tc>
        <w:tc>
          <w:tcPr>
            <w:tcW w:w="220" w:type="dxa"/>
            <w:vAlign w:val="bottom"/>
            <w:shd w:val="clear" w:color="auto" w:fill="346094"/>
          </w:tcPr>
          <w:p>
            <w:pPr>
              <w:ind w:left="100"/>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346094"/>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100" w:type="dxa"/>
            <w:vAlign w:val="bottom"/>
            <w:shd w:val="clear" w:color="auto" w:fill="346094"/>
          </w:tcPr>
          <w:p>
            <w:pPr>
              <w:ind w:left="40"/>
              <w:spacing w:after="0"/>
              <w:rPr>
                <w:sz w:val="20"/>
                <w:szCs w:val="20"/>
                <w:color w:val="auto"/>
              </w:rPr>
            </w:pPr>
            <w:r>
              <w:rPr>
                <w:rFonts w:ascii="Arial" w:cs="Arial" w:eastAsia="Arial" w:hAnsi="Arial"/>
                <w:sz w:val="16"/>
                <w:szCs w:val="16"/>
                <w:b w:val="1"/>
                <w:bCs w:val="1"/>
                <w:color w:val="FFFFFF"/>
              </w:rPr>
              <w:t>​</w:t>
            </w:r>
          </w:p>
        </w:tc>
      </w:tr>
      <w:tr>
        <w:trPr>
          <w:trHeight w:val="243"/>
        </w:trPr>
        <w:tc>
          <w:tcPr>
            <w:tcW w:w="2980" w:type="dxa"/>
            <w:vAlign w:val="bottom"/>
          </w:tcPr>
          <w:p>
            <w:pPr>
              <w:ind w:left="100"/>
              <w:spacing w:after="0"/>
              <w:rPr>
                <w:sz w:val="20"/>
                <w:szCs w:val="20"/>
                <w:color w:val="auto"/>
              </w:rPr>
            </w:pPr>
            <w:r>
              <w:rPr>
                <w:rFonts w:ascii="Arial" w:cs="Arial" w:eastAsia="Arial" w:hAnsi="Arial"/>
                <w:sz w:val="16"/>
                <w:szCs w:val="16"/>
                <w:color w:val="4C4C4C"/>
              </w:rPr>
              <w:t>Angelo Amorelli</w:t>
            </w:r>
          </w:p>
        </w:tc>
        <w:tc>
          <w:tcPr>
            <w:tcW w:w="540" w:type="dxa"/>
            <w:vAlign w:val="bottom"/>
          </w:tcPr>
          <w:p>
            <w:pPr>
              <w:ind w:left="380"/>
              <w:spacing w:after="0"/>
              <w:rPr>
                <w:sz w:val="20"/>
                <w:szCs w:val="20"/>
                <w:color w:val="auto"/>
              </w:rPr>
            </w:pPr>
            <w:r>
              <w:rPr>
                <w:rFonts w:ascii="Arial" w:cs="Arial" w:eastAsia="Arial" w:hAnsi="Arial"/>
                <w:sz w:val="16"/>
                <w:szCs w:val="16"/>
                <w:color w:val="4C4C4C"/>
              </w:rPr>
              <w:t>​</w:t>
            </w:r>
          </w:p>
        </w:tc>
        <w:tc>
          <w:tcPr>
            <w:tcW w:w="200" w:type="dxa"/>
            <w:vAlign w:val="bottom"/>
          </w:tcPr>
          <w:p>
            <w:pPr>
              <w:ind w:left="100"/>
              <w:spacing w:after="0"/>
              <w:rPr>
                <w:sz w:val="20"/>
                <w:szCs w:val="20"/>
                <w:color w:val="auto"/>
              </w:rPr>
            </w:pPr>
            <w:r>
              <w:rPr>
                <w:rFonts w:ascii="Arial" w:cs="Arial" w:eastAsia="Arial" w:hAnsi="Arial"/>
                <w:sz w:val="16"/>
                <w:szCs w:val="16"/>
                <w:color w:val="4C4C4C"/>
              </w:rPr>
              <w:t>​</w:t>
            </w:r>
          </w:p>
        </w:tc>
        <w:tc>
          <w:tcPr>
            <w:tcW w:w="960" w:type="dxa"/>
            <w:vAlign w:val="bottom"/>
          </w:tcPr>
          <w:p>
            <w:pPr>
              <w:jc w:val="right"/>
              <w:ind w:right="359"/>
              <w:spacing w:after="0"/>
              <w:rPr>
                <w:sz w:val="20"/>
                <w:szCs w:val="20"/>
                <w:color w:val="auto"/>
              </w:rPr>
            </w:pPr>
            <w:r>
              <w:rPr>
                <w:rFonts w:ascii="Arial" w:cs="Arial" w:eastAsia="Arial" w:hAnsi="Arial"/>
                <w:sz w:val="16"/>
                <w:szCs w:val="16"/>
                <w:color w:val="4C4C4C"/>
              </w:rPr>
              <w:t>​</w:t>
            </w:r>
          </w:p>
        </w:tc>
        <w:tc>
          <w:tcPr>
            <w:tcW w:w="240" w:type="dxa"/>
            <w:vAlign w:val="bottom"/>
          </w:tcPr>
          <w:p>
            <w:pPr>
              <w:ind w:left="80"/>
              <w:spacing w:after="0"/>
              <w:rPr>
                <w:sz w:val="20"/>
                <w:szCs w:val="20"/>
                <w:color w:val="auto"/>
              </w:rPr>
            </w:pPr>
            <w:r>
              <w:rPr>
                <w:rFonts w:ascii="Arial" w:cs="Arial" w:eastAsia="Arial" w:hAnsi="Arial"/>
                <w:sz w:val="16"/>
                <w:szCs w:val="16"/>
                <w:color w:val="4C4C4C"/>
              </w:rPr>
              <w:t>​</w:t>
            </w:r>
          </w:p>
        </w:tc>
        <w:tc>
          <w:tcPr>
            <w:tcW w:w="200" w:type="dxa"/>
            <w:vAlign w:val="bottom"/>
          </w:tcPr>
          <w:p>
            <w:pPr>
              <w:ind w:left="100"/>
              <w:spacing w:after="0"/>
              <w:rPr>
                <w:sz w:val="20"/>
                <w:szCs w:val="20"/>
                <w:color w:val="auto"/>
              </w:rPr>
            </w:pPr>
            <w:r>
              <w:rPr>
                <w:rFonts w:ascii="Arial" w:cs="Arial" w:eastAsia="Arial" w:hAnsi="Arial"/>
                <w:sz w:val="16"/>
                <w:szCs w:val="16"/>
                <w:color w:val="4C4C4C"/>
              </w:rPr>
              <w:t>​</w:t>
            </w:r>
          </w:p>
        </w:tc>
        <w:tc>
          <w:tcPr>
            <w:tcW w:w="1220" w:type="dxa"/>
            <w:vAlign w:val="bottom"/>
          </w:tcPr>
          <w:p>
            <w:pPr>
              <w:jc w:val="center"/>
              <w:spacing w:after="0"/>
              <w:rPr>
                <w:sz w:val="20"/>
                <w:szCs w:val="20"/>
                <w:color w:val="auto"/>
              </w:rPr>
            </w:pPr>
            <w:r>
              <w:rPr>
                <w:rFonts w:ascii="Arial" w:cs="Arial" w:eastAsia="Arial" w:hAnsi="Arial"/>
                <w:sz w:val="16"/>
                <w:szCs w:val="16"/>
                <w:color w:val="4C4C4C"/>
              </w:rPr>
              <w:t>●</w:t>
            </w:r>
          </w:p>
        </w:tc>
        <w:tc>
          <w:tcPr>
            <w:tcW w:w="240" w:type="dxa"/>
            <w:vAlign w:val="bottom"/>
          </w:tcPr>
          <w:p>
            <w:pPr>
              <w:ind w:left="100"/>
              <w:spacing w:after="0"/>
              <w:rPr>
                <w:sz w:val="20"/>
                <w:szCs w:val="20"/>
                <w:color w:val="auto"/>
              </w:rPr>
            </w:pPr>
            <w:r>
              <w:rPr>
                <w:rFonts w:ascii="Arial" w:cs="Arial" w:eastAsia="Arial" w:hAnsi="Arial"/>
                <w:sz w:val="16"/>
                <w:szCs w:val="16"/>
                <w:color w:val="4C4C4C"/>
              </w:rPr>
              <w:t>​</w:t>
            </w:r>
          </w:p>
        </w:tc>
        <w:tc>
          <w:tcPr>
            <w:tcW w:w="220" w:type="dxa"/>
            <w:vAlign w:val="bottom"/>
          </w:tcPr>
          <w:p>
            <w:pPr>
              <w:ind w:left="100"/>
              <w:spacing w:after="0"/>
              <w:rPr>
                <w:sz w:val="20"/>
                <w:szCs w:val="20"/>
                <w:color w:val="auto"/>
              </w:rPr>
            </w:pPr>
            <w:r>
              <w:rPr>
                <w:rFonts w:ascii="Arial" w:cs="Arial" w:eastAsia="Arial" w:hAnsi="Arial"/>
                <w:sz w:val="16"/>
                <w:szCs w:val="16"/>
                <w:color w:val="4C4C4C"/>
              </w:rPr>
              <w:t>​</w:t>
            </w:r>
          </w:p>
        </w:tc>
        <w:tc>
          <w:tcPr>
            <w:tcW w:w="130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16"/>
                <w:szCs w:val="16"/>
                <w:color w:val="4C4C4C"/>
              </w:rPr>
              <w:t>​</w:t>
            </w:r>
          </w:p>
        </w:tc>
      </w:tr>
      <w:tr>
        <w:trPr>
          <w:trHeight w:val="243"/>
        </w:trPr>
        <w:tc>
          <w:tcPr>
            <w:tcW w:w="298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James J. Barber</w:t>
            </w:r>
          </w:p>
        </w:tc>
        <w:tc>
          <w:tcPr>
            <w:tcW w:w="540" w:type="dxa"/>
            <w:vAlign w:val="bottom"/>
            <w:shd w:val="clear" w:color="auto" w:fill="E1E7EF"/>
          </w:tcPr>
          <w:p>
            <w:pPr>
              <w:ind w:left="380"/>
              <w:spacing w:after="0"/>
              <w:rPr>
                <w:sz w:val="20"/>
                <w:szCs w:val="20"/>
                <w:color w:val="auto"/>
              </w:rPr>
            </w:pPr>
            <w:r>
              <w:rPr>
                <w:rFonts w:ascii="Arial" w:cs="Arial" w:eastAsia="Arial" w:hAnsi="Arial"/>
                <w:sz w:val="16"/>
                <w:szCs w:val="16"/>
                <w:color w:val="4C4C4C"/>
              </w:rPr>
              <w:t>​</w:t>
            </w:r>
          </w:p>
        </w:tc>
        <w:tc>
          <w:tcPr>
            <w:tcW w:w="20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960" w:type="dxa"/>
            <w:vAlign w:val="bottom"/>
            <w:shd w:val="clear" w:color="auto" w:fill="E1E7EF"/>
          </w:tcPr>
          <w:p>
            <w:pPr>
              <w:jc w:val="right"/>
              <w:ind w:right="359"/>
              <w:spacing w:after="0"/>
              <w:rPr>
                <w:sz w:val="20"/>
                <w:szCs w:val="20"/>
                <w:color w:val="auto"/>
              </w:rPr>
            </w:pPr>
            <w:r>
              <w:rPr>
                <w:rFonts w:ascii="Arial" w:cs="Arial" w:eastAsia="Arial" w:hAnsi="Arial"/>
                <w:sz w:val="16"/>
                <w:szCs w:val="16"/>
                <w:color w:val="4C4C4C"/>
              </w:rPr>
              <w:t>●</w:t>
            </w:r>
          </w:p>
        </w:tc>
        <w:tc>
          <w:tcPr>
            <w:tcW w:w="240" w:type="dxa"/>
            <w:vAlign w:val="bottom"/>
            <w:shd w:val="clear" w:color="auto" w:fill="E1E7EF"/>
          </w:tcPr>
          <w:p>
            <w:pPr>
              <w:ind w:left="80"/>
              <w:spacing w:after="0"/>
              <w:rPr>
                <w:sz w:val="20"/>
                <w:szCs w:val="20"/>
                <w:color w:val="auto"/>
              </w:rPr>
            </w:pPr>
            <w:r>
              <w:rPr>
                <w:rFonts w:ascii="Arial" w:cs="Arial" w:eastAsia="Arial" w:hAnsi="Arial"/>
                <w:sz w:val="16"/>
                <w:szCs w:val="16"/>
                <w:color w:val="4C4C4C"/>
              </w:rPr>
              <w:t>​</w:t>
            </w:r>
          </w:p>
        </w:tc>
        <w:tc>
          <w:tcPr>
            <w:tcW w:w="20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1220" w:type="dxa"/>
            <w:vAlign w:val="bottom"/>
            <w:shd w:val="clear" w:color="auto" w:fill="E1E7EF"/>
          </w:tcPr>
          <w:p>
            <w:pPr>
              <w:spacing w:after="0"/>
              <w:rPr>
                <w:sz w:val="21"/>
                <w:szCs w:val="21"/>
                <w:color w:val="auto"/>
              </w:rPr>
            </w:pPr>
          </w:p>
        </w:tc>
        <w:tc>
          <w:tcPr>
            <w:tcW w:w="24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22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1300" w:type="dxa"/>
            <w:vAlign w:val="bottom"/>
            <w:shd w:val="clear" w:color="auto" w:fill="E1E7EF"/>
          </w:tcPr>
          <w:p>
            <w:pPr>
              <w:spacing w:after="0"/>
              <w:rPr>
                <w:sz w:val="21"/>
                <w:szCs w:val="21"/>
                <w:color w:val="auto"/>
              </w:rPr>
            </w:pPr>
          </w:p>
        </w:tc>
        <w:tc>
          <w:tcPr>
            <w:tcW w:w="100" w:type="dxa"/>
            <w:vAlign w:val="bottom"/>
            <w:shd w:val="clear" w:color="auto" w:fill="E1E7EF"/>
          </w:tcPr>
          <w:p>
            <w:pPr>
              <w:ind w:left="40"/>
              <w:spacing w:after="0"/>
              <w:rPr>
                <w:sz w:val="20"/>
                <w:szCs w:val="20"/>
                <w:color w:val="auto"/>
              </w:rPr>
            </w:pPr>
            <w:r>
              <w:rPr>
                <w:rFonts w:ascii="Arial" w:cs="Arial" w:eastAsia="Arial" w:hAnsi="Arial"/>
                <w:sz w:val="16"/>
                <w:szCs w:val="16"/>
                <w:color w:val="4C4C4C"/>
              </w:rPr>
              <w:t>​</w:t>
            </w:r>
          </w:p>
        </w:tc>
      </w:tr>
      <w:tr>
        <w:trPr>
          <w:trHeight w:val="243"/>
        </w:trPr>
        <w:tc>
          <w:tcPr>
            <w:tcW w:w="2980" w:type="dxa"/>
            <w:vAlign w:val="bottom"/>
          </w:tcPr>
          <w:p>
            <w:pPr>
              <w:ind w:left="100"/>
              <w:spacing w:after="0"/>
              <w:rPr>
                <w:sz w:val="20"/>
                <w:szCs w:val="20"/>
                <w:color w:val="auto"/>
              </w:rPr>
            </w:pPr>
            <w:r>
              <w:rPr>
                <w:rFonts w:ascii="Arial" w:cs="Arial" w:eastAsia="Arial" w:hAnsi="Arial"/>
                <w:sz w:val="16"/>
                <w:szCs w:val="16"/>
                <w:color w:val="4C4C4C"/>
              </w:rPr>
              <w:t>Carol J. Battershell</w:t>
            </w:r>
          </w:p>
        </w:tc>
        <w:tc>
          <w:tcPr>
            <w:tcW w:w="540" w:type="dxa"/>
            <w:vAlign w:val="bottom"/>
          </w:tcPr>
          <w:p>
            <w:pPr>
              <w:ind w:left="380"/>
              <w:spacing w:after="0"/>
              <w:rPr>
                <w:sz w:val="20"/>
                <w:szCs w:val="20"/>
                <w:color w:val="auto"/>
              </w:rPr>
            </w:pPr>
            <w:r>
              <w:rPr>
                <w:rFonts w:ascii="Arial" w:cs="Arial" w:eastAsia="Arial" w:hAnsi="Arial"/>
                <w:sz w:val="16"/>
                <w:szCs w:val="16"/>
                <w:color w:val="4C4C4C"/>
              </w:rPr>
              <w:t>​</w:t>
            </w:r>
          </w:p>
        </w:tc>
        <w:tc>
          <w:tcPr>
            <w:tcW w:w="200" w:type="dxa"/>
            <w:vAlign w:val="bottom"/>
          </w:tcPr>
          <w:p>
            <w:pPr>
              <w:ind w:left="100"/>
              <w:spacing w:after="0"/>
              <w:rPr>
                <w:sz w:val="20"/>
                <w:szCs w:val="20"/>
                <w:color w:val="auto"/>
              </w:rPr>
            </w:pPr>
            <w:r>
              <w:rPr>
                <w:rFonts w:ascii="Arial" w:cs="Arial" w:eastAsia="Arial" w:hAnsi="Arial"/>
                <w:sz w:val="16"/>
                <w:szCs w:val="16"/>
                <w:color w:val="4C4C4C"/>
              </w:rPr>
              <w:t>​</w:t>
            </w:r>
          </w:p>
        </w:tc>
        <w:tc>
          <w:tcPr>
            <w:tcW w:w="960" w:type="dxa"/>
            <w:vAlign w:val="bottom"/>
          </w:tcPr>
          <w:p>
            <w:pPr>
              <w:jc w:val="right"/>
              <w:ind w:right="359"/>
              <w:spacing w:after="0"/>
              <w:rPr>
                <w:sz w:val="20"/>
                <w:szCs w:val="20"/>
                <w:color w:val="auto"/>
              </w:rPr>
            </w:pPr>
            <w:r>
              <w:rPr>
                <w:rFonts w:ascii="Arial" w:cs="Arial" w:eastAsia="Arial" w:hAnsi="Arial"/>
                <w:sz w:val="16"/>
                <w:szCs w:val="16"/>
                <w:color w:val="4C4C4C"/>
              </w:rPr>
              <w:t>​</w:t>
            </w:r>
          </w:p>
        </w:tc>
        <w:tc>
          <w:tcPr>
            <w:tcW w:w="240" w:type="dxa"/>
            <w:vAlign w:val="bottom"/>
          </w:tcPr>
          <w:p>
            <w:pPr>
              <w:ind w:left="80"/>
              <w:spacing w:after="0"/>
              <w:rPr>
                <w:sz w:val="20"/>
                <w:szCs w:val="20"/>
                <w:color w:val="auto"/>
              </w:rPr>
            </w:pPr>
            <w:r>
              <w:rPr>
                <w:rFonts w:ascii="Arial" w:cs="Arial" w:eastAsia="Arial" w:hAnsi="Arial"/>
                <w:sz w:val="16"/>
                <w:szCs w:val="16"/>
                <w:color w:val="4C4C4C"/>
              </w:rPr>
              <w:t>​</w:t>
            </w:r>
          </w:p>
        </w:tc>
        <w:tc>
          <w:tcPr>
            <w:tcW w:w="200" w:type="dxa"/>
            <w:vAlign w:val="bottom"/>
          </w:tcPr>
          <w:p>
            <w:pPr>
              <w:ind w:left="100"/>
              <w:spacing w:after="0"/>
              <w:rPr>
                <w:sz w:val="20"/>
                <w:szCs w:val="20"/>
                <w:color w:val="auto"/>
              </w:rPr>
            </w:pPr>
            <w:r>
              <w:rPr>
                <w:rFonts w:ascii="Arial" w:cs="Arial" w:eastAsia="Arial" w:hAnsi="Arial"/>
                <w:sz w:val="16"/>
                <w:szCs w:val="16"/>
                <w:color w:val="4C4C4C"/>
              </w:rPr>
              <w:t>​</w:t>
            </w:r>
          </w:p>
        </w:tc>
        <w:tc>
          <w:tcPr>
            <w:tcW w:w="1220" w:type="dxa"/>
            <w:vAlign w:val="bottom"/>
          </w:tcPr>
          <w:p>
            <w:pPr>
              <w:jc w:val="center"/>
              <w:spacing w:after="0"/>
              <w:rPr>
                <w:sz w:val="20"/>
                <w:szCs w:val="20"/>
                <w:color w:val="auto"/>
              </w:rPr>
            </w:pPr>
            <w:r>
              <w:rPr>
                <w:rFonts w:ascii="Arial" w:cs="Arial" w:eastAsia="Arial" w:hAnsi="Arial"/>
                <w:sz w:val="16"/>
                <w:szCs w:val="16"/>
                <w:color w:val="4C4C4C"/>
              </w:rPr>
              <w:t>●</w:t>
            </w:r>
          </w:p>
        </w:tc>
        <w:tc>
          <w:tcPr>
            <w:tcW w:w="240" w:type="dxa"/>
            <w:vAlign w:val="bottom"/>
          </w:tcPr>
          <w:p>
            <w:pPr>
              <w:ind w:left="100"/>
              <w:spacing w:after="0"/>
              <w:rPr>
                <w:sz w:val="20"/>
                <w:szCs w:val="20"/>
                <w:color w:val="auto"/>
              </w:rPr>
            </w:pPr>
            <w:r>
              <w:rPr>
                <w:rFonts w:ascii="Arial" w:cs="Arial" w:eastAsia="Arial" w:hAnsi="Arial"/>
                <w:sz w:val="16"/>
                <w:szCs w:val="16"/>
                <w:color w:val="4C4C4C"/>
              </w:rPr>
              <w:t>​</w:t>
            </w:r>
          </w:p>
        </w:tc>
        <w:tc>
          <w:tcPr>
            <w:tcW w:w="220" w:type="dxa"/>
            <w:vAlign w:val="bottom"/>
          </w:tcPr>
          <w:p>
            <w:pPr>
              <w:ind w:left="100"/>
              <w:spacing w:after="0"/>
              <w:rPr>
                <w:sz w:val="20"/>
                <w:szCs w:val="20"/>
                <w:color w:val="auto"/>
              </w:rPr>
            </w:pPr>
            <w:r>
              <w:rPr>
                <w:rFonts w:ascii="Arial" w:cs="Arial" w:eastAsia="Arial" w:hAnsi="Arial"/>
                <w:sz w:val="16"/>
                <w:szCs w:val="16"/>
                <w:color w:val="4C4C4C"/>
              </w:rPr>
              <w:t>​</w:t>
            </w:r>
          </w:p>
        </w:tc>
        <w:tc>
          <w:tcPr>
            <w:tcW w:w="130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16"/>
                <w:szCs w:val="16"/>
                <w:color w:val="4C4C4C"/>
              </w:rPr>
              <w:t>​</w:t>
            </w:r>
          </w:p>
        </w:tc>
      </w:tr>
      <w:tr>
        <w:trPr>
          <w:trHeight w:val="243"/>
        </w:trPr>
        <w:tc>
          <w:tcPr>
            <w:tcW w:w="298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William H. Baum</w:t>
            </w:r>
          </w:p>
        </w:tc>
        <w:tc>
          <w:tcPr>
            <w:tcW w:w="540" w:type="dxa"/>
            <w:vAlign w:val="bottom"/>
            <w:shd w:val="clear" w:color="auto" w:fill="E1E7EF"/>
          </w:tcPr>
          <w:p>
            <w:pPr>
              <w:ind w:left="380"/>
              <w:spacing w:after="0"/>
              <w:rPr>
                <w:sz w:val="20"/>
                <w:szCs w:val="20"/>
                <w:color w:val="auto"/>
              </w:rPr>
            </w:pPr>
            <w:r>
              <w:rPr>
                <w:rFonts w:ascii="Arial" w:cs="Arial" w:eastAsia="Arial" w:hAnsi="Arial"/>
                <w:sz w:val="16"/>
                <w:szCs w:val="16"/>
                <w:color w:val="4C4C4C"/>
              </w:rPr>
              <w:t>​</w:t>
            </w:r>
          </w:p>
        </w:tc>
        <w:tc>
          <w:tcPr>
            <w:tcW w:w="20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960" w:type="dxa"/>
            <w:vAlign w:val="bottom"/>
            <w:shd w:val="clear" w:color="auto" w:fill="E1E7EF"/>
          </w:tcPr>
          <w:p>
            <w:pPr>
              <w:jc w:val="right"/>
              <w:ind w:right="359"/>
              <w:spacing w:after="0"/>
              <w:rPr>
                <w:sz w:val="20"/>
                <w:szCs w:val="20"/>
                <w:color w:val="auto"/>
              </w:rPr>
            </w:pPr>
            <w:r>
              <w:rPr>
                <w:rFonts w:ascii="Arial" w:cs="Arial" w:eastAsia="Arial" w:hAnsi="Arial"/>
                <w:sz w:val="16"/>
                <w:szCs w:val="16"/>
                <w:color w:val="4C4C4C"/>
              </w:rPr>
              <w:t>​</w:t>
            </w:r>
          </w:p>
        </w:tc>
        <w:tc>
          <w:tcPr>
            <w:tcW w:w="240" w:type="dxa"/>
            <w:vAlign w:val="bottom"/>
            <w:shd w:val="clear" w:color="auto" w:fill="E1E7EF"/>
          </w:tcPr>
          <w:p>
            <w:pPr>
              <w:ind w:left="80"/>
              <w:spacing w:after="0"/>
              <w:rPr>
                <w:sz w:val="20"/>
                <w:szCs w:val="20"/>
                <w:color w:val="auto"/>
              </w:rPr>
            </w:pPr>
            <w:r>
              <w:rPr>
                <w:rFonts w:ascii="Arial" w:cs="Arial" w:eastAsia="Arial" w:hAnsi="Arial"/>
                <w:sz w:val="16"/>
                <w:szCs w:val="16"/>
                <w:color w:val="4C4C4C"/>
              </w:rPr>
              <w:t>​</w:t>
            </w:r>
          </w:p>
        </w:tc>
        <w:tc>
          <w:tcPr>
            <w:tcW w:w="20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1220" w:type="dxa"/>
            <w:vAlign w:val="bottom"/>
            <w:shd w:val="clear" w:color="auto" w:fill="E1E7EF"/>
          </w:tcPr>
          <w:p>
            <w:pPr>
              <w:spacing w:after="0"/>
              <w:rPr>
                <w:sz w:val="21"/>
                <w:szCs w:val="21"/>
                <w:color w:val="auto"/>
              </w:rPr>
            </w:pPr>
          </w:p>
        </w:tc>
        <w:tc>
          <w:tcPr>
            <w:tcW w:w="24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22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1300" w:type="dxa"/>
            <w:vAlign w:val="bottom"/>
            <w:shd w:val="clear" w:color="auto" w:fill="E1E7EF"/>
          </w:tcPr>
          <w:p>
            <w:pPr>
              <w:jc w:val="center"/>
              <w:spacing w:after="0"/>
              <w:rPr>
                <w:sz w:val="20"/>
                <w:szCs w:val="20"/>
                <w:color w:val="auto"/>
              </w:rPr>
            </w:pPr>
            <w:r>
              <w:rPr>
                <w:rFonts w:ascii="Arial" w:cs="Arial" w:eastAsia="Arial" w:hAnsi="Arial"/>
                <w:sz w:val="16"/>
                <w:szCs w:val="16"/>
                <w:b w:val="1"/>
                <w:bCs w:val="1"/>
                <w:color w:val="4C4C4C"/>
                <w:w w:val="86"/>
              </w:rPr>
              <w:t>C</w:t>
            </w:r>
          </w:p>
        </w:tc>
        <w:tc>
          <w:tcPr>
            <w:tcW w:w="100" w:type="dxa"/>
            <w:vAlign w:val="bottom"/>
            <w:shd w:val="clear" w:color="auto" w:fill="E1E7EF"/>
          </w:tcPr>
          <w:p>
            <w:pPr>
              <w:ind w:left="40"/>
              <w:spacing w:after="0"/>
              <w:rPr>
                <w:sz w:val="20"/>
                <w:szCs w:val="20"/>
                <w:color w:val="auto"/>
              </w:rPr>
            </w:pPr>
            <w:r>
              <w:rPr>
                <w:rFonts w:ascii="Arial" w:cs="Arial" w:eastAsia="Arial" w:hAnsi="Arial"/>
                <w:sz w:val="16"/>
                <w:szCs w:val="16"/>
                <w:color w:val="4C4C4C"/>
              </w:rPr>
              <w:t>​</w:t>
            </w:r>
          </w:p>
        </w:tc>
      </w:tr>
      <w:tr>
        <w:trPr>
          <w:trHeight w:val="243"/>
        </w:trPr>
        <w:tc>
          <w:tcPr>
            <w:tcW w:w="2980" w:type="dxa"/>
            <w:vAlign w:val="bottom"/>
          </w:tcPr>
          <w:p>
            <w:pPr>
              <w:ind w:left="100"/>
              <w:spacing w:after="0"/>
              <w:rPr>
                <w:sz w:val="20"/>
                <w:szCs w:val="20"/>
                <w:color w:val="auto"/>
              </w:rPr>
            </w:pPr>
            <w:r>
              <w:rPr>
                <w:rFonts w:ascii="Arial" w:cs="Arial" w:eastAsia="Arial" w:hAnsi="Arial"/>
                <w:sz w:val="16"/>
                <w:szCs w:val="16"/>
                <w:color w:val="4C4C4C"/>
              </w:rPr>
              <w:t>Paul D. Bloom</w:t>
            </w:r>
          </w:p>
        </w:tc>
        <w:tc>
          <w:tcPr>
            <w:tcW w:w="540" w:type="dxa"/>
            <w:vAlign w:val="bottom"/>
          </w:tcPr>
          <w:p>
            <w:pPr>
              <w:ind w:left="380"/>
              <w:spacing w:after="0"/>
              <w:rPr>
                <w:sz w:val="20"/>
                <w:szCs w:val="20"/>
                <w:color w:val="auto"/>
              </w:rPr>
            </w:pPr>
            <w:r>
              <w:rPr>
                <w:rFonts w:ascii="Arial" w:cs="Arial" w:eastAsia="Arial" w:hAnsi="Arial"/>
                <w:sz w:val="16"/>
                <w:szCs w:val="16"/>
                <w:color w:val="4C4C4C"/>
              </w:rPr>
              <w:t>​</w:t>
            </w:r>
          </w:p>
        </w:tc>
        <w:tc>
          <w:tcPr>
            <w:tcW w:w="200" w:type="dxa"/>
            <w:vAlign w:val="bottom"/>
          </w:tcPr>
          <w:p>
            <w:pPr>
              <w:ind w:left="100"/>
              <w:spacing w:after="0"/>
              <w:rPr>
                <w:sz w:val="20"/>
                <w:szCs w:val="20"/>
                <w:color w:val="auto"/>
              </w:rPr>
            </w:pPr>
            <w:r>
              <w:rPr>
                <w:rFonts w:ascii="Arial" w:cs="Arial" w:eastAsia="Arial" w:hAnsi="Arial"/>
                <w:sz w:val="16"/>
                <w:szCs w:val="16"/>
                <w:color w:val="4C4C4C"/>
              </w:rPr>
              <w:t>​</w:t>
            </w:r>
          </w:p>
        </w:tc>
        <w:tc>
          <w:tcPr>
            <w:tcW w:w="960" w:type="dxa"/>
            <w:vAlign w:val="bottom"/>
          </w:tcPr>
          <w:p>
            <w:pPr>
              <w:jc w:val="right"/>
              <w:ind w:right="359"/>
              <w:spacing w:after="0"/>
              <w:rPr>
                <w:sz w:val="20"/>
                <w:szCs w:val="20"/>
                <w:color w:val="auto"/>
              </w:rPr>
            </w:pPr>
            <w:r>
              <w:rPr>
                <w:rFonts w:ascii="Arial" w:cs="Arial" w:eastAsia="Arial" w:hAnsi="Arial"/>
                <w:sz w:val="16"/>
                <w:szCs w:val="16"/>
                <w:color w:val="4C4C4C"/>
              </w:rPr>
              <w:t>​</w:t>
            </w:r>
          </w:p>
        </w:tc>
        <w:tc>
          <w:tcPr>
            <w:tcW w:w="240" w:type="dxa"/>
            <w:vAlign w:val="bottom"/>
          </w:tcPr>
          <w:p>
            <w:pPr>
              <w:ind w:left="80"/>
              <w:spacing w:after="0"/>
              <w:rPr>
                <w:sz w:val="20"/>
                <w:szCs w:val="20"/>
                <w:color w:val="auto"/>
              </w:rPr>
            </w:pPr>
            <w:r>
              <w:rPr>
                <w:rFonts w:ascii="Arial" w:cs="Arial" w:eastAsia="Arial" w:hAnsi="Arial"/>
                <w:sz w:val="16"/>
                <w:szCs w:val="16"/>
                <w:color w:val="4C4C4C"/>
              </w:rPr>
              <w:t>​</w:t>
            </w:r>
          </w:p>
        </w:tc>
        <w:tc>
          <w:tcPr>
            <w:tcW w:w="200" w:type="dxa"/>
            <w:vAlign w:val="bottom"/>
          </w:tcPr>
          <w:p>
            <w:pPr>
              <w:ind w:left="100"/>
              <w:spacing w:after="0"/>
              <w:rPr>
                <w:sz w:val="20"/>
                <w:szCs w:val="20"/>
                <w:color w:val="auto"/>
              </w:rPr>
            </w:pPr>
            <w:r>
              <w:rPr>
                <w:rFonts w:ascii="Arial" w:cs="Arial" w:eastAsia="Arial" w:hAnsi="Arial"/>
                <w:sz w:val="16"/>
                <w:szCs w:val="16"/>
                <w:color w:val="4C4C4C"/>
              </w:rPr>
              <w:t>​</w:t>
            </w:r>
          </w:p>
        </w:tc>
        <w:tc>
          <w:tcPr>
            <w:tcW w:w="1220" w:type="dxa"/>
            <w:vAlign w:val="bottom"/>
          </w:tcPr>
          <w:p>
            <w:pPr>
              <w:spacing w:after="0"/>
              <w:rPr>
                <w:sz w:val="21"/>
                <w:szCs w:val="21"/>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4C4C4C"/>
              </w:rPr>
              <w:t>​</w:t>
            </w:r>
          </w:p>
        </w:tc>
        <w:tc>
          <w:tcPr>
            <w:tcW w:w="220" w:type="dxa"/>
            <w:vAlign w:val="bottom"/>
          </w:tcPr>
          <w:p>
            <w:pPr>
              <w:ind w:left="100"/>
              <w:spacing w:after="0"/>
              <w:rPr>
                <w:sz w:val="20"/>
                <w:szCs w:val="20"/>
                <w:color w:val="auto"/>
              </w:rPr>
            </w:pPr>
            <w:r>
              <w:rPr>
                <w:rFonts w:ascii="Arial" w:cs="Arial" w:eastAsia="Arial" w:hAnsi="Arial"/>
                <w:sz w:val="16"/>
                <w:szCs w:val="16"/>
                <w:color w:val="4C4C4C"/>
              </w:rPr>
              <w:t>​</w:t>
            </w:r>
          </w:p>
        </w:tc>
        <w:tc>
          <w:tcPr>
            <w:tcW w:w="130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16"/>
                <w:szCs w:val="16"/>
                <w:color w:val="4C4C4C"/>
              </w:rPr>
              <w:t>​</w:t>
            </w:r>
          </w:p>
        </w:tc>
      </w:tr>
      <w:tr>
        <w:trPr>
          <w:trHeight w:val="243"/>
        </w:trPr>
        <w:tc>
          <w:tcPr>
            <w:tcW w:w="298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Mary Kathryn Ellet</w:t>
            </w:r>
          </w:p>
        </w:tc>
        <w:tc>
          <w:tcPr>
            <w:tcW w:w="540" w:type="dxa"/>
            <w:vAlign w:val="bottom"/>
            <w:shd w:val="clear" w:color="auto" w:fill="E1E7EF"/>
          </w:tcPr>
          <w:p>
            <w:pPr>
              <w:ind w:left="380"/>
              <w:spacing w:after="0"/>
              <w:rPr>
                <w:sz w:val="20"/>
                <w:szCs w:val="20"/>
                <w:color w:val="auto"/>
              </w:rPr>
            </w:pPr>
            <w:r>
              <w:rPr>
                <w:rFonts w:ascii="Arial" w:cs="Arial" w:eastAsia="Arial" w:hAnsi="Arial"/>
                <w:sz w:val="16"/>
                <w:szCs w:val="16"/>
                <w:color w:val="4C4C4C"/>
              </w:rPr>
              <w:t>​</w:t>
            </w:r>
          </w:p>
        </w:tc>
        <w:tc>
          <w:tcPr>
            <w:tcW w:w="20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960" w:type="dxa"/>
            <w:vAlign w:val="bottom"/>
            <w:shd w:val="clear" w:color="auto" w:fill="E1E7EF"/>
          </w:tcPr>
          <w:p>
            <w:pPr>
              <w:jc w:val="right"/>
              <w:ind w:right="359"/>
              <w:spacing w:after="0"/>
              <w:rPr>
                <w:sz w:val="20"/>
                <w:szCs w:val="20"/>
                <w:color w:val="auto"/>
              </w:rPr>
            </w:pPr>
            <w:r>
              <w:rPr>
                <w:rFonts w:ascii="Arial" w:cs="Arial" w:eastAsia="Arial" w:hAnsi="Arial"/>
                <w:sz w:val="16"/>
                <w:szCs w:val="16"/>
                <w:color w:val="4C4C4C"/>
              </w:rPr>
              <w:t>●</w:t>
            </w:r>
          </w:p>
        </w:tc>
        <w:tc>
          <w:tcPr>
            <w:tcW w:w="240" w:type="dxa"/>
            <w:vAlign w:val="bottom"/>
            <w:shd w:val="clear" w:color="auto" w:fill="E1E7EF"/>
          </w:tcPr>
          <w:p>
            <w:pPr>
              <w:ind w:left="80"/>
              <w:spacing w:after="0"/>
              <w:rPr>
                <w:sz w:val="20"/>
                <w:szCs w:val="20"/>
                <w:color w:val="auto"/>
              </w:rPr>
            </w:pPr>
            <w:r>
              <w:rPr>
                <w:rFonts w:ascii="Arial" w:cs="Arial" w:eastAsia="Arial" w:hAnsi="Arial"/>
                <w:sz w:val="16"/>
                <w:szCs w:val="16"/>
                <w:color w:val="4C4C4C"/>
              </w:rPr>
              <w:t>​</w:t>
            </w:r>
          </w:p>
        </w:tc>
        <w:tc>
          <w:tcPr>
            <w:tcW w:w="20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1220" w:type="dxa"/>
            <w:vAlign w:val="bottom"/>
            <w:shd w:val="clear" w:color="auto" w:fill="E1E7EF"/>
          </w:tcPr>
          <w:p>
            <w:pPr>
              <w:spacing w:after="0"/>
              <w:rPr>
                <w:sz w:val="21"/>
                <w:szCs w:val="21"/>
                <w:color w:val="auto"/>
              </w:rPr>
            </w:pPr>
          </w:p>
        </w:tc>
        <w:tc>
          <w:tcPr>
            <w:tcW w:w="24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22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1300" w:type="dxa"/>
            <w:vAlign w:val="bottom"/>
            <w:shd w:val="clear" w:color="auto" w:fill="E1E7EF"/>
          </w:tcPr>
          <w:p>
            <w:pPr>
              <w:spacing w:after="0"/>
              <w:rPr>
                <w:sz w:val="21"/>
                <w:szCs w:val="21"/>
                <w:color w:val="auto"/>
              </w:rPr>
            </w:pPr>
          </w:p>
        </w:tc>
        <w:tc>
          <w:tcPr>
            <w:tcW w:w="100" w:type="dxa"/>
            <w:vAlign w:val="bottom"/>
            <w:shd w:val="clear" w:color="auto" w:fill="E1E7EF"/>
          </w:tcPr>
          <w:p>
            <w:pPr>
              <w:ind w:left="40"/>
              <w:spacing w:after="0"/>
              <w:rPr>
                <w:sz w:val="20"/>
                <w:szCs w:val="20"/>
                <w:color w:val="auto"/>
              </w:rPr>
            </w:pPr>
            <w:r>
              <w:rPr>
                <w:rFonts w:ascii="Arial" w:cs="Arial" w:eastAsia="Arial" w:hAnsi="Arial"/>
                <w:sz w:val="16"/>
                <w:szCs w:val="16"/>
                <w:color w:val="4C4C4C"/>
              </w:rPr>
              <w:t>​</w:t>
            </w:r>
          </w:p>
        </w:tc>
      </w:tr>
      <w:tr>
        <w:trPr>
          <w:trHeight w:val="243"/>
        </w:trPr>
        <w:tc>
          <w:tcPr>
            <w:tcW w:w="2980" w:type="dxa"/>
            <w:vAlign w:val="bottom"/>
          </w:tcPr>
          <w:p>
            <w:pPr>
              <w:ind w:left="100"/>
              <w:spacing w:after="0"/>
              <w:rPr>
                <w:sz w:val="20"/>
                <w:szCs w:val="20"/>
                <w:color w:val="auto"/>
              </w:rPr>
            </w:pPr>
            <w:r>
              <w:rPr>
                <w:rFonts w:ascii="Arial" w:cs="Arial" w:eastAsia="Arial" w:hAnsi="Arial"/>
                <w:sz w:val="16"/>
                <w:szCs w:val="16"/>
                <w:color w:val="4C4C4C"/>
              </w:rPr>
              <w:t>Patrick R. Gruber</w:t>
            </w:r>
          </w:p>
        </w:tc>
        <w:tc>
          <w:tcPr>
            <w:tcW w:w="540" w:type="dxa"/>
            <w:vAlign w:val="bottom"/>
          </w:tcPr>
          <w:p>
            <w:pPr>
              <w:ind w:left="380"/>
              <w:spacing w:after="0"/>
              <w:rPr>
                <w:sz w:val="20"/>
                <w:szCs w:val="20"/>
                <w:color w:val="auto"/>
              </w:rPr>
            </w:pPr>
            <w:r>
              <w:rPr>
                <w:rFonts w:ascii="Arial" w:cs="Arial" w:eastAsia="Arial" w:hAnsi="Arial"/>
                <w:sz w:val="16"/>
                <w:szCs w:val="16"/>
                <w:color w:val="4C4C4C"/>
              </w:rPr>
              <w:t>​</w:t>
            </w:r>
          </w:p>
        </w:tc>
        <w:tc>
          <w:tcPr>
            <w:tcW w:w="200" w:type="dxa"/>
            <w:vAlign w:val="bottom"/>
          </w:tcPr>
          <w:p>
            <w:pPr>
              <w:ind w:left="100"/>
              <w:spacing w:after="0"/>
              <w:rPr>
                <w:sz w:val="20"/>
                <w:szCs w:val="20"/>
                <w:color w:val="auto"/>
              </w:rPr>
            </w:pPr>
            <w:r>
              <w:rPr>
                <w:rFonts w:ascii="Arial" w:cs="Arial" w:eastAsia="Arial" w:hAnsi="Arial"/>
                <w:sz w:val="16"/>
                <w:szCs w:val="16"/>
                <w:color w:val="4C4C4C"/>
              </w:rPr>
              <w:t>​</w:t>
            </w:r>
          </w:p>
        </w:tc>
        <w:tc>
          <w:tcPr>
            <w:tcW w:w="960" w:type="dxa"/>
            <w:vAlign w:val="bottom"/>
          </w:tcPr>
          <w:p>
            <w:pPr>
              <w:jc w:val="right"/>
              <w:ind w:right="359"/>
              <w:spacing w:after="0"/>
              <w:rPr>
                <w:sz w:val="20"/>
                <w:szCs w:val="20"/>
                <w:color w:val="auto"/>
              </w:rPr>
            </w:pPr>
            <w:r>
              <w:rPr>
                <w:rFonts w:ascii="Arial" w:cs="Arial" w:eastAsia="Arial" w:hAnsi="Arial"/>
                <w:sz w:val="16"/>
                <w:szCs w:val="16"/>
                <w:color w:val="4C4C4C"/>
              </w:rPr>
              <w:t>​</w:t>
            </w:r>
          </w:p>
        </w:tc>
        <w:tc>
          <w:tcPr>
            <w:tcW w:w="240" w:type="dxa"/>
            <w:vAlign w:val="bottom"/>
          </w:tcPr>
          <w:p>
            <w:pPr>
              <w:ind w:left="80"/>
              <w:spacing w:after="0"/>
              <w:rPr>
                <w:sz w:val="20"/>
                <w:szCs w:val="20"/>
                <w:color w:val="auto"/>
              </w:rPr>
            </w:pPr>
            <w:r>
              <w:rPr>
                <w:rFonts w:ascii="Arial" w:cs="Arial" w:eastAsia="Arial" w:hAnsi="Arial"/>
                <w:sz w:val="16"/>
                <w:szCs w:val="16"/>
                <w:color w:val="4C4C4C"/>
              </w:rPr>
              <w:t>​</w:t>
            </w:r>
          </w:p>
        </w:tc>
        <w:tc>
          <w:tcPr>
            <w:tcW w:w="200" w:type="dxa"/>
            <w:vAlign w:val="bottom"/>
          </w:tcPr>
          <w:p>
            <w:pPr>
              <w:ind w:left="100"/>
              <w:spacing w:after="0"/>
              <w:rPr>
                <w:sz w:val="20"/>
                <w:szCs w:val="20"/>
                <w:color w:val="auto"/>
              </w:rPr>
            </w:pPr>
            <w:r>
              <w:rPr>
                <w:rFonts w:ascii="Arial" w:cs="Arial" w:eastAsia="Arial" w:hAnsi="Arial"/>
                <w:sz w:val="16"/>
                <w:szCs w:val="16"/>
                <w:color w:val="4C4C4C"/>
              </w:rPr>
              <w:t>​</w:t>
            </w:r>
          </w:p>
        </w:tc>
        <w:tc>
          <w:tcPr>
            <w:tcW w:w="1220" w:type="dxa"/>
            <w:vAlign w:val="bottom"/>
          </w:tcPr>
          <w:p>
            <w:pPr>
              <w:spacing w:after="0"/>
              <w:rPr>
                <w:sz w:val="21"/>
                <w:szCs w:val="21"/>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4C4C4C"/>
              </w:rPr>
              <w:t>​</w:t>
            </w:r>
          </w:p>
        </w:tc>
        <w:tc>
          <w:tcPr>
            <w:tcW w:w="220" w:type="dxa"/>
            <w:vAlign w:val="bottom"/>
          </w:tcPr>
          <w:p>
            <w:pPr>
              <w:ind w:left="100"/>
              <w:spacing w:after="0"/>
              <w:rPr>
                <w:sz w:val="20"/>
                <w:szCs w:val="20"/>
                <w:color w:val="auto"/>
              </w:rPr>
            </w:pPr>
            <w:r>
              <w:rPr>
                <w:rFonts w:ascii="Arial" w:cs="Arial" w:eastAsia="Arial" w:hAnsi="Arial"/>
                <w:sz w:val="16"/>
                <w:szCs w:val="16"/>
                <w:color w:val="4C4C4C"/>
              </w:rPr>
              <w:t>​</w:t>
            </w:r>
          </w:p>
        </w:tc>
        <w:tc>
          <w:tcPr>
            <w:tcW w:w="130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16"/>
                <w:szCs w:val="16"/>
                <w:color w:val="4C4C4C"/>
              </w:rPr>
              <w:t>​</w:t>
            </w:r>
          </w:p>
        </w:tc>
      </w:tr>
      <w:tr>
        <w:trPr>
          <w:trHeight w:val="243"/>
        </w:trPr>
        <w:tc>
          <w:tcPr>
            <w:tcW w:w="298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Jaime Guillen</w:t>
            </w:r>
          </w:p>
        </w:tc>
        <w:tc>
          <w:tcPr>
            <w:tcW w:w="540" w:type="dxa"/>
            <w:vAlign w:val="bottom"/>
            <w:shd w:val="clear" w:color="auto" w:fill="E1E7EF"/>
          </w:tcPr>
          <w:p>
            <w:pPr>
              <w:ind w:left="380"/>
              <w:spacing w:after="0"/>
              <w:rPr>
                <w:sz w:val="20"/>
                <w:szCs w:val="20"/>
                <w:color w:val="auto"/>
              </w:rPr>
            </w:pPr>
            <w:r>
              <w:rPr>
                <w:rFonts w:ascii="Arial" w:cs="Arial" w:eastAsia="Arial" w:hAnsi="Arial"/>
                <w:sz w:val="16"/>
                <w:szCs w:val="16"/>
                <w:color w:val="4C4C4C"/>
              </w:rPr>
              <w:t>​</w:t>
            </w:r>
          </w:p>
        </w:tc>
        <w:tc>
          <w:tcPr>
            <w:tcW w:w="20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960" w:type="dxa"/>
            <w:vAlign w:val="bottom"/>
            <w:shd w:val="clear" w:color="auto" w:fill="E1E7EF"/>
          </w:tcPr>
          <w:p>
            <w:pPr>
              <w:jc w:val="center"/>
              <w:spacing w:after="0"/>
              <w:rPr>
                <w:sz w:val="20"/>
                <w:szCs w:val="20"/>
                <w:color w:val="auto"/>
              </w:rPr>
            </w:pPr>
            <w:r>
              <w:rPr>
                <w:rFonts w:ascii="Arial" w:cs="Arial" w:eastAsia="Arial" w:hAnsi="Arial"/>
                <w:sz w:val="16"/>
                <w:szCs w:val="16"/>
                <w:b w:val="1"/>
                <w:bCs w:val="1"/>
                <w:color w:val="4C4C4C"/>
                <w:w w:val="86"/>
              </w:rPr>
              <w:t>C</w:t>
            </w:r>
          </w:p>
        </w:tc>
        <w:tc>
          <w:tcPr>
            <w:tcW w:w="240" w:type="dxa"/>
            <w:vAlign w:val="bottom"/>
            <w:shd w:val="clear" w:color="auto" w:fill="E1E7EF"/>
          </w:tcPr>
          <w:p>
            <w:pPr>
              <w:ind w:left="80"/>
              <w:spacing w:after="0"/>
              <w:rPr>
                <w:sz w:val="20"/>
                <w:szCs w:val="20"/>
                <w:color w:val="auto"/>
              </w:rPr>
            </w:pPr>
            <w:r>
              <w:rPr>
                <w:rFonts w:ascii="Arial" w:cs="Arial" w:eastAsia="Arial" w:hAnsi="Arial"/>
                <w:sz w:val="16"/>
                <w:szCs w:val="16"/>
                <w:color w:val="4C4C4C"/>
              </w:rPr>
              <w:t>​</w:t>
            </w:r>
          </w:p>
        </w:tc>
        <w:tc>
          <w:tcPr>
            <w:tcW w:w="20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1220" w:type="dxa"/>
            <w:vAlign w:val="bottom"/>
            <w:shd w:val="clear" w:color="auto" w:fill="E1E7EF"/>
          </w:tcPr>
          <w:p>
            <w:pPr>
              <w:spacing w:after="0"/>
              <w:rPr>
                <w:sz w:val="21"/>
                <w:szCs w:val="21"/>
                <w:color w:val="auto"/>
              </w:rPr>
            </w:pPr>
          </w:p>
        </w:tc>
        <w:tc>
          <w:tcPr>
            <w:tcW w:w="24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220" w:type="dxa"/>
            <w:vAlign w:val="bottom"/>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1300" w:type="dxa"/>
            <w:vAlign w:val="bottom"/>
            <w:shd w:val="clear" w:color="auto" w:fill="E1E7EF"/>
          </w:tcPr>
          <w:p>
            <w:pPr>
              <w:spacing w:after="0"/>
              <w:rPr>
                <w:sz w:val="21"/>
                <w:szCs w:val="21"/>
                <w:color w:val="auto"/>
              </w:rPr>
            </w:pPr>
          </w:p>
        </w:tc>
        <w:tc>
          <w:tcPr>
            <w:tcW w:w="100" w:type="dxa"/>
            <w:vAlign w:val="bottom"/>
            <w:shd w:val="clear" w:color="auto" w:fill="E1E7EF"/>
          </w:tcPr>
          <w:p>
            <w:pPr>
              <w:ind w:left="40"/>
              <w:spacing w:after="0"/>
              <w:rPr>
                <w:sz w:val="20"/>
                <w:szCs w:val="20"/>
                <w:color w:val="auto"/>
              </w:rPr>
            </w:pPr>
            <w:r>
              <w:rPr>
                <w:rFonts w:ascii="Arial" w:cs="Arial" w:eastAsia="Arial" w:hAnsi="Arial"/>
                <w:sz w:val="16"/>
                <w:szCs w:val="16"/>
                <w:color w:val="4C4C4C"/>
              </w:rPr>
              <w:t>​</w:t>
            </w:r>
          </w:p>
        </w:tc>
      </w:tr>
      <w:tr>
        <w:trPr>
          <w:trHeight w:val="256"/>
        </w:trPr>
        <w:tc>
          <w:tcPr>
            <w:tcW w:w="2980" w:type="dxa"/>
            <w:vAlign w:val="bottom"/>
          </w:tcPr>
          <w:p>
            <w:pPr>
              <w:ind w:left="100"/>
              <w:spacing w:after="0"/>
              <w:rPr>
                <w:sz w:val="20"/>
                <w:szCs w:val="20"/>
                <w:color w:val="auto"/>
              </w:rPr>
            </w:pPr>
            <w:r>
              <w:rPr>
                <w:rFonts w:ascii="Arial" w:cs="Arial" w:eastAsia="Arial" w:hAnsi="Arial"/>
                <w:sz w:val="16"/>
                <w:szCs w:val="16"/>
                <w:color w:val="4C4C4C"/>
              </w:rPr>
              <w:t>Andrew J. Marsh</w:t>
            </w:r>
          </w:p>
        </w:tc>
        <w:tc>
          <w:tcPr>
            <w:tcW w:w="540" w:type="dxa"/>
            <w:vAlign w:val="bottom"/>
          </w:tcPr>
          <w:p>
            <w:pPr>
              <w:ind w:left="380"/>
              <w:spacing w:after="0"/>
              <w:rPr>
                <w:sz w:val="20"/>
                <w:szCs w:val="20"/>
                <w:color w:val="auto"/>
              </w:rPr>
            </w:pPr>
            <w:r>
              <w:rPr>
                <w:rFonts w:ascii="Arial" w:cs="Arial" w:eastAsia="Arial" w:hAnsi="Arial"/>
                <w:sz w:val="16"/>
                <w:szCs w:val="16"/>
                <w:color w:val="4C4C4C"/>
              </w:rPr>
              <w:t>​</w:t>
            </w:r>
          </w:p>
        </w:tc>
        <w:tc>
          <w:tcPr>
            <w:tcW w:w="200" w:type="dxa"/>
            <w:vAlign w:val="bottom"/>
          </w:tcPr>
          <w:p>
            <w:pPr>
              <w:ind w:left="100"/>
              <w:spacing w:after="0"/>
              <w:rPr>
                <w:sz w:val="20"/>
                <w:szCs w:val="20"/>
                <w:color w:val="auto"/>
              </w:rPr>
            </w:pPr>
            <w:r>
              <w:rPr>
                <w:rFonts w:ascii="Arial" w:cs="Arial" w:eastAsia="Arial" w:hAnsi="Arial"/>
                <w:sz w:val="16"/>
                <w:szCs w:val="16"/>
                <w:color w:val="4C4C4C"/>
              </w:rPr>
              <w:t>​</w:t>
            </w:r>
          </w:p>
        </w:tc>
        <w:tc>
          <w:tcPr>
            <w:tcW w:w="960" w:type="dxa"/>
            <w:vAlign w:val="bottom"/>
          </w:tcPr>
          <w:p>
            <w:pPr>
              <w:jc w:val="right"/>
              <w:ind w:right="359"/>
              <w:spacing w:after="0"/>
              <w:rPr>
                <w:sz w:val="20"/>
                <w:szCs w:val="20"/>
                <w:color w:val="auto"/>
              </w:rPr>
            </w:pPr>
            <w:r>
              <w:rPr>
                <w:rFonts w:ascii="Arial" w:cs="Arial" w:eastAsia="Arial" w:hAnsi="Arial"/>
                <w:sz w:val="16"/>
                <w:szCs w:val="16"/>
                <w:color w:val="4C4C4C"/>
              </w:rPr>
              <w:t>​</w:t>
            </w:r>
          </w:p>
        </w:tc>
        <w:tc>
          <w:tcPr>
            <w:tcW w:w="240" w:type="dxa"/>
            <w:vAlign w:val="bottom"/>
          </w:tcPr>
          <w:p>
            <w:pPr>
              <w:ind w:left="80"/>
              <w:spacing w:after="0"/>
              <w:rPr>
                <w:sz w:val="20"/>
                <w:szCs w:val="20"/>
                <w:color w:val="auto"/>
              </w:rPr>
            </w:pPr>
            <w:r>
              <w:rPr>
                <w:rFonts w:ascii="Arial" w:cs="Arial" w:eastAsia="Arial" w:hAnsi="Arial"/>
                <w:sz w:val="16"/>
                <w:szCs w:val="16"/>
                <w:color w:val="4C4C4C"/>
              </w:rPr>
              <w:t>​</w:t>
            </w:r>
          </w:p>
        </w:tc>
        <w:tc>
          <w:tcPr>
            <w:tcW w:w="200" w:type="dxa"/>
            <w:vAlign w:val="bottom"/>
          </w:tcPr>
          <w:p>
            <w:pPr>
              <w:ind w:left="100"/>
              <w:spacing w:after="0"/>
              <w:rPr>
                <w:sz w:val="20"/>
                <w:szCs w:val="20"/>
                <w:color w:val="auto"/>
              </w:rPr>
            </w:pPr>
            <w:r>
              <w:rPr>
                <w:rFonts w:ascii="Arial" w:cs="Arial" w:eastAsia="Arial" w:hAnsi="Arial"/>
                <w:sz w:val="16"/>
                <w:szCs w:val="16"/>
                <w:color w:val="4C4C4C"/>
              </w:rPr>
              <w:t>​</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4C4C4C"/>
                <w:w w:val="86"/>
              </w:rPr>
              <w:t>C</w:t>
            </w:r>
          </w:p>
        </w:tc>
        <w:tc>
          <w:tcPr>
            <w:tcW w:w="240" w:type="dxa"/>
            <w:vAlign w:val="bottom"/>
          </w:tcPr>
          <w:p>
            <w:pPr>
              <w:ind w:left="100"/>
              <w:spacing w:after="0"/>
              <w:rPr>
                <w:sz w:val="20"/>
                <w:szCs w:val="20"/>
                <w:color w:val="auto"/>
              </w:rPr>
            </w:pPr>
            <w:r>
              <w:rPr>
                <w:rFonts w:ascii="Arial" w:cs="Arial" w:eastAsia="Arial" w:hAnsi="Arial"/>
                <w:sz w:val="16"/>
                <w:szCs w:val="16"/>
                <w:color w:val="4C4C4C"/>
              </w:rPr>
              <w:t>​</w:t>
            </w:r>
          </w:p>
        </w:tc>
        <w:tc>
          <w:tcPr>
            <w:tcW w:w="220" w:type="dxa"/>
            <w:vAlign w:val="bottom"/>
          </w:tcPr>
          <w:p>
            <w:pPr>
              <w:ind w:left="100"/>
              <w:spacing w:after="0"/>
              <w:rPr>
                <w:sz w:val="20"/>
                <w:szCs w:val="20"/>
                <w:color w:val="auto"/>
              </w:rPr>
            </w:pPr>
            <w:r>
              <w:rPr>
                <w:rFonts w:ascii="Arial" w:cs="Arial" w:eastAsia="Arial" w:hAnsi="Arial"/>
                <w:sz w:val="16"/>
                <w:szCs w:val="16"/>
                <w:color w:val="4C4C4C"/>
              </w:rPr>
              <w:t>​</w:t>
            </w:r>
          </w:p>
        </w:tc>
        <w:tc>
          <w:tcPr>
            <w:tcW w:w="1300" w:type="dxa"/>
            <w:vAlign w:val="bottom"/>
          </w:tcPr>
          <w:p>
            <w:pPr>
              <w:jc w:val="center"/>
              <w:spacing w:after="0"/>
              <w:rPr>
                <w:sz w:val="20"/>
                <w:szCs w:val="20"/>
                <w:color w:val="auto"/>
              </w:rPr>
            </w:pPr>
            <w:r>
              <w:rPr>
                <w:rFonts w:ascii="Arial" w:cs="Arial" w:eastAsia="Arial" w:hAnsi="Arial"/>
                <w:sz w:val="16"/>
                <w:szCs w:val="16"/>
                <w:color w:val="4C4C4C"/>
              </w:rPr>
              <w:t>●</w:t>
            </w:r>
          </w:p>
        </w:tc>
        <w:tc>
          <w:tcPr>
            <w:tcW w:w="100" w:type="dxa"/>
            <w:vAlign w:val="bottom"/>
          </w:tcPr>
          <w:p>
            <w:pPr>
              <w:ind w:left="40"/>
              <w:spacing w:after="0"/>
              <w:rPr>
                <w:sz w:val="20"/>
                <w:szCs w:val="20"/>
                <w:color w:val="auto"/>
              </w:rPr>
            </w:pPr>
            <w:r>
              <w:rPr>
                <w:rFonts w:ascii="Arial" w:cs="Arial" w:eastAsia="Arial" w:hAnsi="Arial"/>
                <w:sz w:val="16"/>
                <w:szCs w:val="16"/>
                <w:color w:val="4C4C4C"/>
              </w:rPr>
              <w:t>​</w:t>
            </w:r>
          </w:p>
        </w:tc>
      </w:tr>
      <w:tr>
        <w:trPr>
          <w:trHeight w:val="270"/>
        </w:trPr>
        <w:tc>
          <w:tcPr>
            <w:tcW w:w="2980" w:type="dxa"/>
            <w:vAlign w:val="bottom"/>
            <w:tcBorders>
              <w:bottom w:val="single" w:sz="8" w:color="346094"/>
            </w:tcBorders>
            <w:shd w:val="clear" w:color="auto" w:fill="E1E7EF"/>
          </w:tcPr>
          <w:p>
            <w:pPr>
              <w:ind w:left="100"/>
              <w:spacing w:after="0"/>
              <w:rPr>
                <w:sz w:val="20"/>
                <w:szCs w:val="20"/>
                <w:color w:val="auto"/>
              </w:rPr>
            </w:pPr>
            <w:r>
              <w:rPr>
                <w:rFonts w:ascii="Arial" w:cs="Arial" w:eastAsia="Arial" w:hAnsi="Arial"/>
                <w:sz w:val="16"/>
                <w:szCs w:val="16"/>
                <w:color w:val="4C4C4C"/>
              </w:rPr>
              <w:t>Gary W. Mize</w:t>
            </w:r>
          </w:p>
        </w:tc>
        <w:tc>
          <w:tcPr>
            <w:tcW w:w="540" w:type="dxa"/>
            <w:vAlign w:val="bottom"/>
            <w:tcBorders>
              <w:bottom w:val="single" w:sz="8" w:color="346094"/>
            </w:tcBorders>
            <w:shd w:val="clear" w:color="auto" w:fill="E1E7EF"/>
          </w:tcPr>
          <w:p>
            <w:pPr>
              <w:ind w:left="380"/>
              <w:spacing w:after="0"/>
              <w:rPr>
                <w:sz w:val="20"/>
                <w:szCs w:val="20"/>
                <w:color w:val="auto"/>
              </w:rPr>
            </w:pPr>
            <w:r>
              <w:rPr>
                <w:rFonts w:ascii="Arial" w:cs="Arial" w:eastAsia="Arial" w:hAnsi="Arial"/>
                <w:sz w:val="16"/>
                <w:szCs w:val="16"/>
                <w:color w:val="4C4C4C"/>
              </w:rPr>
              <w:t>​</w:t>
            </w:r>
          </w:p>
        </w:tc>
        <w:tc>
          <w:tcPr>
            <w:tcW w:w="200" w:type="dxa"/>
            <w:vAlign w:val="bottom"/>
            <w:tcBorders>
              <w:bottom w:val="single" w:sz="8" w:color="346094"/>
            </w:tcBorders>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960" w:type="dxa"/>
            <w:vAlign w:val="bottom"/>
            <w:tcBorders>
              <w:bottom w:val="single" w:sz="8" w:color="346094"/>
            </w:tcBorders>
            <w:shd w:val="clear" w:color="auto" w:fill="E1E7EF"/>
          </w:tcPr>
          <w:p>
            <w:pPr>
              <w:jc w:val="right"/>
              <w:ind w:right="359"/>
              <w:spacing w:after="0"/>
              <w:rPr>
                <w:sz w:val="20"/>
                <w:szCs w:val="20"/>
                <w:color w:val="auto"/>
              </w:rPr>
            </w:pPr>
            <w:r>
              <w:rPr>
                <w:rFonts w:ascii="Arial" w:cs="Arial" w:eastAsia="Arial" w:hAnsi="Arial"/>
                <w:sz w:val="16"/>
                <w:szCs w:val="16"/>
                <w:color w:val="4C4C4C"/>
              </w:rPr>
              <w:t>●</w:t>
            </w:r>
          </w:p>
        </w:tc>
        <w:tc>
          <w:tcPr>
            <w:tcW w:w="240" w:type="dxa"/>
            <w:vAlign w:val="bottom"/>
            <w:tcBorders>
              <w:bottom w:val="single" w:sz="8" w:color="346094"/>
            </w:tcBorders>
            <w:shd w:val="clear" w:color="auto" w:fill="E1E7EF"/>
          </w:tcPr>
          <w:p>
            <w:pPr>
              <w:ind w:left="80"/>
              <w:spacing w:after="0"/>
              <w:rPr>
                <w:sz w:val="20"/>
                <w:szCs w:val="20"/>
                <w:color w:val="auto"/>
              </w:rPr>
            </w:pPr>
            <w:r>
              <w:rPr>
                <w:rFonts w:ascii="Arial" w:cs="Arial" w:eastAsia="Arial" w:hAnsi="Arial"/>
                <w:sz w:val="16"/>
                <w:szCs w:val="16"/>
                <w:color w:val="4C4C4C"/>
              </w:rPr>
              <w:t>​</w:t>
            </w:r>
          </w:p>
        </w:tc>
        <w:tc>
          <w:tcPr>
            <w:tcW w:w="200" w:type="dxa"/>
            <w:vAlign w:val="bottom"/>
            <w:tcBorders>
              <w:bottom w:val="single" w:sz="8" w:color="346094"/>
            </w:tcBorders>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1220" w:type="dxa"/>
            <w:vAlign w:val="bottom"/>
            <w:tcBorders>
              <w:bottom w:val="single" w:sz="8" w:color="346094"/>
            </w:tcBorders>
            <w:shd w:val="clear" w:color="auto" w:fill="E1E7EF"/>
          </w:tcPr>
          <w:p>
            <w:pPr>
              <w:spacing w:after="0"/>
              <w:rPr>
                <w:sz w:val="23"/>
                <w:szCs w:val="23"/>
                <w:color w:val="auto"/>
              </w:rPr>
            </w:pPr>
          </w:p>
        </w:tc>
        <w:tc>
          <w:tcPr>
            <w:tcW w:w="240" w:type="dxa"/>
            <w:vAlign w:val="bottom"/>
            <w:tcBorders>
              <w:bottom w:val="single" w:sz="8" w:color="346094"/>
            </w:tcBorders>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220" w:type="dxa"/>
            <w:vAlign w:val="bottom"/>
            <w:tcBorders>
              <w:bottom w:val="single" w:sz="8" w:color="346094"/>
            </w:tcBorders>
            <w:shd w:val="clear" w:color="auto" w:fill="E1E7EF"/>
          </w:tcPr>
          <w:p>
            <w:pPr>
              <w:ind w:left="100"/>
              <w:spacing w:after="0"/>
              <w:rPr>
                <w:sz w:val="20"/>
                <w:szCs w:val="20"/>
                <w:color w:val="auto"/>
              </w:rPr>
            </w:pPr>
            <w:r>
              <w:rPr>
                <w:rFonts w:ascii="Arial" w:cs="Arial" w:eastAsia="Arial" w:hAnsi="Arial"/>
                <w:sz w:val="16"/>
                <w:szCs w:val="16"/>
                <w:color w:val="4C4C4C"/>
              </w:rPr>
              <w:t>​</w:t>
            </w:r>
          </w:p>
        </w:tc>
        <w:tc>
          <w:tcPr>
            <w:tcW w:w="1300" w:type="dxa"/>
            <w:vAlign w:val="bottom"/>
            <w:tcBorders>
              <w:bottom w:val="single" w:sz="8" w:color="346094"/>
            </w:tcBorders>
            <w:shd w:val="clear" w:color="auto" w:fill="E1E7EF"/>
          </w:tcPr>
          <w:p>
            <w:pPr>
              <w:jc w:val="center"/>
              <w:spacing w:after="0"/>
              <w:rPr>
                <w:sz w:val="20"/>
                <w:szCs w:val="20"/>
                <w:color w:val="auto"/>
              </w:rPr>
            </w:pPr>
            <w:r>
              <w:rPr>
                <w:rFonts w:ascii="Arial" w:cs="Arial" w:eastAsia="Arial" w:hAnsi="Arial"/>
                <w:sz w:val="16"/>
                <w:szCs w:val="16"/>
                <w:color w:val="4C4C4C"/>
              </w:rPr>
              <w:t>●</w:t>
            </w:r>
          </w:p>
        </w:tc>
        <w:tc>
          <w:tcPr>
            <w:tcW w:w="100" w:type="dxa"/>
            <w:vAlign w:val="bottom"/>
            <w:tcBorders>
              <w:bottom w:val="single" w:sz="8" w:color="346094"/>
            </w:tcBorders>
            <w:shd w:val="clear" w:color="auto" w:fill="E1E7EF"/>
          </w:tcPr>
          <w:p>
            <w:pPr>
              <w:ind w:left="40"/>
              <w:spacing w:after="0"/>
              <w:rPr>
                <w:sz w:val="20"/>
                <w:szCs w:val="20"/>
                <w:color w:val="auto"/>
              </w:rPr>
            </w:pPr>
            <w:r>
              <w:rPr>
                <w:rFonts w:ascii="Arial" w:cs="Arial" w:eastAsia="Arial" w:hAnsi="Arial"/>
                <w:sz w:val="16"/>
                <w:szCs w:val="16"/>
                <w:color w:val="4C4C4C"/>
              </w:rPr>
              <w:t>​</w:t>
            </w:r>
          </w:p>
        </w:tc>
      </w:tr>
      <w:tr>
        <w:trPr>
          <w:trHeight w:val="264"/>
        </w:trPr>
        <w:tc>
          <w:tcPr>
            <w:tcW w:w="2980" w:type="dxa"/>
            <w:vAlign w:val="bottom"/>
            <w:tcBorders>
              <w:bottom w:val="single" w:sz="8" w:color="346094"/>
            </w:tcBorders>
          </w:tcPr>
          <w:p>
            <w:pPr>
              <w:ind w:left="100"/>
              <w:spacing w:after="0"/>
              <w:rPr>
                <w:sz w:val="20"/>
                <w:szCs w:val="20"/>
                <w:color w:val="auto"/>
              </w:rPr>
            </w:pPr>
            <w:r>
              <w:rPr>
                <w:rFonts w:ascii="Arial" w:cs="Arial" w:eastAsia="Arial" w:hAnsi="Arial"/>
                <w:sz w:val="16"/>
                <w:szCs w:val="16"/>
                <w:b w:val="1"/>
                <w:bCs w:val="1"/>
                <w:color w:val="4C4C4C"/>
              </w:rPr>
              <w:t>Total Meetings Held in 2025</w:t>
            </w:r>
          </w:p>
        </w:tc>
        <w:tc>
          <w:tcPr>
            <w:tcW w:w="540" w:type="dxa"/>
            <w:vAlign w:val="bottom"/>
            <w:tcBorders>
              <w:bottom w:val="single" w:sz="8" w:color="346094"/>
            </w:tcBorders>
          </w:tcPr>
          <w:p>
            <w:pPr>
              <w:ind w:left="380"/>
              <w:spacing w:after="0"/>
              <w:rPr>
                <w:sz w:val="20"/>
                <w:szCs w:val="20"/>
                <w:color w:val="auto"/>
              </w:rPr>
            </w:pPr>
            <w:r>
              <w:rPr>
                <w:rFonts w:ascii="Arial" w:cs="Arial" w:eastAsia="Arial" w:hAnsi="Arial"/>
                <w:sz w:val="16"/>
                <w:szCs w:val="16"/>
                <w:b w:val="1"/>
                <w:bCs w:val="1"/>
                <w:color w:val="4C4C4C"/>
              </w:rPr>
              <w:t>​</w:t>
            </w:r>
          </w:p>
        </w:tc>
        <w:tc>
          <w:tcPr>
            <w:tcW w:w="200" w:type="dxa"/>
            <w:vAlign w:val="bottom"/>
            <w:tcBorders>
              <w:bottom w:val="single" w:sz="8" w:color="346094"/>
            </w:tcBorders>
          </w:tcPr>
          <w:p>
            <w:pPr>
              <w:ind w:left="100"/>
              <w:spacing w:after="0"/>
              <w:rPr>
                <w:sz w:val="20"/>
                <w:szCs w:val="20"/>
                <w:color w:val="auto"/>
              </w:rPr>
            </w:pPr>
            <w:r>
              <w:rPr>
                <w:rFonts w:ascii="Arial" w:cs="Arial" w:eastAsia="Arial" w:hAnsi="Arial"/>
                <w:sz w:val="16"/>
                <w:szCs w:val="16"/>
                <w:b w:val="1"/>
                <w:bCs w:val="1"/>
                <w:color w:val="4C4C4C"/>
              </w:rPr>
              <w:t>​</w:t>
            </w:r>
          </w:p>
        </w:tc>
        <w:tc>
          <w:tcPr>
            <w:tcW w:w="960" w:type="dxa"/>
            <w:vAlign w:val="bottom"/>
            <w:tcBorders>
              <w:bottom w:val="single" w:sz="8" w:color="346094"/>
            </w:tcBorders>
          </w:tcPr>
          <w:p>
            <w:pPr>
              <w:jc w:val="right"/>
              <w:ind w:right="359"/>
              <w:spacing w:after="0"/>
              <w:rPr>
                <w:sz w:val="20"/>
                <w:szCs w:val="20"/>
                <w:color w:val="auto"/>
              </w:rPr>
            </w:pPr>
            <w:r>
              <w:rPr>
                <w:rFonts w:ascii="Arial" w:cs="Arial" w:eastAsia="Arial" w:hAnsi="Arial"/>
                <w:sz w:val="16"/>
                <w:szCs w:val="16"/>
                <w:b w:val="1"/>
                <w:bCs w:val="1"/>
                <w:color w:val="4C4C4C"/>
              </w:rPr>
              <w:t>6</w:t>
            </w:r>
          </w:p>
        </w:tc>
        <w:tc>
          <w:tcPr>
            <w:tcW w:w="240" w:type="dxa"/>
            <w:vAlign w:val="bottom"/>
            <w:tcBorders>
              <w:bottom w:val="single" w:sz="8" w:color="346094"/>
            </w:tcBorders>
          </w:tcPr>
          <w:p>
            <w:pPr>
              <w:ind w:left="80"/>
              <w:spacing w:after="0"/>
              <w:rPr>
                <w:sz w:val="20"/>
                <w:szCs w:val="20"/>
                <w:color w:val="auto"/>
              </w:rPr>
            </w:pPr>
            <w:r>
              <w:rPr>
                <w:rFonts w:ascii="Arial" w:cs="Arial" w:eastAsia="Arial" w:hAnsi="Arial"/>
                <w:sz w:val="16"/>
                <w:szCs w:val="16"/>
                <w:b w:val="1"/>
                <w:bCs w:val="1"/>
                <w:color w:val="4C4C4C"/>
              </w:rPr>
              <w:t>​</w:t>
            </w:r>
          </w:p>
        </w:tc>
        <w:tc>
          <w:tcPr>
            <w:tcW w:w="200" w:type="dxa"/>
            <w:vAlign w:val="bottom"/>
            <w:tcBorders>
              <w:bottom w:val="single" w:sz="8" w:color="346094"/>
            </w:tcBorders>
          </w:tcPr>
          <w:p>
            <w:pPr>
              <w:ind w:left="100"/>
              <w:spacing w:after="0"/>
              <w:rPr>
                <w:sz w:val="20"/>
                <w:szCs w:val="20"/>
                <w:color w:val="auto"/>
              </w:rPr>
            </w:pPr>
            <w:r>
              <w:rPr>
                <w:rFonts w:ascii="Arial" w:cs="Arial" w:eastAsia="Arial" w:hAnsi="Arial"/>
                <w:sz w:val="16"/>
                <w:szCs w:val="16"/>
                <w:b w:val="1"/>
                <w:bCs w:val="1"/>
                <w:color w:val="4C4C4C"/>
              </w:rPr>
              <w:t>​</w:t>
            </w:r>
          </w:p>
        </w:tc>
        <w:tc>
          <w:tcPr>
            <w:tcW w:w="1220" w:type="dxa"/>
            <w:vAlign w:val="bottom"/>
            <w:tcBorders>
              <w:bottom w:val="single" w:sz="8" w:color="346094"/>
            </w:tcBorders>
          </w:tcPr>
          <w:p>
            <w:pPr>
              <w:jc w:val="center"/>
              <w:spacing w:after="0"/>
              <w:rPr>
                <w:sz w:val="20"/>
                <w:szCs w:val="20"/>
                <w:color w:val="auto"/>
              </w:rPr>
            </w:pPr>
            <w:r>
              <w:rPr>
                <w:rFonts w:ascii="Arial" w:cs="Arial" w:eastAsia="Arial" w:hAnsi="Arial"/>
                <w:sz w:val="16"/>
                <w:szCs w:val="16"/>
                <w:b w:val="1"/>
                <w:bCs w:val="1"/>
                <w:color w:val="4C4C4C"/>
              </w:rPr>
              <w:t>6</w:t>
            </w:r>
          </w:p>
        </w:tc>
        <w:tc>
          <w:tcPr>
            <w:tcW w:w="240" w:type="dxa"/>
            <w:vAlign w:val="bottom"/>
            <w:tcBorders>
              <w:bottom w:val="single" w:sz="8" w:color="346094"/>
            </w:tcBorders>
          </w:tcPr>
          <w:p>
            <w:pPr>
              <w:ind w:left="100"/>
              <w:spacing w:after="0"/>
              <w:rPr>
                <w:sz w:val="20"/>
                <w:szCs w:val="20"/>
                <w:color w:val="auto"/>
              </w:rPr>
            </w:pPr>
            <w:r>
              <w:rPr>
                <w:rFonts w:ascii="Arial" w:cs="Arial" w:eastAsia="Arial" w:hAnsi="Arial"/>
                <w:sz w:val="16"/>
                <w:szCs w:val="16"/>
                <w:b w:val="1"/>
                <w:bCs w:val="1"/>
                <w:color w:val="4C4C4C"/>
              </w:rPr>
              <w:t>​</w:t>
            </w:r>
          </w:p>
        </w:tc>
        <w:tc>
          <w:tcPr>
            <w:tcW w:w="220" w:type="dxa"/>
            <w:vAlign w:val="bottom"/>
            <w:tcBorders>
              <w:bottom w:val="single" w:sz="8" w:color="346094"/>
            </w:tcBorders>
          </w:tcPr>
          <w:p>
            <w:pPr>
              <w:ind w:left="100"/>
              <w:spacing w:after="0"/>
              <w:rPr>
                <w:sz w:val="20"/>
                <w:szCs w:val="20"/>
                <w:color w:val="auto"/>
              </w:rPr>
            </w:pPr>
            <w:r>
              <w:rPr>
                <w:rFonts w:ascii="Arial" w:cs="Arial" w:eastAsia="Arial" w:hAnsi="Arial"/>
                <w:sz w:val="16"/>
                <w:szCs w:val="16"/>
                <w:b w:val="1"/>
                <w:bCs w:val="1"/>
                <w:color w:val="4C4C4C"/>
              </w:rPr>
              <w:t>​</w:t>
            </w:r>
          </w:p>
        </w:tc>
        <w:tc>
          <w:tcPr>
            <w:tcW w:w="1300" w:type="dxa"/>
            <w:vAlign w:val="bottom"/>
            <w:tcBorders>
              <w:bottom w:val="single" w:sz="8" w:color="346094"/>
            </w:tcBorders>
          </w:tcPr>
          <w:p>
            <w:pPr>
              <w:jc w:val="center"/>
              <w:spacing w:after="0"/>
              <w:rPr>
                <w:sz w:val="20"/>
                <w:szCs w:val="20"/>
                <w:color w:val="auto"/>
              </w:rPr>
            </w:pPr>
            <w:r>
              <w:rPr>
                <w:rFonts w:ascii="Arial" w:cs="Arial" w:eastAsia="Arial" w:hAnsi="Arial"/>
                <w:sz w:val="16"/>
                <w:szCs w:val="16"/>
                <w:b w:val="1"/>
                <w:bCs w:val="1"/>
                <w:color w:val="4C4C4C"/>
              </w:rPr>
              <w:t>5</w:t>
            </w:r>
          </w:p>
        </w:tc>
        <w:tc>
          <w:tcPr>
            <w:tcW w:w="100" w:type="dxa"/>
            <w:vAlign w:val="bottom"/>
            <w:tcBorders>
              <w:bottom w:val="single" w:sz="8" w:color="346094"/>
            </w:tcBorders>
          </w:tcPr>
          <w:p>
            <w:pPr>
              <w:ind w:left="40"/>
              <w:spacing w:after="0"/>
              <w:rPr>
                <w:sz w:val="20"/>
                <w:szCs w:val="20"/>
                <w:color w:val="auto"/>
              </w:rPr>
            </w:pPr>
            <w:r>
              <w:rPr>
                <w:rFonts w:ascii="Arial" w:cs="Arial" w:eastAsia="Arial" w:hAnsi="Arial"/>
                <w:sz w:val="16"/>
                <w:szCs w:val="16"/>
                <w:b w:val="1"/>
                <w:bCs w:val="1"/>
                <w:color w:val="4C4C4C"/>
              </w:rPr>
              <w:t>​</w:t>
            </w:r>
          </w:p>
        </w:tc>
      </w:tr>
      <w:tr>
        <w:trPr>
          <w:trHeight w:val="335"/>
        </w:trPr>
        <w:tc>
          <w:tcPr>
            <w:tcW w:w="2980" w:type="dxa"/>
            <w:vAlign w:val="bottom"/>
          </w:tcPr>
          <w:p>
            <w:pPr>
              <w:spacing w:after="0"/>
              <w:rPr>
                <w:sz w:val="20"/>
                <w:szCs w:val="20"/>
                <w:color w:val="auto"/>
              </w:rPr>
            </w:pPr>
            <w:r>
              <w:rPr>
                <w:rFonts w:ascii="Trebuchet MS" w:cs="Trebuchet MS" w:eastAsia="Trebuchet MS" w:hAnsi="Trebuchet MS"/>
                <w:sz w:val="18"/>
                <w:szCs w:val="18"/>
                <w:b w:val="1"/>
                <w:bCs w:val="1"/>
                <w:color w:val="4C4C4C"/>
              </w:rPr>
              <w:t>C</w:t>
            </w:r>
            <w:r>
              <w:rPr>
                <w:rFonts w:ascii="Arial" w:cs="Arial" w:eastAsia="Arial" w:hAnsi="Arial"/>
                <w:sz w:val="18"/>
                <w:szCs w:val="18"/>
                <w:color w:val="4C4C4C"/>
              </w:rPr>
              <w:t xml:space="preserve">  Committee Chair  ● </w:t>
            </w:r>
            <w:r>
              <w:rPr>
                <w:rFonts w:ascii="Trebuchet MS" w:cs="Trebuchet MS" w:eastAsia="Trebuchet MS" w:hAnsi="Trebuchet MS"/>
                <w:sz w:val="18"/>
                <w:szCs w:val="18"/>
                <w:b w:val="1"/>
                <w:bCs w:val="1"/>
                <w:color w:val="4C4C4C"/>
              </w:rPr>
              <w:t xml:space="preserve"> </w:t>
            </w:r>
            <w:r>
              <w:rPr>
                <w:rFonts w:ascii="Arial" w:cs="Arial" w:eastAsia="Arial" w:hAnsi="Arial"/>
                <w:sz w:val="18"/>
                <w:szCs w:val="18"/>
                <w:color w:val="4C4C4C"/>
              </w:rPr>
              <w:t>Member</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78" w:lineRule="exact"/>
        <w:rPr>
          <w:sz w:val="20"/>
          <w:szCs w:val="20"/>
          <w:color w:val="auto"/>
        </w:rPr>
      </w:pPr>
    </w:p>
    <w:p>
      <w:pPr>
        <w:ind w:left="1260" w:right="1500"/>
        <w:spacing w:after="0" w:line="252" w:lineRule="auto"/>
        <w:rPr>
          <w:sz w:val="20"/>
          <w:szCs w:val="20"/>
          <w:color w:val="auto"/>
        </w:rPr>
      </w:pPr>
      <w:r>
        <w:rPr>
          <w:rFonts w:ascii="Arial" w:cs="Arial" w:eastAsia="Arial" w:hAnsi="Arial"/>
          <w:sz w:val="18"/>
          <w:szCs w:val="18"/>
          <w:color w:val="4C4C4C"/>
        </w:rPr>
        <w:t>Below is a description of each committee of our Board. Each of the committees has authority to engage legal counsel or other experts or consultants, as it deems appropriate to carry out its responsibilities. The Board has determined that each member of each committee meets the applicable rules and regulations regarding “independence” and that each member is free of any relationship that would interfere with his or her individual exercise of independent judgment with regard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20" w:type="dxa"/>
            <w:vAlign w:val="bottom"/>
          </w:tcPr>
          <w:p>
            <w:pPr>
              <w:ind w:left="5880"/>
              <w:spacing w:after="0"/>
              <w:rPr>
                <w:sz w:val="20"/>
                <w:szCs w:val="20"/>
                <w:color w:val="auto"/>
              </w:rPr>
            </w:pPr>
            <w:r>
              <w:rPr>
                <w:rFonts w:ascii="Arial" w:cs="Arial" w:eastAsia="Arial" w:hAnsi="Arial"/>
                <w:sz w:val="18"/>
                <w:szCs w:val="18"/>
                <w:color w:val="346094"/>
                <w:w w:val="93"/>
              </w:rPr>
              <w:t xml:space="preserve">GEVO, INC.  |  </w:t>
            </w:r>
            <w:r>
              <w:rPr>
                <w:rFonts w:ascii="Arial" w:cs="Arial" w:eastAsia="Arial" w:hAnsi="Arial"/>
                <w:sz w:val="18"/>
                <w:szCs w:val="18"/>
                <w:i w:val="1"/>
                <w:iCs w:val="1"/>
                <w:color w:val="4C4C4C"/>
                <w:w w:val="93"/>
              </w:rPr>
              <w:t>2026 PROXY STATEMENT</w:t>
            </w:r>
          </w:p>
        </w:tc>
        <w:tc>
          <w:tcPr>
            <w:tcW w:w="1600" w:type="dxa"/>
            <w:vAlign w:val="bottom"/>
          </w:tcPr>
          <w:p>
            <w:pPr>
              <w:jc w:val="right"/>
              <w:ind w:right="1170"/>
              <w:spacing w:after="0"/>
              <w:rPr>
                <w:sz w:val="20"/>
                <w:szCs w:val="20"/>
                <w:color w:val="auto"/>
              </w:rPr>
            </w:pPr>
            <w:r>
              <w:rPr>
                <w:rFonts w:ascii="Arial" w:cs="Arial" w:eastAsia="Arial" w:hAnsi="Arial"/>
                <w:sz w:val="18"/>
                <w:szCs w:val="18"/>
                <w:color w:val="4C4C4C"/>
              </w:rPr>
              <w:t>21</w:t>
            </w:r>
          </w:p>
        </w:tc>
      </w:tr>
      <w:tr>
        <w:trPr>
          <w:trHeight w:val="395"/>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317" w:lineRule="exact"/>
        <w:rPr>
          <w:sz w:val="20"/>
          <w:szCs w:val="20"/>
          <w:color w:val="auto"/>
        </w:rPr>
      </w:pPr>
    </w:p>
    <w:p>
      <w:pPr>
        <w:ind w:left="1260"/>
        <w:spacing w:after="0"/>
        <w:rPr>
          <w:sz w:val="20"/>
          <w:szCs w:val="20"/>
          <w:color w:val="auto"/>
        </w:rPr>
      </w:pPr>
      <w:r>
        <w:rPr>
          <w:rFonts w:ascii="Arial" w:cs="Arial" w:eastAsia="Arial" w:hAnsi="Arial"/>
          <w:sz w:val="12"/>
          <w:szCs w:val="12"/>
          <w:color w:val="346094"/>
        </w:rPr>
        <w:t>BOARD OF DIRECTORS AND CORPORATE GOVERNANCE</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69215</wp:posOffset>
            </wp:positionV>
            <wp:extent cx="5212080"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48" w:lineRule="exact"/>
        <w:rPr>
          <w:sz w:val="20"/>
          <w:szCs w:val="20"/>
          <w:color w:val="auto"/>
        </w:rPr>
      </w:pPr>
    </w:p>
    <w:p>
      <w:pPr>
        <w:ind w:left="1360"/>
        <w:spacing w:after="0"/>
        <w:rPr>
          <w:sz w:val="20"/>
          <w:szCs w:val="20"/>
          <w:color w:val="auto"/>
        </w:rPr>
      </w:pPr>
      <w:r>
        <w:rPr>
          <w:rFonts w:ascii="Trebuchet MS" w:cs="Trebuchet MS" w:eastAsia="Trebuchet MS" w:hAnsi="Trebuchet MS"/>
          <w:sz w:val="22"/>
          <w:szCs w:val="22"/>
          <w:b w:val="1"/>
          <w:bCs w:val="1"/>
          <w:color w:val="FFFFFF"/>
        </w:rPr>
        <w:t>Audit Committee</w:t>
      </w:r>
    </w:p>
    <w:p>
      <w:pPr>
        <w:sectPr>
          <w:pgSz w:w="11900" w:h="16838" w:orient="portrait"/>
          <w:cols w:equalWidth="0" w:num="1">
            <w:col w:w="9879"/>
          </w:cols>
          <w:pgMar w:left="580" w:top="97" w:right="1440" w:bottom="1440" w:gutter="0" w:footer="0" w:header="0"/>
        </w:sectPr>
      </w:pP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4C4C4C"/>
        </w:rPr>
        <w:t>M</w:t>
      </w:r>
      <w:r>
        <w:rPr>
          <w:rFonts w:ascii="Trebuchet MS" w:cs="Trebuchet MS" w:eastAsia="Trebuchet MS" w:hAnsi="Trebuchet MS"/>
          <w:sz w:val="18"/>
          <w:szCs w:val="18"/>
          <w:b w:val="1"/>
          <w:bCs w:val="1"/>
          <w:i w:val="1"/>
          <w:iCs w:val="1"/>
          <w:color w:val="4C4C4C"/>
        </w:rPr>
        <w:t>embers:</w:t>
      </w:r>
    </w:p>
    <w:p>
      <w:pPr>
        <w:spacing w:after="0" w:line="138" w:lineRule="exact"/>
        <w:rPr>
          <w:sz w:val="20"/>
          <w:szCs w:val="20"/>
          <w:color w:val="auto"/>
        </w:rPr>
      </w:pPr>
    </w:p>
    <w:p>
      <w:pPr>
        <w:ind w:left="1700" w:hanging="260"/>
        <w:spacing w:after="0"/>
        <w:tabs>
          <w:tab w:leader="none" w:pos="1700" w:val="left"/>
        </w:tabs>
        <w:numPr>
          <w:ilvl w:val="0"/>
          <w:numId w:val="39"/>
        </w:numPr>
        <w:rPr>
          <w:rFonts w:ascii="Arial" w:cs="Arial" w:eastAsia="Arial" w:hAnsi="Arial"/>
          <w:sz w:val="18"/>
          <w:szCs w:val="18"/>
          <w:color w:val="4C4C4C"/>
        </w:rPr>
      </w:pPr>
      <w:r>
        <w:rPr>
          <w:rFonts w:ascii="Arial" w:cs="Arial" w:eastAsia="Arial" w:hAnsi="Arial"/>
          <w:sz w:val="18"/>
          <w:szCs w:val="18"/>
          <w:color w:val="4C4C4C"/>
        </w:rPr>
        <w:t>Jaime Guillen (</w:t>
      </w:r>
      <w:r>
        <w:rPr>
          <w:rFonts w:ascii="Arial" w:cs="Arial" w:eastAsia="Arial" w:hAnsi="Arial"/>
          <w:sz w:val="18"/>
          <w:szCs w:val="18"/>
          <w:i w:val="1"/>
          <w:iCs w:val="1"/>
          <w:color w:val="4C4C4C"/>
        </w:rPr>
        <w:t>Chair)</w:t>
      </w:r>
    </w:p>
    <w:p>
      <w:pPr>
        <w:spacing w:after="0" w:line="49" w:lineRule="exact"/>
        <w:rPr>
          <w:rFonts w:ascii="Arial" w:cs="Arial" w:eastAsia="Arial" w:hAnsi="Arial"/>
          <w:sz w:val="18"/>
          <w:szCs w:val="18"/>
          <w:color w:val="4C4C4C"/>
        </w:rPr>
      </w:pPr>
    </w:p>
    <w:p>
      <w:pPr>
        <w:ind w:left="1700" w:hanging="260"/>
        <w:spacing w:after="0"/>
        <w:tabs>
          <w:tab w:leader="none" w:pos="1700" w:val="left"/>
        </w:tabs>
        <w:numPr>
          <w:ilvl w:val="0"/>
          <w:numId w:val="39"/>
        </w:numPr>
        <w:rPr>
          <w:rFonts w:ascii="Arial" w:cs="Arial" w:eastAsia="Arial" w:hAnsi="Arial"/>
          <w:sz w:val="18"/>
          <w:szCs w:val="18"/>
          <w:color w:val="4C4C4C"/>
        </w:rPr>
      </w:pPr>
      <w:r>
        <w:rPr>
          <w:rFonts w:ascii="Arial" w:cs="Arial" w:eastAsia="Arial" w:hAnsi="Arial"/>
          <w:sz w:val="18"/>
          <w:szCs w:val="18"/>
          <w:color w:val="4C4C4C"/>
        </w:rPr>
        <w:t>James J. Barber</w:t>
      </w:r>
    </w:p>
    <w:p>
      <w:pPr>
        <w:spacing w:after="0" w:line="37" w:lineRule="exact"/>
        <w:rPr>
          <w:rFonts w:ascii="Arial" w:cs="Arial" w:eastAsia="Arial" w:hAnsi="Arial"/>
          <w:sz w:val="18"/>
          <w:szCs w:val="18"/>
          <w:color w:val="4C4C4C"/>
        </w:rPr>
      </w:pPr>
    </w:p>
    <w:p>
      <w:pPr>
        <w:ind w:left="1700" w:hanging="260"/>
        <w:spacing w:after="0"/>
        <w:tabs>
          <w:tab w:leader="none" w:pos="1700" w:val="left"/>
        </w:tabs>
        <w:numPr>
          <w:ilvl w:val="0"/>
          <w:numId w:val="39"/>
        </w:numPr>
        <w:rPr>
          <w:rFonts w:ascii="Arial" w:cs="Arial" w:eastAsia="Arial" w:hAnsi="Arial"/>
          <w:sz w:val="18"/>
          <w:szCs w:val="18"/>
          <w:color w:val="4C4C4C"/>
        </w:rPr>
      </w:pPr>
      <w:r>
        <w:rPr>
          <w:rFonts w:ascii="Arial" w:cs="Arial" w:eastAsia="Arial" w:hAnsi="Arial"/>
          <w:sz w:val="18"/>
          <w:szCs w:val="18"/>
          <w:color w:val="4C4C4C"/>
        </w:rPr>
        <w:t>Mary Kathryn Ellet</w:t>
      </w:r>
    </w:p>
    <w:p>
      <w:pPr>
        <w:spacing w:after="0" w:line="49" w:lineRule="exact"/>
        <w:rPr>
          <w:rFonts w:ascii="Arial" w:cs="Arial" w:eastAsia="Arial" w:hAnsi="Arial"/>
          <w:sz w:val="18"/>
          <w:szCs w:val="18"/>
          <w:color w:val="4C4C4C"/>
        </w:rPr>
      </w:pPr>
    </w:p>
    <w:p>
      <w:pPr>
        <w:ind w:left="1700" w:hanging="260"/>
        <w:spacing w:after="0"/>
        <w:tabs>
          <w:tab w:leader="none" w:pos="1700" w:val="left"/>
        </w:tabs>
        <w:numPr>
          <w:ilvl w:val="0"/>
          <w:numId w:val="39"/>
        </w:numPr>
        <w:rPr>
          <w:rFonts w:ascii="Arial" w:cs="Arial" w:eastAsia="Arial" w:hAnsi="Arial"/>
          <w:sz w:val="18"/>
          <w:szCs w:val="18"/>
          <w:color w:val="4C4C4C"/>
        </w:rPr>
      </w:pPr>
      <w:r>
        <w:rPr>
          <w:rFonts w:ascii="Arial" w:cs="Arial" w:eastAsia="Arial" w:hAnsi="Arial"/>
          <w:sz w:val="18"/>
          <w:szCs w:val="18"/>
          <w:color w:val="4C4C4C"/>
        </w:rPr>
        <w:t>Gary W. Mize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4C4C4C"/>
        </w:rPr>
        <w:t>M</w:t>
      </w:r>
      <w:r>
        <w:rPr>
          <w:rFonts w:ascii="Trebuchet MS" w:cs="Trebuchet MS" w:eastAsia="Trebuchet MS" w:hAnsi="Trebuchet MS"/>
          <w:sz w:val="18"/>
          <w:szCs w:val="18"/>
          <w:b w:val="1"/>
          <w:bCs w:val="1"/>
          <w:i w:val="1"/>
          <w:iCs w:val="1"/>
          <w:color w:val="4C4C4C"/>
        </w:rPr>
        <w:t>eetings During 2025:</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419"/>
        <w:spacing w:after="0" w:line="252" w:lineRule="auto"/>
        <w:rPr>
          <w:sz w:val="20"/>
          <w:szCs w:val="20"/>
          <w:color w:val="auto"/>
        </w:rPr>
      </w:pPr>
      <w:r>
        <w:rPr>
          <w:rFonts w:ascii="Arial" w:cs="Arial" w:eastAsia="Arial" w:hAnsi="Arial"/>
          <w:sz w:val="18"/>
          <w:szCs w:val="18"/>
          <w:color w:val="4C4C4C"/>
        </w:rPr>
        <w:t>Each of the members of our Audit Committee is a non-employee member of our Board. Our Board has determined that all members of our Audit Committee meet the requirements for independence and financial literacy under the applicable rules and regulations of the SEC and Nasdaq. Our Board has further determined that Mr. Guillen is an audit committee financial expert, as that term is defined under the applicable rules of the SEC, and has the requisite financial sophistication as defined under the applicable rules and regulations of Nasdaq. The Audit Committee operates under a written charter that satisfies the applicable standards of the SEC and Nasdaq, a copy of which can be found on our website at https://investors.gevo.com/ under the heading “Governance.” On an annual basis, the Audit Committee reviews and evaluates its written charter and the performance of the committee and its members, including compliance of the committee with its written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-1917065</wp:posOffset>
            </wp:positionH>
            <wp:positionV relativeFrom="paragraph">
              <wp:posOffset>445135</wp:posOffset>
            </wp:positionV>
            <wp:extent cx="52120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23" w:lineRule="exact"/>
        <w:rPr>
          <w:sz w:val="20"/>
          <w:szCs w:val="20"/>
          <w:color w:val="auto"/>
        </w:rPr>
      </w:pPr>
    </w:p>
    <w:p>
      <w:pPr>
        <w:sectPr>
          <w:pgSz w:w="11900" w:h="16838" w:orient="portrait"/>
          <w:cols w:equalWidth="0" w:num="2">
            <w:col w:w="3560" w:space="720"/>
            <w:col w:w="5599"/>
          </w:cols>
          <w:pgMar w:left="580" w:top="97" w:right="1440" w:bottom="1440" w:gutter="0" w:footer="0" w:header="0"/>
          <w:type w:val="continuous"/>
        </w:sectPr>
      </w:pPr>
    </w:p>
    <w:p>
      <w:pPr>
        <w:spacing w:after="0" w:line="60"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Six.</w:t>
      </w:r>
    </w:p>
    <w:p>
      <w:pPr>
        <w:spacing w:after="0" w:line="221"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i w:val="1"/>
          <w:iCs w:val="1"/>
          <w:color w:val="4C4C4C"/>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36830</wp:posOffset>
            </wp:positionV>
            <wp:extent cx="52120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20"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4C4C4C"/>
        </w:rPr>
        <w:t>Our Audit Committee oversees our corporate accounting and financial reporting process. Among other matters, the Audit Committee appoints the independent registered public accounting firm; evaluates the independent registered public accounting firm’s qualifications, independence and performance; determines the engagement of the independent registered public accounting firm; reviews and approves the scope of the annual audit and the audit fee; discusses with management and the independent registered public accounting firm the results of the annual audit and the review of our quarterly consolidated financial statements; approves the retention of the independent registered public accounting firm to perform any proposed permissible non-audit services; monitors the rotation of partners of the independent registered public accounting firm on our engagement team as required by law; reviews our consolidated financial statements and our management’s discussion and analysis of financial condition and results of operations to be included in our annual and quarterly reports to be filed with the SEC; reviews our critical accounting policies and estimates; and annually reviews the Audit Committee charter and the committee’s performance. As noted above, the Audit Committee also reviews cybersecurity risks and receives regular reports from our Chief of Staff on various cybersecurity matters, including risk assessments, mitigation strategies, areas of emerging risks, incidents and industry trends, and other areas of importance.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780" w:hanging="520"/>
        <w:spacing w:after="0"/>
        <w:tabs>
          <w:tab w:leader="none" w:pos="1780" w:val="left"/>
        </w:tabs>
        <w:numPr>
          <w:ilvl w:val="0"/>
          <w:numId w:val="40"/>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317" w:lineRule="exact"/>
        <w:rPr>
          <w:sz w:val="20"/>
          <w:szCs w:val="20"/>
          <w:color w:val="auto"/>
        </w:rPr>
      </w:pPr>
    </w:p>
    <w:p>
      <w:pPr>
        <w:ind w:left="6000"/>
        <w:spacing w:after="0"/>
        <w:rPr>
          <w:sz w:val="20"/>
          <w:szCs w:val="20"/>
          <w:color w:val="auto"/>
        </w:rPr>
      </w:pPr>
      <w:r>
        <w:rPr>
          <w:rFonts w:ascii="Arial" w:cs="Arial" w:eastAsia="Arial" w:hAnsi="Arial"/>
          <w:sz w:val="12"/>
          <w:szCs w:val="12"/>
          <w:color w:val="346094"/>
        </w:rPr>
        <w:t>BOARD OF DIRECTORS AND CORPORATE GOVERNANCE</w:t>
      </w:r>
    </w:p>
    <w:p>
      <w:pPr>
        <w:spacing w:after="0" w:line="24"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69215</wp:posOffset>
            </wp:positionV>
            <wp:extent cx="5212080"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48" w:lineRule="exact"/>
        <w:rPr>
          <w:sz w:val="20"/>
          <w:szCs w:val="20"/>
          <w:color w:val="auto"/>
        </w:rPr>
      </w:pPr>
    </w:p>
    <w:p>
      <w:pPr>
        <w:ind w:left="1360"/>
        <w:spacing w:after="0"/>
        <w:rPr>
          <w:sz w:val="20"/>
          <w:szCs w:val="20"/>
          <w:color w:val="auto"/>
        </w:rPr>
      </w:pPr>
      <w:r>
        <w:rPr>
          <w:rFonts w:ascii="Trebuchet MS" w:cs="Trebuchet MS" w:eastAsia="Trebuchet MS" w:hAnsi="Trebuchet MS"/>
          <w:sz w:val="22"/>
          <w:szCs w:val="22"/>
          <w:b w:val="1"/>
          <w:bCs w:val="1"/>
          <w:color w:val="FFFFFF"/>
        </w:rPr>
        <w:t>CO</w:t>
      </w:r>
      <w:r>
        <w:rPr>
          <w:rFonts w:ascii="Arial" w:cs="Arial" w:eastAsia="Arial" w:hAnsi="Arial"/>
          <w:sz w:val="20"/>
          <w:szCs w:val="20"/>
          <w:b w:val="1"/>
          <w:bCs w:val="1"/>
          <w:color w:val="FFFFFF"/>
        </w:rPr>
        <w:t>M</w:t>
      </w:r>
      <w:r>
        <w:rPr>
          <w:rFonts w:ascii="Trebuchet MS" w:cs="Trebuchet MS" w:eastAsia="Trebuchet MS" w:hAnsi="Trebuchet MS"/>
          <w:sz w:val="22"/>
          <w:szCs w:val="22"/>
          <w:b w:val="1"/>
          <w:bCs w:val="1"/>
          <w:color w:val="FFFFFF"/>
        </w:rPr>
        <w:t>PENSATION CO</w:t>
      </w:r>
      <w:r>
        <w:rPr>
          <w:rFonts w:ascii="Arial" w:cs="Arial" w:eastAsia="Arial" w:hAnsi="Arial"/>
          <w:sz w:val="20"/>
          <w:szCs w:val="20"/>
          <w:b w:val="1"/>
          <w:bCs w:val="1"/>
          <w:color w:val="FFFFFF"/>
        </w:rPr>
        <w:t>MM</w:t>
      </w:r>
      <w:r>
        <w:rPr>
          <w:rFonts w:ascii="Trebuchet MS" w:cs="Trebuchet MS" w:eastAsia="Trebuchet MS" w:hAnsi="Trebuchet MS"/>
          <w:sz w:val="22"/>
          <w:szCs w:val="22"/>
          <w:b w:val="1"/>
          <w:bCs w:val="1"/>
          <w:color w:val="FFFFFF"/>
        </w:rPr>
        <w:t>ITTEE</w:t>
      </w:r>
    </w:p>
    <w:p>
      <w:pPr>
        <w:sectPr>
          <w:pgSz w:w="11900" w:h="16838" w:orient="portrait"/>
          <w:cols w:equalWidth="0" w:num="1">
            <w:col w:w="10720"/>
          </w:cols>
          <w:pgMar w:left="580" w:top="97" w:right="599" w:bottom="1440" w:gutter="0" w:footer="0" w:header="0"/>
        </w:sectPr>
      </w:pP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4C4C4C"/>
        </w:rPr>
        <w:t>M</w:t>
      </w:r>
      <w:r>
        <w:rPr>
          <w:rFonts w:ascii="Trebuchet MS" w:cs="Trebuchet MS" w:eastAsia="Trebuchet MS" w:hAnsi="Trebuchet MS"/>
          <w:sz w:val="18"/>
          <w:szCs w:val="18"/>
          <w:b w:val="1"/>
          <w:bCs w:val="1"/>
          <w:i w:val="1"/>
          <w:iCs w:val="1"/>
          <w:color w:val="4C4C4C"/>
        </w:rPr>
        <w:t>embers:</w:t>
      </w:r>
    </w:p>
    <w:p>
      <w:pPr>
        <w:spacing w:after="0" w:line="126" w:lineRule="exact"/>
        <w:rPr>
          <w:sz w:val="20"/>
          <w:szCs w:val="20"/>
          <w:color w:val="auto"/>
        </w:rPr>
      </w:pPr>
    </w:p>
    <w:p>
      <w:pPr>
        <w:ind w:left="1700" w:hanging="260"/>
        <w:spacing w:after="0"/>
        <w:tabs>
          <w:tab w:leader="none" w:pos="1700" w:val="left"/>
        </w:tabs>
        <w:numPr>
          <w:ilvl w:val="0"/>
          <w:numId w:val="41"/>
        </w:numPr>
        <w:rPr>
          <w:rFonts w:ascii="Arial" w:cs="Arial" w:eastAsia="Arial" w:hAnsi="Arial"/>
          <w:sz w:val="18"/>
          <w:szCs w:val="18"/>
          <w:color w:val="4C4C4C"/>
        </w:rPr>
      </w:pPr>
      <w:r>
        <w:rPr>
          <w:rFonts w:ascii="Arial" w:cs="Arial" w:eastAsia="Arial" w:hAnsi="Arial"/>
          <w:sz w:val="18"/>
          <w:szCs w:val="18"/>
          <w:color w:val="4C4C4C"/>
        </w:rPr>
        <w:t>Andrew J. Marsh (</w:t>
      </w:r>
      <w:r>
        <w:rPr>
          <w:rFonts w:ascii="Arial" w:cs="Arial" w:eastAsia="Arial" w:hAnsi="Arial"/>
          <w:sz w:val="18"/>
          <w:szCs w:val="18"/>
          <w:i w:val="1"/>
          <w:iCs w:val="1"/>
          <w:color w:val="4C4C4C"/>
        </w:rPr>
        <w:t>Chair)</w:t>
      </w:r>
    </w:p>
    <w:p>
      <w:pPr>
        <w:spacing w:after="0" w:line="74" w:lineRule="exact"/>
        <w:rPr>
          <w:rFonts w:ascii="Arial" w:cs="Arial" w:eastAsia="Arial" w:hAnsi="Arial"/>
          <w:sz w:val="18"/>
          <w:szCs w:val="18"/>
          <w:color w:val="4C4C4C"/>
        </w:rPr>
      </w:pPr>
    </w:p>
    <w:p>
      <w:pPr>
        <w:ind w:left="1700" w:hanging="260"/>
        <w:spacing w:after="0"/>
        <w:tabs>
          <w:tab w:leader="none" w:pos="1700" w:val="left"/>
        </w:tabs>
        <w:numPr>
          <w:ilvl w:val="0"/>
          <w:numId w:val="41"/>
        </w:numPr>
        <w:rPr>
          <w:rFonts w:ascii="Arial" w:cs="Arial" w:eastAsia="Arial" w:hAnsi="Arial"/>
          <w:sz w:val="18"/>
          <w:szCs w:val="18"/>
          <w:color w:val="4C4C4C"/>
        </w:rPr>
      </w:pPr>
      <w:r>
        <w:rPr>
          <w:rFonts w:ascii="Arial" w:cs="Arial" w:eastAsia="Arial" w:hAnsi="Arial"/>
          <w:sz w:val="18"/>
          <w:szCs w:val="18"/>
          <w:color w:val="4C4C4C"/>
        </w:rPr>
        <w:t>Angelo Amorelli</w:t>
      </w:r>
    </w:p>
    <w:p>
      <w:pPr>
        <w:spacing w:after="0" w:line="49" w:lineRule="exact"/>
        <w:rPr>
          <w:rFonts w:ascii="Arial" w:cs="Arial" w:eastAsia="Arial" w:hAnsi="Arial"/>
          <w:sz w:val="18"/>
          <w:szCs w:val="18"/>
          <w:color w:val="4C4C4C"/>
        </w:rPr>
      </w:pPr>
    </w:p>
    <w:p>
      <w:pPr>
        <w:ind w:left="1700" w:hanging="260"/>
        <w:spacing w:after="0"/>
        <w:tabs>
          <w:tab w:leader="none" w:pos="1700" w:val="left"/>
        </w:tabs>
        <w:numPr>
          <w:ilvl w:val="0"/>
          <w:numId w:val="41"/>
        </w:numPr>
        <w:rPr>
          <w:rFonts w:ascii="Arial" w:cs="Arial" w:eastAsia="Arial" w:hAnsi="Arial"/>
          <w:sz w:val="18"/>
          <w:szCs w:val="18"/>
          <w:color w:val="4C4C4C"/>
        </w:rPr>
      </w:pPr>
      <w:r>
        <w:rPr>
          <w:rFonts w:ascii="Arial" w:cs="Arial" w:eastAsia="Arial" w:hAnsi="Arial"/>
          <w:sz w:val="18"/>
          <w:szCs w:val="18"/>
          <w:color w:val="4C4C4C"/>
        </w:rPr>
        <w:t>Carol J. Battershell</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1280"/>
        <w:spacing w:after="0" w:line="251" w:lineRule="auto"/>
        <w:rPr>
          <w:sz w:val="20"/>
          <w:szCs w:val="20"/>
          <w:color w:val="auto"/>
        </w:rPr>
      </w:pPr>
      <w:r>
        <w:rPr>
          <w:rFonts w:ascii="Arial" w:cs="Arial" w:eastAsia="Arial" w:hAnsi="Arial"/>
          <w:sz w:val="18"/>
          <w:szCs w:val="18"/>
          <w:color w:val="4C4C4C"/>
        </w:rPr>
        <w:t>Each of the members of our Compensation Committee is a non-employee member of our Board. Mr. Marsh serves as the Chair of the Compensation Committee. Our Board has determined that each of the members of our Compensation Committee is an independent or outside director under the applicable rules and regulations of the SEC, Nasdaq and the Internal Revenue Code of 1986, as amended, relating to Compensation Committee independence. The Board also considered whether any member of the Compensation Committee has a relationship to us which is material to that director’s ability to be independent from management in connection with the duties of a Compensation Committee member, including the source of compensation of such director, including any consulting, advisory or other compensatory fee paid by us to such director, and whether such director is affiliated with us, one of our subsidiaries or an affiliate of one of our subsidiaries. The Board concluded that there are no business relationships that would interfere with the exercise of independent judgment by any of the members of our Compensation Committee.</w:t>
      </w:r>
    </w:p>
    <w:p>
      <w:pPr>
        <w:spacing w:after="0" w:line="113" w:lineRule="exact"/>
        <w:rPr>
          <w:sz w:val="20"/>
          <w:szCs w:val="20"/>
          <w:color w:val="auto"/>
        </w:rPr>
      </w:pPr>
    </w:p>
    <w:p>
      <w:pPr>
        <w:ind w:right="1320"/>
        <w:spacing w:after="0" w:line="251" w:lineRule="auto"/>
        <w:rPr>
          <w:sz w:val="20"/>
          <w:szCs w:val="20"/>
          <w:color w:val="auto"/>
        </w:rPr>
      </w:pPr>
      <w:r>
        <w:rPr>
          <w:rFonts w:ascii="Arial" w:cs="Arial" w:eastAsia="Arial" w:hAnsi="Arial"/>
          <w:sz w:val="18"/>
          <w:szCs w:val="18"/>
          <w:color w:val="4C4C4C"/>
        </w:rPr>
        <w:t>The Compensation Committee operates under a written charter, a copy of which can be found on our website at https://investors.gevo.com/ under the heading “Governance.” On an annual basis, the Compensation Committee reviews and evaluates its written charter and the performance of the committee and its members, including compliance of the committee with its written charter.</w:t>
      </w:r>
    </w:p>
    <w:p>
      <w:pPr>
        <w:spacing w:after="0" w:line="200" w:lineRule="exact"/>
        <w:rPr>
          <w:sz w:val="20"/>
          <w:szCs w:val="20"/>
          <w:color w:val="auto"/>
        </w:rPr>
      </w:pPr>
    </w:p>
    <w:p>
      <w:pPr>
        <w:sectPr>
          <w:pgSz w:w="11900" w:h="16838" w:orient="portrait"/>
          <w:cols w:equalWidth="0" w:num="2">
            <w:col w:w="3660" w:space="620"/>
            <w:col w:w="6440"/>
          </w:cols>
          <w:pgMar w:left="580" w:top="97" w:right="599" w:bottom="1440" w:gutter="0" w:footer="0" w:header="0"/>
          <w:type w:val="continuous"/>
        </w:sectPr>
      </w:pP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4C4C4C"/>
        </w:rPr>
        <w:t>M</w:t>
      </w:r>
      <w:r>
        <w:rPr>
          <w:rFonts w:ascii="Trebuchet MS" w:cs="Trebuchet MS" w:eastAsia="Trebuchet MS" w:hAnsi="Trebuchet MS"/>
          <w:sz w:val="18"/>
          <w:szCs w:val="18"/>
          <w:b w:val="1"/>
          <w:bCs w:val="1"/>
          <w:i w:val="1"/>
          <w:iCs w:val="1"/>
          <w:color w:val="4C4C4C"/>
        </w:rPr>
        <w:t>eetings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49530</wp:posOffset>
            </wp:positionV>
            <wp:extent cx="52120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Six.</w:t>
      </w:r>
    </w:p>
    <w:p>
      <w:pPr>
        <w:spacing w:after="0" w:line="221"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i w:val="1"/>
          <w:iCs w:val="1"/>
          <w:color w:val="4C4C4C"/>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36830</wp:posOffset>
            </wp:positionV>
            <wp:extent cx="52120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20" w:lineRule="exact"/>
        <w:rPr>
          <w:sz w:val="20"/>
          <w:szCs w:val="20"/>
          <w:color w:val="auto"/>
        </w:rPr>
      </w:pPr>
    </w:p>
    <w:p>
      <w:pPr>
        <w:ind w:left="1260" w:right="1360"/>
        <w:spacing w:after="0" w:line="251" w:lineRule="auto"/>
        <w:rPr>
          <w:sz w:val="20"/>
          <w:szCs w:val="20"/>
          <w:color w:val="auto"/>
        </w:rPr>
      </w:pPr>
      <w:r>
        <w:rPr>
          <w:rFonts w:ascii="Arial" w:cs="Arial" w:eastAsia="Arial" w:hAnsi="Arial"/>
          <w:sz w:val="18"/>
          <w:szCs w:val="18"/>
          <w:color w:val="4C4C4C"/>
        </w:rPr>
        <w:t>Our Compensation Committee reviews and recommends policies relating to compensation and benefits of our officers and employees. The Compensation Committee reviews and approves corporate goals and objectives relevant to the compensation of our Chief Executive Officer and other executive officers, evaluates the performance of these officers in light of those goals and objectives, and sets the compensation of these officers based on such evaluations. The Compensation Committee, which is comprised of independent directors, approves all issuances of stock options and other awards under our equity incentive plans. The Committee may form and delegate authority to subcommittees, as appropriate, including, but not limited to, a subcommittee composed of one or more members of the Board to grant stock awards under the Company’s equity incentive plans to persons who are not then subject to Section 16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20" w:type="dxa"/>
            <w:vAlign w:val="bottom"/>
          </w:tcPr>
          <w:p>
            <w:pPr>
              <w:ind w:left="5880"/>
              <w:spacing w:after="0"/>
              <w:rPr>
                <w:sz w:val="20"/>
                <w:szCs w:val="20"/>
                <w:color w:val="auto"/>
              </w:rPr>
            </w:pPr>
            <w:r>
              <w:rPr>
                <w:rFonts w:ascii="Arial" w:cs="Arial" w:eastAsia="Arial" w:hAnsi="Arial"/>
                <w:sz w:val="18"/>
                <w:szCs w:val="18"/>
                <w:color w:val="346094"/>
                <w:w w:val="93"/>
              </w:rPr>
              <w:t xml:space="preserve">GEVO, INC.  |  </w:t>
            </w:r>
            <w:r>
              <w:rPr>
                <w:rFonts w:ascii="Arial" w:cs="Arial" w:eastAsia="Arial" w:hAnsi="Arial"/>
                <w:sz w:val="18"/>
                <w:szCs w:val="18"/>
                <w:i w:val="1"/>
                <w:iCs w:val="1"/>
                <w:color w:val="4C4C4C"/>
                <w:w w:val="93"/>
              </w:rPr>
              <w:t>2026 PROXY STATEMENT</w:t>
            </w:r>
          </w:p>
        </w:tc>
        <w:tc>
          <w:tcPr>
            <w:tcW w:w="1600" w:type="dxa"/>
            <w:vAlign w:val="bottom"/>
          </w:tcPr>
          <w:p>
            <w:pPr>
              <w:jc w:val="right"/>
              <w:ind w:right="1170"/>
              <w:spacing w:after="0"/>
              <w:rPr>
                <w:sz w:val="20"/>
                <w:szCs w:val="20"/>
                <w:color w:val="auto"/>
              </w:rPr>
            </w:pPr>
            <w:r>
              <w:rPr>
                <w:rFonts w:ascii="Arial" w:cs="Arial" w:eastAsia="Arial" w:hAnsi="Arial"/>
                <w:sz w:val="18"/>
                <w:szCs w:val="18"/>
                <w:color w:val="4C4C4C"/>
              </w:rPr>
              <w:t>23</w:t>
            </w:r>
          </w:p>
        </w:tc>
      </w:tr>
      <w:tr>
        <w:trPr>
          <w:trHeight w:val="395"/>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317"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BOARD OF DIRECTORS AND CORPORATE GOVERNANCE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69215</wp:posOffset>
            </wp:positionV>
            <wp:extent cx="5212080"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48" w:lineRule="exact"/>
        <w:rPr>
          <w:sz w:val="20"/>
          <w:szCs w:val="20"/>
          <w:color w:val="auto"/>
        </w:rPr>
      </w:pPr>
    </w:p>
    <w:p>
      <w:pPr>
        <w:jc w:val="right"/>
        <w:ind w:right="2799"/>
        <w:spacing w:after="0"/>
        <w:rPr>
          <w:sz w:val="20"/>
          <w:szCs w:val="20"/>
          <w:color w:val="auto"/>
        </w:rPr>
      </w:pPr>
      <w:r>
        <w:rPr>
          <w:rFonts w:ascii="Trebuchet MS" w:cs="Trebuchet MS" w:eastAsia="Trebuchet MS" w:hAnsi="Trebuchet MS"/>
          <w:sz w:val="21"/>
          <w:szCs w:val="21"/>
          <w:b w:val="1"/>
          <w:bCs w:val="1"/>
          <w:color w:val="FFFFFF"/>
        </w:rPr>
        <w:t>NO</w:t>
      </w:r>
      <w:r>
        <w:rPr>
          <w:rFonts w:ascii="Arial" w:cs="Arial" w:eastAsia="Arial" w:hAnsi="Arial"/>
          <w:sz w:val="19"/>
          <w:szCs w:val="19"/>
          <w:b w:val="1"/>
          <w:bCs w:val="1"/>
          <w:color w:val="FFFFFF"/>
        </w:rPr>
        <w:t>M</w:t>
      </w:r>
      <w:r>
        <w:rPr>
          <w:rFonts w:ascii="Trebuchet MS" w:cs="Trebuchet MS" w:eastAsia="Trebuchet MS" w:hAnsi="Trebuchet MS"/>
          <w:sz w:val="21"/>
          <w:szCs w:val="21"/>
          <w:b w:val="1"/>
          <w:bCs w:val="1"/>
          <w:color w:val="FFFFFF"/>
        </w:rPr>
        <w:t>INATING AND CORPORATE GOVERNANCE CO</w:t>
      </w:r>
      <w:r>
        <w:rPr>
          <w:rFonts w:ascii="Arial" w:cs="Arial" w:eastAsia="Arial" w:hAnsi="Arial"/>
          <w:sz w:val="19"/>
          <w:szCs w:val="19"/>
          <w:b w:val="1"/>
          <w:bCs w:val="1"/>
          <w:color w:val="FFFFFF"/>
        </w:rPr>
        <w:t>MM</w:t>
      </w:r>
      <w:r>
        <w:rPr>
          <w:rFonts w:ascii="Trebuchet MS" w:cs="Trebuchet MS" w:eastAsia="Trebuchet MS" w:hAnsi="Trebuchet MS"/>
          <w:sz w:val="21"/>
          <w:szCs w:val="21"/>
          <w:b w:val="1"/>
          <w:bCs w:val="1"/>
          <w:color w:val="FFFFFF"/>
        </w:rPr>
        <w:t>ITTEE</w:t>
      </w:r>
    </w:p>
    <w:p>
      <w:pPr>
        <w:sectPr>
          <w:pgSz w:w="11900" w:h="16838" w:orient="portrait"/>
          <w:cols w:equalWidth="0" w:num="1">
            <w:col w:w="9879"/>
          </w:cols>
          <w:pgMar w:left="580" w:top="97" w:right="1440" w:bottom="1440" w:gutter="0" w:footer="0" w:header="0"/>
        </w:sectPr>
      </w:pPr>
    </w:p>
    <w:p>
      <w:pPr>
        <w:spacing w:after="0" w:line="2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4C4C4C"/>
        </w:rPr>
        <w:t>M</w:t>
      </w:r>
      <w:r>
        <w:rPr>
          <w:rFonts w:ascii="Trebuchet MS" w:cs="Trebuchet MS" w:eastAsia="Trebuchet MS" w:hAnsi="Trebuchet MS"/>
          <w:sz w:val="18"/>
          <w:szCs w:val="18"/>
          <w:b w:val="1"/>
          <w:bCs w:val="1"/>
          <w:i w:val="1"/>
          <w:iCs w:val="1"/>
          <w:color w:val="4C4C4C"/>
        </w:rPr>
        <w:t>embers:</w:t>
      </w:r>
    </w:p>
    <w:p>
      <w:pPr>
        <w:spacing w:after="0" w:line="138" w:lineRule="exact"/>
        <w:rPr>
          <w:sz w:val="20"/>
          <w:szCs w:val="20"/>
          <w:color w:val="auto"/>
        </w:rPr>
      </w:pPr>
    </w:p>
    <w:p>
      <w:pPr>
        <w:ind w:left="1700" w:hanging="260"/>
        <w:spacing w:after="0"/>
        <w:tabs>
          <w:tab w:leader="none" w:pos="1700" w:val="left"/>
        </w:tabs>
        <w:numPr>
          <w:ilvl w:val="0"/>
          <w:numId w:val="42"/>
        </w:numPr>
        <w:rPr>
          <w:rFonts w:ascii="Arial" w:cs="Arial" w:eastAsia="Arial" w:hAnsi="Arial"/>
          <w:sz w:val="18"/>
          <w:szCs w:val="18"/>
          <w:color w:val="4C4C4C"/>
        </w:rPr>
      </w:pPr>
      <w:r>
        <w:rPr>
          <w:rFonts w:ascii="Arial" w:cs="Arial" w:eastAsia="Arial" w:hAnsi="Arial"/>
          <w:sz w:val="18"/>
          <w:szCs w:val="18"/>
          <w:color w:val="4C4C4C"/>
        </w:rPr>
        <w:t>William H. Baum (</w:t>
      </w:r>
      <w:r>
        <w:rPr>
          <w:rFonts w:ascii="Arial" w:cs="Arial" w:eastAsia="Arial" w:hAnsi="Arial"/>
          <w:sz w:val="18"/>
          <w:szCs w:val="18"/>
          <w:i w:val="1"/>
          <w:iCs w:val="1"/>
          <w:color w:val="4C4C4C"/>
        </w:rPr>
        <w:t>Chair)</w:t>
      </w:r>
    </w:p>
    <w:p>
      <w:pPr>
        <w:spacing w:after="0" w:line="37" w:lineRule="exact"/>
        <w:rPr>
          <w:rFonts w:ascii="Arial" w:cs="Arial" w:eastAsia="Arial" w:hAnsi="Arial"/>
          <w:sz w:val="18"/>
          <w:szCs w:val="18"/>
          <w:color w:val="4C4C4C"/>
        </w:rPr>
      </w:pPr>
    </w:p>
    <w:p>
      <w:pPr>
        <w:ind w:left="1700" w:hanging="260"/>
        <w:spacing w:after="0"/>
        <w:tabs>
          <w:tab w:leader="none" w:pos="1700" w:val="left"/>
        </w:tabs>
        <w:numPr>
          <w:ilvl w:val="0"/>
          <w:numId w:val="42"/>
        </w:numPr>
        <w:rPr>
          <w:rFonts w:ascii="Arial" w:cs="Arial" w:eastAsia="Arial" w:hAnsi="Arial"/>
          <w:sz w:val="18"/>
          <w:szCs w:val="18"/>
          <w:color w:val="4C4C4C"/>
        </w:rPr>
      </w:pPr>
      <w:r>
        <w:rPr>
          <w:rFonts w:ascii="Arial" w:cs="Arial" w:eastAsia="Arial" w:hAnsi="Arial"/>
          <w:sz w:val="18"/>
          <w:szCs w:val="18"/>
          <w:color w:val="4C4C4C"/>
        </w:rPr>
        <w:t>Andrew J. Marsh</w:t>
      </w:r>
    </w:p>
    <w:p>
      <w:pPr>
        <w:spacing w:after="0" w:line="63" w:lineRule="exact"/>
        <w:rPr>
          <w:rFonts w:ascii="Arial" w:cs="Arial" w:eastAsia="Arial" w:hAnsi="Arial"/>
          <w:sz w:val="18"/>
          <w:szCs w:val="18"/>
          <w:color w:val="4C4C4C"/>
        </w:rPr>
      </w:pPr>
    </w:p>
    <w:p>
      <w:pPr>
        <w:ind w:left="1700" w:hanging="260"/>
        <w:spacing w:after="0"/>
        <w:tabs>
          <w:tab w:leader="none" w:pos="1700" w:val="left"/>
        </w:tabs>
        <w:numPr>
          <w:ilvl w:val="0"/>
          <w:numId w:val="42"/>
        </w:numPr>
        <w:rPr>
          <w:rFonts w:ascii="Arial" w:cs="Arial" w:eastAsia="Arial" w:hAnsi="Arial"/>
          <w:sz w:val="18"/>
          <w:szCs w:val="18"/>
          <w:color w:val="4C4C4C"/>
        </w:rPr>
      </w:pPr>
      <w:r>
        <w:rPr>
          <w:rFonts w:ascii="Arial" w:cs="Arial" w:eastAsia="Arial" w:hAnsi="Arial"/>
          <w:sz w:val="18"/>
          <w:szCs w:val="18"/>
          <w:color w:val="4C4C4C"/>
        </w:rPr>
        <w:t>Gary W. Mize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4C4C4C"/>
        </w:rPr>
        <w:t>M</w:t>
      </w:r>
      <w:r>
        <w:rPr>
          <w:rFonts w:ascii="Trebuchet MS" w:cs="Trebuchet MS" w:eastAsia="Trebuchet MS" w:hAnsi="Trebuchet MS"/>
          <w:sz w:val="18"/>
          <w:szCs w:val="18"/>
          <w:b w:val="1"/>
          <w:bCs w:val="1"/>
          <w:i w:val="1"/>
          <w:iCs w:val="1"/>
          <w:color w:val="4C4C4C"/>
        </w:rPr>
        <w:t>eetings During 2025:</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right="479"/>
        <w:spacing w:after="0" w:line="252" w:lineRule="auto"/>
        <w:rPr>
          <w:sz w:val="20"/>
          <w:szCs w:val="20"/>
          <w:color w:val="auto"/>
        </w:rPr>
      </w:pPr>
      <w:r>
        <w:rPr>
          <w:rFonts w:ascii="Arial" w:cs="Arial" w:eastAsia="Arial" w:hAnsi="Arial"/>
          <w:sz w:val="18"/>
          <w:szCs w:val="18"/>
          <w:color w:val="4C4C4C"/>
        </w:rPr>
        <w:t>Each of the members of our Nominating and Corporate Governance Committee is a non-employee member of our Board. Mr. Baum serves as the Chair of the Nominating and Corporate Governance Committee. Our Board has determined that each of the members of our Nominating and Corporate Governance Committee is an independent director under the applicable rules and regulations of the SEC and Nasdaq relating to Nominating and Corporate Governance Committee independence. The Nominating and Corporate Governance Committee operates under a written charter, a copy of which can be found on our website at https://investors.gevo.com/ under the heading “Governance.” On an annual basis, the Nominating and Corporate Governance Committee reviews and evaluates its written charter and the performance of the committee and its members, including compliance of the committee with its written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-1917065</wp:posOffset>
            </wp:positionH>
            <wp:positionV relativeFrom="paragraph">
              <wp:posOffset>316865</wp:posOffset>
            </wp:positionV>
            <wp:extent cx="52120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2">
            <w:col w:w="3660" w:space="620"/>
            <w:col w:w="5599"/>
          </w:cols>
          <w:pgMar w:left="580" w:top="97" w:right="1440" w:bottom="1440" w:gutter="0" w:footer="0" w:header="0"/>
          <w:type w:val="continuous"/>
        </w:sectPr>
      </w:pPr>
    </w:p>
    <w:p>
      <w:pPr>
        <w:spacing w:after="0" w:line="60"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Five.</w:t>
      </w:r>
    </w:p>
    <w:p>
      <w:pPr>
        <w:spacing w:after="0" w:line="221"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i w:val="1"/>
          <w:iCs w:val="1"/>
          <w:color w:val="4C4C4C"/>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36830</wp:posOffset>
            </wp:positionV>
            <wp:extent cx="52120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20"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4C4C4C"/>
        </w:rPr>
        <w:t>The Nominating and Corporate Governance Committee is responsible for making recommendations to our Board regarding candidates for directorships and the size and composition of our Board. In addition, the Nominating and Corporate Governance Committee is responsible for overseeing our corporate governance policies, reporting and making recommendations to our Board concerning governance matters, overseeing our environmental, social and governance (ESG) matters, overseeing our talent management and overseeing our health and safety matters.</w:t>
      </w:r>
    </w:p>
    <w:p>
      <w:pPr>
        <w:spacing w:after="0" w:line="180"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Consideration of Director Nominees</w:t>
      </w:r>
    </w:p>
    <w:p>
      <w:pPr>
        <w:spacing w:after="0" w:line="212"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Director Qualifications</w:t>
      </w:r>
    </w:p>
    <w:p>
      <w:pPr>
        <w:spacing w:after="0" w:line="197"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4C4C4C"/>
        </w:rPr>
        <w:t>There are no specific minimum qualifications that the Board requires to be met by a director nominee recommended for a position on our Board, nor are there any specific qualities or skills that are necessary for one or more members of our Board to possess, other than as are necessary to meet the requirements of the rules and regulations applicable to us. The Nominating and Corporate Governance Committee considers a potential director candidate’s experience, areas of expertise and other factors relative to the overall composition of our Board and its committees, including the following characteristics: experience, judgment, commitment (including having sufficient time to devote to the Company), skills, diversity and expertise appropriate for the Company. In assessing potential directors, the Nominating and Corporate Governance Committee may consider the current needs of the Board and the Company to maintain a balance of knowledge, experience and capability in various areas.</w:t>
      </w:r>
    </w:p>
    <w:p>
      <w:pPr>
        <w:spacing w:after="0" w:line="200" w:lineRule="exact"/>
        <w:rPr>
          <w:sz w:val="20"/>
          <w:szCs w:val="20"/>
          <w:color w:val="auto"/>
        </w:rPr>
      </w:pPr>
    </w:p>
    <w:p>
      <w:pPr>
        <w:spacing w:after="0" w:line="207"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Stockholder Nominations</w:t>
      </w:r>
    </w:p>
    <w:p>
      <w:pPr>
        <w:spacing w:after="0" w:line="197"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4C4C4C"/>
        </w:rPr>
        <w:t>The Nominating and Corporate Governance Committee will consider director candidates recommended by our stockholders. The Nominating and Corporate Governance Committee does not intend to alter the manner in which it evaluates candidates, including the criteria set forth above, based on whether a candidate was recommended by a stockholder or not. Stockholders who wish to recommend individuals for consideration by the Nominating and Corporate Governance Committee to become nominees for election to the Board at an annual meeting of stockholders must do so by delivering a written recommendation to the Nominating and Corporate Governance Committee, c/o Gevo, Inc., 345 Inverness</w:t>
      </w:r>
    </w:p>
    <w:p>
      <w:pPr>
        <w:spacing w:after="0" w:line="378" w:lineRule="exact"/>
        <w:rPr>
          <w:sz w:val="20"/>
          <w:szCs w:val="20"/>
          <w:color w:val="auto"/>
        </w:rPr>
      </w:pPr>
    </w:p>
    <w:p>
      <w:pPr>
        <w:ind w:left="1780" w:hanging="520"/>
        <w:spacing w:after="0"/>
        <w:tabs>
          <w:tab w:leader="none" w:pos="1780" w:val="left"/>
        </w:tabs>
        <w:numPr>
          <w:ilvl w:val="0"/>
          <w:numId w:val="43"/>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317" w:lineRule="exact"/>
        <w:rPr>
          <w:sz w:val="20"/>
          <w:szCs w:val="20"/>
          <w:color w:val="auto"/>
        </w:rPr>
      </w:pPr>
    </w:p>
    <w:p>
      <w:pPr>
        <w:ind w:left="6000"/>
        <w:spacing w:after="0"/>
        <w:rPr>
          <w:sz w:val="20"/>
          <w:szCs w:val="20"/>
          <w:color w:val="auto"/>
        </w:rPr>
      </w:pPr>
      <w:r>
        <w:rPr>
          <w:rFonts w:ascii="Arial" w:cs="Arial" w:eastAsia="Arial" w:hAnsi="Arial"/>
          <w:sz w:val="12"/>
          <w:szCs w:val="12"/>
          <w:color w:val="346094"/>
        </w:rPr>
        <w:t>BOARD OF DIRECTORS AND CORPORATE GOVERNANCE</w:t>
      </w:r>
    </w:p>
    <w:p>
      <w:pPr>
        <w:spacing w:after="0" w:line="24"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4C4C4C"/>
        </w:rPr>
        <w:t>Drive South, Building C, Suite 310, Englewood, Colorado 80112, Attn: Corporate Secretary, by the time period set forth in our Bylaws. See “Stockholder Proposals and Director Nominations.”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Each written recommendation must set forth, among other information as set forth in our Bylaws:</w:t>
      </w:r>
    </w:p>
    <w:p>
      <w:pPr>
        <w:spacing w:after="0" w:line="131" w:lineRule="exact"/>
        <w:rPr>
          <w:sz w:val="20"/>
          <w:szCs w:val="20"/>
          <w:color w:val="auto"/>
        </w:rPr>
      </w:pPr>
    </w:p>
    <w:p>
      <w:pPr>
        <w:ind w:left="1800" w:right="519" w:hanging="180"/>
        <w:spacing w:after="0" w:line="259" w:lineRule="auto"/>
        <w:tabs>
          <w:tab w:leader="none" w:pos="1800" w:val="left"/>
        </w:tabs>
        <w:numPr>
          <w:ilvl w:val="0"/>
          <w:numId w:val="44"/>
        </w:numPr>
        <w:rPr>
          <w:rFonts w:ascii="Arial" w:cs="Arial" w:eastAsia="Arial" w:hAnsi="Arial"/>
          <w:sz w:val="18"/>
          <w:szCs w:val="18"/>
          <w:color w:val="4C4C4C"/>
        </w:rPr>
      </w:pPr>
      <w:r>
        <w:rPr>
          <w:rFonts w:ascii="Arial" w:cs="Arial" w:eastAsia="Arial" w:hAnsi="Arial"/>
          <w:sz w:val="18"/>
          <w:szCs w:val="18"/>
          <w:color w:val="4C4C4C"/>
        </w:rPr>
        <w:t>the name and address of the stockholder of record and any beneficial owner on whose behalf the nomination is being made;</w:t>
      </w:r>
    </w:p>
    <w:p>
      <w:pPr>
        <w:spacing w:after="0" w:line="93" w:lineRule="exact"/>
        <w:rPr>
          <w:rFonts w:ascii="Arial" w:cs="Arial" w:eastAsia="Arial" w:hAnsi="Arial"/>
          <w:sz w:val="18"/>
          <w:szCs w:val="18"/>
          <w:color w:val="4C4C4C"/>
        </w:rPr>
      </w:pPr>
    </w:p>
    <w:p>
      <w:pPr>
        <w:ind w:left="1800" w:right="539" w:hanging="180"/>
        <w:spacing w:after="0" w:line="255" w:lineRule="auto"/>
        <w:tabs>
          <w:tab w:leader="none" w:pos="1800" w:val="left"/>
        </w:tabs>
        <w:numPr>
          <w:ilvl w:val="0"/>
          <w:numId w:val="44"/>
        </w:numPr>
        <w:rPr>
          <w:rFonts w:ascii="Arial" w:cs="Arial" w:eastAsia="Arial" w:hAnsi="Arial"/>
          <w:sz w:val="18"/>
          <w:szCs w:val="18"/>
          <w:color w:val="4C4C4C"/>
        </w:rPr>
      </w:pPr>
      <w:r>
        <w:rPr>
          <w:rFonts w:ascii="Arial" w:cs="Arial" w:eastAsia="Arial" w:hAnsi="Arial"/>
          <w:sz w:val="18"/>
          <w:szCs w:val="18"/>
          <w:color w:val="4C4C4C"/>
        </w:rPr>
        <w:t>the class, series and number of shares of common stock of the Company, and any convertible securities of the Company, that are beneficially owned by the stockholder of record and any beneficial owner on whose behalf the nomination is being made;</w:t>
      </w:r>
    </w:p>
    <w:p>
      <w:pPr>
        <w:spacing w:after="0" w:line="96" w:lineRule="exact"/>
        <w:rPr>
          <w:rFonts w:ascii="Arial" w:cs="Arial" w:eastAsia="Arial" w:hAnsi="Arial"/>
          <w:sz w:val="18"/>
          <w:szCs w:val="18"/>
          <w:color w:val="4C4C4C"/>
        </w:rPr>
      </w:pPr>
    </w:p>
    <w:p>
      <w:pPr>
        <w:ind w:left="1800" w:right="439" w:hanging="180"/>
        <w:spacing w:after="0" w:line="251" w:lineRule="auto"/>
        <w:tabs>
          <w:tab w:leader="none" w:pos="1800" w:val="left"/>
        </w:tabs>
        <w:numPr>
          <w:ilvl w:val="0"/>
          <w:numId w:val="44"/>
        </w:numPr>
        <w:rPr>
          <w:rFonts w:ascii="Arial" w:cs="Arial" w:eastAsia="Arial" w:hAnsi="Arial"/>
          <w:sz w:val="18"/>
          <w:szCs w:val="18"/>
          <w:color w:val="4C4C4C"/>
        </w:rPr>
      </w:pPr>
      <w:r>
        <w:rPr>
          <w:rFonts w:ascii="Arial" w:cs="Arial" w:eastAsia="Arial" w:hAnsi="Arial"/>
          <w:sz w:val="18"/>
          <w:szCs w:val="18"/>
          <w:color w:val="4C4C4C"/>
        </w:rPr>
        <w:t>any short position, profits interest, option, warrant, convertible security, stock appreciation right or similar rights related to any class or series of capital stock of the Company, or with a value derived in whole or in part from, or with an exercise or conversion privilege or a settlement or payment mechanism related to, the price of any class or series of shares of capital stock of the Company, in each case, directly or indirectly held or owned, by such stockholder of record and any beneficial owner on whose behalf the nomination is being made (“Synthetic Equity Interests”);</w:t>
      </w:r>
    </w:p>
    <w:p>
      <w:pPr>
        <w:spacing w:after="0" w:line="104" w:lineRule="exact"/>
        <w:rPr>
          <w:rFonts w:ascii="Arial" w:cs="Arial" w:eastAsia="Arial" w:hAnsi="Arial"/>
          <w:sz w:val="18"/>
          <w:szCs w:val="18"/>
          <w:color w:val="4C4C4C"/>
        </w:rPr>
      </w:pPr>
    </w:p>
    <w:p>
      <w:pPr>
        <w:ind w:left="1800" w:right="439" w:hanging="180"/>
        <w:spacing w:after="0" w:line="255" w:lineRule="auto"/>
        <w:tabs>
          <w:tab w:leader="none" w:pos="1800" w:val="left"/>
        </w:tabs>
        <w:numPr>
          <w:ilvl w:val="0"/>
          <w:numId w:val="44"/>
        </w:numPr>
        <w:rPr>
          <w:rFonts w:ascii="Arial" w:cs="Arial" w:eastAsia="Arial" w:hAnsi="Arial"/>
          <w:sz w:val="18"/>
          <w:szCs w:val="18"/>
          <w:color w:val="4C4C4C"/>
        </w:rPr>
      </w:pPr>
      <w:r>
        <w:rPr>
          <w:rFonts w:ascii="Arial" w:cs="Arial" w:eastAsia="Arial" w:hAnsi="Arial"/>
          <w:sz w:val="18"/>
          <w:szCs w:val="18"/>
          <w:color w:val="4C4C4C"/>
        </w:rPr>
        <w:t>any proxy, agreement, arrangement, understanding or relationship pursuant to which such stockholder of record and any beneficial owner on whose behalf the nomination is being made has or shares a right to vote any shares of any class or series of the Company;</w:t>
      </w:r>
    </w:p>
    <w:p>
      <w:pPr>
        <w:spacing w:after="0" w:line="96" w:lineRule="exact"/>
        <w:rPr>
          <w:rFonts w:ascii="Arial" w:cs="Arial" w:eastAsia="Arial" w:hAnsi="Arial"/>
          <w:sz w:val="18"/>
          <w:szCs w:val="18"/>
          <w:color w:val="4C4C4C"/>
        </w:rPr>
      </w:pPr>
    </w:p>
    <w:p>
      <w:pPr>
        <w:ind w:left="1800" w:right="559" w:hanging="180"/>
        <w:spacing w:after="0" w:line="252" w:lineRule="auto"/>
        <w:tabs>
          <w:tab w:leader="none" w:pos="1800" w:val="left"/>
        </w:tabs>
        <w:numPr>
          <w:ilvl w:val="0"/>
          <w:numId w:val="44"/>
        </w:numPr>
        <w:rPr>
          <w:rFonts w:ascii="Arial" w:cs="Arial" w:eastAsia="Arial" w:hAnsi="Arial"/>
          <w:sz w:val="18"/>
          <w:szCs w:val="18"/>
          <w:color w:val="4C4C4C"/>
        </w:rPr>
      </w:pPr>
      <w:r>
        <w:rPr>
          <w:rFonts w:ascii="Arial" w:cs="Arial" w:eastAsia="Arial" w:hAnsi="Arial"/>
          <w:sz w:val="18"/>
          <w:szCs w:val="18"/>
          <w:color w:val="4C4C4C"/>
        </w:rPr>
        <w:t>any proportionate interest in shares of the Company or Synthetic Equity Interests held, directly or indirectly, by a general or limited partnership in which such stockholder of record and any beneficial owner on whose behalf the nomination is being made is a general partner or directly or indirectly, beneficially owns an interest in a general partner of such general or limited partnership;</w:t>
      </w:r>
    </w:p>
    <w:p>
      <w:pPr>
        <w:spacing w:after="0" w:line="101" w:lineRule="exact"/>
        <w:rPr>
          <w:rFonts w:ascii="Arial" w:cs="Arial" w:eastAsia="Arial" w:hAnsi="Arial"/>
          <w:sz w:val="18"/>
          <w:szCs w:val="18"/>
          <w:color w:val="4C4C4C"/>
        </w:rPr>
      </w:pPr>
    </w:p>
    <w:p>
      <w:pPr>
        <w:jc w:val="both"/>
        <w:ind w:left="1800" w:right="439" w:hanging="180"/>
        <w:spacing w:after="0" w:line="255" w:lineRule="auto"/>
        <w:tabs>
          <w:tab w:leader="none" w:pos="1800" w:val="left"/>
        </w:tabs>
        <w:numPr>
          <w:ilvl w:val="0"/>
          <w:numId w:val="44"/>
        </w:numPr>
        <w:rPr>
          <w:rFonts w:ascii="Arial" w:cs="Arial" w:eastAsia="Arial" w:hAnsi="Arial"/>
          <w:sz w:val="18"/>
          <w:szCs w:val="18"/>
          <w:color w:val="4C4C4C"/>
        </w:rPr>
      </w:pPr>
      <w:r>
        <w:rPr>
          <w:rFonts w:ascii="Arial" w:cs="Arial" w:eastAsia="Arial" w:hAnsi="Arial"/>
          <w:sz w:val="18"/>
          <w:szCs w:val="18"/>
          <w:color w:val="4C4C4C"/>
        </w:rPr>
        <w:t>a representation that such stockholder of record is a holder of record of stock of the Company entitled to vote at the meeting and intends to appear in person or by proxy at the meeting to nominate such proposed director;</w:t>
      </w:r>
    </w:p>
    <w:p>
      <w:pPr>
        <w:spacing w:after="0" w:line="96" w:lineRule="exact"/>
        <w:rPr>
          <w:rFonts w:ascii="Arial" w:cs="Arial" w:eastAsia="Arial" w:hAnsi="Arial"/>
          <w:sz w:val="18"/>
          <w:szCs w:val="18"/>
          <w:color w:val="4C4C4C"/>
        </w:rPr>
      </w:pPr>
    </w:p>
    <w:p>
      <w:pPr>
        <w:ind w:left="1800" w:right="459" w:hanging="180"/>
        <w:spacing w:after="0" w:line="251" w:lineRule="auto"/>
        <w:tabs>
          <w:tab w:leader="none" w:pos="1800" w:val="left"/>
        </w:tabs>
        <w:numPr>
          <w:ilvl w:val="0"/>
          <w:numId w:val="44"/>
        </w:numPr>
        <w:rPr>
          <w:rFonts w:ascii="Arial" w:cs="Arial" w:eastAsia="Arial" w:hAnsi="Arial"/>
          <w:sz w:val="18"/>
          <w:szCs w:val="18"/>
          <w:color w:val="4C4C4C"/>
        </w:rPr>
      </w:pPr>
      <w:r>
        <w:rPr>
          <w:rFonts w:ascii="Arial" w:cs="Arial" w:eastAsia="Arial" w:hAnsi="Arial"/>
          <w:sz w:val="18"/>
          <w:szCs w:val="18"/>
          <w:color w:val="4C4C4C"/>
        </w:rPr>
        <w:t>a representation whether such stockholder of record intends or is part of a group which intends to solicit proxies in support of director nominees other than the Company’s nominees in accordance with Rule 14a-19 promulgated under the Exchange Act (“Rule 14a-19”) and, if so, such other information and statements as are required to be included in a notice provided to the Company pursuant to Rule 14a-19, and that such stockholder of record will provide the Company prompt notice if such stockholder of record withdraws the nomination or is part of a group which intends to (A) deliver a proxy statement or form of proxy to holders of at least the percentage of the Company’s outstanding capital stock required to approve or adopt the proposal or elect the nominee or (B) otherwise solicit proxies from stockholders in support of the proposal or nomination.</w:t>
      </w:r>
    </w:p>
    <w:p>
      <w:pPr>
        <w:spacing w:after="0" w:line="103" w:lineRule="exact"/>
        <w:rPr>
          <w:rFonts w:ascii="Arial" w:cs="Arial" w:eastAsia="Arial" w:hAnsi="Arial"/>
          <w:sz w:val="18"/>
          <w:szCs w:val="18"/>
          <w:color w:val="4C4C4C"/>
        </w:rPr>
      </w:pPr>
    </w:p>
    <w:p>
      <w:pPr>
        <w:ind w:left="1800" w:hanging="180"/>
        <w:spacing w:after="0"/>
        <w:tabs>
          <w:tab w:leader="none" w:pos="1800" w:val="left"/>
        </w:tabs>
        <w:numPr>
          <w:ilvl w:val="0"/>
          <w:numId w:val="44"/>
        </w:numPr>
        <w:rPr>
          <w:rFonts w:ascii="Arial" w:cs="Arial" w:eastAsia="Arial" w:hAnsi="Arial"/>
          <w:sz w:val="18"/>
          <w:szCs w:val="18"/>
          <w:color w:val="4C4C4C"/>
        </w:rPr>
      </w:pPr>
      <w:r>
        <w:rPr>
          <w:rFonts w:ascii="Arial" w:cs="Arial" w:eastAsia="Arial" w:hAnsi="Arial"/>
          <w:sz w:val="18"/>
          <w:szCs w:val="18"/>
          <w:color w:val="4C4C4C"/>
        </w:rPr>
        <w:t>the proposed director candidate’s name, age, business address and residential address;</w:t>
      </w:r>
    </w:p>
    <w:p>
      <w:pPr>
        <w:spacing w:after="0" w:line="117" w:lineRule="exact"/>
        <w:rPr>
          <w:rFonts w:ascii="Arial" w:cs="Arial" w:eastAsia="Arial" w:hAnsi="Arial"/>
          <w:sz w:val="18"/>
          <w:szCs w:val="18"/>
          <w:color w:val="4C4C4C"/>
        </w:rPr>
      </w:pPr>
    </w:p>
    <w:p>
      <w:pPr>
        <w:ind w:left="1800" w:right="679" w:hanging="180"/>
        <w:spacing w:after="0" w:line="255" w:lineRule="auto"/>
        <w:tabs>
          <w:tab w:leader="none" w:pos="1800" w:val="left"/>
        </w:tabs>
        <w:numPr>
          <w:ilvl w:val="0"/>
          <w:numId w:val="44"/>
        </w:numPr>
        <w:rPr>
          <w:rFonts w:ascii="Arial" w:cs="Arial" w:eastAsia="Arial" w:hAnsi="Arial"/>
          <w:sz w:val="18"/>
          <w:szCs w:val="18"/>
          <w:color w:val="4C4C4C"/>
        </w:rPr>
      </w:pPr>
      <w:r>
        <w:rPr>
          <w:rFonts w:ascii="Arial" w:cs="Arial" w:eastAsia="Arial" w:hAnsi="Arial"/>
          <w:sz w:val="18"/>
          <w:szCs w:val="18"/>
          <w:color w:val="4C4C4C"/>
        </w:rPr>
        <w:t>complete biographical information for the proposed director candidate, including the proposed director candidate’s principal occupation or employment and business experience for at least the previous five years;</w:t>
      </w:r>
    </w:p>
    <w:p>
      <w:pPr>
        <w:spacing w:after="0" w:line="96" w:lineRule="exact"/>
        <w:rPr>
          <w:rFonts w:ascii="Arial" w:cs="Arial" w:eastAsia="Arial" w:hAnsi="Arial"/>
          <w:sz w:val="18"/>
          <w:szCs w:val="18"/>
          <w:color w:val="4C4C4C"/>
        </w:rPr>
      </w:pPr>
    </w:p>
    <w:p>
      <w:pPr>
        <w:ind w:left="1800" w:right="539" w:hanging="180"/>
        <w:spacing w:after="0" w:line="255" w:lineRule="auto"/>
        <w:tabs>
          <w:tab w:leader="none" w:pos="1800" w:val="left"/>
        </w:tabs>
        <w:numPr>
          <w:ilvl w:val="0"/>
          <w:numId w:val="44"/>
        </w:numPr>
        <w:rPr>
          <w:rFonts w:ascii="Arial" w:cs="Arial" w:eastAsia="Arial" w:hAnsi="Arial"/>
          <w:sz w:val="18"/>
          <w:szCs w:val="18"/>
          <w:color w:val="4C4C4C"/>
        </w:rPr>
      </w:pPr>
      <w:r>
        <w:rPr>
          <w:rFonts w:ascii="Arial" w:cs="Arial" w:eastAsia="Arial" w:hAnsi="Arial"/>
          <w:sz w:val="18"/>
          <w:szCs w:val="18"/>
          <w:color w:val="4C4C4C"/>
        </w:rPr>
        <w:t>the class and number of shares of common stock of the Company that are beneficially owned by the proposed director candidate and any convertible securities of the Company that are beneficially owned by the director candidate as of the date of the written recommendation;</w:t>
      </w:r>
    </w:p>
    <w:p>
      <w:pPr>
        <w:spacing w:after="0" w:line="96" w:lineRule="exact"/>
        <w:rPr>
          <w:rFonts w:ascii="Arial" w:cs="Arial" w:eastAsia="Arial" w:hAnsi="Arial"/>
          <w:sz w:val="18"/>
          <w:szCs w:val="18"/>
          <w:color w:val="4C4C4C"/>
        </w:rPr>
      </w:pPr>
    </w:p>
    <w:p>
      <w:pPr>
        <w:ind w:left="1800" w:right="519" w:hanging="180"/>
        <w:spacing w:after="0" w:line="250" w:lineRule="auto"/>
        <w:tabs>
          <w:tab w:leader="none" w:pos="1800" w:val="left"/>
        </w:tabs>
        <w:numPr>
          <w:ilvl w:val="0"/>
          <w:numId w:val="44"/>
        </w:numPr>
        <w:rPr>
          <w:rFonts w:ascii="Arial" w:cs="Arial" w:eastAsia="Arial" w:hAnsi="Arial"/>
          <w:sz w:val="18"/>
          <w:szCs w:val="18"/>
          <w:color w:val="4C4C4C"/>
        </w:rPr>
      </w:pPr>
      <w:r>
        <w:rPr>
          <w:rFonts w:ascii="Arial" w:cs="Arial" w:eastAsia="Arial" w:hAnsi="Arial"/>
          <w:sz w:val="18"/>
          <w:szCs w:val="18"/>
          <w:color w:val="4C4C4C"/>
        </w:rPr>
        <w:t>a description of all direct and indirect compensation and other material monetary agreements, arrangements and understandings during the past three years, and any other material relationships, between or among any such nominating stockholder, on the one hand, and each proposed nominee, his or her respective affiliates and associates and any other persons with whom such proposed nominee (or any of his or her respective affiliates and associates) is Acting in Concert (as defined in the Bylaws), on the other hand, including, without limitation, all information that would be required to be disclosed pursuant to</w:t>
      </w:r>
    </w:p>
    <w:p>
      <w:pPr>
        <w:spacing w:after="0" w:line="2" w:lineRule="exact"/>
        <w:rPr>
          <w:rFonts w:ascii="Arial" w:cs="Arial" w:eastAsia="Arial" w:hAnsi="Arial"/>
          <w:sz w:val="18"/>
          <w:szCs w:val="18"/>
          <w:color w:val="4C4C4C"/>
        </w:rPr>
      </w:pPr>
    </w:p>
    <w:p>
      <w:pPr>
        <w:ind w:left="1800" w:right="579"/>
        <w:spacing w:after="0" w:line="255" w:lineRule="auto"/>
        <w:rPr>
          <w:rFonts w:ascii="Arial" w:cs="Arial" w:eastAsia="Arial" w:hAnsi="Arial"/>
          <w:sz w:val="18"/>
          <w:szCs w:val="18"/>
          <w:color w:val="4C4C4C"/>
        </w:rPr>
      </w:pPr>
      <w:r>
        <w:rPr>
          <w:rFonts w:ascii="Arial" w:cs="Arial" w:eastAsia="Arial" w:hAnsi="Arial"/>
          <w:sz w:val="18"/>
          <w:szCs w:val="18"/>
          <w:color w:val="4C4C4C"/>
        </w:rPr>
        <w:t>Item 404 under Regulation S-K if such nominating stockholder were the “registrant” for purposes of such rule and the proposed nominee were a director or executive officer of such registrant;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317"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BOARD OF DIRECTORS AND CORPORATE GOVERNANCE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800" w:right="979" w:hanging="180"/>
        <w:spacing w:after="0" w:line="259" w:lineRule="auto"/>
        <w:tabs>
          <w:tab w:leader="none" w:pos="1800" w:val="left"/>
        </w:tabs>
        <w:numPr>
          <w:ilvl w:val="0"/>
          <w:numId w:val="45"/>
        </w:numPr>
        <w:rPr>
          <w:rFonts w:ascii="Arial" w:cs="Arial" w:eastAsia="Arial" w:hAnsi="Arial"/>
          <w:sz w:val="18"/>
          <w:szCs w:val="18"/>
          <w:color w:val="4C4C4C"/>
        </w:rPr>
      </w:pPr>
      <w:r>
        <w:rPr>
          <w:rFonts w:ascii="Arial" w:cs="Arial" w:eastAsia="Arial" w:hAnsi="Arial"/>
          <w:sz w:val="18"/>
          <w:szCs w:val="18"/>
          <w:color w:val="4C4C4C"/>
        </w:rPr>
        <w:t>a completed and signed questionnaire, representation and agreement from the director candidate, as further described in our Bylaws; and</w:t>
      </w:r>
    </w:p>
    <w:p>
      <w:pPr>
        <w:spacing w:after="0" w:line="106" w:lineRule="exact"/>
        <w:rPr>
          <w:rFonts w:ascii="Arial" w:cs="Arial" w:eastAsia="Arial" w:hAnsi="Arial"/>
          <w:sz w:val="18"/>
          <w:szCs w:val="18"/>
          <w:color w:val="4C4C4C"/>
        </w:rPr>
      </w:pPr>
    </w:p>
    <w:p>
      <w:pPr>
        <w:jc w:val="both"/>
        <w:ind w:left="1800" w:right="959" w:hanging="180"/>
        <w:spacing w:after="0" w:line="255" w:lineRule="auto"/>
        <w:tabs>
          <w:tab w:leader="none" w:pos="1800" w:val="left"/>
        </w:tabs>
        <w:numPr>
          <w:ilvl w:val="0"/>
          <w:numId w:val="45"/>
        </w:numPr>
        <w:rPr>
          <w:rFonts w:ascii="Arial" w:cs="Arial" w:eastAsia="Arial" w:hAnsi="Arial"/>
          <w:sz w:val="18"/>
          <w:szCs w:val="18"/>
          <w:color w:val="4C4C4C"/>
        </w:rPr>
      </w:pPr>
      <w:r>
        <w:rPr>
          <w:rFonts w:ascii="Arial" w:cs="Arial" w:eastAsia="Arial" w:hAnsi="Arial"/>
          <w:sz w:val="18"/>
          <w:szCs w:val="18"/>
          <w:color w:val="4C4C4C"/>
        </w:rPr>
        <w:t>any other information relating to the proposed director candidate that is required to be disclosed in solicitations for proxies for election of directors pursuant to Regulation 14A promulgated under the Exchange Act.</w:t>
      </w:r>
    </w:p>
    <w:p>
      <w:pPr>
        <w:spacing w:after="0" w:line="164" w:lineRule="exact"/>
        <w:rPr>
          <w:sz w:val="20"/>
          <w:szCs w:val="20"/>
          <w:color w:val="auto"/>
        </w:rPr>
      </w:pPr>
    </w:p>
    <w:p>
      <w:pPr>
        <w:ind w:left="1260" w:right="539"/>
        <w:spacing w:after="0" w:line="253" w:lineRule="auto"/>
        <w:rPr>
          <w:sz w:val="20"/>
          <w:szCs w:val="20"/>
          <w:color w:val="auto"/>
        </w:rPr>
      </w:pPr>
      <w:r>
        <w:rPr>
          <w:rFonts w:ascii="Arial" w:cs="Arial" w:eastAsia="Arial" w:hAnsi="Arial"/>
          <w:sz w:val="18"/>
          <w:szCs w:val="18"/>
          <w:color w:val="4C4C4C"/>
        </w:rPr>
        <w:t>Director candidate nominations from stockholders must be provided in writing and must include the written consent of each proposed nominee to serve as a director if so elected. Stockholders are advised to review our Bylaws, which contain additional requirements with respect to director nominations.</w:t>
      </w:r>
    </w:p>
    <w:p>
      <w:pPr>
        <w:spacing w:after="0" w:line="167"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4C4C4C"/>
        </w:rPr>
        <w:t>If a proposed director candidate is recommended by a stockholder in accordance with the procedural requirements discussed above, the Corporate Secretary will provide the foregoing information to the Nominating and Corporate Governance Committee.</w:t>
      </w:r>
    </w:p>
    <w:p>
      <w:pPr>
        <w:spacing w:after="0" w:line="184"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Evaluating Nominees for Director</w:t>
      </w:r>
    </w:p>
    <w:p>
      <w:pPr>
        <w:spacing w:after="0" w:line="197"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4C4C4C"/>
        </w:rPr>
        <w:t>Our Nominating and Corporate Governance Committee considers director candidates that are suggested by members of the committee, other members of our Board, members of management, advisors and our stockholders who submit recommendations in accordance with the requirements set forth in our Bylaws, as described above. Our Board has in the past engaged a third-party search firm to identify potential candidates for consideration by the Nominating and Governance Committee and election to our Board. The Nominating and Corporate Governance Committee may, in the future, retain third-party search firms to identify Board candidates on terms and conditions acceptable to the Nominating and Corporate Governance Committee to assist in the process of identifying or evaluating director candidates. The Nominating and Corporate Governance Committee evaluates all nominees for director using the same approach whether they are recommended by stockholders or other sources. The Nominating and Corporate Governance Committee reviews candidates for director nominees in the context of the current composition of our Board and committees, the operating requirements of the Company and the long-term interests of our stockholders. In conducting this assessment, the Nominating and Corporate Governance Committee considers the director nominee’s qualifications, diversity, skills and such other factors as it deems appropriate given the current needs of the Board, the committees and the Company, to maintain a balance of knowledge, experience, diversity and capability. In the case of incumbent directors whose terms of office are set to expire, the Nominating and Corporate Governance Committee reviews such directors’ overall service to the Board, the committees and the Company during their term, including the number of meetings attended, level of participation, quality of performance and any other relationships and transactions that might impair such directors’ independence. In the case of new director candidates, the Nominating and Corporate Governance Committee will also determine whether the nominee must be independent for Nasdaq purposes, which determination will be based upon applicable Nasdaq listing standards and applicable SEC rules and regulations. Although we do not have a formal diversity policy, when considering diversity in evaluating director nominees, the Nominating and Corporate Governance Committee focuses on whether the nominees can contribute varied perspectives, skills, experiences and expertise to the Board.</w:t>
      </w:r>
    </w:p>
    <w:p>
      <w:pPr>
        <w:spacing w:after="0" w:line="200" w:lineRule="exact"/>
        <w:rPr>
          <w:sz w:val="20"/>
          <w:szCs w:val="20"/>
          <w:color w:val="auto"/>
        </w:rPr>
      </w:pPr>
    </w:p>
    <w:p>
      <w:pPr>
        <w:ind w:left="1260" w:right="619"/>
        <w:spacing w:after="0" w:line="255" w:lineRule="auto"/>
        <w:rPr>
          <w:sz w:val="20"/>
          <w:szCs w:val="20"/>
          <w:color w:val="auto"/>
        </w:rPr>
      </w:pPr>
      <w:r>
        <w:rPr>
          <w:rFonts w:ascii="Arial" w:cs="Arial" w:eastAsia="Arial" w:hAnsi="Arial"/>
          <w:sz w:val="18"/>
          <w:szCs w:val="18"/>
          <w:color w:val="4C4C4C"/>
        </w:rPr>
        <w:t>The Nominating and Corporate Governance Committee will evaluate the proposed director’s candidacy, including proposed candidates recommended by stockholders, and recommend whether the Board should nominate the proposed director candidate for election by our stockholders.</w:t>
      </w:r>
    </w:p>
    <w:p>
      <w:pPr>
        <w:spacing w:after="0" w:line="176"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Stockholder Communications with the Board</w:t>
      </w:r>
    </w:p>
    <w:p>
      <w:pPr>
        <w:spacing w:after="0" w:line="205"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4C4C4C"/>
        </w:rPr>
        <w:t>Any stockholder or interested party who desires to contact our Board, or specific members of our Board, may do so electronically by sending an email to the following address: directors@gevo.com. Alternatively, a stockholder may contact our Board, or specific members of our Board, by writing to: Gevo, Inc., 345 Inverness Drive South, Building C, Suite 310, Englewood, Colorado 80112, Attn: Corporate Secretary. All such communications will be initially received and processed by the office of our Corporate Secretary.</w:t>
      </w:r>
    </w:p>
    <w:p>
      <w:pPr>
        <w:spacing w:after="0" w:line="374" w:lineRule="exact"/>
        <w:rPr>
          <w:sz w:val="20"/>
          <w:szCs w:val="20"/>
          <w:color w:val="auto"/>
        </w:rPr>
      </w:pPr>
    </w:p>
    <w:p>
      <w:pPr>
        <w:ind w:left="1780" w:hanging="520"/>
        <w:spacing w:after="0"/>
        <w:tabs>
          <w:tab w:leader="none" w:pos="1780" w:val="left"/>
        </w:tabs>
        <w:numPr>
          <w:ilvl w:val="0"/>
          <w:numId w:val="46"/>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317" w:lineRule="exact"/>
        <w:rPr>
          <w:sz w:val="20"/>
          <w:szCs w:val="20"/>
          <w:color w:val="auto"/>
        </w:rPr>
      </w:pPr>
    </w:p>
    <w:p>
      <w:pPr>
        <w:ind w:left="6000"/>
        <w:spacing w:after="0"/>
        <w:rPr>
          <w:sz w:val="20"/>
          <w:szCs w:val="20"/>
          <w:color w:val="auto"/>
        </w:rPr>
      </w:pPr>
      <w:r>
        <w:rPr>
          <w:rFonts w:ascii="Arial" w:cs="Arial" w:eastAsia="Arial" w:hAnsi="Arial"/>
          <w:sz w:val="14"/>
          <w:szCs w:val="14"/>
          <w:color w:val="346094"/>
        </w:rPr>
        <w:t>BOARD OF DIRECTORS AND CORPORATE GOVERNANCE</w:t>
      </w:r>
    </w:p>
    <w:p>
      <w:pPr>
        <w:spacing w:after="0" w:line="1"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260" w:right="1400"/>
        <w:spacing w:after="0" w:line="255" w:lineRule="auto"/>
        <w:rPr>
          <w:sz w:val="20"/>
          <w:szCs w:val="20"/>
          <w:color w:val="auto"/>
        </w:rPr>
      </w:pPr>
      <w:r>
        <w:rPr>
          <w:rFonts w:ascii="Arial" w:cs="Arial" w:eastAsia="Arial" w:hAnsi="Arial"/>
          <w:sz w:val="18"/>
          <w:szCs w:val="18"/>
          <w:color w:val="4C4C4C"/>
        </w:rPr>
        <w:t>Communications concerning accounting, audit, internal accounting controls and other financial matters will be referred to the Chair of the Audit Committee. Other matters will be referred to the Board, the non-employee directors or individual directors, as appropriate.</w:t>
      </w:r>
    </w:p>
    <w:p>
      <w:pPr>
        <w:spacing w:after="0" w:line="164" w:lineRule="exact"/>
        <w:rPr>
          <w:sz w:val="20"/>
          <w:szCs w:val="20"/>
          <w:color w:val="auto"/>
        </w:rPr>
      </w:pPr>
    </w:p>
    <w:p>
      <w:pPr>
        <w:ind w:left="1260" w:right="1460"/>
        <w:spacing w:after="0" w:line="252" w:lineRule="auto"/>
        <w:rPr>
          <w:sz w:val="20"/>
          <w:szCs w:val="20"/>
          <w:color w:val="auto"/>
        </w:rPr>
      </w:pPr>
      <w:r>
        <w:rPr>
          <w:rFonts w:ascii="Arial" w:cs="Arial" w:eastAsia="Arial" w:hAnsi="Arial"/>
          <w:sz w:val="18"/>
          <w:szCs w:val="18"/>
          <w:color w:val="4C4C4C"/>
        </w:rPr>
        <w:t>The Board has instructed the Corporate Secretary to review all communications so received and to exercise his discretion not to forward to the Board correspondence that is inappropriate such as business solicitations, frivolous communications and advertising, routine business matters and personal grievances. However, any director may at any time request the Corporate Secretary to forward any and all communications received by the Corporate Secretary but not forwarded to the directors.</w:t>
      </w:r>
    </w:p>
    <w:p>
      <w:pPr>
        <w:spacing w:after="0" w:line="180"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Code of Business Conduct and Ethics</w:t>
      </w:r>
    </w:p>
    <w:p>
      <w:pPr>
        <w:spacing w:after="0" w:line="205" w:lineRule="exact"/>
        <w:rPr>
          <w:sz w:val="20"/>
          <w:szCs w:val="20"/>
          <w:color w:val="auto"/>
        </w:rPr>
      </w:pPr>
    </w:p>
    <w:p>
      <w:pPr>
        <w:ind w:left="1260" w:right="1260"/>
        <w:spacing w:after="0" w:line="251" w:lineRule="auto"/>
        <w:rPr>
          <w:sz w:val="20"/>
          <w:szCs w:val="20"/>
          <w:color w:val="auto"/>
        </w:rPr>
      </w:pPr>
      <w:r>
        <w:rPr>
          <w:rFonts w:ascii="Arial" w:cs="Arial" w:eastAsia="Arial" w:hAnsi="Arial"/>
          <w:sz w:val="18"/>
          <w:szCs w:val="18"/>
          <w:color w:val="4C4C4C"/>
        </w:rPr>
        <w:t>Our Board has adopted a code of business conduct and ethics which applies to all of our employees, officers (including our principal executive officer, principal financial officer, and principal accounting officer or controller, or persons performing similar functions), directors and consultants. Among other things, the code addresses business practices and principles of behavior that support our commitment to maintaining the highest standards of business conduct and ethics. The code also reflects our commitment to excellence in environmental, health, safety and sustainability practices and performance. The full text of our code of business conduct and ethics has been posted on our website at https://investors.gevo.com/ under the heading “Governance.” We expect that any amendments to the code, or any waivers of its requirements, will be disclosed on our website.</w:t>
      </w:r>
    </w:p>
    <w:p>
      <w:pPr>
        <w:spacing w:after="0" w:line="183"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Stock Ownership Guidelines</w:t>
      </w:r>
    </w:p>
    <w:p>
      <w:pPr>
        <w:spacing w:after="0" w:line="205" w:lineRule="exact"/>
        <w:rPr>
          <w:sz w:val="20"/>
          <w:szCs w:val="20"/>
          <w:color w:val="auto"/>
        </w:rPr>
      </w:pPr>
    </w:p>
    <w:p>
      <w:pPr>
        <w:ind w:left="1260" w:right="1360"/>
        <w:spacing w:after="0" w:line="252" w:lineRule="auto"/>
        <w:rPr>
          <w:sz w:val="20"/>
          <w:szCs w:val="20"/>
          <w:color w:val="auto"/>
        </w:rPr>
      </w:pPr>
      <w:r>
        <w:rPr>
          <w:rFonts w:ascii="Arial" w:cs="Arial" w:eastAsia="Arial" w:hAnsi="Arial"/>
          <w:sz w:val="18"/>
          <w:szCs w:val="18"/>
          <w:color w:val="4C4C4C"/>
        </w:rPr>
        <w:t>Our Board believes that stock ownership by the Company’s directors and members of senior management better aligns their interests with those of our stockholders. Under the stock ownership guidelines established by the Board, each of the members of the Company’s senior management team and Board has ownership targets for common stock of our Company with an average market value equal to the following amounts for as long as he or she remains an executive officer or director:</w:t>
      </w: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2460" w:type="dxa"/>
            <w:vAlign w:val="bottom"/>
            <w:tcBorders>
              <w:bottom w:val="single" w:sz="8" w:color="346094"/>
            </w:tcBorders>
            <w:shd w:val="clear" w:color="auto" w:fill="346094"/>
          </w:tcPr>
          <w:p>
            <w:pPr>
              <w:ind w:left="60"/>
              <w:spacing w:after="0"/>
              <w:rPr>
                <w:sz w:val="20"/>
                <w:szCs w:val="20"/>
                <w:color w:val="auto"/>
              </w:rPr>
            </w:pPr>
            <w:r>
              <w:rPr>
                <w:rFonts w:ascii="Trebuchet MS" w:cs="Trebuchet MS" w:eastAsia="Trebuchet MS" w:hAnsi="Trebuchet MS"/>
                <w:sz w:val="16"/>
                <w:szCs w:val="16"/>
                <w:b w:val="1"/>
                <w:bCs w:val="1"/>
                <w:color w:val="FFFFFF"/>
              </w:rPr>
              <w:t>Position</w:t>
            </w:r>
          </w:p>
        </w:tc>
        <w:tc>
          <w:tcPr>
            <w:tcW w:w="5740" w:type="dxa"/>
            <w:vAlign w:val="bottom"/>
            <w:tcBorders>
              <w:bottom w:val="single" w:sz="8" w:color="346094"/>
            </w:tcBorders>
            <w:gridSpan w:val="2"/>
            <w:shd w:val="clear" w:color="auto" w:fill="346094"/>
          </w:tcPr>
          <w:p>
            <w:pPr>
              <w:ind w:left="100"/>
              <w:spacing w:after="0"/>
              <w:rPr>
                <w:sz w:val="20"/>
                <w:szCs w:val="20"/>
                <w:color w:val="auto"/>
              </w:rPr>
            </w:pPr>
            <w:r>
              <w:rPr>
                <w:rFonts w:ascii="Trebuchet MS" w:cs="Trebuchet MS" w:eastAsia="Trebuchet MS" w:hAnsi="Trebuchet MS"/>
                <w:sz w:val="16"/>
                <w:szCs w:val="16"/>
                <w:b w:val="1"/>
                <w:bCs w:val="1"/>
                <w:color w:val="FFFFFF"/>
              </w:rPr>
              <w:t>Stock Ownership Target</w:t>
            </w:r>
          </w:p>
        </w:tc>
      </w:tr>
      <w:tr>
        <w:trPr>
          <w:trHeight w:val="218"/>
        </w:trPr>
        <w:tc>
          <w:tcPr>
            <w:tcW w:w="2460" w:type="dxa"/>
            <w:vAlign w:val="bottom"/>
          </w:tcPr>
          <w:p>
            <w:pPr>
              <w:ind w:left="60"/>
              <w:spacing w:after="0"/>
              <w:rPr>
                <w:sz w:val="20"/>
                <w:szCs w:val="20"/>
                <w:color w:val="auto"/>
              </w:rPr>
            </w:pPr>
            <w:r>
              <w:rPr>
                <w:rFonts w:ascii="Trebuchet MS" w:cs="Trebuchet MS" w:eastAsia="Trebuchet MS" w:hAnsi="Trebuchet MS"/>
                <w:sz w:val="16"/>
                <w:szCs w:val="16"/>
                <w:color w:val="4C4C4C"/>
              </w:rPr>
              <w:t>Chief Executive Officer</w:t>
            </w:r>
          </w:p>
        </w:tc>
        <w:tc>
          <w:tcPr>
            <w:tcW w:w="1360" w:type="dxa"/>
            <w:vAlign w:val="bottom"/>
          </w:tcPr>
          <w:p>
            <w:pPr>
              <w:ind w:left="100"/>
              <w:spacing w:after="0"/>
              <w:rPr>
                <w:sz w:val="20"/>
                <w:szCs w:val="20"/>
                <w:color w:val="auto"/>
              </w:rPr>
            </w:pPr>
            <w:r>
              <w:rPr>
                <w:rFonts w:ascii="Trebuchet MS" w:cs="Trebuchet MS" w:eastAsia="Trebuchet MS" w:hAnsi="Trebuchet MS"/>
                <w:sz w:val="16"/>
                <w:szCs w:val="16"/>
                <w:color w:val="4C4C4C"/>
              </w:rPr>
              <w:t>Five Times (5.0x)</w:t>
            </w:r>
          </w:p>
        </w:tc>
        <w:tc>
          <w:tcPr>
            <w:tcW w:w="4380" w:type="dxa"/>
            <w:vAlign w:val="bottom"/>
          </w:tcPr>
          <w:p>
            <w:pPr>
              <w:ind w:left="20"/>
              <w:spacing w:after="0"/>
              <w:rPr>
                <w:sz w:val="20"/>
                <w:szCs w:val="20"/>
                <w:color w:val="auto"/>
              </w:rPr>
            </w:pPr>
            <w:r>
              <w:rPr>
                <w:rFonts w:ascii="Trebuchet MS" w:cs="Trebuchet MS" w:eastAsia="Trebuchet MS" w:hAnsi="Trebuchet MS"/>
                <w:sz w:val="16"/>
                <w:szCs w:val="16"/>
                <w:color w:val="4C4C4C"/>
              </w:rPr>
              <w:t>Base Salary</w:t>
            </w:r>
          </w:p>
        </w:tc>
      </w:tr>
      <w:tr>
        <w:trPr>
          <w:trHeight w:val="25"/>
        </w:trPr>
        <w:tc>
          <w:tcPr>
            <w:tcW w:w="2460" w:type="dxa"/>
            <w:vAlign w:val="bottom"/>
          </w:tcPr>
          <w:p>
            <w:pPr>
              <w:spacing w:after="0"/>
              <w:rPr>
                <w:sz w:val="2"/>
                <w:szCs w:val="2"/>
                <w:color w:val="auto"/>
              </w:rPr>
            </w:pPr>
          </w:p>
        </w:tc>
        <w:tc>
          <w:tcPr>
            <w:tcW w:w="5740" w:type="dxa"/>
            <w:vAlign w:val="bottom"/>
            <w:gridSpan w:val="2"/>
          </w:tcPr>
          <w:p>
            <w:pPr>
              <w:spacing w:after="0"/>
              <w:rPr>
                <w:sz w:val="2"/>
                <w:szCs w:val="2"/>
                <w:color w:val="auto"/>
              </w:rPr>
            </w:pPr>
          </w:p>
        </w:tc>
      </w:tr>
      <w:tr>
        <w:trPr>
          <w:trHeight w:val="239"/>
        </w:trPr>
        <w:tc>
          <w:tcPr>
            <w:tcW w:w="2460" w:type="dxa"/>
            <w:vAlign w:val="bottom"/>
            <w:shd w:val="clear" w:color="auto" w:fill="E1E7EF"/>
          </w:tcPr>
          <w:p>
            <w:pPr>
              <w:ind w:left="60"/>
              <w:spacing w:after="0"/>
              <w:rPr>
                <w:sz w:val="20"/>
                <w:szCs w:val="20"/>
                <w:color w:val="auto"/>
              </w:rPr>
            </w:pPr>
            <w:r>
              <w:rPr>
                <w:rFonts w:ascii="Trebuchet MS" w:cs="Trebuchet MS" w:eastAsia="Trebuchet MS" w:hAnsi="Trebuchet MS"/>
                <w:sz w:val="16"/>
                <w:szCs w:val="16"/>
                <w:color w:val="4C4C4C"/>
              </w:rPr>
              <w:t xml:space="preserve">Other Senior </w:t>
            </w:r>
            <w:r>
              <w:rPr>
                <w:rFonts w:ascii="Arial" w:cs="Arial" w:eastAsia="Arial" w:hAnsi="Arial"/>
                <w:sz w:val="16"/>
                <w:szCs w:val="16"/>
                <w:color w:val="4C4C4C"/>
              </w:rPr>
              <w:t>M</w:t>
            </w:r>
            <w:r>
              <w:rPr>
                <w:rFonts w:ascii="Trebuchet MS" w:cs="Trebuchet MS" w:eastAsia="Trebuchet MS" w:hAnsi="Trebuchet MS"/>
                <w:sz w:val="16"/>
                <w:szCs w:val="16"/>
                <w:color w:val="4C4C4C"/>
              </w:rPr>
              <w:t>anagement</w:t>
            </w:r>
          </w:p>
        </w:tc>
        <w:tc>
          <w:tcPr>
            <w:tcW w:w="5740" w:type="dxa"/>
            <w:vAlign w:val="bottom"/>
            <w:gridSpan w:val="2"/>
            <w:shd w:val="clear" w:color="auto" w:fill="E1E7EF"/>
          </w:tcPr>
          <w:p>
            <w:pPr>
              <w:ind w:left="100"/>
              <w:spacing w:after="0"/>
              <w:rPr>
                <w:sz w:val="20"/>
                <w:szCs w:val="20"/>
                <w:color w:val="auto"/>
              </w:rPr>
            </w:pPr>
            <w:r>
              <w:rPr>
                <w:rFonts w:ascii="Trebuchet MS" w:cs="Trebuchet MS" w:eastAsia="Trebuchet MS" w:hAnsi="Trebuchet MS"/>
                <w:sz w:val="16"/>
                <w:szCs w:val="16"/>
                <w:color w:val="4C4C4C"/>
              </w:rPr>
              <w:t>Three Times (3.0x) Base Salary</w:t>
            </w:r>
          </w:p>
        </w:tc>
      </w:tr>
      <w:tr>
        <w:trPr>
          <w:trHeight w:val="206"/>
        </w:trPr>
        <w:tc>
          <w:tcPr>
            <w:tcW w:w="2460" w:type="dxa"/>
            <w:vAlign w:val="bottom"/>
            <w:shd w:val="clear" w:color="auto" w:fill="E1E7EF"/>
          </w:tcPr>
          <w:p>
            <w:pPr>
              <w:ind w:left="60"/>
              <w:spacing w:after="0"/>
              <w:rPr>
                <w:sz w:val="20"/>
                <w:szCs w:val="20"/>
                <w:color w:val="auto"/>
              </w:rPr>
            </w:pPr>
            <w:r>
              <w:rPr>
                <w:rFonts w:ascii="Trebuchet MS" w:cs="Trebuchet MS" w:eastAsia="Trebuchet MS" w:hAnsi="Trebuchet MS"/>
                <w:sz w:val="16"/>
                <w:szCs w:val="16"/>
                <w:color w:val="4C4C4C"/>
              </w:rPr>
              <w:t>(Senior Vice President or above)</w:t>
            </w:r>
          </w:p>
        </w:tc>
        <w:tc>
          <w:tcPr>
            <w:tcW w:w="1360" w:type="dxa"/>
            <w:vAlign w:val="bottom"/>
            <w:shd w:val="clear" w:color="auto" w:fill="E1E7EF"/>
          </w:tcPr>
          <w:p>
            <w:pPr>
              <w:spacing w:after="0"/>
              <w:rPr>
                <w:sz w:val="17"/>
                <w:szCs w:val="17"/>
                <w:color w:val="auto"/>
              </w:rPr>
            </w:pPr>
          </w:p>
        </w:tc>
        <w:tc>
          <w:tcPr>
            <w:tcW w:w="4380" w:type="dxa"/>
            <w:vAlign w:val="bottom"/>
            <w:shd w:val="clear" w:color="auto" w:fill="E1E7EF"/>
          </w:tcPr>
          <w:p>
            <w:pPr>
              <w:spacing w:after="0"/>
              <w:rPr>
                <w:sz w:val="17"/>
                <w:szCs w:val="17"/>
                <w:color w:val="auto"/>
              </w:rPr>
            </w:pPr>
          </w:p>
        </w:tc>
      </w:tr>
      <w:tr>
        <w:trPr>
          <w:trHeight w:val="218"/>
        </w:trPr>
        <w:tc>
          <w:tcPr>
            <w:tcW w:w="2460" w:type="dxa"/>
            <w:vAlign w:val="bottom"/>
          </w:tcPr>
          <w:p>
            <w:pPr>
              <w:ind w:left="60"/>
              <w:spacing w:after="0"/>
              <w:rPr>
                <w:sz w:val="20"/>
                <w:szCs w:val="20"/>
                <w:color w:val="auto"/>
              </w:rPr>
            </w:pPr>
            <w:r>
              <w:rPr>
                <w:rFonts w:ascii="Trebuchet MS" w:cs="Trebuchet MS" w:eastAsia="Trebuchet MS" w:hAnsi="Trebuchet MS"/>
                <w:sz w:val="16"/>
                <w:szCs w:val="16"/>
                <w:color w:val="4C4C4C"/>
              </w:rPr>
              <w:t>Non-Employee Directors</w:t>
            </w:r>
          </w:p>
        </w:tc>
        <w:tc>
          <w:tcPr>
            <w:tcW w:w="1360" w:type="dxa"/>
            <w:vAlign w:val="bottom"/>
          </w:tcPr>
          <w:p>
            <w:pPr>
              <w:ind w:left="100"/>
              <w:spacing w:after="0"/>
              <w:rPr>
                <w:sz w:val="20"/>
                <w:szCs w:val="20"/>
                <w:color w:val="auto"/>
              </w:rPr>
            </w:pPr>
            <w:r>
              <w:rPr>
                <w:rFonts w:ascii="Trebuchet MS" w:cs="Trebuchet MS" w:eastAsia="Trebuchet MS" w:hAnsi="Trebuchet MS"/>
                <w:sz w:val="16"/>
                <w:szCs w:val="16"/>
                <w:color w:val="4C4C4C"/>
              </w:rPr>
              <w:t>Five Times (5.0x)</w:t>
            </w:r>
          </w:p>
        </w:tc>
        <w:tc>
          <w:tcPr>
            <w:tcW w:w="4380" w:type="dxa"/>
            <w:vAlign w:val="bottom"/>
          </w:tcPr>
          <w:p>
            <w:pPr>
              <w:ind w:left="20"/>
              <w:spacing w:after="0"/>
              <w:rPr>
                <w:sz w:val="20"/>
                <w:szCs w:val="20"/>
                <w:color w:val="auto"/>
              </w:rPr>
            </w:pPr>
            <w:r>
              <w:rPr>
                <w:rFonts w:ascii="Trebuchet MS" w:cs="Trebuchet MS" w:eastAsia="Trebuchet MS" w:hAnsi="Trebuchet MS"/>
                <w:sz w:val="16"/>
                <w:szCs w:val="16"/>
                <w:color w:val="4C4C4C"/>
              </w:rPr>
              <w:t>Annual Cash Retainer</w:t>
            </w:r>
          </w:p>
        </w:tc>
      </w:tr>
    </w:tbl>
    <w:p>
      <w:pPr>
        <w:spacing w:after="0" w:line="208" w:lineRule="exact"/>
        <w:rPr>
          <w:sz w:val="20"/>
          <w:szCs w:val="20"/>
          <w:color w:val="auto"/>
        </w:rPr>
      </w:pPr>
    </w:p>
    <w:p>
      <w:pPr>
        <w:ind w:left="1260" w:right="1360"/>
        <w:spacing w:after="0" w:line="253" w:lineRule="auto"/>
        <w:rPr>
          <w:sz w:val="20"/>
          <w:szCs w:val="20"/>
          <w:color w:val="auto"/>
        </w:rPr>
      </w:pPr>
      <w:r>
        <w:rPr>
          <w:rFonts w:ascii="Arial" w:cs="Arial" w:eastAsia="Arial" w:hAnsi="Arial"/>
          <w:sz w:val="18"/>
          <w:szCs w:val="18"/>
          <w:color w:val="4C4C4C"/>
        </w:rPr>
        <w:t>All individuals subject to these guidelines are expected to retain ownership of fifty percent (50%) of all stock received pursuant to equity incentive awards under the Company’s equity incentive plans (on an after-tax basis) until such individual’s applicable ownership level has been achieved. Each member of the senior management team is expected to meet the stock ownership guidelines within five years of the later of  (i) April 14, 2016, and (ii) the date of hire. Each member of the Board is expected to meet the stock ownership guidelines within five years of the later of  (i) April 14, 2016, and (ii) the date that he or she first becomes a member of the Board. All individuals subject to the guidelines were in compliance with the guidelines as of March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20" w:type="dxa"/>
            <w:vAlign w:val="bottom"/>
          </w:tcPr>
          <w:p>
            <w:pPr>
              <w:ind w:left="5880"/>
              <w:spacing w:after="0"/>
              <w:rPr>
                <w:sz w:val="20"/>
                <w:szCs w:val="20"/>
                <w:color w:val="auto"/>
              </w:rPr>
            </w:pPr>
            <w:r>
              <w:rPr>
                <w:rFonts w:ascii="Arial" w:cs="Arial" w:eastAsia="Arial" w:hAnsi="Arial"/>
                <w:sz w:val="18"/>
                <w:szCs w:val="18"/>
                <w:color w:val="346094"/>
                <w:w w:val="93"/>
              </w:rPr>
              <w:t xml:space="preserve">GEVO, INC.  |  </w:t>
            </w:r>
            <w:r>
              <w:rPr>
                <w:rFonts w:ascii="Arial" w:cs="Arial" w:eastAsia="Arial" w:hAnsi="Arial"/>
                <w:sz w:val="18"/>
                <w:szCs w:val="18"/>
                <w:i w:val="1"/>
                <w:iCs w:val="1"/>
                <w:color w:val="4C4C4C"/>
                <w:w w:val="93"/>
              </w:rPr>
              <w:t>2026 PROXY STATEMENT</w:t>
            </w:r>
          </w:p>
        </w:tc>
        <w:tc>
          <w:tcPr>
            <w:tcW w:w="1600" w:type="dxa"/>
            <w:vAlign w:val="bottom"/>
          </w:tcPr>
          <w:p>
            <w:pPr>
              <w:jc w:val="right"/>
              <w:ind w:right="1170"/>
              <w:spacing w:after="0"/>
              <w:rPr>
                <w:sz w:val="20"/>
                <w:szCs w:val="20"/>
                <w:color w:val="auto"/>
              </w:rPr>
            </w:pPr>
            <w:r>
              <w:rPr>
                <w:rFonts w:ascii="Arial" w:cs="Arial" w:eastAsia="Arial" w:hAnsi="Arial"/>
                <w:sz w:val="18"/>
                <w:szCs w:val="18"/>
                <w:color w:val="4C4C4C"/>
              </w:rPr>
              <w:t>27</w:t>
            </w:r>
          </w:p>
        </w:tc>
      </w:tr>
      <w:tr>
        <w:trPr>
          <w:trHeight w:val="395"/>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620"/>
        <w:spacing w:after="0"/>
        <w:rPr>
          <w:sz w:val="20"/>
          <w:szCs w:val="20"/>
          <w:color w:val="auto"/>
        </w:rPr>
      </w:pPr>
      <w:r>
        <w:rPr>
          <w:rFonts w:ascii="Trebuchet MS" w:cs="Trebuchet MS" w:eastAsia="Trebuchet MS" w:hAnsi="Trebuchet MS"/>
          <w:sz w:val="29"/>
          <w:szCs w:val="29"/>
          <w:b w:val="1"/>
          <w:bCs w:val="1"/>
          <w:color w:val="FFFFFF"/>
        </w:rPr>
        <w:t>DIRECTOR CO</w:t>
      </w:r>
      <w:r>
        <w:rPr>
          <w:rFonts w:ascii="Arial" w:cs="Arial" w:eastAsia="Arial" w:hAnsi="Arial"/>
          <w:sz w:val="27"/>
          <w:szCs w:val="27"/>
          <w:b w:val="1"/>
          <w:bCs w:val="1"/>
          <w:color w:val="FFFFFF"/>
        </w:rPr>
        <w:t>M</w:t>
      </w:r>
      <w:r>
        <w:rPr>
          <w:rFonts w:ascii="Trebuchet MS" w:cs="Trebuchet MS" w:eastAsia="Trebuchet MS" w:hAnsi="Trebuchet MS"/>
          <w:sz w:val="29"/>
          <w:szCs w:val="29"/>
          <w:b w:val="1"/>
          <w:bCs w:val="1"/>
          <w:color w:val="FFFFFF"/>
        </w:rPr>
        <w:t>PENSATION</w:t>
      </w:r>
    </w:p>
    <w:p>
      <w:pPr>
        <w:spacing w:after="0" w:line="259"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Non-Employee Director Compensation Policy</w:t>
      </w:r>
    </w:p>
    <w:p>
      <w:pPr>
        <w:spacing w:after="0" w:line="205" w:lineRule="exact"/>
        <w:rPr>
          <w:sz w:val="20"/>
          <w:szCs w:val="20"/>
          <w:color w:val="auto"/>
        </w:rPr>
      </w:pPr>
    </w:p>
    <w:p>
      <w:pPr>
        <w:jc w:val="both"/>
        <w:ind w:left="1260" w:right="1039"/>
        <w:spacing w:after="0" w:line="275" w:lineRule="auto"/>
        <w:rPr>
          <w:sz w:val="20"/>
          <w:szCs w:val="20"/>
          <w:color w:val="auto"/>
        </w:rPr>
      </w:pPr>
      <w:r>
        <w:rPr>
          <w:rFonts w:ascii="Arial" w:cs="Arial" w:eastAsia="Arial" w:hAnsi="Arial"/>
          <w:sz w:val="18"/>
          <w:szCs w:val="18"/>
          <w:color w:val="4C4C4C"/>
        </w:rPr>
        <w:t>Consistent with the recommendation by our independent compensation consultant, our Board compensation policy provides for the following compensation to our non-employee directors:</w:t>
      </w:r>
    </w:p>
    <w:p>
      <w:pPr>
        <w:spacing w:after="0" w:line="156" w:lineRule="exact"/>
        <w:rPr>
          <w:sz w:val="20"/>
          <w:szCs w:val="20"/>
          <w:color w:val="auto"/>
        </w:rPr>
      </w:pPr>
    </w:p>
    <w:p>
      <w:pPr>
        <w:ind w:left="1260" w:right="459"/>
        <w:spacing w:after="0" w:line="262" w:lineRule="auto"/>
        <w:rPr>
          <w:sz w:val="20"/>
          <w:szCs w:val="20"/>
          <w:color w:val="auto"/>
        </w:rPr>
      </w:pPr>
      <w:r>
        <w:rPr>
          <w:rFonts w:ascii="Trebuchet MS" w:cs="Trebuchet MS" w:eastAsia="Trebuchet MS" w:hAnsi="Trebuchet MS"/>
          <w:sz w:val="18"/>
          <w:szCs w:val="18"/>
          <w:b w:val="1"/>
          <w:bCs w:val="1"/>
          <w:i w:val="1"/>
          <w:iCs w:val="1"/>
          <w:color w:val="4C4C4C"/>
        </w:rPr>
        <w:t xml:space="preserve">Annual Equity Grant. </w:t>
      </w:r>
      <w:r>
        <w:rPr>
          <w:rFonts w:ascii="Arial" w:cs="Arial" w:eastAsia="Arial" w:hAnsi="Arial"/>
          <w:sz w:val="18"/>
          <w:szCs w:val="18"/>
          <w:color w:val="4C4C4C"/>
        </w:rPr>
        <w:t>Each non-employee director receives an annual equity grant under the Gevo,</w:t>
      </w:r>
      <w:r>
        <w:rPr>
          <w:rFonts w:ascii="Trebuchet MS" w:cs="Trebuchet MS" w:eastAsia="Trebuchet MS" w:hAnsi="Trebuchet MS"/>
          <w:sz w:val="18"/>
          <w:szCs w:val="18"/>
          <w:b w:val="1"/>
          <w:bCs w:val="1"/>
          <w:i w:val="1"/>
          <w:iCs w:val="1"/>
          <w:color w:val="4C4C4C"/>
        </w:rPr>
        <w:t xml:space="preserve"> </w:t>
      </w:r>
      <w:r>
        <w:rPr>
          <w:rFonts w:ascii="Arial" w:cs="Arial" w:eastAsia="Arial" w:hAnsi="Arial"/>
          <w:sz w:val="18"/>
          <w:szCs w:val="18"/>
          <w:color w:val="4C4C4C"/>
        </w:rPr>
        <w:t>Inc. Amended and Restated 2010 Stock Incentive Plan (the “2010 Plan”) in an amount valued at approximately $126,000, subject to approval by the Compensation Committee. The annual equity grants can be in the form of restricted stock or stock options in the Compensation Committee’s discretion and vest on the earlier of  (i) the next annual meeting of stockholders or (ii) the first anniversary of the grant date. When stock options are granted, they provide for a 10-year term after which they expire.</w:t>
      </w:r>
    </w:p>
    <w:p>
      <w:pPr>
        <w:spacing w:after="0" w:line="169" w:lineRule="exact"/>
        <w:rPr>
          <w:sz w:val="20"/>
          <w:szCs w:val="20"/>
          <w:color w:val="auto"/>
        </w:rPr>
      </w:pPr>
    </w:p>
    <w:p>
      <w:pPr>
        <w:ind w:left="1260" w:right="579"/>
        <w:spacing w:after="0" w:line="262" w:lineRule="auto"/>
        <w:rPr>
          <w:sz w:val="20"/>
          <w:szCs w:val="20"/>
          <w:color w:val="auto"/>
        </w:rPr>
      </w:pPr>
      <w:r>
        <w:rPr>
          <w:rFonts w:ascii="Trebuchet MS" w:cs="Trebuchet MS" w:eastAsia="Trebuchet MS" w:hAnsi="Trebuchet MS"/>
          <w:sz w:val="18"/>
          <w:szCs w:val="18"/>
          <w:b w:val="1"/>
          <w:bCs w:val="1"/>
          <w:i w:val="1"/>
          <w:iCs w:val="1"/>
          <w:color w:val="4C4C4C"/>
        </w:rPr>
        <w:t xml:space="preserve">Annual Cash Retainers. </w:t>
      </w:r>
      <w:r>
        <w:rPr>
          <w:rFonts w:ascii="Arial" w:cs="Arial" w:eastAsia="Arial" w:hAnsi="Arial"/>
          <w:sz w:val="18"/>
          <w:szCs w:val="18"/>
          <w:color w:val="4C4C4C"/>
        </w:rPr>
        <w:t>Each non-employee member of our Board receives an annual cash retainer</w:t>
      </w:r>
      <w:r>
        <w:rPr>
          <w:rFonts w:ascii="Trebuchet MS" w:cs="Trebuchet MS" w:eastAsia="Trebuchet MS" w:hAnsi="Trebuchet MS"/>
          <w:sz w:val="18"/>
          <w:szCs w:val="18"/>
          <w:b w:val="1"/>
          <w:bCs w:val="1"/>
          <w:i w:val="1"/>
          <w:iCs w:val="1"/>
          <w:color w:val="4C4C4C"/>
        </w:rPr>
        <w:t xml:space="preserve"> </w:t>
      </w:r>
      <w:r>
        <w:rPr>
          <w:rFonts w:ascii="Arial" w:cs="Arial" w:eastAsia="Arial" w:hAnsi="Arial"/>
          <w:sz w:val="18"/>
          <w:szCs w:val="18"/>
          <w:color w:val="4C4C4C"/>
        </w:rPr>
        <w:t>of $85,000, which is paid in arrears. The Chairman receives an additional annual cash retainer of $50,000; the Chair of the Audit Committee receives an additional annual cash retainer of  $20,000; the Chair of the Compensation Committee receives an additional annual cash retainer of  $15,000; and the Chair of the Nominating and Corporate Governance Committee receives an additional cash retainer of  $15,000. Each member of a committee of the Board (other than the Chairs of such committees) receives an additional cash retainer of  $5,000 for each committee on which they participate.</w:t>
      </w:r>
    </w:p>
    <w:p>
      <w:pPr>
        <w:spacing w:after="0" w:line="163"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color w:val="4C4C4C"/>
        </w:rPr>
        <w:t>The Compensation Committee periodically reviews the compensation paid to non-employee directors to ensure that the compensation aligns the directors’ interests with the long-term interests of the stockholders. The Compensation Committee also considers whether the compensation paid to non-employee directors fairly compensates the Company’s directors when considering the work required in a company of Gevo’s size and type. In addition, the Compensation Committee considers other relevant factors, including periodic independent market assessments, director recruitment considerations and peer group compensation for non-employee directors to determine whether the Company’s non-employee director compensation is reasonable and competitive. In connection with this review in 2025, effective January 23, 2026, upon recommendation by our compensation consultant after review of peer and market data, and approval by the Compensation Committee, the annual cash retainer for the Chair for the Nominating and Corporate Governance Committee was increased from $10,000 to $15,000.</w:t>
      </w:r>
    </w:p>
    <w:p>
      <w:pPr>
        <w:spacing w:after="0" w:line="178"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4C4C4C"/>
        </w:rPr>
        <w:t>Each non-employee director is also reimbursed for reasonable travel and other expenses in connection with attending meetings of the Board and any committee on which he or she serves.</w:t>
      </w:r>
    </w:p>
    <w:p>
      <w:pPr>
        <w:spacing w:after="0" w:line="174" w:lineRule="exact"/>
        <w:rPr>
          <w:sz w:val="20"/>
          <w:szCs w:val="20"/>
          <w:color w:val="auto"/>
        </w:rPr>
      </w:pPr>
    </w:p>
    <w:p>
      <w:pPr>
        <w:ind w:left="1260" w:right="459"/>
        <w:spacing w:after="0" w:line="272" w:lineRule="auto"/>
        <w:rPr>
          <w:sz w:val="20"/>
          <w:szCs w:val="20"/>
          <w:color w:val="auto"/>
        </w:rPr>
      </w:pPr>
      <w:r>
        <w:rPr>
          <w:rFonts w:ascii="Arial" w:cs="Arial" w:eastAsia="Arial" w:hAnsi="Arial"/>
          <w:sz w:val="18"/>
          <w:szCs w:val="18"/>
          <w:color w:val="4C4C4C"/>
        </w:rPr>
        <w:t>We do not compensate any employee who serves on the Board for their Board service, and as a result, Mr. Gruber, our former Chief Executive Officer, did not receive any compensation for his service on the Board in 2025 nor while an employee during 2026, and Mr. Bloom, our Chief Executive Officer, does not receive compensation for his service on the Board. Following his retirement as Chief Executive Officer, Mr. Gruber will serve as a consultant to the Company and will continue to</w:t>
      </w:r>
    </w:p>
    <w:p>
      <w:pPr>
        <w:spacing w:after="0" w:line="2"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4C4C4C"/>
        </w:rPr>
        <w:t>remain on the Board, and he will be eligible for an annual equity grant for such service on the Board starting in 2026.</w:t>
      </w:r>
    </w:p>
    <w:p>
      <w:pPr>
        <w:spacing w:after="0" w:line="186"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2025 Director Compensation Table</w:t>
      </w:r>
    </w:p>
    <w:p>
      <w:pPr>
        <w:spacing w:after="0" w:line="205" w:lineRule="exact"/>
        <w:rPr>
          <w:sz w:val="20"/>
          <w:szCs w:val="20"/>
          <w:color w:val="auto"/>
        </w:rPr>
      </w:pPr>
    </w:p>
    <w:p>
      <w:pPr>
        <w:ind w:left="1260" w:right="859"/>
        <w:spacing w:after="0" w:line="275" w:lineRule="auto"/>
        <w:rPr>
          <w:sz w:val="20"/>
          <w:szCs w:val="20"/>
          <w:color w:val="auto"/>
        </w:rPr>
      </w:pPr>
      <w:r>
        <w:rPr>
          <w:rFonts w:ascii="Arial" w:cs="Arial" w:eastAsia="Arial" w:hAnsi="Arial"/>
          <w:sz w:val="18"/>
          <w:szCs w:val="18"/>
          <w:color w:val="4C4C4C"/>
        </w:rPr>
        <w:t>The following table sets forth information regarding compensation earned by our non-employee directors during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780" w:hanging="520"/>
        <w:spacing w:after="0"/>
        <w:tabs>
          <w:tab w:leader="none" w:pos="1780" w:val="left"/>
        </w:tabs>
        <w:numPr>
          <w:ilvl w:val="0"/>
          <w:numId w:val="47"/>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7740"/>
        <w:spacing w:after="0"/>
        <w:rPr>
          <w:sz w:val="20"/>
          <w:szCs w:val="20"/>
          <w:color w:val="auto"/>
        </w:rPr>
      </w:pPr>
      <w:r>
        <w:rPr>
          <w:rFonts w:ascii="Arial" w:cs="Arial" w:eastAsia="Arial" w:hAnsi="Arial"/>
          <w:sz w:val="12"/>
          <w:szCs w:val="12"/>
          <w:color w:val="346094"/>
        </w:rPr>
        <w:t>DIRECTOR COMPENSATION</w:t>
      </w:r>
    </w:p>
    <w:p>
      <w:pPr>
        <w:spacing w:after="0" w:line="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346094"/>
              </w:rPr>
              <w:t> </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346094"/>
              </w:rPr>
              <w:t> </w:t>
            </w:r>
          </w:p>
        </w:tc>
        <w:tc>
          <w:tcPr>
            <w:tcW w:w="0" w:type="dxa"/>
            <w:vAlign w:val="bottom"/>
          </w:tcPr>
          <w:p>
            <w:pPr>
              <w:spacing w:after="0"/>
              <w:rPr>
                <w:sz w:val="1"/>
                <w:szCs w:val="1"/>
                <w:color w:val="auto"/>
              </w:rPr>
            </w:pPr>
          </w:p>
        </w:tc>
      </w:tr>
      <w:tr>
        <w:trPr>
          <w:trHeight w:val="319"/>
        </w:trPr>
        <w:tc>
          <w:tcPr>
            <w:tcW w:w="2460" w:type="dxa"/>
            <w:vAlign w:val="bottom"/>
          </w:tcPr>
          <w:p>
            <w:pPr>
              <w:spacing w:after="0"/>
              <w:rPr>
                <w:sz w:val="24"/>
                <w:szCs w:val="24"/>
                <w:color w:val="auto"/>
              </w:rPr>
            </w:pPr>
          </w:p>
        </w:tc>
        <w:tc>
          <w:tcPr>
            <w:tcW w:w="2300" w:type="dxa"/>
            <w:vAlign w:val="bottom"/>
            <w:gridSpan w:val="2"/>
          </w:tcPr>
          <w:p>
            <w:pPr>
              <w:jc w:val="center"/>
              <w:ind w:left="746"/>
              <w:spacing w:after="0"/>
              <w:rPr>
                <w:sz w:val="20"/>
                <w:szCs w:val="20"/>
                <w:color w:val="auto"/>
              </w:rPr>
            </w:pPr>
            <w:r>
              <w:rPr>
                <w:rFonts w:ascii="Arial" w:cs="Arial" w:eastAsia="Arial" w:hAnsi="Arial"/>
                <w:sz w:val="16"/>
                <w:szCs w:val="16"/>
                <w:b w:val="1"/>
                <w:bCs w:val="1"/>
                <w:color w:val="FFFFFF"/>
                <w:w w:val="96"/>
              </w:rPr>
              <w:t>Fees Earned or</w:t>
            </w:r>
          </w:p>
        </w:tc>
        <w:tc>
          <w:tcPr>
            <w:tcW w:w="1280" w:type="dxa"/>
            <w:vAlign w:val="bottom"/>
            <w:vMerge w:val="restart"/>
          </w:tcPr>
          <w:p>
            <w:pPr>
              <w:ind w:left="120"/>
              <w:spacing w:after="0"/>
              <w:rPr>
                <w:sz w:val="20"/>
                <w:szCs w:val="20"/>
                <w:color w:val="auto"/>
              </w:rPr>
            </w:pPr>
            <w:r>
              <w:rPr>
                <w:rFonts w:ascii="Arial" w:cs="Arial" w:eastAsia="Arial" w:hAnsi="Arial"/>
                <w:sz w:val="16"/>
                <w:szCs w:val="16"/>
                <w:b w:val="1"/>
                <w:bCs w:val="1"/>
                <w:color w:val="FFFFFF"/>
              </w:rPr>
              <w:t>Stock Awards</w:t>
            </w:r>
          </w:p>
        </w:tc>
        <w:tc>
          <w:tcPr>
            <w:tcW w:w="1400" w:type="dxa"/>
            <w:vAlign w:val="bottom"/>
            <w:vMerge w:val="restart"/>
          </w:tcPr>
          <w:p>
            <w:pPr>
              <w:jc w:val="right"/>
              <w:ind w:right="96"/>
              <w:spacing w:after="0"/>
              <w:rPr>
                <w:sz w:val="20"/>
                <w:szCs w:val="20"/>
                <w:color w:val="auto"/>
              </w:rPr>
            </w:pPr>
            <w:r>
              <w:rPr>
                <w:rFonts w:ascii="Arial" w:cs="Arial" w:eastAsia="Arial" w:hAnsi="Arial"/>
                <w:sz w:val="16"/>
                <w:szCs w:val="16"/>
                <w:b w:val="1"/>
                <w:bCs w:val="1"/>
                <w:color w:val="FFFFFF"/>
              </w:rPr>
              <w:t>Option Awards</w:t>
            </w:r>
          </w:p>
        </w:tc>
        <w:tc>
          <w:tcPr>
            <w:tcW w:w="720" w:type="dxa"/>
            <w:vAlign w:val="bottom"/>
            <w:vMerge w:val="restart"/>
          </w:tcPr>
          <w:p>
            <w:pPr>
              <w:ind w:left="220"/>
              <w:spacing w:after="0"/>
              <w:rPr>
                <w:sz w:val="20"/>
                <w:szCs w:val="20"/>
                <w:color w:val="auto"/>
              </w:rPr>
            </w:pPr>
            <w:r>
              <w:rPr>
                <w:rFonts w:ascii="Arial" w:cs="Arial" w:eastAsia="Arial" w:hAnsi="Arial"/>
                <w:sz w:val="16"/>
                <w:szCs w:val="16"/>
                <w:b w:val="1"/>
                <w:bCs w:val="1"/>
                <w:color w:val="FFFFFF"/>
              </w:rPr>
              <w:t>Total</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2300" w:type="dxa"/>
            <w:vAlign w:val="bottom"/>
            <w:gridSpan w:val="2"/>
          </w:tcPr>
          <w:p>
            <w:pPr>
              <w:jc w:val="center"/>
              <w:ind w:left="746"/>
              <w:spacing w:after="0" w:line="148" w:lineRule="exact"/>
              <w:rPr>
                <w:sz w:val="20"/>
                <w:szCs w:val="20"/>
                <w:color w:val="auto"/>
              </w:rPr>
            </w:pPr>
            <w:r>
              <w:rPr>
                <w:rFonts w:ascii="Arial" w:cs="Arial" w:eastAsia="Arial" w:hAnsi="Arial"/>
                <w:sz w:val="16"/>
                <w:szCs w:val="16"/>
                <w:b w:val="1"/>
                <w:bCs w:val="1"/>
                <w:color w:val="FFFFFF"/>
                <w:w w:val="95"/>
              </w:rPr>
              <w:t>Paid in Cash</w:t>
            </w:r>
          </w:p>
        </w:tc>
        <w:tc>
          <w:tcPr>
            <w:tcW w:w="128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60"/>
              <w:spacing w:after="0"/>
              <w:rPr>
                <w:sz w:val="20"/>
                <w:szCs w:val="20"/>
                <w:color w:val="auto"/>
              </w:rPr>
            </w:pPr>
            <w:r>
              <w:rPr>
                <w:rFonts w:ascii="Arial" w:cs="Arial" w:eastAsia="Arial" w:hAnsi="Arial"/>
                <w:sz w:val="16"/>
                <w:szCs w:val="16"/>
                <w:b w:val="1"/>
                <w:bCs w:val="1"/>
                <w:color w:val="FFFFFF"/>
              </w:rPr>
              <w:t>Name</w:t>
            </w:r>
          </w:p>
        </w:tc>
        <w:tc>
          <w:tcPr>
            <w:tcW w:w="2300" w:type="dxa"/>
            <w:vAlign w:val="bottom"/>
            <w:gridSpan w:val="2"/>
          </w:tcPr>
          <w:p>
            <w:pPr>
              <w:jc w:val="center"/>
              <w:ind w:left="746"/>
              <w:spacing w:after="0"/>
              <w:rPr>
                <w:sz w:val="20"/>
                <w:szCs w:val="20"/>
                <w:color w:val="auto"/>
              </w:rPr>
            </w:pPr>
            <w:r>
              <w:rPr>
                <w:rFonts w:ascii="Arial" w:cs="Arial" w:eastAsia="Arial" w:hAnsi="Arial"/>
                <w:sz w:val="16"/>
                <w:szCs w:val="16"/>
                <w:b w:val="1"/>
                <w:bCs w:val="1"/>
                <w:color w:val="FFFFFF"/>
              </w:rPr>
              <w:t>($)</w:t>
            </w:r>
          </w:p>
        </w:tc>
        <w:tc>
          <w:tcPr>
            <w:tcW w:w="1280" w:type="dxa"/>
            <w:vAlign w:val="bottom"/>
          </w:tcPr>
          <w:p>
            <w:pPr>
              <w:ind w:left="420"/>
              <w:spacing w:after="0" w:line="240" w:lineRule="exact"/>
              <w:rPr>
                <w:sz w:val="20"/>
                <w:szCs w:val="20"/>
                <w:color w:val="auto"/>
              </w:rPr>
            </w:pPr>
            <w:r>
              <w:rPr>
                <w:rFonts w:ascii="Arial" w:cs="Arial" w:eastAsia="Arial" w:hAnsi="Arial"/>
                <w:sz w:val="27"/>
                <w:szCs w:val="27"/>
                <w:b w:val="1"/>
                <w:bCs w:val="1"/>
                <w:color w:val="FFFFFF"/>
                <w:vertAlign w:val="subscript"/>
              </w:rPr>
              <w:t>($)</w:t>
            </w:r>
            <w:r>
              <w:rPr>
                <w:rFonts w:ascii="Trebuchet MS" w:cs="Trebuchet MS" w:eastAsia="Trebuchet MS" w:hAnsi="Trebuchet MS"/>
                <w:sz w:val="11"/>
                <w:szCs w:val="11"/>
                <w:b w:val="1"/>
                <w:bCs w:val="1"/>
                <w:color w:val="FFFFFF"/>
              </w:rPr>
              <w:t>(1)</w:t>
            </w:r>
          </w:p>
        </w:tc>
        <w:tc>
          <w:tcPr>
            <w:tcW w:w="1400" w:type="dxa"/>
            <w:vAlign w:val="bottom"/>
          </w:tcPr>
          <w:p>
            <w:pPr>
              <w:jc w:val="right"/>
              <w:ind w:right="456"/>
              <w:spacing w:after="0" w:line="240" w:lineRule="exact"/>
              <w:rPr>
                <w:sz w:val="20"/>
                <w:szCs w:val="20"/>
                <w:color w:val="auto"/>
              </w:rPr>
            </w:pPr>
            <w:r>
              <w:rPr>
                <w:rFonts w:ascii="Arial" w:cs="Arial" w:eastAsia="Arial" w:hAnsi="Arial"/>
                <w:sz w:val="27"/>
                <w:szCs w:val="27"/>
                <w:b w:val="1"/>
                <w:bCs w:val="1"/>
                <w:color w:val="FFFFFF"/>
                <w:vertAlign w:val="subscript"/>
              </w:rPr>
              <w:t>($)</w:t>
            </w:r>
            <w:r>
              <w:rPr>
                <w:rFonts w:ascii="Trebuchet MS" w:cs="Trebuchet MS" w:eastAsia="Trebuchet MS" w:hAnsi="Trebuchet MS"/>
                <w:sz w:val="11"/>
                <w:szCs w:val="11"/>
                <w:b w:val="1"/>
                <w:bCs w:val="1"/>
                <w:color w:val="FFFFFF"/>
              </w:rPr>
              <w:t>(1)</w:t>
            </w:r>
          </w:p>
        </w:tc>
        <w:tc>
          <w:tcPr>
            <w:tcW w:w="720" w:type="dxa"/>
            <w:vAlign w:val="bottom"/>
          </w:tcPr>
          <w:p>
            <w:pPr>
              <w:ind w:left="300"/>
              <w:spacing w:after="0"/>
              <w:rPr>
                <w:sz w:val="20"/>
                <w:szCs w:val="20"/>
                <w:color w:val="auto"/>
              </w:rPr>
            </w:pPr>
            <w:r>
              <w:rPr>
                <w:rFonts w:ascii="Arial" w:cs="Arial" w:eastAsia="Arial" w:hAnsi="Arial"/>
                <w:sz w:val="16"/>
                <w:szCs w:val="16"/>
                <w:b w:val="1"/>
                <w:bCs w:val="1"/>
                <w:color w:val="FFFFFF"/>
              </w:rPr>
              <w:t>($)</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89"/>
        </w:trPr>
        <w:tc>
          <w:tcPr>
            <w:tcW w:w="2460" w:type="dxa"/>
            <w:vAlign w:val="bottom"/>
          </w:tcPr>
          <w:p>
            <w:pPr>
              <w:ind w:left="60"/>
              <w:spacing w:after="0"/>
              <w:rPr>
                <w:sz w:val="20"/>
                <w:szCs w:val="20"/>
                <w:color w:val="auto"/>
              </w:rPr>
            </w:pPr>
            <w:r>
              <w:rPr>
                <w:rFonts w:ascii="Arial" w:cs="Arial" w:eastAsia="Arial" w:hAnsi="Arial"/>
                <w:sz w:val="16"/>
                <w:szCs w:val="16"/>
                <w:color w:val="4C4C4C"/>
              </w:rPr>
              <w:t>Angelo Amorelli</w:t>
            </w:r>
          </w:p>
        </w:tc>
        <w:tc>
          <w:tcPr>
            <w:tcW w:w="1580" w:type="dxa"/>
            <w:vAlign w:val="bottom"/>
            <w:vMerge w:val="restart"/>
          </w:tcPr>
          <w:p>
            <w:pPr>
              <w:ind w:left="1500"/>
              <w:spacing w:after="0"/>
              <w:rPr>
                <w:sz w:val="20"/>
                <w:szCs w:val="20"/>
                <w:color w:val="auto"/>
              </w:rPr>
            </w:pPr>
            <w:r>
              <w:rPr>
                <w:rFonts w:ascii="Arial" w:cs="Arial" w:eastAsia="Arial" w:hAnsi="Arial"/>
                <w:sz w:val="16"/>
                <w:szCs w:val="16"/>
                <w:color w:val="4C4C4C"/>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4C4C4C"/>
              </w:rPr>
              <w:t>$83,250</w:t>
            </w:r>
          </w:p>
        </w:tc>
        <w:tc>
          <w:tcPr>
            <w:tcW w:w="1280" w:type="dxa"/>
            <w:vAlign w:val="bottom"/>
          </w:tcPr>
          <w:p>
            <w:pPr>
              <w:ind w:left="1020"/>
              <w:spacing w:after="0"/>
              <w:rPr>
                <w:sz w:val="20"/>
                <w:szCs w:val="20"/>
                <w:color w:val="auto"/>
              </w:rPr>
            </w:pPr>
            <w:r>
              <w:rPr>
                <w:rFonts w:ascii="Arial" w:cs="Arial" w:eastAsia="Arial" w:hAnsi="Arial"/>
                <w:sz w:val="16"/>
                <w:szCs w:val="16"/>
                <w:color w:val="4C4C4C"/>
              </w:rPr>
              <w:t>—</w:t>
            </w:r>
          </w:p>
        </w:tc>
        <w:tc>
          <w:tcPr>
            <w:tcW w:w="1400" w:type="dxa"/>
            <w:vAlign w:val="bottom"/>
          </w:tcPr>
          <w:p>
            <w:pPr>
              <w:jc w:val="right"/>
              <w:ind w:right="36"/>
              <w:spacing w:after="0"/>
              <w:rPr>
                <w:sz w:val="20"/>
                <w:szCs w:val="20"/>
                <w:color w:val="auto"/>
              </w:rPr>
            </w:pPr>
            <w:r>
              <w:rPr>
                <w:rFonts w:ascii="Arial" w:cs="Arial" w:eastAsia="Arial" w:hAnsi="Arial"/>
                <w:sz w:val="16"/>
                <w:szCs w:val="16"/>
                <w:color w:val="4C4C4C"/>
              </w:rPr>
              <w:t>125,235</w:t>
            </w:r>
          </w:p>
        </w:tc>
        <w:tc>
          <w:tcPr>
            <w:tcW w:w="720" w:type="dxa"/>
            <w:vAlign w:val="bottom"/>
          </w:tcPr>
          <w:p>
            <w:pPr>
              <w:ind w:left="140"/>
              <w:spacing w:after="0"/>
              <w:rPr>
                <w:sz w:val="20"/>
                <w:szCs w:val="20"/>
                <w:color w:val="auto"/>
              </w:rPr>
            </w:pPr>
            <w:r>
              <w:rPr>
                <w:rFonts w:ascii="Arial" w:cs="Arial" w:eastAsia="Arial" w:hAnsi="Arial"/>
                <w:sz w:val="16"/>
                <w:szCs w:val="16"/>
                <w:color w:val="4C4C4C"/>
                <w:w w:val="96"/>
              </w:rPr>
              <w:t>208,485</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280" w:type="dxa"/>
            <w:vAlign w:val="bottom"/>
          </w:tcPr>
          <w:p>
            <w:pPr>
              <w:ind w:left="1020"/>
              <w:spacing w:after="0" w:line="68" w:lineRule="exact"/>
              <w:rPr>
                <w:sz w:val="20"/>
                <w:szCs w:val="20"/>
                <w:color w:val="auto"/>
              </w:rPr>
            </w:pPr>
            <w:r>
              <w:rPr>
                <w:rFonts w:ascii="Arial" w:cs="Arial" w:eastAsia="Arial" w:hAnsi="Arial"/>
                <w:sz w:val="7"/>
                <w:szCs w:val="7"/>
                <w:color w:val="4C4C4C"/>
              </w:rPr>
              <w:t>​</w:t>
            </w:r>
          </w:p>
        </w:tc>
        <w:tc>
          <w:tcPr>
            <w:tcW w:w="1400" w:type="dxa"/>
            <w:vAlign w:val="bottom"/>
          </w:tcPr>
          <w:p>
            <w:pPr>
              <w:jc w:val="right"/>
              <w:ind w:right="576"/>
              <w:spacing w:after="0" w:line="68" w:lineRule="exact"/>
              <w:rPr>
                <w:sz w:val="20"/>
                <w:szCs w:val="20"/>
                <w:color w:val="auto"/>
              </w:rPr>
            </w:pPr>
            <w:r>
              <w:rPr>
                <w:rFonts w:ascii="Arial" w:cs="Arial" w:eastAsia="Arial" w:hAnsi="Arial"/>
                <w:sz w:val="7"/>
                <w:szCs w:val="7"/>
                <w:color w:val="4C4C4C"/>
              </w:rPr>
              <w:t>​</w:t>
            </w:r>
          </w:p>
        </w:tc>
        <w:tc>
          <w:tcPr>
            <w:tcW w:w="720" w:type="dxa"/>
            <w:vAlign w:val="bottom"/>
          </w:tcPr>
          <w:p>
            <w:pPr>
              <w:ind w:left="120"/>
              <w:spacing w:after="0" w:line="68" w:lineRule="exact"/>
              <w:rPr>
                <w:sz w:val="20"/>
                <w:szCs w:val="20"/>
                <w:color w:val="auto"/>
              </w:rPr>
            </w:pPr>
            <w:r>
              <w:rPr>
                <w:rFonts w:ascii="Arial" w:cs="Arial" w:eastAsia="Arial" w:hAnsi="Arial"/>
                <w:sz w:val="7"/>
                <w:szCs w:val="7"/>
                <w:color w:val="4C4C4C"/>
              </w:rPr>
              <w:t>​</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60"/>
              <w:spacing w:after="0" w:line="189" w:lineRule="exact"/>
              <w:rPr>
                <w:sz w:val="20"/>
                <w:szCs w:val="20"/>
                <w:color w:val="auto"/>
              </w:rPr>
            </w:pPr>
            <w:r>
              <w:rPr>
                <w:rFonts w:ascii="Arial" w:cs="Arial" w:eastAsia="Arial" w:hAnsi="Arial"/>
                <w:sz w:val="14"/>
                <w:szCs w:val="14"/>
                <w:color w:val="4C4C4C"/>
              </w:rPr>
              <w:t>James J. Barber</w:t>
            </w:r>
            <w:r>
              <w:rPr>
                <w:rFonts w:ascii="Trebuchet MS" w:cs="Trebuchet MS" w:eastAsia="Trebuchet MS" w:hAnsi="Trebuchet MS"/>
                <w:sz w:val="21"/>
                <w:szCs w:val="21"/>
                <w:color w:val="4C4C4C"/>
                <w:vertAlign w:val="superscript"/>
              </w:rPr>
              <w:t>(2)</w:t>
            </w:r>
          </w:p>
        </w:tc>
        <w:tc>
          <w:tcPr>
            <w:tcW w:w="1580" w:type="dxa"/>
            <w:vAlign w:val="bottom"/>
            <w:vMerge w:val="restart"/>
          </w:tcPr>
          <w:p>
            <w:pPr>
              <w:ind w:left="1500"/>
              <w:spacing w:after="0"/>
              <w:rPr>
                <w:sz w:val="20"/>
                <w:szCs w:val="20"/>
                <w:color w:val="auto"/>
              </w:rPr>
            </w:pPr>
            <w:r>
              <w:rPr>
                <w:rFonts w:ascii="Arial" w:cs="Arial" w:eastAsia="Arial" w:hAnsi="Arial"/>
                <w:sz w:val="16"/>
                <w:szCs w:val="16"/>
                <w:color w:val="4C4C4C"/>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4C4C4C"/>
              </w:rPr>
              <w:t>$45,000</w:t>
            </w:r>
          </w:p>
        </w:tc>
        <w:tc>
          <w:tcPr>
            <w:tcW w:w="1280" w:type="dxa"/>
            <w:vAlign w:val="bottom"/>
            <w:vMerge w:val="restart"/>
          </w:tcPr>
          <w:p>
            <w:pPr>
              <w:ind w:left="1020"/>
              <w:spacing w:after="0"/>
              <w:rPr>
                <w:sz w:val="20"/>
                <w:szCs w:val="20"/>
                <w:color w:val="auto"/>
              </w:rPr>
            </w:pPr>
            <w:r>
              <w:rPr>
                <w:rFonts w:ascii="Arial" w:cs="Arial" w:eastAsia="Arial" w:hAnsi="Arial"/>
                <w:sz w:val="16"/>
                <w:szCs w:val="16"/>
                <w:color w:val="4C4C4C"/>
              </w:rPr>
              <w:t>​</w:t>
            </w:r>
          </w:p>
        </w:tc>
        <w:tc>
          <w:tcPr>
            <w:tcW w:w="1400" w:type="dxa"/>
            <w:vAlign w:val="bottom"/>
          </w:tcPr>
          <w:p>
            <w:pPr>
              <w:jc w:val="right"/>
              <w:ind w:right="36"/>
              <w:spacing w:after="0"/>
              <w:rPr>
                <w:sz w:val="20"/>
                <w:szCs w:val="20"/>
                <w:color w:val="auto"/>
              </w:rPr>
            </w:pPr>
            <w:r>
              <w:rPr>
                <w:rFonts w:ascii="Arial" w:cs="Arial" w:eastAsia="Arial" w:hAnsi="Arial"/>
                <w:sz w:val="16"/>
                <w:szCs w:val="16"/>
                <w:color w:val="4C4C4C"/>
              </w:rPr>
              <w:t>125,235</w:t>
            </w:r>
          </w:p>
        </w:tc>
        <w:tc>
          <w:tcPr>
            <w:tcW w:w="720" w:type="dxa"/>
            <w:vAlign w:val="bottom"/>
          </w:tcPr>
          <w:p>
            <w:pPr>
              <w:ind w:left="140"/>
              <w:spacing w:after="0"/>
              <w:rPr>
                <w:sz w:val="20"/>
                <w:szCs w:val="20"/>
                <w:color w:val="auto"/>
              </w:rPr>
            </w:pPr>
            <w:r>
              <w:rPr>
                <w:rFonts w:ascii="Arial" w:cs="Arial" w:eastAsia="Arial" w:hAnsi="Arial"/>
                <w:sz w:val="16"/>
                <w:szCs w:val="16"/>
                <w:color w:val="4C4C4C"/>
                <w:w w:val="96"/>
              </w:rPr>
              <w:t>170,235</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400" w:type="dxa"/>
            <w:vAlign w:val="bottom"/>
          </w:tcPr>
          <w:p>
            <w:pPr>
              <w:jc w:val="right"/>
              <w:ind w:right="576"/>
              <w:spacing w:after="0" w:line="68" w:lineRule="exact"/>
              <w:rPr>
                <w:sz w:val="20"/>
                <w:szCs w:val="20"/>
                <w:color w:val="auto"/>
              </w:rPr>
            </w:pPr>
            <w:r>
              <w:rPr>
                <w:rFonts w:ascii="Arial" w:cs="Arial" w:eastAsia="Arial" w:hAnsi="Arial"/>
                <w:sz w:val="7"/>
                <w:szCs w:val="7"/>
                <w:color w:val="4C4C4C"/>
              </w:rPr>
              <w:t>​</w:t>
            </w:r>
          </w:p>
        </w:tc>
        <w:tc>
          <w:tcPr>
            <w:tcW w:w="720" w:type="dxa"/>
            <w:vAlign w:val="bottom"/>
          </w:tcPr>
          <w:p>
            <w:pPr>
              <w:ind w:left="120"/>
              <w:spacing w:after="0" w:line="68" w:lineRule="exact"/>
              <w:rPr>
                <w:sz w:val="20"/>
                <w:szCs w:val="20"/>
                <w:color w:val="auto"/>
              </w:rPr>
            </w:pPr>
            <w:r>
              <w:rPr>
                <w:rFonts w:ascii="Arial" w:cs="Arial" w:eastAsia="Arial" w:hAnsi="Arial"/>
                <w:sz w:val="7"/>
                <w:szCs w:val="7"/>
                <w:color w:val="4C4C4C"/>
              </w:rPr>
              <w:t>​</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60"/>
              <w:spacing w:after="0"/>
              <w:rPr>
                <w:sz w:val="20"/>
                <w:szCs w:val="20"/>
                <w:color w:val="auto"/>
              </w:rPr>
            </w:pPr>
            <w:r>
              <w:rPr>
                <w:rFonts w:ascii="Arial" w:cs="Arial" w:eastAsia="Arial" w:hAnsi="Arial"/>
                <w:sz w:val="16"/>
                <w:szCs w:val="16"/>
                <w:color w:val="4C4C4C"/>
              </w:rPr>
              <w:t>Carol J. Battershell</w:t>
            </w:r>
          </w:p>
        </w:tc>
        <w:tc>
          <w:tcPr>
            <w:tcW w:w="1580" w:type="dxa"/>
            <w:vAlign w:val="bottom"/>
            <w:vMerge w:val="restart"/>
          </w:tcPr>
          <w:p>
            <w:pPr>
              <w:ind w:left="1500"/>
              <w:spacing w:after="0"/>
              <w:rPr>
                <w:sz w:val="20"/>
                <w:szCs w:val="20"/>
                <w:color w:val="auto"/>
              </w:rPr>
            </w:pPr>
            <w:r>
              <w:rPr>
                <w:rFonts w:ascii="Arial" w:cs="Arial" w:eastAsia="Arial" w:hAnsi="Arial"/>
                <w:sz w:val="16"/>
                <w:szCs w:val="16"/>
                <w:color w:val="4C4C4C"/>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4C4C4C"/>
              </w:rPr>
              <w:t>$90,000</w:t>
            </w:r>
          </w:p>
        </w:tc>
        <w:tc>
          <w:tcPr>
            <w:tcW w:w="1280" w:type="dxa"/>
            <w:vAlign w:val="bottom"/>
          </w:tcPr>
          <w:p>
            <w:pPr>
              <w:ind w:left="1020"/>
              <w:spacing w:after="0"/>
              <w:rPr>
                <w:sz w:val="20"/>
                <w:szCs w:val="20"/>
                <w:color w:val="auto"/>
              </w:rPr>
            </w:pPr>
            <w:r>
              <w:rPr>
                <w:rFonts w:ascii="Arial" w:cs="Arial" w:eastAsia="Arial" w:hAnsi="Arial"/>
                <w:sz w:val="16"/>
                <w:szCs w:val="16"/>
                <w:color w:val="4C4C4C"/>
              </w:rPr>
              <w:t>—</w:t>
            </w:r>
          </w:p>
        </w:tc>
        <w:tc>
          <w:tcPr>
            <w:tcW w:w="1400" w:type="dxa"/>
            <w:vAlign w:val="bottom"/>
          </w:tcPr>
          <w:p>
            <w:pPr>
              <w:jc w:val="right"/>
              <w:ind w:right="36"/>
              <w:spacing w:after="0"/>
              <w:rPr>
                <w:sz w:val="20"/>
                <w:szCs w:val="20"/>
                <w:color w:val="auto"/>
              </w:rPr>
            </w:pPr>
            <w:r>
              <w:rPr>
                <w:rFonts w:ascii="Arial" w:cs="Arial" w:eastAsia="Arial" w:hAnsi="Arial"/>
                <w:sz w:val="16"/>
                <w:szCs w:val="16"/>
                <w:color w:val="4C4C4C"/>
              </w:rPr>
              <w:t>125,235</w:t>
            </w:r>
          </w:p>
        </w:tc>
        <w:tc>
          <w:tcPr>
            <w:tcW w:w="720" w:type="dxa"/>
            <w:vAlign w:val="bottom"/>
          </w:tcPr>
          <w:p>
            <w:pPr>
              <w:ind w:left="140"/>
              <w:spacing w:after="0"/>
              <w:rPr>
                <w:sz w:val="20"/>
                <w:szCs w:val="20"/>
                <w:color w:val="auto"/>
              </w:rPr>
            </w:pPr>
            <w:r>
              <w:rPr>
                <w:rFonts w:ascii="Arial" w:cs="Arial" w:eastAsia="Arial" w:hAnsi="Arial"/>
                <w:sz w:val="16"/>
                <w:szCs w:val="16"/>
                <w:color w:val="4C4C4C"/>
                <w:w w:val="96"/>
              </w:rPr>
              <w:t>215,235</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280" w:type="dxa"/>
            <w:vAlign w:val="bottom"/>
          </w:tcPr>
          <w:p>
            <w:pPr>
              <w:ind w:left="1020"/>
              <w:spacing w:after="0" w:line="68" w:lineRule="exact"/>
              <w:rPr>
                <w:sz w:val="20"/>
                <w:szCs w:val="20"/>
                <w:color w:val="auto"/>
              </w:rPr>
            </w:pPr>
            <w:r>
              <w:rPr>
                <w:rFonts w:ascii="Arial" w:cs="Arial" w:eastAsia="Arial" w:hAnsi="Arial"/>
                <w:sz w:val="7"/>
                <w:szCs w:val="7"/>
                <w:color w:val="4C4C4C"/>
              </w:rPr>
              <w:t>​</w:t>
            </w:r>
          </w:p>
        </w:tc>
        <w:tc>
          <w:tcPr>
            <w:tcW w:w="1400" w:type="dxa"/>
            <w:vAlign w:val="bottom"/>
          </w:tcPr>
          <w:p>
            <w:pPr>
              <w:jc w:val="right"/>
              <w:ind w:right="576"/>
              <w:spacing w:after="0" w:line="68" w:lineRule="exact"/>
              <w:rPr>
                <w:sz w:val="20"/>
                <w:szCs w:val="20"/>
                <w:color w:val="auto"/>
              </w:rPr>
            </w:pPr>
            <w:r>
              <w:rPr>
                <w:rFonts w:ascii="Arial" w:cs="Arial" w:eastAsia="Arial" w:hAnsi="Arial"/>
                <w:sz w:val="7"/>
                <w:szCs w:val="7"/>
                <w:color w:val="4C4C4C"/>
              </w:rPr>
              <w:t>​</w:t>
            </w:r>
          </w:p>
        </w:tc>
        <w:tc>
          <w:tcPr>
            <w:tcW w:w="720" w:type="dxa"/>
            <w:vAlign w:val="bottom"/>
          </w:tcPr>
          <w:p>
            <w:pPr>
              <w:ind w:left="120"/>
              <w:spacing w:after="0" w:line="68" w:lineRule="exact"/>
              <w:rPr>
                <w:sz w:val="20"/>
                <w:szCs w:val="20"/>
                <w:color w:val="auto"/>
              </w:rPr>
            </w:pPr>
            <w:r>
              <w:rPr>
                <w:rFonts w:ascii="Arial" w:cs="Arial" w:eastAsia="Arial" w:hAnsi="Arial"/>
                <w:sz w:val="7"/>
                <w:szCs w:val="7"/>
                <w:color w:val="4C4C4C"/>
              </w:rPr>
              <w:t>​</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60"/>
              <w:spacing w:after="0"/>
              <w:rPr>
                <w:sz w:val="20"/>
                <w:szCs w:val="20"/>
                <w:color w:val="auto"/>
              </w:rPr>
            </w:pPr>
            <w:r>
              <w:rPr>
                <w:rFonts w:ascii="Arial" w:cs="Arial" w:eastAsia="Arial" w:hAnsi="Arial"/>
                <w:sz w:val="16"/>
                <w:szCs w:val="16"/>
                <w:color w:val="4C4C4C"/>
              </w:rPr>
              <w:t>William H. Baum</w:t>
            </w:r>
          </w:p>
        </w:tc>
        <w:tc>
          <w:tcPr>
            <w:tcW w:w="2300" w:type="dxa"/>
            <w:vAlign w:val="bottom"/>
            <w:gridSpan w:val="2"/>
          </w:tcPr>
          <w:p>
            <w:pPr>
              <w:jc w:val="right"/>
              <w:ind w:right="39"/>
              <w:spacing w:after="0"/>
              <w:rPr>
                <w:sz w:val="20"/>
                <w:szCs w:val="20"/>
                <w:color w:val="auto"/>
              </w:rPr>
            </w:pPr>
            <w:r>
              <w:rPr>
                <w:rFonts w:ascii="Arial" w:cs="Arial" w:eastAsia="Arial" w:hAnsi="Arial"/>
                <w:sz w:val="16"/>
                <w:szCs w:val="16"/>
                <w:color w:val="4C4C4C"/>
              </w:rPr>
              <w:t>$146,250</w:t>
            </w:r>
          </w:p>
        </w:tc>
        <w:tc>
          <w:tcPr>
            <w:tcW w:w="1280" w:type="dxa"/>
            <w:vAlign w:val="bottom"/>
          </w:tcPr>
          <w:p>
            <w:pPr>
              <w:ind w:left="1020"/>
              <w:spacing w:after="0"/>
              <w:rPr>
                <w:sz w:val="20"/>
                <w:szCs w:val="20"/>
                <w:color w:val="auto"/>
              </w:rPr>
            </w:pPr>
            <w:r>
              <w:rPr>
                <w:rFonts w:ascii="Arial" w:cs="Arial" w:eastAsia="Arial" w:hAnsi="Arial"/>
                <w:sz w:val="16"/>
                <w:szCs w:val="16"/>
                <w:color w:val="4C4C4C"/>
              </w:rPr>
              <w:t>—</w:t>
            </w:r>
          </w:p>
        </w:tc>
        <w:tc>
          <w:tcPr>
            <w:tcW w:w="1400" w:type="dxa"/>
            <w:vAlign w:val="bottom"/>
          </w:tcPr>
          <w:p>
            <w:pPr>
              <w:jc w:val="right"/>
              <w:ind w:right="36"/>
              <w:spacing w:after="0"/>
              <w:rPr>
                <w:sz w:val="20"/>
                <w:szCs w:val="20"/>
                <w:color w:val="auto"/>
              </w:rPr>
            </w:pPr>
            <w:r>
              <w:rPr>
                <w:rFonts w:ascii="Arial" w:cs="Arial" w:eastAsia="Arial" w:hAnsi="Arial"/>
                <w:sz w:val="16"/>
                <w:szCs w:val="16"/>
                <w:color w:val="4C4C4C"/>
              </w:rPr>
              <w:t>125,235</w:t>
            </w:r>
          </w:p>
        </w:tc>
        <w:tc>
          <w:tcPr>
            <w:tcW w:w="720" w:type="dxa"/>
            <w:vAlign w:val="bottom"/>
          </w:tcPr>
          <w:p>
            <w:pPr>
              <w:ind w:left="140"/>
              <w:spacing w:after="0"/>
              <w:rPr>
                <w:sz w:val="20"/>
                <w:szCs w:val="20"/>
                <w:color w:val="auto"/>
              </w:rPr>
            </w:pPr>
            <w:r>
              <w:rPr>
                <w:rFonts w:ascii="Arial" w:cs="Arial" w:eastAsia="Arial" w:hAnsi="Arial"/>
                <w:sz w:val="16"/>
                <w:szCs w:val="16"/>
                <w:color w:val="4C4C4C"/>
                <w:w w:val="96"/>
              </w:rPr>
              <w:t>271,485</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580" w:type="dxa"/>
            <w:vAlign w:val="bottom"/>
          </w:tcPr>
          <w:p>
            <w:pPr>
              <w:ind w:left="1500"/>
              <w:spacing w:after="0" w:line="68" w:lineRule="exact"/>
              <w:rPr>
                <w:sz w:val="20"/>
                <w:szCs w:val="20"/>
                <w:color w:val="auto"/>
              </w:rPr>
            </w:pPr>
            <w:r>
              <w:rPr>
                <w:rFonts w:ascii="Arial" w:cs="Arial" w:eastAsia="Arial" w:hAnsi="Arial"/>
                <w:sz w:val="7"/>
                <w:szCs w:val="7"/>
                <w:color w:val="4C4C4C"/>
              </w:rPr>
              <w:t>​</w:t>
            </w:r>
          </w:p>
        </w:tc>
        <w:tc>
          <w:tcPr>
            <w:tcW w:w="720" w:type="dxa"/>
            <w:vAlign w:val="bottom"/>
          </w:tcPr>
          <w:p>
            <w:pPr>
              <w:spacing w:after="0"/>
              <w:rPr>
                <w:sz w:val="5"/>
                <w:szCs w:val="5"/>
                <w:color w:val="auto"/>
              </w:rPr>
            </w:pPr>
          </w:p>
        </w:tc>
        <w:tc>
          <w:tcPr>
            <w:tcW w:w="1280" w:type="dxa"/>
            <w:vAlign w:val="bottom"/>
          </w:tcPr>
          <w:p>
            <w:pPr>
              <w:ind w:left="1020"/>
              <w:spacing w:after="0" w:line="68" w:lineRule="exact"/>
              <w:rPr>
                <w:sz w:val="20"/>
                <w:szCs w:val="20"/>
                <w:color w:val="auto"/>
              </w:rPr>
            </w:pPr>
            <w:r>
              <w:rPr>
                <w:rFonts w:ascii="Arial" w:cs="Arial" w:eastAsia="Arial" w:hAnsi="Arial"/>
                <w:sz w:val="7"/>
                <w:szCs w:val="7"/>
                <w:color w:val="4C4C4C"/>
              </w:rPr>
              <w:t>​</w:t>
            </w:r>
          </w:p>
        </w:tc>
        <w:tc>
          <w:tcPr>
            <w:tcW w:w="1400" w:type="dxa"/>
            <w:vAlign w:val="bottom"/>
          </w:tcPr>
          <w:p>
            <w:pPr>
              <w:jc w:val="right"/>
              <w:ind w:right="576"/>
              <w:spacing w:after="0" w:line="68" w:lineRule="exact"/>
              <w:rPr>
                <w:sz w:val="20"/>
                <w:szCs w:val="20"/>
                <w:color w:val="auto"/>
              </w:rPr>
            </w:pPr>
            <w:r>
              <w:rPr>
                <w:rFonts w:ascii="Arial" w:cs="Arial" w:eastAsia="Arial" w:hAnsi="Arial"/>
                <w:sz w:val="7"/>
                <w:szCs w:val="7"/>
                <w:color w:val="4C4C4C"/>
              </w:rPr>
              <w:t>​</w:t>
            </w:r>
          </w:p>
        </w:tc>
        <w:tc>
          <w:tcPr>
            <w:tcW w:w="720" w:type="dxa"/>
            <w:vAlign w:val="bottom"/>
          </w:tcPr>
          <w:p>
            <w:pPr>
              <w:ind w:left="120"/>
              <w:spacing w:after="0" w:line="68" w:lineRule="exact"/>
              <w:rPr>
                <w:sz w:val="20"/>
                <w:szCs w:val="20"/>
                <w:color w:val="auto"/>
              </w:rPr>
            </w:pPr>
            <w:r>
              <w:rPr>
                <w:rFonts w:ascii="Arial" w:cs="Arial" w:eastAsia="Arial" w:hAnsi="Arial"/>
                <w:sz w:val="7"/>
                <w:szCs w:val="7"/>
                <w:color w:val="4C4C4C"/>
              </w:rPr>
              <w:t>​</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460" w:type="dxa"/>
            <w:vAlign w:val="bottom"/>
          </w:tcPr>
          <w:p>
            <w:pPr>
              <w:ind w:left="60"/>
              <w:spacing w:after="0"/>
              <w:rPr>
                <w:sz w:val="20"/>
                <w:szCs w:val="20"/>
                <w:color w:val="auto"/>
              </w:rPr>
            </w:pPr>
            <w:r>
              <w:rPr>
                <w:rFonts w:ascii="Arial" w:cs="Arial" w:eastAsia="Arial" w:hAnsi="Arial"/>
                <w:sz w:val="16"/>
                <w:szCs w:val="16"/>
                <w:color w:val="4C4C4C"/>
              </w:rPr>
              <w:t>Mary Kathryn Ellet</w:t>
            </w:r>
          </w:p>
        </w:tc>
        <w:tc>
          <w:tcPr>
            <w:tcW w:w="2300" w:type="dxa"/>
            <w:vAlign w:val="bottom"/>
            <w:gridSpan w:val="2"/>
          </w:tcPr>
          <w:p>
            <w:pPr>
              <w:jc w:val="right"/>
              <w:ind w:right="39"/>
              <w:spacing w:after="0"/>
              <w:rPr>
                <w:sz w:val="20"/>
                <w:szCs w:val="20"/>
                <w:color w:val="auto"/>
              </w:rPr>
            </w:pPr>
            <w:r>
              <w:rPr>
                <w:rFonts w:ascii="Arial" w:cs="Arial" w:eastAsia="Arial" w:hAnsi="Arial"/>
                <w:sz w:val="16"/>
                <w:szCs w:val="16"/>
                <w:color w:val="4C4C4C"/>
              </w:rPr>
              <w:t>​ $90,000</w:t>
            </w:r>
          </w:p>
        </w:tc>
        <w:tc>
          <w:tcPr>
            <w:tcW w:w="1280" w:type="dxa"/>
            <w:vAlign w:val="bottom"/>
          </w:tcPr>
          <w:p>
            <w:pPr>
              <w:ind w:left="1020"/>
              <w:spacing w:after="0"/>
              <w:rPr>
                <w:sz w:val="20"/>
                <w:szCs w:val="20"/>
                <w:color w:val="auto"/>
              </w:rPr>
            </w:pPr>
            <w:r>
              <w:rPr>
                <w:rFonts w:ascii="Arial" w:cs="Arial" w:eastAsia="Arial" w:hAnsi="Arial"/>
                <w:sz w:val="16"/>
                <w:szCs w:val="16"/>
                <w:color w:val="4C4C4C"/>
              </w:rPr>
              <w:t>​—</w:t>
            </w:r>
          </w:p>
        </w:tc>
        <w:tc>
          <w:tcPr>
            <w:tcW w:w="1400" w:type="dxa"/>
            <w:vAlign w:val="bottom"/>
          </w:tcPr>
          <w:p>
            <w:pPr>
              <w:jc w:val="right"/>
              <w:ind w:right="36"/>
              <w:spacing w:after="0"/>
              <w:rPr>
                <w:sz w:val="20"/>
                <w:szCs w:val="20"/>
                <w:color w:val="auto"/>
              </w:rPr>
            </w:pPr>
            <w:r>
              <w:rPr>
                <w:rFonts w:ascii="Arial" w:cs="Arial" w:eastAsia="Arial" w:hAnsi="Arial"/>
                <w:sz w:val="16"/>
                <w:szCs w:val="16"/>
                <w:color w:val="4C4C4C"/>
              </w:rPr>
              <w:t>​125,235</w:t>
            </w:r>
          </w:p>
        </w:tc>
        <w:tc>
          <w:tcPr>
            <w:tcW w:w="780" w:type="dxa"/>
            <w:vAlign w:val="bottom"/>
            <w:gridSpan w:val="2"/>
          </w:tcPr>
          <w:p>
            <w:pPr>
              <w:jc w:val="right"/>
              <w:spacing w:after="0"/>
              <w:rPr>
                <w:sz w:val="20"/>
                <w:szCs w:val="20"/>
                <w:color w:val="auto"/>
              </w:rPr>
            </w:pPr>
            <w:r>
              <w:rPr>
                <w:rFonts w:ascii="Arial" w:cs="Arial" w:eastAsia="Arial" w:hAnsi="Arial"/>
                <w:sz w:val="16"/>
                <w:szCs w:val="16"/>
                <w:color w:val="4C4C4C"/>
              </w:rPr>
              <w:t>​215,235 ​</w:t>
            </w:r>
          </w:p>
        </w:tc>
        <w:tc>
          <w:tcPr>
            <w:tcW w:w="0" w:type="dxa"/>
            <w:vAlign w:val="bottom"/>
          </w:tcPr>
          <w:p>
            <w:pPr>
              <w:spacing w:after="0"/>
              <w:rPr>
                <w:sz w:val="1"/>
                <w:szCs w:val="1"/>
                <w:color w:val="auto"/>
              </w:rPr>
            </w:pPr>
          </w:p>
        </w:tc>
      </w:tr>
      <w:tr>
        <w:trPr>
          <w:trHeight w:val="189"/>
        </w:trPr>
        <w:tc>
          <w:tcPr>
            <w:tcW w:w="2460" w:type="dxa"/>
            <w:vAlign w:val="bottom"/>
          </w:tcPr>
          <w:p>
            <w:pPr>
              <w:ind w:left="60"/>
              <w:spacing w:after="0"/>
              <w:rPr>
                <w:sz w:val="20"/>
                <w:szCs w:val="20"/>
                <w:color w:val="auto"/>
              </w:rPr>
            </w:pPr>
            <w:r>
              <w:rPr>
                <w:rFonts w:ascii="Arial" w:cs="Arial" w:eastAsia="Arial" w:hAnsi="Arial"/>
                <w:sz w:val="16"/>
                <w:szCs w:val="16"/>
                <w:color w:val="4C4C4C"/>
              </w:rPr>
              <w:t>Jaime Guillen</w:t>
            </w:r>
          </w:p>
        </w:tc>
        <w:tc>
          <w:tcPr>
            <w:tcW w:w="2300" w:type="dxa"/>
            <w:vAlign w:val="bottom"/>
            <w:gridSpan w:val="2"/>
          </w:tcPr>
          <w:p>
            <w:pPr>
              <w:jc w:val="right"/>
              <w:ind w:right="39"/>
              <w:spacing w:after="0"/>
              <w:rPr>
                <w:sz w:val="20"/>
                <w:szCs w:val="20"/>
                <w:color w:val="auto"/>
              </w:rPr>
            </w:pPr>
            <w:r>
              <w:rPr>
                <w:rFonts w:ascii="Arial" w:cs="Arial" w:eastAsia="Arial" w:hAnsi="Arial"/>
                <w:sz w:val="16"/>
                <w:szCs w:val="16"/>
                <w:color w:val="4C4C4C"/>
              </w:rPr>
              <w:t>$105,000</w:t>
            </w:r>
          </w:p>
        </w:tc>
        <w:tc>
          <w:tcPr>
            <w:tcW w:w="1280" w:type="dxa"/>
            <w:vAlign w:val="bottom"/>
          </w:tcPr>
          <w:p>
            <w:pPr>
              <w:ind w:left="1020"/>
              <w:spacing w:after="0"/>
              <w:rPr>
                <w:sz w:val="20"/>
                <w:szCs w:val="20"/>
                <w:color w:val="auto"/>
              </w:rPr>
            </w:pPr>
            <w:r>
              <w:rPr>
                <w:rFonts w:ascii="Arial" w:cs="Arial" w:eastAsia="Arial" w:hAnsi="Arial"/>
                <w:sz w:val="16"/>
                <w:szCs w:val="16"/>
                <w:color w:val="4C4C4C"/>
              </w:rPr>
              <w:t>—</w:t>
            </w:r>
          </w:p>
        </w:tc>
        <w:tc>
          <w:tcPr>
            <w:tcW w:w="1400" w:type="dxa"/>
            <w:vAlign w:val="bottom"/>
          </w:tcPr>
          <w:p>
            <w:pPr>
              <w:jc w:val="right"/>
              <w:ind w:right="36"/>
              <w:spacing w:after="0"/>
              <w:rPr>
                <w:sz w:val="20"/>
                <w:szCs w:val="20"/>
                <w:color w:val="auto"/>
              </w:rPr>
            </w:pPr>
            <w:r>
              <w:rPr>
                <w:rFonts w:ascii="Arial" w:cs="Arial" w:eastAsia="Arial" w:hAnsi="Arial"/>
                <w:sz w:val="16"/>
                <w:szCs w:val="16"/>
                <w:color w:val="4C4C4C"/>
              </w:rPr>
              <w:t>125,235</w:t>
            </w:r>
          </w:p>
        </w:tc>
        <w:tc>
          <w:tcPr>
            <w:tcW w:w="720" w:type="dxa"/>
            <w:vAlign w:val="bottom"/>
          </w:tcPr>
          <w:p>
            <w:pPr>
              <w:ind w:left="140"/>
              <w:spacing w:after="0"/>
              <w:rPr>
                <w:sz w:val="20"/>
                <w:szCs w:val="20"/>
                <w:color w:val="auto"/>
              </w:rPr>
            </w:pPr>
            <w:r>
              <w:rPr>
                <w:rFonts w:ascii="Arial" w:cs="Arial" w:eastAsia="Arial" w:hAnsi="Arial"/>
                <w:sz w:val="16"/>
                <w:szCs w:val="16"/>
                <w:color w:val="4C4C4C"/>
                <w:w w:val="96"/>
              </w:rPr>
              <w:t>230,235</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580" w:type="dxa"/>
            <w:vAlign w:val="bottom"/>
          </w:tcPr>
          <w:p>
            <w:pPr>
              <w:ind w:left="1500"/>
              <w:spacing w:after="0" w:line="68" w:lineRule="exact"/>
              <w:rPr>
                <w:sz w:val="20"/>
                <w:szCs w:val="20"/>
                <w:color w:val="auto"/>
              </w:rPr>
            </w:pPr>
            <w:r>
              <w:rPr>
                <w:rFonts w:ascii="Arial" w:cs="Arial" w:eastAsia="Arial" w:hAnsi="Arial"/>
                <w:sz w:val="7"/>
                <w:szCs w:val="7"/>
                <w:color w:val="4C4C4C"/>
              </w:rPr>
              <w:t>​</w:t>
            </w:r>
          </w:p>
        </w:tc>
        <w:tc>
          <w:tcPr>
            <w:tcW w:w="720" w:type="dxa"/>
            <w:vAlign w:val="bottom"/>
          </w:tcPr>
          <w:p>
            <w:pPr>
              <w:spacing w:after="0"/>
              <w:rPr>
                <w:sz w:val="5"/>
                <w:szCs w:val="5"/>
                <w:color w:val="auto"/>
              </w:rPr>
            </w:pPr>
          </w:p>
        </w:tc>
        <w:tc>
          <w:tcPr>
            <w:tcW w:w="1280" w:type="dxa"/>
            <w:vAlign w:val="bottom"/>
          </w:tcPr>
          <w:p>
            <w:pPr>
              <w:ind w:left="1020"/>
              <w:spacing w:after="0" w:line="68" w:lineRule="exact"/>
              <w:rPr>
                <w:sz w:val="20"/>
                <w:szCs w:val="20"/>
                <w:color w:val="auto"/>
              </w:rPr>
            </w:pPr>
            <w:r>
              <w:rPr>
                <w:rFonts w:ascii="Arial" w:cs="Arial" w:eastAsia="Arial" w:hAnsi="Arial"/>
                <w:sz w:val="7"/>
                <w:szCs w:val="7"/>
                <w:color w:val="4C4C4C"/>
              </w:rPr>
              <w:t>​</w:t>
            </w:r>
          </w:p>
        </w:tc>
        <w:tc>
          <w:tcPr>
            <w:tcW w:w="1400" w:type="dxa"/>
            <w:vAlign w:val="bottom"/>
          </w:tcPr>
          <w:p>
            <w:pPr>
              <w:jc w:val="right"/>
              <w:ind w:right="576"/>
              <w:spacing w:after="0" w:line="68" w:lineRule="exact"/>
              <w:rPr>
                <w:sz w:val="20"/>
                <w:szCs w:val="20"/>
                <w:color w:val="auto"/>
              </w:rPr>
            </w:pPr>
            <w:r>
              <w:rPr>
                <w:rFonts w:ascii="Arial" w:cs="Arial" w:eastAsia="Arial" w:hAnsi="Arial"/>
                <w:sz w:val="7"/>
                <w:szCs w:val="7"/>
                <w:color w:val="4C4C4C"/>
              </w:rPr>
              <w:t>​</w:t>
            </w:r>
          </w:p>
        </w:tc>
        <w:tc>
          <w:tcPr>
            <w:tcW w:w="720" w:type="dxa"/>
            <w:vAlign w:val="bottom"/>
          </w:tcPr>
          <w:p>
            <w:pPr>
              <w:ind w:left="120"/>
              <w:spacing w:after="0" w:line="68" w:lineRule="exact"/>
              <w:rPr>
                <w:sz w:val="20"/>
                <w:szCs w:val="20"/>
                <w:color w:val="auto"/>
              </w:rPr>
            </w:pPr>
            <w:r>
              <w:rPr>
                <w:rFonts w:ascii="Arial" w:cs="Arial" w:eastAsia="Arial" w:hAnsi="Arial"/>
                <w:sz w:val="7"/>
                <w:szCs w:val="7"/>
                <w:color w:val="4C4C4C"/>
              </w:rPr>
              <w:t>​</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460" w:type="dxa"/>
            <w:vAlign w:val="bottom"/>
          </w:tcPr>
          <w:p>
            <w:pPr>
              <w:ind w:left="60"/>
              <w:spacing w:after="0"/>
              <w:rPr>
                <w:sz w:val="20"/>
                <w:szCs w:val="20"/>
                <w:color w:val="auto"/>
              </w:rPr>
            </w:pPr>
            <w:r>
              <w:rPr>
                <w:rFonts w:ascii="Arial" w:cs="Arial" w:eastAsia="Arial" w:hAnsi="Arial"/>
                <w:sz w:val="16"/>
                <w:szCs w:val="16"/>
                <w:color w:val="4C4C4C"/>
              </w:rPr>
              <w:t>Andrew J. Marsh</w:t>
            </w:r>
          </w:p>
        </w:tc>
        <w:tc>
          <w:tcPr>
            <w:tcW w:w="2300" w:type="dxa"/>
            <w:vAlign w:val="bottom"/>
            <w:gridSpan w:val="2"/>
          </w:tcPr>
          <w:p>
            <w:pPr>
              <w:jc w:val="right"/>
              <w:ind w:right="39"/>
              <w:spacing w:after="0"/>
              <w:rPr>
                <w:sz w:val="20"/>
                <w:szCs w:val="20"/>
                <w:color w:val="auto"/>
              </w:rPr>
            </w:pPr>
            <w:r>
              <w:rPr>
                <w:rFonts w:ascii="Arial" w:cs="Arial" w:eastAsia="Arial" w:hAnsi="Arial"/>
                <w:sz w:val="16"/>
                <w:szCs w:val="16"/>
                <w:color w:val="4C4C4C"/>
              </w:rPr>
              <w:t>​$102,500</w:t>
            </w:r>
          </w:p>
        </w:tc>
        <w:tc>
          <w:tcPr>
            <w:tcW w:w="1280" w:type="dxa"/>
            <w:vAlign w:val="bottom"/>
          </w:tcPr>
          <w:p>
            <w:pPr>
              <w:ind w:left="1020"/>
              <w:spacing w:after="0"/>
              <w:rPr>
                <w:sz w:val="20"/>
                <w:szCs w:val="20"/>
                <w:color w:val="auto"/>
              </w:rPr>
            </w:pPr>
            <w:r>
              <w:rPr>
                <w:rFonts w:ascii="Arial" w:cs="Arial" w:eastAsia="Arial" w:hAnsi="Arial"/>
                <w:sz w:val="16"/>
                <w:szCs w:val="16"/>
                <w:color w:val="4C4C4C"/>
              </w:rPr>
              <w:t>​—</w:t>
            </w:r>
          </w:p>
        </w:tc>
        <w:tc>
          <w:tcPr>
            <w:tcW w:w="1400" w:type="dxa"/>
            <w:vAlign w:val="bottom"/>
          </w:tcPr>
          <w:p>
            <w:pPr>
              <w:jc w:val="right"/>
              <w:ind w:right="36"/>
              <w:spacing w:after="0"/>
              <w:rPr>
                <w:sz w:val="20"/>
                <w:szCs w:val="20"/>
                <w:color w:val="auto"/>
              </w:rPr>
            </w:pPr>
            <w:r>
              <w:rPr>
                <w:rFonts w:ascii="Arial" w:cs="Arial" w:eastAsia="Arial" w:hAnsi="Arial"/>
                <w:sz w:val="16"/>
                <w:szCs w:val="16"/>
                <w:color w:val="4C4C4C"/>
              </w:rPr>
              <w:t>​125,235</w:t>
            </w:r>
          </w:p>
        </w:tc>
        <w:tc>
          <w:tcPr>
            <w:tcW w:w="780" w:type="dxa"/>
            <w:vAlign w:val="bottom"/>
            <w:gridSpan w:val="2"/>
          </w:tcPr>
          <w:p>
            <w:pPr>
              <w:jc w:val="right"/>
              <w:spacing w:after="0"/>
              <w:rPr>
                <w:sz w:val="20"/>
                <w:szCs w:val="20"/>
                <w:color w:val="auto"/>
              </w:rPr>
            </w:pPr>
            <w:r>
              <w:rPr>
                <w:rFonts w:ascii="Arial" w:cs="Arial" w:eastAsia="Arial" w:hAnsi="Arial"/>
                <w:sz w:val="16"/>
                <w:szCs w:val="16"/>
                <w:color w:val="4C4C4C"/>
              </w:rPr>
              <w:t>​227,735 ​</w:t>
            </w:r>
          </w:p>
        </w:tc>
        <w:tc>
          <w:tcPr>
            <w:tcW w:w="0" w:type="dxa"/>
            <w:vAlign w:val="bottom"/>
          </w:tcPr>
          <w:p>
            <w:pPr>
              <w:spacing w:after="0"/>
              <w:rPr>
                <w:sz w:val="1"/>
                <w:szCs w:val="1"/>
                <w:color w:val="auto"/>
              </w:rPr>
            </w:pPr>
          </w:p>
        </w:tc>
      </w:tr>
      <w:tr>
        <w:trPr>
          <w:trHeight w:val="270"/>
        </w:trPr>
        <w:tc>
          <w:tcPr>
            <w:tcW w:w="2460" w:type="dxa"/>
            <w:vAlign w:val="bottom"/>
          </w:tcPr>
          <w:p>
            <w:pPr>
              <w:ind w:left="60"/>
              <w:spacing w:after="0"/>
              <w:rPr>
                <w:sz w:val="20"/>
                <w:szCs w:val="20"/>
                <w:color w:val="auto"/>
              </w:rPr>
            </w:pPr>
            <w:r>
              <w:rPr>
                <w:rFonts w:ascii="Arial" w:cs="Arial" w:eastAsia="Arial" w:hAnsi="Arial"/>
                <w:sz w:val="16"/>
                <w:szCs w:val="16"/>
                <w:color w:val="4C4C4C"/>
              </w:rPr>
              <w:t>Gary W. Mize</w:t>
            </w:r>
          </w:p>
        </w:tc>
        <w:tc>
          <w:tcPr>
            <w:tcW w:w="2300" w:type="dxa"/>
            <w:vAlign w:val="bottom"/>
            <w:gridSpan w:val="2"/>
          </w:tcPr>
          <w:p>
            <w:pPr>
              <w:jc w:val="right"/>
              <w:ind w:right="39"/>
              <w:spacing w:after="0"/>
              <w:rPr>
                <w:sz w:val="20"/>
                <w:szCs w:val="20"/>
                <w:color w:val="auto"/>
              </w:rPr>
            </w:pPr>
            <w:r>
              <w:rPr>
                <w:rFonts w:ascii="Arial" w:cs="Arial" w:eastAsia="Arial" w:hAnsi="Arial"/>
                <w:sz w:val="16"/>
                <w:szCs w:val="16"/>
                <w:color w:val="4C4C4C"/>
              </w:rPr>
              <w:t>​ $96,785</w:t>
            </w:r>
          </w:p>
        </w:tc>
        <w:tc>
          <w:tcPr>
            <w:tcW w:w="1280" w:type="dxa"/>
            <w:vAlign w:val="bottom"/>
          </w:tcPr>
          <w:p>
            <w:pPr>
              <w:ind w:left="1020"/>
              <w:spacing w:after="0"/>
              <w:rPr>
                <w:sz w:val="20"/>
                <w:szCs w:val="20"/>
                <w:color w:val="auto"/>
              </w:rPr>
            </w:pPr>
            <w:r>
              <w:rPr>
                <w:rFonts w:ascii="Arial" w:cs="Arial" w:eastAsia="Arial" w:hAnsi="Arial"/>
                <w:sz w:val="16"/>
                <w:szCs w:val="16"/>
                <w:color w:val="4C4C4C"/>
              </w:rPr>
              <w:t>​—</w:t>
            </w:r>
          </w:p>
        </w:tc>
        <w:tc>
          <w:tcPr>
            <w:tcW w:w="1400" w:type="dxa"/>
            <w:vAlign w:val="bottom"/>
          </w:tcPr>
          <w:p>
            <w:pPr>
              <w:jc w:val="right"/>
              <w:ind w:right="36"/>
              <w:spacing w:after="0"/>
              <w:rPr>
                <w:sz w:val="20"/>
                <w:szCs w:val="20"/>
                <w:color w:val="auto"/>
              </w:rPr>
            </w:pPr>
            <w:r>
              <w:rPr>
                <w:rFonts w:ascii="Arial" w:cs="Arial" w:eastAsia="Arial" w:hAnsi="Arial"/>
                <w:sz w:val="16"/>
                <w:szCs w:val="16"/>
                <w:color w:val="4C4C4C"/>
              </w:rPr>
              <w:t>​125,235</w:t>
            </w:r>
          </w:p>
        </w:tc>
        <w:tc>
          <w:tcPr>
            <w:tcW w:w="780" w:type="dxa"/>
            <w:vAlign w:val="bottom"/>
            <w:gridSpan w:val="2"/>
          </w:tcPr>
          <w:p>
            <w:pPr>
              <w:jc w:val="right"/>
              <w:spacing w:after="0"/>
              <w:rPr>
                <w:sz w:val="20"/>
                <w:szCs w:val="20"/>
                <w:color w:val="auto"/>
              </w:rPr>
            </w:pPr>
            <w:r>
              <w:rPr>
                <w:rFonts w:ascii="Arial" w:cs="Arial" w:eastAsia="Arial" w:hAnsi="Arial"/>
                <w:sz w:val="16"/>
                <w:szCs w:val="16"/>
                <w:color w:val="4C4C4C"/>
              </w:rPr>
              <w:t>​222,020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-1696720</wp:posOffset>
            </wp:positionV>
            <wp:extent cx="5212080" cy="3860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2080" cy="38608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-1148080</wp:posOffset>
            </wp:positionV>
            <wp:extent cx="521208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-822325</wp:posOffset>
            </wp:positionV>
            <wp:extent cx="521208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102870</wp:posOffset>
            </wp:positionV>
            <wp:extent cx="14312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11" w:lineRule="exact"/>
        <w:rPr>
          <w:sz w:val="20"/>
          <w:szCs w:val="20"/>
          <w:color w:val="auto"/>
        </w:rPr>
      </w:pPr>
    </w:p>
    <w:p>
      <w:pPr>
        <w:ind w:left="1620" w:right="1320" w:hanging="360"/>
        <w:spacing w:after="0" w:line="226" w:lineRule="auto"/>
        <w:tabs>
          <w:tab w:leader="none" w:pos="1620" w:val="left"/>
        </w:tabs>
        <w:numPr>
          <w:ilvl w:val="0"/>
          <w:numId w:val="48"/>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Represents the grant date fair value of stock options and restricted stock awards granted during 2025 computed in accordance with Financial Accounting Standards Board (“FASB”) Accounting Standards Codification (“ASC”) Topic 718 (“FASB ASC 718”), excluding the effect of estimated forfeitures. For information regarding assumptions underlying the valuation of equity awards, see Note 19 to our consolidated financial statements included in our 2025 Annual Report.</w:t>
      </w:r>
    </w:p>
    <w:p>
      <w:pPr>
        <w:spacing w:after="0" w:line="4" w:lineRule="exact"/>
        <w:rPr>
          <w:rFonts w:ascii="Trebuchet MS" w:cs="Trebuchet MS" w:eastAsia="Trebuchet MS" w:hAnsi="Trebuchet MS"/>
          <w:sz w:val="27"/>
          <w:szCs w:val="27"/>
          <w:color w:val="4C4C4C"/>
          <w:vertAlign w:val="superscript"/>
        </w:rPr>
      </w:pPr>
    </w:p>
    <w:p>
      <w:pPr>
        <w:ind w:left="1620" w:hanging="360"/>
        <w:spacing w:after="0" w:line="226" w:lineRule="auto"/>
        <w:tabs>
          <w:tab w:leader="none" w:pos="1620" w:val="left"/>
        </w:tabs>
        <w:numPr>
          <w:ilvl w:val="0"/>
          <w:numId w:val="48"/>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Mr. Barber joined the Board on May 21, 2025.</w:t>
      </w:r>
    </w:p>
    <w:p>
      <w:pPr>
        <w:spacing w:after="0" w:line="192" w:lineRule="exact"/>
        <w:rPr>
          <w:sz w:val="20"/>
          <w:szCs w:val="20"/>
          <w:color w:val="auto"/>
        </w:rPr>
      </w:pPr>
    </w:p>
    <w:p>
      <w:pPr>
        <w:ind w:left="1260" w:right="1420"/>
        <w:spacing w:after="0" w:line="259" w:lineRule="auto"/>
        <w:rPr>
          <w:sz w:val="20"/>
          <w:szCs w:val="20"/>
          <w:color w:val="auto"/>
        </w:rPr>
      </w:pPr>
      <w:r>
        <w:rPr>
          <w:rFonts w:ascii="Arial" w:cs="Arial" w:eastAsia="Arial" w:hAnsi="Arial"/>
          <w:sz w:val="18"/>
          <w:szCs w:val="18"/>
          <w:color w:val="4C4C4C"/>
        </w:rPr>
        <w:t>The aggregate number of stock option and restricted stock awards outstanding for each of our non-employee directors as of December 31, 2025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123825</wp:posOffset>
            </wp:positionV>
            <wp:extent cx="5212080" cy="3860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2080" cy="386080"/>
                    </a:xfrm>
                    <a:prstGeom prst="rect">
                      <a:avLst/>
                    </a:prstGeom>
                    <a:noFill/>
                  </pic:spPr>
                </pic:pic>
              </a:graphicData>
            </a:graphic>
          </wp:anchor>
        </w:drawing>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220"/>
        </w:trPr>
        <w:tc>
          <w:tcPr>
            <w:tcW w:w="2200" w:type="dxa"/>
            <w:vAlign w:val="bottom"/>
          </w:tcPr>
          <w:p>
            <w:pPr>
              <w:spacing w:after="0"/>
              <w:rPr>
                <w:sz w:val="19"/>
                <w:szCs w:val="19"/>
                <w:color w:val="auto"/>
              </w:rPr>
            </w:pPr>
          </w:p>
        </w:tc>
        <w:tc>
          <w:tcPr>
            <w:tcW w:w="2840" w:type="dxa"/>
            <w:vAlign w:val="bottom"/>
          </w:tcPr>
          <w:p>
            <w:pPr>
              <w:jc w:val="center"/>
              <w:ind w:left="1479"/>
              <w:spacing w:after="0"/>
              <w:rPr>
                <w:sz w:val="20"/>
                <w:szCs w:val="20"/>
                <w:color w:val="auto"/>
              </w:rPr>
            </w:pPr>
            <w:r>
              <w:rPr>
                <w:rFonts w:ascii="Arial" w:cs="Arial" w:eastAsia="Arial" w:hAnsi="Arial"/>
                <w:sz w:val="16"/>
                <w:szCs w:val="16"/>
                <w:b w:val="1"/>
                <w:bCs w:val="1"/>
                <w:color w:val="FFFFFF"/>
                <w:w w:val="99"/>
              </w:rPr>
              <w:t>Number of</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FFFFFF"/>
                <w:w w:val="99"/>
              </w:rPr>
              <w:t>Number of</w:t>
            </w:r>
          </w:p>
        </w:tc>
      </w:tr>
      <w:tr>
        <w:trPr>
          <w:trHeight w:val="176"/>
        </w:trPr>
        <w:tc>
          <w:tcPr>
            <w:tcW w:w="2200" w:type="dxa"/>
            <w:vAlign w:val="bottom"/>
          </w:tcPr>
          <w:p>
            <w:pPr>
              <w:spacing w:after="0"/>
              <w:rPr>
                <w:sz w:val="15"/>
                <w:szCs w:val="15"/>
                <w:color w:val="auto"/>
              </w:rPr>
            </w:pPr>
          </w:p>
        </w:tc>
        <w:tc>
          <w:tcPr>
            <w:tcW w:w="2840" w:type="dxa"/>
            <w:vAlign w:val="bottom"/>
          </w:tcPr>
          <w:p>
            <w:pPr>
              <w:jc w:val="center"/>
              <w:ind w:left="1479"/>
              <w:spacing w:after="0" w:line="175" w:lineRule="exact"/>
              <w:rPr>
                <w:sz w:val="20"/>
                <w:szCs w:val="20"/>
                <w:color w:val="auto"/>
              </w:rPr>
            </w:pPr>
            <w:r>
              <w:rPr>
                <w:rFonts w:ascii="Arial" w:cs="Arial" w:eastAsia="Arial" w:hAnsi="Arial"/>
                <w:sz w:val="16"/>
                <w:szCs w:val="16"/>
                <w:b w:val="1"/>
                <w:bCs w:val="1"/>
                <w:color w:val="FFFFFF"/>
                <w:w w:val="95"/>
              </w:rPr>
              <w:t>Vested Stock</w:t>
            </w:r>
          </w:p>
        </w:tc>
        <w:tc>
          <w:tcPr>
            <w:tcW w:w="1480" w:type="dxa"/>
            <w:vAlign w:val="bottom"/>
          </w:tcPr>
          <w:p>
            <w:pPr>
              <w:jc w:val="center"/>
              <w:spacing w:after="0" w:line="175" w:lineRule="exact"/>
              <w:rPr>
                <w:sz w:val="20"/>
                <w:szCs w:val="20"/>
                <w:color w:val="auto"/>
              </w:rPr>
            </w:pPr>
            <w:r>
              <w:rPr>
                <w:rFonts w:ascii="Arial" w:cs="Arial" w:eastAsia="Arial" w:hAnsi="Arial"/>
                <w:sz w:val="16"/>
                <w:szCs w:val="16"/>
                <w:b w:val="1"/>
                <w:bCs w:val="1"/>
                <w:color w:val="FFFFFF"/>
                <w:w w:val="96"/>
              </w:rPr>
              <w:t>Unvested Stock</w:t>
            </w:r>
          </w:p>
        </w:tc>
        <w:tc>
          <w:tcPr>
            <w:tcW w:w="1700" w:type="dxa"/>
            <w:vAlign w:val="bottom"/>
          </w:tcPr>
          <w:p>
            <w:pPr>
              <w:jc w:val="center"/>
              <w:spacing w:after="0" w:line="175" w:lineRule="exact"/>
              <w:rPr>
                <w:sz w:val="20"/>
                <w:szCs w:val="20"/>
                <w:color w:val="auto"/>
              </w:rPr>
            </w:pPr>
            <w:r>
              <w:rPr>
                <w:rFonts w:ascii="Arial" w:cs="Arial" w:eastAsia="Arial" w:hAnsi="Arial"/>
                <w:sz w:val="16"/>
                <w:szCs w:val="16"/>
                <w:b w:val="1"/>
                <w:bCs w:val="1"/>
                <w:color w:val="FFFFFF"/>
                <w:w w:val="95"/>
              </w:rPr>
              <w:t>Unvested Shares</w:t>
            </w:r>
          </w:p>
        </w:tc>
      </w:tr>
      <w:tr>
        <w:trPr>
          <w:trHeight w:val="212"/>
        </w:trPr>
        <w:tc>
          <w:tcPr>
            <w:tcW w:w="2200" w:type="dxa"/>
            <w:vAlign w:val="bottom"/>
          </w:tcPr>
          <w:p>
            <w:pPr>
              <w:ind w:left="60"/>
              <w:spacing w:after="0"/>
              <w:rPr>
                <w:sz w:val="20"/>
                <w:szCs w:val="20"/>
                <w:color w:val="auto"/>
              </w:rPr>
            </w:pPr>
            <w:r>
              <w:rPr>
                <w:rFonts w:ascii="Arial" w:cs="Arial" w:eastAsia="Arial" w:hAnsi="Arial"/>
                <w:sz w:val="16"/>
                <w:szCs w:val="16"/>
                <w:b w:val="1"/>
                <w:bCs w:val="1"/>
                <w:color w:val="FFFFFF"/>
              </w:rPr>
              <w:t>Name</w:t>
            </w:r>
          </w:p>
        </w:tc>
        <w:tc>
          <w:tcPr>
            <w:tcW w:w="2840" w:type="dxa"/>
            <w:vAlign w:val="bottom"/>
          </w:tcPr>
          <w:p>
            <w:pPr>
              <w:jc w:val="center"/>
              <w:ind w:left="1479"/>
              <w:spacing w:after="0"/>
              <w:rPr>
                <w:sz w:val="20"/>
                <w:szCs w:val="20"/>
                <w:color w:val="auto"/>
              </w:rPr>
            </w:pPr>
            <w:r>
              <w:rPr>
                <w:rFonts w:ascii="Arial" w:cs="Arial" w:eastAsia="Arial" w:hAnsi="Arial"/>
                <w:sz w:val="16"/>
                <w:szCs w:val="16"/>
                <w:b w:val="1"/>
                <w:bCs w:val="1"/>
                <w:color w:val="FFFFFF"/>
                <w:w w:val="92"/>
              </w:rPr>
              <w:t>Options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FFFFFF"/>
                <w:w w:val="95"/>
              </w:rPr>
              <w:t>Options</w:t>
            </w:r>
          </w:p>
        </w:tc>
        <w:tc>
          <w:tcPr>
            <w:tcW w:w="1700" w:type="dxa"/>
            <w:vAlign w:val="bottom"/>
          </w:tcPr>
          <w:p>
            <w:pPr>
              <w:ind w:left="160"/>
              <w:spacing w:after="0"/>
              <w:rPr>
                <w:sz w:val="20"/>
                <w:szCs w:val="20"/>
                <w:color w:val="auto"/>
              </w:rPr>
            </w:pPr>
            <w:r>
              <w:rPr>
                <w:rFonts w:ascii="Arial" w:cs="Arial" w:eastAsia="Arial" w:hAnsi="Arial"/>
                <w:sz w:val="16"/>
                <w:szCs w:val="16"/>
                <w:b w:val="1"/>
                <w:bCs w:val="1"/>
                <w:color w:val="FFFFFF"/>
              </w:rPr>
              <w:t>of Restricted Stock ​</w:t>
            </w:r>
          </w:p>
        </w:tc>
      </w:tr>
    </w:tbl>
    <w:p>
      <w:pPr>
        <w:spacing w:after="0" w:line="37" w:lineRule="exact"/>
        <w:rPr>
          <w:sz w:val="20"/>
          <w:szCs w:val="20"/>
          <w:color w:val="auto"/>
        </w:rPr>
      </w:pPr>
    </w:p>
    <w:p>
      <w:pPr>
        <w:sectPr>
          <w:pgSz w:w="11900" w:h="16838" w:orient="portrait"/>
          <w:cols w:equalWidth="0" w:num="1">
            <w:col w:w="10720"/>
          </w:cols>
          <w:pgMar w:left="580" w:top="97" w:right="599" w:bottom="1440" w:gutter="0" w:footer="0" w:header="0"/>
        </w:sectPr>
      </w:pPr>
    </w:p>
    <w:tbl>
      <w:tblPr>
        <w:tblLayout w:type="fixed"/>
        <w:tblInd w:w="1320" w:type="dxa"/>
        <w:tblCellMar>
          <w:top w:w="0" w:type="dxa"/>
          <w:left w:w="0" w:type="dxa"/>
          <w:bottom w:w="0" w:type="dxa"/>
          <w:right w:w="0" w:type="dxa"/>
        </w:tblCellMar>
      </w:tblPr>
      <w:tr>
        <w:trPr>
          <w:trHeight w:val="221"/>
        </w:trPr>
        <w:tc>
          <w:tcPr>
            <w:tcW w:w="2840" w:type="dxa"/>
            <w:vAlign w:val="bottom"/>
          </w:tcPr>
          <w:p>
            <w:pPr>
              <w:spacing w:after="0"/>
              <w:rPr>
                <w:sz w:val="20"/>
                <w:szCs w:val="20"/>
                <w:color w:val="auto"/>
              </w:rPr>
            </w:pPr>
            <w:r>
              <w:rPr>
                <w:rFonts w:ascii="Arial" w:cs="Arial" w:eastAsia="Arial" w:hAnsi="Arial"/>
                <w:sz w:val="16"/>
                <w:szCs w:val="16"/>
                <w:color w:val="4C4C4C"/>
              </w:rPr>
              <w:t>Angelo Amorelli</w:t>
            </w:r>
          </w:p>
        </w:tc>
        <w:tc>
          <w:tcPr>
            <w:tcW w:w="2500" w:type="dxa"/>
            <w:vAlign w:val="bottom"/>
            <w:gridSpan w:val="2"/>
          </w:tcPr>
          <w:p>
            <w:pPr>
              <w:jc w:val="right"/>
              <w:ind w:right="379"/>
              <w:spacing w:after="0"/>
              <w:rPr>
                <w:sz w:val="20"/>
                <w:szCs w:val="20"/>
                <w:color w:val="auto"/>
              </w:rPr>
            </w:pPr>
            <w:r>
              <w:rPr>
                <w:rFonts w:ascii="Arial" w:cs="Arial" w:eastAsia="Arial" w:hAnsi="Arial"/>
                <w:sz w:val="16"/>
                <w:szCs w:val="16"/>
                <w:color w:val="4C4C4C"/>
              </w:rPr>
              <w:t>​ 24,639</w:t>
            </w:r>
          </w:p>
        </w:tc>
        <w:tc>
          <w:tcPr>
            <w:tcW w:w="1040" w:type="dxa"/>
            <w:vAlign w:val="bottom"/>
          </w:tcPr>
          <w:p>
            <w:pPr>
              <w:ind w:left="460"/>
              <w:spacing w:after="0"/>
              <w:rPr>
                <w:sz w:val="20"/>
                <w:szCs w:val="20"/>
                <w:color w:val="auto"/>
              </w:rPr>
            </w:pPr>
            <w:r>
              <w:rPr>
                <w:rFonts w:ascii="Arial" w:cs="Arial" w:eastAsia="Arial" w:hAnsi="Arial"/>
                <w:sz w:val="16"/>
                <w:szCs w:val="16"/>
                <w:color w:val="4C4C4C"/>
                <w:w w:val="96"/>
              </w:rPr>
              <w:t>​134,517</w:t>
            </w:r>
          </w:p>
        </w:tc>
      </w:tr>
      <w:tr>
        <w:trPr>
          <w:trHeight w:val="256"/>
        </w:trPr>
        <w:tc>
          <w:tcPr>
            <w:tcW w:w="2840" w:type="dxa"/>
            <w:vAlign w:val="bottom"/>
          </w:tcPr>
          <w:p>
            <w:pPr>
              <w:spacing w:after="0"/>
              <w:rPr>
                <w:sz w:val="20"/>
                <w:szCs w:val="20"/>
                <w:color w:val="auto"/>
              </w:rPr>
            </w:pPr>
            <w:r>
              <w:rPr>
                <w:rFonts w:ascii="Arial" w:cs="Arial" w:eastAsia="Arial" w:hAnsi="Arial"/>
                <w:sz w:val="16"/>
                <w:szCs w:val="16"/>
                <w:color w:val="4C4C4C"/>
              </w:rPr>
              <w:t>James J. Barber</w:t>
            </w:r>
          </w:p>
        </w:tc>
        <w:tc>
          <w:tcPr>
            <w:tcW w:w="1720" w:type="dxa"/>
            <w:vAlign w:val="bottom"/>
          </w:tcPr>
          <w:p>
            <w:pPr>
              <w:ind w:left="1460"/>
              <w:spacing w:after="0"/>
              <w:rPr>
                <w:sz w:val="20"/>
                <w:szCs w:val="20"/>
                <w:color w:val="auto"/>
              </w:rPr>
            </w:pPr>
            <w:r>
              <w:rPr>
                <w:rFonts w:ascii="Arial" w:cs="Arial" w:eastAsia="Arial" w:hAnsi="Arial"/>
                <w:sz w:val="16"/>
                <w:szCs w:val="16"/>
                <w:color w:val="4C4C4C"/>
              </w:rPr>
              <w:t>​</w:t>
            </w:r>
          </w:p>
        </w:tc>
        <w:tc>
          <w:tcPr>
            <w:tcW w:w="780" w:type="dxa"/>
            <w:vAlign w:val="bottom"/>
          </w:tcPr>
          <w:p>
            <w:pPr>
              <w:jc w:val="right"/>
              <w:ind w:right="379"/>
              <w:spacing w:after="0"/>
              <w:rPr>
                <w:sz w:val="20"/>
                <w:szCs w:val="20"/>
                <w:color w:val="auto"/>
              </w:rPr>
            </w:pPr>
            <w:r>
              <w:rPr>
                <w:rFonts w:ascii="Arial" w:cs="Arial" w:eastAsia="Arial" w:hAnsi="Arial"/>
                <w:sz w:val="16"/>
                <w:szCs w:val="16"/>
                <w:color w:val="4C4C4C"/>
              </w:rPr>
              <w:t>—</w:t>
            </w:r>
          </w:p>
        </w:tc>
        <w:tc>
          <w:tcPr>
            <w:tcW w:w="1040" w:type="dxa"/>
            <w:vAlign w:val="bottom"/>
          </w:tcPr>
          <w:p>
            <w:pPr>
              <w:ind w:left="460"/>
              <w:spacing w:after="0"/>
              <w:rPr>
                <w:sz w:val="20"/>
                <w:szCs w:val="20"/>
                <w:color w:val="auto"/>
              </w:rPr>
            </w:pPr>
            <w:r>
              <w:rPr>
                <w:rFonts w:ascii="Arial" w:cs="Arial" w:eastAsia="Arial" w:hAnsi="Arial"/>
                <w:sz w:val="16"/>
                <w:szCs w:val="16"/>
                <w:color w:val="4C4C4C"/>
                <w:w w:val="96"/>
              </w:rPr>
              <w:t>​134,571</w:t>
            </w:r>
          </w:p>
        </w:tc>
      </w:tr>
      <w:tr>
        <w:trPr>
          <w:trHeight w:val="257"/>
        </w:trPr>
        <w:tc>
          <w:tcPr>
            <w:tcW w:w="2840" w:type="dxa"/>
            <w:vAlign w:val="bottom"/>
          </w:tcPr>
          <w:p>
            <w:pPr>
              <w:spacing w:after="0"/>
              <w:rPr>
                <w:sz w:val="20"/>
                <w:szCs w:val="20"/>
                <w:color w:val="auto"/>
              </w:rPr>
            </w:pPr>
            <w:r>
              <w:rPr>
                <w:rFonts w:ascii="Arial" w:cs="Arial" w:eastAsia="Arial" w:hAnsi="Arial"/>
                <w:sz w:val="16"/>
                <w:szCs w:val="16"/>
                <w:color w:val="4C4C4C"/>
              </w:rPr>
              <w:t>Carol J. Battershell</w:t>
            </w:r>
          </w:p>
        </w:tc>
        <w:tc>
          <w:tcPr>
            <w:tcW w:w="1720" w:type="dxa"/>
            <w:vAlign w:val="bottom"/>
          </w:tcPr>
          <w:p>
            <w:pPr>
              <w:ind w:left="1460"/>
              <w:spacing w:after="0"/>
              <w:rPr>
                <w:sz w:val="20"/>
                <w:szCs w:val="20"/>
                <w:color w:val="auto"/>
              </w:rPr>
            </w:pPr>
            <w:r>
              <w:rPr>
                <w:rFonts w:ascii="Arial" w:cs="Arial" w:eastAsia="Arial" w:hAnsi="Arial"/>
                <w:sz w:val="16"/>
                <w:szCs w:val="16"/>
                <w:color w:val="4C4C4C"/>
              </w:rPr>
              <w:t>​</w:t>
            </w:r>
          </w:p>
        </w:tc>
        <w:tc>
          <w:tcPr>
            <w:tcW w:w="780" w:type="dxa"/>
            <w:vAlign w:val="bottom"/>
          </w:tcPr>
          <w:p>
            <w:pPr>
              <w:jc w:val="right"/>
              <w:ind w:right="379"/>
              <w:spacing w:after="0"/>
              <w:rPr>
                <w:sz w:val="20"/>
                <w:szCs w:val="20"/>
                <w:color w:val="auto"/>
              </w:rPr>
            </w:pPr>
            <w:r>
              <w:rPr>
                <w:rFonts w:ascii="Arial" w:cs="Arial" w:eastAsia="Arial" w:hAnsi="Arial"/>
                <w:sz w:val="16"/>
                <w:szCs w:val="16"/>
                <w:color w:val="4C4C4C"/>
              </w:rPr>
              <w:t>—</w:t>
            </w:r>
          </w:p>
        </w:tc>
        <w:tc>
          <w:tcPr>
            <w:tcW w:w="1040" w:type="dxa"/>
            <w:vAlign w:val="bottom"/>
          </w:tcPr>
          <w:p>
            <w:pPr>
              <w:ind w:left="460"/>
              <w:spacing w:after="0"/>
              <w:rPr>
                <w:sz w:val="20"/>
                <w:szCs w:val="20"/>
                <w:color w:val="auto"/>
              </w:rPr>
            </w:pPr>
            <w:r>
              <w:rPr>
                <w:rFonts w:ascii="Arial" w:cs="Arial" w:eastAsia="Arial" w:hAnsi="Arial"/>
                <w:sz w:val="16"/>
                <w:szCs w:val="16"/>
                <w:color w:val="4C4C4C"/>
                <w:w w:val="96"/>
              </w:rPr>
              <w:t>​134,517</w:t>
            </w:r>
          </w:p>
        </w:tc>
      </w:tr>
      <w:tr>
        <w:trPr>
          <w:trHeight w:val="256"/>
        </w:trPr>
        <w:tc>
          <w:tcPr>
            <w:tcW w:w="2840" w:type="dxa"/>
            <w:vAlign w:val="bottom"/>
          </w:tcPr>
          <w:p>
            <w:pPr>
              <w:spacing w:after="0"/>
              <w:rPr>
                <w:sz w:val="20"/>
                <w:szCs w:val="20"/>
                <w:color w:val="auto"/>
              </w:rPr>
            </w:pPr>
            <w:r>
              <w:rPr>
                <w:rFonts w:ascii="Arial" w:cs="Arial" w:eastAsia="Arial" w:hAnsi="Arial"/>
                <w:sz w:val="16"/>
                <w:szCs w:val="16"/>
                <w:color w:val="4C4C4C"/>
              </w:rPr>
              <w:t>William H. Baum</w:t>
            </w:r>
          </w:p>
        </w:tc>
        <w:tc>
          <w:tcPr>
            <w:tcW w:w="2500" w:type="dxa"/>
            <w:vAlign w:val="bottom"/>
            <w:gridSpan w:val="2"/>
          </w:tcPr>
          <w:p>
            <w:pPr>
              <w:jc w:val="right"/>
              <w:ind w:right="379"/>
              <w:spacing w:after="0"/>
              <w:rPr>
                <w:sz w:val="20"/>
                <w:szCs w:val="20"/>
                <w:color w:val="auto"/>
              </w:rPr>
            </w:pPr>
            <w:r>
              <w:rPr>
                <w:rFonts w:ascii="Arial" w:cs="Arial" w:eastAsia="Arial" w:hAnsi="Arial"/>
                <w:sz w:val="16"/>
                <w:szCs w:val="16"/>
                <w:color w:val="4C4C4C"/>
              </w:rPr>
              <w:t>​290,524</w:t>
            </w:r>
          </w:p>
        </w:tc>
        <w:tc>
          <w:tcPr>
            <w:tcW w:w="1040" w:type="dxa"/>
            <w:vAlign w:val="bottom"/>
          </w:tcPr>
          <w:p>
            <w:pPr>
              <w:ind w:left="460"/>
              <w:spacing w:after="0"/>
              <w:rPr>
                <w:sz w:val="20"/>
                <w:szCs w:val="20"/>
                <w:color w:val="auto"/>
              </w:rPr>
            </w:pPr>
            <w:r>
              <w:rPr>
                <w:rFonts w:ascii="Arial" w:cs="Arial" w:eastAsia="Arial" w:hAnsi="Arial"/>
                <w:sz w:val="16"/>
                <w:szCs w:val="16"/>
                <w:color w:val="4C4C4C"/>
                <w:w w:val="96"/>
              </w:rPr>
              <w:t>​134,517</w:t>
            </w:r>
          </w:p>
        </w:tc>
      </w:tr>
      <w:tr>
        <w:trPr>
          <w:trHeight w:val="257"/>
        </w:trPr>
        <w:tc>
          <w:tcPr>
            <w:tcW w:w="2840" w:type="dxa"/>
            <w:vAlign w:val="bottom"/>
          </w:tcPr>
          <w:p>
            <w:pPr>
              <w:spacing w:after="0"/>
              <w:rPr>
                <w:sz w:val="20"/>
                <w:szCs w:val="20"/>
                <w:color w:val="auto"/>
              </w:rPr>
            </w:pPr>
            <w:r>
              <w:rPr>
                <w:rFonts w:ascii="Arial" w:cs="Arial" w:eastAsia="Arial" w:hAnsi="Arial"/>
                <w:sz w:val="16"/>
                <w:szCs w:val="16"/>
                <w:color w:val="4C4C4C"/>
              </w:rPr>
              <w:t>Mary Kathryn Ellet</w:t>
            </w:r>
          </w:p>
        </w:tc>
        <w:tc>
          <w:tcPr>
            <w:tcW w:w="2500" w:type="dxa"/>
            <w:vAlign w:val="bottom"/>
            <w:gridSpan w:val="2"/>
          </w:tcPr>
          <w:p>
            <w:pPr>
              <w:jc w:val="right"/>
              <w:ind w:right="379"/>
              <w:spacing w:after="0"/>
              <w:rPr>
                <w:sz w:val="20"/>
                <w:szCs w:val="20"/>
                <w:color w:val="auto"/>
              </w:rPr>
            </w:pPr>
            <w:r>
              <w:rPr>
                <w:rFonts w:ascii="Arial" w:cs="Arial" w:eastAsia="Arial" w:hAnsi="Arial"/>
                <w:sz w:val="16"/>
                <w:szCs w:val="16"/>
                <w:color w:val="4C4C4C"/>
              </w:rPr>
              <w:t>​224,639</w:t>
            </w:r>
          </w:p>
        </w:tc>
        <w:tc>
          <w:tcPr>
            <w:tcW w:w="1040" w:type="dxa"/>
            <w:vAlign w:val="bottom"/>
          </w:tcPr>
          <w:p>
            <w:pPr>
              <w:ind w:left="460"/>
              <w:spacing w:after="0"/>
              <w:rPr>
                <w:sz w:val="20"/>
                <w:szCs w:val="20"/>
                <w:color w:val="auto"/>
              </w:rPr>
            </w:pPr>
            <w:r>
              <w:rPr>
                <w:rFonts w:ascii="Arial" w:cs="Arial" w:eastAsia="Arial" w:hAnsi="Arial"/>
                <w:sz w:val="16"/>
                <w:szCs w:val="16"/>
                <w:color w:val="4C4C4C"/>
                <w:w w:val="96"/>
              </w:rPr>
              <w:t>​134,517</w:t>
            </w:r>
          </w:p>
        </w:tc>
      </w:tr>
      <w:tr>
        <w:trPr>
          <w:trHeight w:val="256"/>
        </w:trPr>
        <w:tc>
          <w:tcPr>
            <w:tcW w:w="2840" w:type="dxa"/>
            <w:vAlign w:val="bottom"/>
          </w:tcPr>
          <w:p>
            <w:pPr>
              <w:spacing w:after="0"/>
              <w:rPr>
                <w:sz w:val="20"/>
                <w:szCs w:val="20"/>
                <w:color w:val="auto"/>
              </w:rPr>
            </w:pPr>
            <w:r>
              <w:rPr>
                <w:rFonts w:ascii="Arial" w:cs="Arial" w:eastAsia="Arial" w:hAnsi="Arial"/>
                <w:sz w:val="16"/>
                <w:szCs w:val="16"/>
                <w:color w:val="4C4C4C"/>
              </w:rPr>
              <w:t>Jaime Guillen</w:t>
            </w:r>
          </w:p>
        </w:tc>
        <w:tc>
          <w:tcPr>
            <w:tcW w:w="2500" w:type="dxa"/>
            <w:vAlign w:val="bottom"/>
            <w:gridSpan w:val="2"/>
          </w:tcPr>
          <w:p>
            <w:pPr>
              <w:jc w:val="right"/>
              <w:ind w:right="379"/>
              <w:spacing w:after="0"/>
              <w:rPr>
                <w:sz w:val="20"/>
                <w:szCs w:val="20"/>
                <w:color w:val="auto"/>
              </w:rPr>
            </w:pPr>
            <w:r>
              <w:rPr>
                <w:rFonts w:ascii="Arial" w:cs="Arial" w:eastAsia="Arial" w:hAnsi="Arial"/>
                <w:sz w:val="16"/>
                <w:szCs w:val="16"/>
                <w:color w:val="4C4C4C"/>
              </w:rPr>
              <w:t>​290,524</w:t>
            </w:r>
          </w:p>
        </w:tc>
        <w:tc>
          <w:tcPr>
            <w:tcW w:w="1040" w:type="dxa"/>
            <w:vAlign w:val="bottom"/>
          </w:tcPr>
          <w:p>
            <w:pPr>
              <w:ind w:left="460"/>
              <w:spacing w:after="0"/>
              <w:rPr>
                <w:sz w:val="20"/>
                <w:szCs w:val="20"/>
                <w:color w:val="auto"/>
              </w:rPr>
            </w:pPr>
            <w:r>
              <w:rPr>
                <w:rFonts w:ascii="Arial" w:cs="Arial" w:eastAsia="Arial" w:hAnsi="Arial"/>
                <w:sz w:val="16"/>
                <w:szCs w:val="16"/>
                <w:color w:val="4C4C4C"/>
                <w:w w:val="96"/>
              </w:rPr>
              <w:t>​134,517</w:t>
            </w:r>
          </w:p>
        </w:tc>
      </w:tr>
      <w:tr>
        <w:trPr>
          <w:trHeight w:val="257"/>
        </w:trPr>
        <w:tc>
          <w:tcPr>
            <w:tcW w:w="2840" w:type="dxa"/>
            <w:vAlign w:val="bottom"/>
          </w:tcPr>
          <w:p>
            <w:pPr>
              <w:spacing w:after="0"/>
              <w:rPr>
                <w:sz w:val="20"/>
                <w:szCs w:val="20"/>
                <w:color w:val="auto"/>
              </w:rPr>
            </w:pPr>
            <w:r>
              <w:rPr>
                <w:rFonts w:ascii="Arial" w:cs="Arial" w:eastAsia="Arial" w:hAnsi="Arial"/>
                <w:sz w:val="16"/>
                <w:szCs w:val="16"/>
                <w:color w:val="4C4C4C"/>
              </w:rPr>
              <w:t>Andrew J. Marsh</w:t>
            </w:r>
          </w:p>
        </w:tc>
        <w:tc>
          <w:tcPr>
            <w:tcW w:w="2500" w:type="dxa"/>
            <w:vAlign w:val="bottom"/>
            <w:gridSpan w:val="2"/>
          </w:tcPr>
          <w:p>
            <w:pPr>
              <w:jc w:val="right"/>
              <w:ind w:right="379"/>
              <w:spacing w:after="0"/>
              <w:rPr>
                <w:sz w:val="20"/>
                <w:szCs w:val="20"/>
                <w:color w:val="auto"/>
              </w:rPr>
            </w:pPr>
            <w:r>
              <w:rPr>
                <w:rFonts w:ascii="Arial" w:cs="Arial" w:eastAsia="Arial" w:hAnsi="Arial"/>
                <w:sz w:val="16"/>
                <w:szCs w:val="16"/>
                <w:color w:val="4C4C4C"/>
              </w:rPr>
              <w:t>​290,524</w:t>
            </w:r>
          </w:p>
        </w:tc>
        <w:tc>
          <w:tcPr>
            <w:tcW w:w="1040" w:type="dxa"/>
            <w:vAlign w:val="bottom"/>
          </w:tcPr>
          <w:p>
            <w:pPr>
              <w:ind w:left="460"/>
              <w:spacing w:after="0"/>
              <w:rPr>
                <w:sz w:val="20"/>
                <w:szCs w:val="20"/>
                <w:color w:val="auto"/>
              </w:rPr>
            </w:pPr>
            <w:r>
              <w:rPr>
                <w:rFonts w:ascii="Arial" w:cs="Arial" w:eastAsia="Arial" w:hAnsi="Arial"/>
                <w:sz w:val="16"/>
                <w:szCs w:val="16"/>
                <w:color w:val="4C4C4C"/>
                <w:w w:val="96"/>
              </w:rPr>
              <w:t>​134,517</w:t>
            </w:r>
          </w:p>
        </w:tc>
      </w:tr>
      <w:tr>
        <w:trPr>
          <w:trHeight w:val="270"/>
        </w:trPr>
        <w:tc>
          <w:tcPr>
            <w:tcW w:w="2840" w:type="dxa"/>
            <w:vAlign w:val="bottom"/>
          </w:tcPr>
          <w:p>
            <w:pPr>
              <w:spacing w:after="0"/>
              <w:rPr>
                <w:sz w:val="20"/>
                <w:szCs w:val="20"/>
                <w:color w:val="auto"/>
              </w:rPr>
            </w:pPr>
            <w:r>
              <w:rPr>
                <w:rFonts w:ascii="Arial" w:cs="Arial" w:eastAsia="Arial" w:hAnsi="Arial"/>
                <w:sz w:val="16"/>
                <w:szCs w:val="16"/>
                <w:color w:val="4C4C4C"/>
              </w:rPr>
              <w:t>Gary W. Mize</w:t>
            </w:r>
          </w:p>
        </w:tc>
        <w:tc>
          <w:tcPr>
            <w:tcW w:w="2500" w:type="dxa"/>
            <w:vAlign w:val="bottom"/>
            <w:gridSpan w:val="2"/>
          </w:tcPr>
          <w:p>
            <w:pPr>
              <w:jc w:val="right"/>
              <w:ind w:right="379"/>
              <w:spacing w:after="0"/>
              <w:rPr>
                <w:sz w:val="20"/>
                <w:szCs w:val="20"/>
                <w:color w:val="auto"/>
              </w:rPr>
            </w:pPr>
            <w:r>
              <w:rPr>
                <w:rFonts w:ascii="Arial" w:cs="Arial" w:eastAsia="Arial" w:hAnsi="Arial"/>
                <w:sz w:val="16"/>
                <w:szCs w:val="16"/>
                <w:color w:val="4C4C4C"/>
              </w:rPr>
              <w:t>​ 65,885</w:t>
            </w:r>
          </w:p>
        </w:tc>
        <w:tc>
          <w:tcPr>
            <w:tcW w:w="1040" w:type="dxa"/>
            <w:vAlign w:val="bottom"/>
          </w:tcPr>
          <w:p>
            <w:pPr>
              <w:ind w:left="460"/>
              <w:spacing w:after="0"/>
              <w:rPr>
                <w:sz w:val="20"/>
                <w:szCs w:val="20"/>
                <w:color w:val="auto"/>
              </w:rPr>
            </w:pPr>
            <w:r>
              <w:rPr>
                <w:rFonts w:ascii="Arial" w:cs="Arial" w:eastAsia="Arial" w:hAnsi="Arial"/>
                <w:sz w:val="16"/>
                <w:szCs w:val="16"/>
                <w:color w:val="4C4C4C"/>
                <w:w w:val="96"/>
              </w:rPr>
              <w:t>​134,517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-1148715</wp:posOffset>
            </wp:positionV>
            <wp:extent cx="521208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-823595</wp:posOffset>
            </wp:positionV>
            <wp:extent cx="5212080"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-497840</wp:posOffset>
            </wp:positionV>
            <wp:extent cx="521208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-172085</wp:posOffset>
            </wp:positionV>
            <wp:extent cx="52120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4C4C4C"/>
        </w:rPr>
        <w:t>​—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4C4C4C"/>
        </w:rPr>
        <w:t>​—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4C4C4C"/>
        </w:rPr>
        <w:t>​—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4C4C4C"/>
        </w:rPr>
        <w:t>​—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4C4C4C"/>
        </w:rPr>
        <w:t>​—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4C4C4C"/>
        </w:rPr>
        <w:t>​— ​</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4C4C4C"/>
        </w:rPr>
        <w:t>​— ​</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4C4C4C"/>
        </w:rPr>
        <w:t>​— ​</w:t>
      </w:r>
    </w:p>
    <w:p>
      <w:pPr>
        <w:spacing w:after="0" w:line="248" w:lineRule="exact"/>
        <w:rPr>
          <w:sz w:val="20"/>
          <w:szCs w:val="20"/>
          <w:color w:val="auto"/>
        </w:rPr>
      </w:pPr>
    </w:p>
    <w:p>
      <w:pPr>
        <w:sectPr>
          <w:pgSz w:w="11900" w:h="16838" w:orient="portrait"/>
          <w:cols w:equalWidth="0" w:num="2">
            <w:col w:w="8560" w:space="720"/>
            <w:col w:w="1440"/>
          </w:cols>
          <w:pgMar w:left="580" w:top="97"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20" w:type="dxa"/>
            <w:vAlign w:val="bottom"/>
          </w:tcPr>
          <w:p>
            <w:pPr>
              <w:ind w:left="5880"/>
              <w:spacing w:after="0"/>
              <w:rPr>
                <w:sz w:val="20"/>
                <w:szCs w:val="20"/>
                <w:color w:val="auto"/>
              </w:rPr>
            </w:pPr>
            <w:r>
              <w:rPr>
                <w:rFonts w:ascii="Arial" w:cs="Arial" w:eastAsia="Arial" w:hAnsi="Arial"/>
                <w:sz w:val="18"/>
                <w:szCs w:val="18"/>
                <w:color w:val="346094"/>
                <w:w w:val="93"/>
              </w:rPr>
              <w:t xml:space="preserve">GEVO, INC.  |  </w:t>
            </w:r>
            <w:r>
              <w:rPr>
                <w:rFonts w:ascii="Arial" w:cs="Arial" w:eastAsia="Arial" w:hAnsi="Arial"/>
                <w:sz w:val="18"/>
                <w:szCs w:val="18"/>
                <w:i w:val="1"/>
                <w:iCs w:val="1"/>
                <w:color w:val="4C4C4C"/>
                <w:w w:val="93"/>
              </w:rPr>
              <w:t>2026 PROXY STATEMENT</w:t>
            </w:r>
          </w:p>
        </w:tc>
        <w:tc>
          <w:tcPr>
            <w:tcW w:w="1600" w:type="dxa"/>
            <w:vAlign w:val="bottom"/>
          </w:tcPr>
          <w:p>
            <w:pPr>
              <w:jc w:val="right"/>
              <w:ind w:right="1170"/>
              <w:spacing w:after="0"/>
              <w:rPr>
                <w:sz w:val="20"/>
                <w:szCs w:val="20"/>
                <w:color w:val="auto"/>
              </w:rPr>
            </w:pPr>
            <w:r>
              <w:rPr>
                <w:rFonts w:ascii="Arial" w:cs="Arial" w:eastAsia="Arial" w:hAnsi="Arial"/>
                <w:sz w:val="18"/>
                <w:szCs w:val="18"/>
                <w:color w:val="4C4C4C"/>
              </w:rPr>
              <w:t>29</w:t>
            </w:r>
          </w:p>
        </w:tc>
      </w:tr>
      <w:tr>
        <w:trPr>
          <w:trHeight w:val="408"/>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40"/>
        <w:spacing w:after="0"/>
        <w:rPr>
          <w:sz w:val="20"/>
          <w:szCs w:val="20"/>
          <w:color w:val="auto"/>
        </w:rPr>
      </w:pPr>
      <w:r>
        <w:rPr>
          <w:rFonts w:ascii="Trebuchet MS" w:cs="Trebuchet MS" w:eastAsia="Trebuchet MS" w:hAnsi="Trebuchet MS"/>
          <w:sz w:val="29"/>
          <w:szCs w:val="29"/>
          <w:b w:val="1"/>
          <w:bCs w:val="1"/>
          <w:color w:val="FFFFFF"/>
        </w:rPr>
        <w:t>EXECUTIVE OFFICERS</w:t>
      </w:r>
    </w:p>
    <w:p>
      <w:pPr>
        <w:spacing w:after="0" w:line="222" w:lineRule="exact"/>
        <w:rPr>
          <w:sz w:val="20"/>
          <w:szCs w:val="20"/>
          <w:color w:val="auto"/>
        </w:rPr>
      </w:pPr>
    </w:p>
    <w:p>
      <w:pPr>
        <w:ind w:left="1260" w:right="899"/>
        <w:spacing w:after="0" w:line="289" w:lineRule="auto"/>
        <w:rPr>
          <w:sz w:val="20"/>
          <w:szCs w:val="20"/>
          <w:color w:val="auto"/>
        </w:rPr>
      </w:pPr>
      <w:r>
        <w:rPr>
          <w:rFonts w:ascii="Arial" w:cs="Arial" w:eastAsia="Arial" w:hAnsi="Arial"/>
          <w:sz w:val="18"/>
          <w:szCs w:val="18"/>
          <w:color w:val="4C4C4C"/>
        </w:rPr>
        <w:t>The following table sets forth certain information about our executive officers, as of March 26, 2026:</w:t>
      </w:r>
    </w:p>
    <w:p>
      <w:pPr>
        <w:spacing w:after="0" w:line="168" w:lineRule="exact"/>
        <w:rPr>
          <w:sz w:val="20"/>
          <w:szCs w:val="20"/>
          <w:color w:val="auto"/>
        </w:rPr>
      </w:pPr>
    </w:p>
    <w:tbl>
      <w:tblPr>
        <w:tblLayout w:type="fixed"/>
        <w:tblInd w:w="1260" w:type="dxa"/>
        <w:tblCellMar>
          <w:top w:w="0" w:type="dxa"/>
          <w:left w:w="0" w:type="dxa"/>
          <w:bottom w:w="0" w:type="dxa"/>
          <w:right w:w="0" w:type="dxa"/>
        </w:tblCellMar>
      </w:tblPr>
      <w:tr>
        <w:trPr>
          <w:trHeight w:val="237"/>
        </w:trPr>
        <w:tc>
          <w:tcPr>
            <w:tcW w:w="2620" w:type="dxa"/>
            <w:vAlign w:val="bottom"/>
            <w:tcBorders>
              <w:bottom w:val="single" w:sz="8" w:color="346094"/>
            </w:tcBorders>
            <w:shd w:val="clear" w:color="auto" w:fill="346094"/>
          </w:tcPr>
          <w:p>
            <w:pPr>
              <w:ind w:left="60"/>
              <w:spacing w:after="0"/>
              <w:rPr>
                <w:sz w:val="20"/>
                <w:szCs w:val="20"/>
                <w:color w:val="auto"/>
              </w:rPr>
            </w:pPr>
            <w:r>
              <w:rPr>
                <w:rFonts w:ascii="Trebuchet MS" w:cs="Trebuchet MS" w:eastAsia="Trebuchet MS" w:hAnsi="Trebuchet MS"/>
                <w:sz w:val="16"/>
                <w:szCs w:val="16"/>
                <w:b w:val="1"/>
                <w:bCs w:val="1"/>
                <w:color w:val="FFFFFF"/>
              </w:rPr>
              <w:t>Name</w:t>
            </w:r>
          </w:p>
        </w:tc>
        <w:tc>
          <w:tcPr>
            <w:tcW w:w="860" w:type="dxa"/>
            <w:vAlign w:val="bottom"/>
            <w:tcBorders>
              <w:bottom w:val="single" w:sz="8" w:color="346094"/>
            </w:tcBorders>
            <w:shd w:val="clear" w:color="auto" w:fill="346094"/>
          </w:tcPr>
          <w:p>
            <w:pPr>
              <w:jc w:val="center"/>
              <w:ind w:left="279"/>
              <w:spacing w:after="0"/>
              <w:rPr>
                <w:sz w:val="20"/>
                <w:szCs w:val="20"/>
                <w:color w:val="auto"/>
              </w:rPr>
            </w:pPr>
            <w:r>
              <w:rPr>
                <w:rFonts w:ascii="Trebuchet MS" w:cs="Trebuchet MS" w:eastAsia="Trebuchet MS" w:hAnsi="Trebuchet MS"/>
                <w:sz w:val="16"/>
                <w:szCs w:val="16"/>
                <w:b w:val="1"/>
                <w:bCs w:val="1"/>
                <w:color w:val="FFFFFF"/>
                <w:w w:val="94"/>
              </w:rPr>
              <w:t>Age</w:t>
            </w:r>
          </w:p>
        </w:tc>
        <w:tc>
          <w:tcPr>
            <w:tcW w:w="4720" w:type="dxa"/>
            <w:vAlign w:val="bottom"/>
            <w:tcBorders>
              <w:bottom w:val="single" w:sz="8" w:color="346094"/>
            </w:tcBorders>
            <w:shd w:val="clear" w:color="auto" w:fill="346094"/>
          </w:tcPr>
          <w:p>
            <w:pPr>
              <w:ind w:left="120"/>
              <w:spacing w:after="0"/>
              <w:rPr>
                <w:sz w:val="20"/>
                <w:szCs w:val="20"/>
                <w:color w:val="auto"/>
              </w:rPr>
            </w:pPr>
            <w:r>
              <w:rPr>
                <w:rFonts w:ascii="Trebuchet MS" w:cs="Trebuchet MS" w:eastAsia="Trebuchet MS" w:hAnsi="Trebuchet MS"/>
                <w:sz w:val="16"/>
                <w:szCs w:val="16"/>
                <w:b w:val="1"/>
                <w:bCs w:val="1"/>
                <w:color w:val="FFFFFF"/>
              </w:rPr>
              <w:t>Position(s)</w:t>
            </w:r>
          </w:p>
        </w:tc>
      </w:tr>
      <w:tr>
        <w:trPr>
          <w:trHeight w:val="218"/>
        </w:trPr>
        <w:tc>
          <w:tcPr>
            <w:tcW w:w="2620" w:type="dxa"/>
            <w:vAlign w:val="bottom"/>
          </w:tcPr>
          <w:p>
            <w:pPr>
              <w:ind w:left="60"/>
              <w:spacing w:after="0"/>
              <w:rPr>
                <w:sz w:val="20"/>
                <w:szCs w:val="20"/>
                <w:color w:val="auto"/>
              </w:rPr>
            </w:pPr>
            <w:r>
              <w:rPr>
                <w:rFonts w:ascii="Trebuchet MS" w:cs="Trebuchet MS" w:eastAsia="Trebuchet MS" w:hAnsi="Trebuchet MS"/>
                <w:sz w:val="16"/>
                <w:szCs w:val="16"/>
                <w:color w:val="4C4C4C"/>
              </w:rPr>
              <w:t>Paul D. Bloom</w:t>
            </w:r>
          </w:p>
        </w:tc>
        <w:tc>
          <w:tcPr>
            <w:tcW w:w="860" w:type="dxa"/>
            <w:vAlign w:val="bottom"/>
          </w:tcPr>
          <w:p>
            <w:pPr>
              <w:jc w:val="center"/>
              <w:ind w:left="299"/>
              <w:spacing w:after="0"/>
              <w:rPr>
                <w:sz w:val="20"/>
                <w:szCs w:val="20"/>
                <w:color w:val="auto"/>
              </w:rPr>
            </w:pPr>
            <w:r>
              <w:rPr>
                <w:rFonts w:ascii="Trebuchet MS" w:cs="Trebuchet MS" w:eastAsia="Trebuchet MS" w:hAnsi="Trebuchet MS"/>
                <w:sz w:val="16"/>
                <w:szCs w:val="16"/>
                <w:color w:val="4C4C4C"/>
                <w:w w:val="95"/>
              </w:rPr>
              <w:t>52</w:t>
            </w:r>
          </w:p>
        </w:tc>
        <w:tc>
          <w:tcPr>
            <w:tcW w:w="4720" w:type="dxa"/>
            <w:vAlign w:val="bottom"/>
          </w:tcPr>
          <w:p>
            <w:pPr>
              <w:ind w:left="120"/>
              <w:spacing w:after="0"/>
              <w:rPr>
                <w:sz w:val="20"/>
                <w:szCs w:val="20"/>
                <w:color w:val="auto"/>
              </w:rPr>
            </w:pPr>
            <w:r>
              <w:rPr>
                <w:rFonts w:ascii="Trebuchet MS" w:cs="Trebuchet MS" w:eastAsia="Trebuchet MS" w:hAnsi="Trebuchet MS"/>
                <w:sz w:val="16"/>
                <w:szCs w:val="16"/>
                <w:color w:val="4C4C4C"/>
              </w:rPr>
              <w:t>Chief Executive Officer and Director</w:t>
            </w:r>
          </w:p>
        </w:tc>
      </w:tr>
      <w:tr>
        <w:trPr>
          <w:trHeight w:val="39"/>
        </w:trPr>
        <w:tc>
          <w:tcPr>
            <w:tcW w:w="2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37"/>
        </w:trPr>
        <w:tc>
          <w:tcPr>
            <w:tcW w:w="2620" w:type="dxa"/>
            <w:vAlign w:val="bottom"/>
            <w:tcBorders>
              <w:bottom w:val="single" w:sz="8" w:color="E1E7EF"/>
            </w:tcBorders>
            <w:shd w:val="clear" w:color="auto" w:fill="E1E7EF"/>
          </w:tcPr>
          <w:p>
            <w:pPr>
              <w:ind w:left="60"/>
              <w:spacing w:after="0"/>
              <w:rPr>
                <w:sz w:val="20"/>
                <w:szCs w:val="20"/>
                <w:color w:val="auto"/>
              </w:rPr>
            </w:pPr>
            <w:r>
              <w:rPr>
                <w:rFonts w:ascii="Trebuchet MS" w:cs="Trebuchet MS" w:eastAsia="Trebuchet MS" w:hAnsi="Trebuchet MS"/>
                <w:sz w:val="16"/>
                <w:szCs w:val="16"/>
                <w:color w:val="4C4C4C"/>
              </w:rPr>
              <w:t xml:space="preserve">Christopher </w:t>
            </w:r>
            <w:r>
              <w:rPr>
                <w:rFonts w:ascii="Arial" w:cs="Arial" w:eastAsia="Arial" w:hAnsi="Arial"/>
                <w:sz w:val="16"/>
                <w:szCs w:val="16"/>
                <w:color w:val="4C4C4C"/>
              </w:rPr>
              <w:t>M</w:t>
            </w:r>
            <w:r>
              <w:rPr>
                <w:rFonts w:ascii="Trebuchet MS" w:cs="Trebuchet MS" w:eastAsia="Trebuchet MS" w:hAnsi="Trebuchet MS"/>
                <w:sz w:val="16"/>
                <w:szCs w:val="16"/>
                <w:color w:val="4C4C4C"/>
              </w:rPr>
              <w:t>. Ryan</w:t>
            </w:r>
          </w:p>
        </w:tc>
        <w:tc>
          <w:tcPr>
            <w:tcW w:w="860" w:type="dxa"/>
            <w:vAlign w:val="bottom"/>
            <w:tcBorders>
              <w:bottom w:val="single" w:sz="8" w:color="E1E7EF"/>
            </w:tcBorders>
            <w:shd w:val="clear" w:color="auto" w:fill="E1E7EF"/>
          </w:tcPr>
          <w:p>
            <w:pPr>
              <w:jc w:val="center"/>
              <w:ind w:left="299"/>
              <w:spacing w:after="0"/>
              <w:rPr>
                <w:sz w:val="20"/>
                <w:szCs w:val="20"/>
                <w:color w:val="auto"/>
              </w:rPr>
            </w:pPr>
            <w:r>
              <w:rPr>
                <w:rFonts w:ascii="Trebuchet MS" w:cs="Trebuchet MS" w:eastAsia="Trebuchet MS" w:hAnsi="Trebuchet MS"/>
                <w:sz w:val="16"/>
                <w:szCs w:val="16"/>
                <w:color w:val="4C4C4C"/>
                <w:w w:val="95"/>
              </w:rPr>
              <w:t>64</w:t>
            </w:r>
          </w:p>
        </w:tc>
        <w:tc>
          <w:tcPr>
            <w:tcW w:w="4720" w:type="dxa"/>
            <w:vAlign w:val="bottom"/>
            <w:tcBorders>
              <w:bottom w:val="single" w:sz="8" w:color="E1E7EF"/>
            </w:tcBorders>
            <w:shd w:val="clear" w:color="auto" w:fill="E1E7EF"/>
          </w:tcPr>
          <w:p>
            <w:pPr>
              <w:ind w:left="120"/>
              <w:spacing w:after="0"/>
              <w:rPr>
                <w:sz w:val="20"/>
                <w:szCs w:val="20"/>
                <w:color w:val="auto"/>
              </w:rPr>
            </w:pPr>
            <w:r>
              <w:rPr>
                <w:rFonts w:ascii="Trebuchet MS" w:cs="Trebuchet MS" w:eastAsia="Trebuchet MS" w:hAnsi="Trebuchet MS"/>
                <w:sz w:val="16"/>
                <w:szCs w:val="16"/>
                <w:color w:val="4C4C4C"/>
              </w:rPr>
              <w:t>President and Chief Operating Officer</w:t>
            </w:r>
          </w:p>
        </w:tc>
      </w:tr>
      <w:tr>
        <w:trPr>
          <w:trHeight w:val="217"/>
        </w:trPr>
        <w:tc>
          <w:tcPr>
            <w:tcW w:w="2620" w:type="dxa"/>
            <w:vAlign w:val="bottom"/>
          </w:tcPr>
          <w:p>
            <w:pPr>
              <w:ind w:left="60"/>
              <w:spacing w:after="0"/>
              <w:rPr>
                <w:sz w:val="20"/>
                <w:szCs w:val="20"/>
                <w:color w:val="auto"/>
              </w:rPr>
            </w:pPr>
            <w:r>
              <w:rPr>
                <w:rFonts w:ascii="Trebuchet MS" w:cs="Trebuchet MS" w:eastAsia="Trebuchet MS" w:hAnsi="Trebuchet MS"/>
                <w:sz w:val="16"/>
                <w:szCs w:val="16"/>
                <w:color w:val="4C4C4C"/>
              </w:rPr>
              <w:t>Oluwagbemileke (Leke) Agiri</w:t>
            </w:r>
          </w:p>
        </w:tc>
        <w:tc>
          <w:tcPr>
            <w:tcW w:w="860" w:type="dxa"/>
            <w:vAlign w:val="bottom"/>
          </w:tcPr>
          <w:p>
            <w:pPr>
              <w:jc w:val="center"/>
              <w:ind w:left="299"/>
              <w:spacing w:after="0"/>
              <w:rPr>
                <w:sz w:val="20"/>
                <w:szCs w:val="20"/>
                <w:color w:val="auto"/>
              </w:rPr>
            </w:pPr>
            <w:r>
              <w:rPr>
                <w:rFonts w:ascii="Trebuchet MS" w:cs="Trebuchet MS" w:eastAsia="Trebuchet MS" w:hAnsi="Trebuchet MS"/>
                <w:sz w:val="16"/>
                <w:szCs w:val="16"/>
                <w:color w:val="4C4C4C"/>
                <w:w w:val="95"/>
              </w:rPr>
              <w:t>40</w:t>
            </w:r>
          </w:p>
        </w:tc>
        <w:tc>
          <w:tcPr>
            <w:tcW w:w="4720" w:type="dxa"/>
            <w:vAlign w:val="bottom"/>
          </w:tcPr>
          <w:p>
            <w:pPr>
              <w:ind w:left="120"/>
              <w:spacing w:after="0"/>
              <w:rPr>
                <w:sz w:val="20"/>
                <w:szCs w:val="20"/>
                <w:color w:val="auto"/>
              </w:rPr>
            </w:pPr>
            <w:r>
              <w:rPr>
                <w:rFonts w:ascii="Trebuchet MS" w:cs="Trebuchet MS" w:eastAsia="Trebuchet MS" w:hAnsi="Trebuchet MS"/>
                <w:sz w:val="16"/>
                <w:szCs w:val="16"/>
                <w:color w:val="4C4C4C"/>
              </w:rPr>
              <w:t>Chief Financial Officer</w:t>
            </w:r>
          </w:p>
        </w:tc>
      </w:tr>
      <w:tr>
        <w:trPr>
          <w:trHeight w:val="39"/>
        </w:trPr>
        <w:tc>
          <w:tcPr>
            <w:tcW w:w="2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37"/>
        </w:trPr>
        <w:tc>
          <w:tcPr>
            <w:tcW w:w="2620" w:type="dxa"/>
            <w:vAlign w:val="bottom"/>
            <w:tcBorders>
              <w:bottom w:val="single" w:sz="8" w:color="E1E7EF"/>
            </w:tcBorders>
            <w:shd w:val="clear" w:color="auto" w:fill="E1E7EF"/>
          </w:tcPr>
          <w:p>
            <w:pPr>
              <w:ind w:left="60"/>
              <w:spacing w:after="0"/>
              <w:rPr>
                <w:sz w:val="20"/>
                <w:szCs w:val="20"/>
                <w:color w:val="auto"/>
              </w:rPr>
            </w:pPr>
            <w:r>
              <w:rPr>
                <w:rFonts w:ascii="Trebuchet MS" w:cs="Trebuchet MS" w:eastAsia="Trebuchet MS" w:hAnsi="Trebuchet MS"/>
                <w:sz w:val="16"/>
                <w:szCs w:val="16"/>
                <w:color w:val="4C4C4C"/>
              </w:rPr>
              <w:t>Kimberly T. Bowron</w:t>
            </w:r>
          </w:p>
        </w:tc>
        <w:tc>
          <w:tcPr>
            <w:tcW w:w="860" w:type="dxa"/>
            <w:vAlign w:val="bottom"/>
            <w:tcBorders>
              <w:bottom w:val="single" w:sz="8" w:color="E1E7EF"/>
            </w:tcBorders>
            <w:shd w:val="clear" w:color="auto" w:fill="E1E7EF"/>
          </w:tcPr>
          <w:p>
            <w:pPr>
              <w:jc w:val="center"/>
              <w:ind w:left="299"/>
              <w:spacing w:after="0"/>
              <w:rPr>
                <w:sz w:val="20"/>
                <w:szCs w:val="20"/>
                <w:color w:val="auto"/>
              </w:rPr>
            </w:pPr>
            <w:r>
              <w:rPr>
                <w:rFonts w:ascii="Trebuchet MS" w:cs="Trebuchet MS" w:eastAsia="Trebuchet MS" w:hAnsi="Trebuchet MS"/>
                <w:sz w:val="16"/>
                <w:szCs w:val="16"/>
                <w:color w:val="4C4C4C"/>
                <w:w w:val="95"/>
              </w:rPr>
              <w:t>56</w:t>
            </w:r>
          </w:p>
        </w:tc>
        <w:tc>
          <w:tcPr>
            <w:tcW w:w="4720" w:type="dxa"/>
            <w:vAlign w:val="bottom"/>
            <w:tcBorders>
              <w:bottom w:val="single" w:sz="8" w:color="E1E7EF"/>
            </w:tcBorders>
            <w:shd w:val="clear" w:color="auto" w:fill="E1E7EF"/>
          </w:tcPr>
          <w:p>
            <w:pPr>
              <w:ind w:left="120"/>
              <w:spacing w:after="0"/>
              <w:rPr>
                <w:sz w:val="20"/>
                <w:szCs w:val="20"/>
                <w:color w:val="auto"/>
              </w:rPr>
            </w:pPr>
            <w:r>
              <w:rPr>
                <w:rFonts w:ascii="Trebuchet MS" w:cs="Trebuchet MS" w:eastAsia="Trebuchet MS" w:hAnsi="Trebuchet MS"/>
                <w:sz w:val="16"/>
                <w:szCs w:val="16"/>
                <w:color w:val="4C4C4C"/>
              </w:rPr>
              <w:t>Chief of Staff</w:t>
            </w:r>
          </w:p>
        </w:tc>
      </w:tr>
      <w:tr>
        <w:trPr>
          <w:trHeight w:val="218"/>
        </w:trPr>
        <w:tc>
          <w:tcPr>
            <w:tcW w:w="2620" w:type="dxa"/>
            <w:vAlign w:val="bottom"/>
          </w:tcPr>
          <w:p>
            <w:pPr>
              <w:ind w:left="60"/>
              <w:spacing w:after="0"/>
              <w:rPr>
                <w:sz w:val="20"/>
                <w:szCs w:val="20"/>
                <w:color w:val="auto"/>
              </w:rPr>
            </w:pPr>
            <w:r>
              <w:rPr>
                <w:rFonts w:ascii="Trebuchet MS" w:cs="Trebuchet MS" w:eastAsia="Trebuchet MS" w:hAnsi="Trebuchet MS"/>
                <w:sz w:val="16"/>
                <w:szCs w:val="16"/>
                <w:color w:val="4C4C4C"/>
              </w:rPr>
              <w:t>Lindsay C. Fitzgerald</w:t>
            </w:r>
          </w:p>
        </w:tc>
        <w:tc>
          <w:tcPr>
            <w:tcW w:w="860" w:type="dxa"/>
            <w:vAlign w:val="bottom"/>
          </w:tcPr>
          <w:p>
            <w:pPr>
              <w:jc w:val="center"/>
              <w:ind w:left="299"/>
              <w:spacing w:after="0"/>
              <w:rPr>
                <w:sz w:val="20"/>
                <w:szCs w:val="20"/>
                <w:color w:val="auto"/>
              </w:rPr>
            </w:pPr>
            <w:r>
              <w:rPr>
                <w:rFonts w:ascii="Trebuchet MS" w:cs="Trebuchet MS" w:eastAsia="Trebuchet MS" w:hAnsi="Trebuchet MS"/>
                <w:sz w:val="16"/>
                <w:szCs w:val="16"/>
                <w:color w:val="4C4C4C"/>
                <w:w w:val="95"/>
              </w:rPr>
              <w:t>44</w:t>
            </w:r>
          </w:p>
        </w:tc>
        <w:tc>
          <w:tcPr>
            <w:tcW w:w="4720" w:type="dxa"/>
            <w:vAlign w:val="bottom"/>
          </w:tcPr>
          <w:p>
            <w:pPr>
              <w:ind w:left="120"/>
              <w:spacing w:after="0"/>
              <w:rPr>
                <w:sz w:val="20"/>
                <w:szCs w:val="20"/>
                <w:color w:val="auto"/>
              </w:rPr>
            </w:pPr>
            <w:r>
              <w:rPr>
                <w:rFonts w:ascii="Trebuchet MS" w:cs="Trebuchet MS" w:eastAsia="Trebuchet MS" w:hAnsi="Trebuchet MS"/>
                <w:sz w:val="16"/>
                <w:szCs w:val="16"/>
                <w:color w:val="4C4C4C"/>
              </w:rPr>
              <w:t>Chief Public Affairs Officer</w:t>
            </w:r>
          </w:p>
        </w:tc>
      </w:tr>
      <w:tr>
        <w:trPr>
          <w:trHeight w:val="39"/>
        </w:trPr>
        <w:tc>
          <w:tcPr>
            <w:tcW w:w="2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27"/>
        </w:trPr>
        <w:tc>
          <w:tcPr>
            <w:tcW w:w="2620" w:type="dxa"/>
            <w:vAlign w:val="bottom"/>
            <w:shd w:val="clear" w:color="auto" w:fill="E1E7EF"/>
          </w:tcPr>
          <w:p>
            <w:pPr>
              <w:ind w:left="60"/>
              <w:spacing w:after="0"/>
              <w:rPr>
                <w:sz w:val="20"/>
                <w:szCs w:val="20"/>
                <w:color w:val="auto"/>
              </w:rPr>
            </w:pPr>
            <w:r>
              <w:rPr>
                <w:rFonts w:ascii="Trebuchet MS" w:cs="Trebuchet MS" w:eastAsia="Trebuchet MS" w:hAnsi="Trebuchet MS"/>
                <w:sz w:val="16"/>
                <w:szCs w:val="16"/>
                <w:color w:val="4C4C4C"/>
              </w:rPr>
              <w:t>Andrew L. Shafer</w:t>
            </w:r>
          </w:p>
        </w:tc>
        <w:tc>
          <w:tcPr>
            <w:tcW w:w="860" w:type="dxa"/>
            <w:vAlign w:val="bottom"/>
            <w:shd w:val="clear" w:color="auto" w:fill="E1E7EF"/>
          </w:tcPr>
          <w:p>
            <w:pPr>
              <w:jc w:val="center"/>
              <w:ind w:left="299"/>
              <w:spacing w:after="0"/>
              <w:rPr>
                <w:sz w:val="20"/>
                <w:szCs w:val="20"/>
                <w:color w:val="auto"/>
              </w:rPr>
            </w:pPr>
            <w:r>
              <w:rPr>
                <w:rFonts w:ascii="Trebuchet MS" w:cs="Trebuchet MS" w:eastAsia="Trebuchet MS" w:hAnsi="Trebuchet MS"/>
                <w:sz w:val="16"/>
                <w:szCs w:val="16"/>
                <w:color w:val="4C4C4C"/>
                <w:w w:val="95"/>
              </w:rPr>
              <w:t>64</w:t>
            </w:r>
          </w:p>
        </w:tc>
        <w:tc>
          <w:tcPr>
            <w:tcW w:w="4720" w:type="dxa"/>
            <w:vAlign w:val="bottom"/>
            <w:shd w:val="clear" w:color="auto" w:fill="E1E7EF"/>
          </w:tcPr>
          <w:p>
            <w:pPr>
              <w:ind w:left="120"/>
              <w:spacing w:after="0"/>
              <w:rPr>
                <w:sz w:val="20"/>
                <w:szCs w:val="20"/>
                <w:color w:val="auto"/>
              </w:rPr>
            </w:pPr>
            <w:r>
              <w:rPr>
                <w:rFonts w:ascii="Trebuchet MS" w:cs="Trebuchet MS" w:eastAsia="Trebuchet MS" w:hAnsi="Trebuchet MS"/>
                <w:sz w:val="16"/>
                <w:szCs w:val="16"/>
                <w:color w:val="4C4C4C"/>
              </w:rPr>
              <w:t xml:space="preserve">Chief Customer, </w:t>
            </w:r>
            <w:r>
              <w:rPr>
                <w:rFonts w:ascii="Arial" w:cs="Arial" w:eastAsia="Arial" w:hAnsi="Arial"/>
                <w:sz w:val="16"/>
                <w:szCs w:val="16"/>
                <w:color w:val="4C4C4C"/>
              </w:rPr>
              <w:t>M</w:t>
            </w:r>
            <w:r>
              <w:rPr>
                <w:rFonts w:ascii="Trebuchet MS" w:cs="Trebuchet MS" w:eastAsia="Trebuchet MS" w:hAnsi="Trebuchet MS"/>
                <w:sz w:val="16"/>
                <w:szCs w:val="16"/>
                <w:color w:val="4C4C4C"/>
              </w:rPr>
              <w:t>arketing and Brand Officer</w:t>
            </w:r>
          </w:p>
        </w:tc>
      </w:tr>
      <w:tr>
        <w:trPr>
          <w:trHeight w:val="29"/>
        </w:trPr>
        <w:tc>
          <w:tcPr>
            <w:tcW w:w="2620" w:type="dxa"/>
            <w:vAlign w:val="bottom"/>
            <w:shd w:val="clear" w:color="auto" w:fill="E1E7EF"/>
          </w:tcPr>
          <w:p>
            <w:pPr>
              <w:spacing w:after="0"/>
              <w:rPr>
                <w:sz w:val="2"/>
                <w:szCs w:val="2"/>
                <w:color w:val="auto"/>
              </w:rPr>
            </w:pPr>
          </w:p>
        </w:tc>
        <w:tc>
          <w:tcPr>
            <w:tcW w:w="860" w:type="dxa"/>
            <w:vAlign w:val="bottom"/>
            <w:shd w:val="clear" w:color="auto" w:fill="E1E7EF"/>
          </w:tcPr>
          <w:p>
            <w:pPr>
              <w:spacing w:after="0"/>
              <w:rPr>
                <w:sz w:val="2"/>
                <w:szCs w:val="2"/>
                <w:color w:val="auto"/>
              </w:rPr>
            </w:pPr>
          </w:p>
        </w:tc>
        <w:tc>
          <w:tcPr>
            <w:tcW w:w="4720" w:type="dxa"/>
            <w:vAlign w:val="bottom"/>
            <w:shd w:val="clear" w:color="auto" w:fill="E1E7EF"/>
          </w:tcPr>
          <w:p>
            <w:pPr>
              <w:spacing w:after="0"/>
              <w:rPr>
                <w:sz w:val="2"/>
                <w:szCs w:val="2"/>
                <w:color w:val="auto"/>
              </w:rPr>
            </w:pPr>
          </w:p>
        </w:tc>
      </w:tr>
    </w:tbl>
    <w:p>
      <w:pPr>
        <w:spacing w:after="0" w:line="169" w:lineRule="exact"/>
        <w:rPr>
          <w:sz w:val="20"/>
          <w:szCs w:val="20"/>
          <w:color w:val="auto"/>
        </w:rPr>
      </w:pPr>
    </w:p>
    <w:p>
      <w:pPr>
        <w:ind w:left="1260" w:right="939"/>
        <w:spacing w:after="0" w:line="244" w:lineRule="auto"/>
        <w:rPr>
          <w:sz w:val="20"/>
          <w:szCs w:val="20"/>
          <w:color w:val="auto"/>
        </w:rPr>
      </w:pPr>
      <w:r>
        <w:rPr>
          <w:rFonts w:ascii="Arial" w:cs="Arial" w:eastAsia="Arial" w:hAnsi="Arial"/>
          <w:sz w:val="18"/>
          <w:szCs w:val="18"/>
          <w:color w:val="4C4C4C"/>
        </w:rPr>
        <w:t>Biographical information for Paul D. Bloom is provided above in this proxy statement as part of Proposal 1 — Election of Directors.</w:t>
      </w:r>
    </w:p>
    <w:p>
      <w:pPr>
        <w:spacing w:after="0" w:line="163"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i w:val="1"/>
          <w:iCs w:val="1"/>
          <w:color w:val="4C4C4C"/>
        </w:rPr>
        <w:t xml:space="preserve">Christopher M. Ryan </w:t>
      </w:r>
      <w:r>
        <w:rPr>
          <w:rFonts w:ascii="Arial" w:cs="Arial" w:eastAsia="Arial" w:hAnsi="Arial"/>
          <w:sz w:val="18"/>
          <w:szCs w:val="18"/>
          <w:color w:val="4C4C4C"/>
        </w:rPr>
        <w:t>has served as President and Chief Operating Officer of the Company since</w:t>
      </w:r>
      <w:r>
        <w:rPr>
          <w:rFonts w:ascii="Arial" w:cs="Arial" w:eastAsia="Arial" w:hAnsi="Arial"/>
          <w:sz w:val="18"/>
          <w:szCs w:val="18"/>
          <w:i w:val="1"/>
          <w:iCs w:val="1"/>
          <w:color w:val="4C4C4C"/>
        </w:rPr>
        <w:t xml:space="preserve"> </w:t>
      </w:r>
      <w:r>
        <w:rPr>
          <w:rFonts w:ascii="Arial" w:cs="Arial" w:eastAsia="Arial" w:hAnsi="Arial"/>
          <w:sz w:val="18"/>
          <w:szCs w:val="18"/>
          <w:color w:val="4C4C4C"/>
        </w:rPr>
        <w:t>June 2011, having previously served the Company as its Chief Technology Officer from September 2012 through March 2021 and its Executive Vice President, Business Development between June 2009 and June 2011. Prior to joining the Company, he co-founded NatureWorks in 1997. Mr. Ryan served as Chief Operating Officer for NatureWorks from 2008 to 2009 and Chief Technology Officer for NatureWorks from 2005 to 2008, where he was involved in the development and commercialization of that company’s new bio- based polymer from lab-scale production in 1992 through the completion of a $300 million world-scale production facility. Prior to 1992, Mr. Ryan served for four years in Corporate R&amp;D for HB Fuller Company, a specialty chemical company. He has over 25 years of experience in strategic leadership, business development and research and product development in bio-based materials.</w:t>
      </w:r>
    </w:p>
    <w:p>
      <w:pPr>
        <w:spacing w:after="0" w:line="169"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i w:val="1"/>
          <w:iCs w:val="1"/>
          <w:color w:val="4C4C4C"/>
        </w:rPr>
        <w:t xml:space="preserve">Oluwagbemileke (Leke) Agiri </w:t>
      </w:r>
      <w:r>
        <w:rPr>
          <w:rFonts w:ascii="Arial" w:cs="Arial" w:eastAsia="Arial" w:hAnsi="Arial"/>
          <w:sz w:val="18"/>
          <w:szCs w:val="18"/>
          <w:color w:val="4C4C4C"/>
        </w:rPr>
        <w:t>has served as Chief Financial Officer of the Company since</w:t>
      </w:r>
      <w:r>
        <w:rPr>
          <w:rFonts w:ascii="Arial" w:cs="Arial" w:eastAsia="Arial" w:hAnsi="Arial"/>
          <w:sz w:val="18"/>
          <w:szCs w:val="18"/>
          <w:i w:val="1"/>
          <w:iCs w:val="1"/>
          <w:color w:val="4C4C4C"/>
        </w:rPr>
        <w:t xml:space="preserve"> </w:t>
      </w:r>
      <w:r>
        <w:rPr>
          <w:rFonts w:ascii="Arial" w:cs="Arial" w:eastAsia="Arial" w:hAnsi="Arial"/>
          <w:sz w:val="18"/>
          <w:szCs w:val="18"/>
          <w:color w:val="4C4C4C"/>
        </w:rPr>
        <w:t>May 2025.</w:t>
      </w:r>
      <w:r>
        <w:rPr>
          <w:rFonts w:ascii="Arial" w:cs="Arial" w:eastAsia="Arial" w:hAnsi="Arial"/>
          <w:sz w:val="18"/>
          <w:szCs w:val="18"/>
          <w:i w:val="1"/>
          <w:iCs w:val="1"/>
          <w:color w:val="4C4C4C"/>
        </w:rPr>
        <w:t xml:space="preserve"> </w:t>
      </w:r>
      <w:r>
        <w:rPr>
          <w:rFonts w:ascii="Arial" w:cs="Arial" w:eastAsia="Arial" w:hAnsi="Arial"/>
          <w:sz w:val="18"/>
          <w:szCs w:val="18"/>
          <w:color w:val="4C4C4C"/>
        </w:rPr>
        <w:t>Prior to his appointment, Mr. Agiri has served in various positions with the Company since August 2022, most recently as Executive Vice President, Finance, where he has been leading the Company’s efforts in corporate finance and planning, capital raising, and organic and inorganic growth mandates. Prior to joining the Company, from August 2019 to August 2022, Mr. Agiri previously served in various finance roles in the renewable energy industry for Bank of America, Pine Gate Renewables, Penn America Energy Holdings, LLC, and Occidental Petroleum Corporation (OXY). In addition, from June 2009 to August 2019, he served in finance, strategic acquisitions and divestitures, and joint venture roles for Anadarko Petroleum Corporation.</w:t>
      </w:r>
    </w:p>
    <w:p>
      <w:pPr>
        <w:spacing w:after="0" w:line="180" w:lineRule="exact"/>
        <w:rPr>
          <w:sz w:val="20"/>
          <w:szCs w:val="20"/>
          <w:color w:val="auto"/>
        </w:rPr>
      </w:pPr>
    </w:p>
    <w:p>
      <w:pPr>
        <w:ind w:left="1260" w:right="459"/>
        <w:spacing w:after="0" w:line="256" w:lineRule="auto"/>
        <w:rPr>
          <w:sz w:val="20"/>
          <w:szCs w:val="20"/>
          <w:color w:val="auto"/>
        </w:rPr>
      </w:pPr>
      <w:r>
        <w:rPr>
          <w:rFonts w:ascii="Arial" w:cs="Arial" w:eastAsia="Arial" w:hAnsi="Arial"/>
          <w:sz w:val="17"/>
          <w:szCs w:val="17"/>
          <w:i w:val="1"/>
          <w:iCs w:val="1"/>
          <w:color w:val="4C4C4C"/>
        </w:rPr>
        <w:t xml:space="preserve">Kimberly T. Bowron </w:t>
      </w:r>
      <w:r>
        <w:rPr>
          <w:rFonts w:ascii="Arial" w:cs="Arial" w:eastAsia="Arial" w:hAnsi="Arial"/>
          <w:sz w:val="17"/>
          <w:szCs w:val="17"/>
          <w:color w:val="4C4C4C"/>
        </w:rPr>
        <w:t>has served as Chief of Staff of the Company since January 2026, having</w:t>
      </w:r>
      <w:r>
        <w:rPr>
          <w:rFonts w:ascii="Arial" w:cs="Arial" w:eastAsia="Arial" w:hAnsi="Arial"/>
          <w:sz w:val="17"/>
          <w:szCs w:val="17"/>
          <w:i w:val="1"/>
          <w:iCs w:val="1"/>
          <w:color w:val="4C4C4C"/>
        </w:rPr>
        <w:t xml:space="preserve"> </w:t>
      </w:r>
      <w:r>
        <w:rPr>
          <w:rFonts w:ascii="Arial" w:cs="Arial" w:eastAsia="Arial" w:hAnsi="Arial"/>
          <w:sz w:val="17"/>
          <w:szCs w:val="17"/>
          <w:color w:val="4C4C4C"/>
        </w:rPr>
        <w:t>previously served as the Chief People and IT Officer from November 2024 through January 2026, as the Chief People Officer from September 2021 through November 2024 and as its Chief Human Resources Officer from June 2021 until September 2021. Before joining the Company, from November 2018 to June 2021, Ms. Bowron was Director of Human Resources at Texas Petrochemicals Group (“TPC Group”), a private chemicals company. From 2017 to 2018, Ms. Bowron served as the Vice President of Human Resources at Health Consultants Incorporated, a private products and services company. From 2014 to 2016, Ms. Bowron served as Senior Vice President, Human Resources at Alert Logic, Inc., a privately held cyber security company, and from 2007 to 2014, she served as Chief Administrative Officer for Cadre Services Inc., a diversified oil field services company.</w:t>
      </w:r>
    </w:p>
    <w:p>
      <w:pPr>
        <w:spacing w:after="0" w:line="156" w:lineRule="exact"/>
        <w:rPr>
          <w:sz w:val="20"/>
          <w:szCs w:val="20"/>
          <w:color w:val="auto"/>
        </w:rPr>
      </w:pPr>
    </w:p>
    <w:p>
      <w:pPr>
        <w:ind w:left="1260" w:right="439"/>
        <w:spacing w:after="0" w:line="242" w:lineRule="auto"/>
        <w:rPr>
          <w:sz w:val="20"/>
          <w:szCs w:val="20"/>
          <w:color w:val="auto"/>
        </w:rPr>
      </w:pPr>
      <w:r>
        <w:rPr>
          <w:rFonts w:ascii="Arial" w:cs="Arial" w:eastAsia="Arial" w:hAnsi="Arial"/>
          <w:sz w:val="18"/>
          <w:szCs w:val="18"/>
          <w:i w:val="1"/>
          <w:iCs w:val="1"/>
          <w:color w:val="4C4C4C"/>
        </w:rPr>
        <w:t xml:space="preserve">Lindsay C. Fitzgerald </w:t>
      </w:r>
      <w:r>
        <w:rPr>
          <w:rFonts w:ascii="Arial" w:cs="Arial" w:eastAsia="Arial" w:hAnsi="Arial"/>
          <w:sz w:val="18"/>
          <w:szCs w:val="18"/>
          <w:color w:val="4C4C4C"/>
        </w:rPr>
        <w:t>has served as Chief Public Affairs Officer of the Company since January 2026.</w:t>
      </w:r>
      <w:r>
        <w:rPr>
          <w:rFonts w:ascii="Arial" w:cs="Arial" w:eastAsia="Arial" w:hAnsi="Arial"/>
          <w:sz w:val="18"/>
          <w:szCs w:val="18"/>
          <w:i w:val="1"/>
          <w:iCs w:val="1"/>
          <w:color w:val="4C4C4C"/>
        </w:rPr>
        <w:t xml:space="preserve"> </w:t>
      </w:r>
      <w:r>
        <w:rPr>
          <w:rFonts w:ascii="Arial" w:cs="Arial" w:eastAsia="Arial" w:hAnsi="Arial"/>
          <w:sz w:val="18"/>
          <w:szCs w:val="18"/>
          <w:color w:val="4C4C4C"/>
        </w:rPr>
        <w:t>Prior to this role, she held the positions of Executive Vice President of Corporate Affairs beginning in July 2024 and Vice President of Government Relations from May 2021. Before joining the Company, from 2015 to 2021, Ms. Fitzgerald was Senior Manager, then Director of Government Affairs at Renewable Energy Group, a leading provider of biodiesel and renewable biodiesel, where she was responsible for developing and implementing a comprehensive regulatory policy strategy at the state, local, federal, and international levels. She is a seasoned government affairs professional with a special aptitude for strategy, collaboration, and big-picture, actionable planning, and execution.</w:t>
      </w:r>
    </w:p>
    <w:p>
      <w:pPr>
        <w:spacing w:after="0" w:line="386" w:lineRule="exact"/>
        <w:rPr>
          <w:sz w:val="20"/>
          <w:szCs w:val="20"/>
          <w:color w:val="auto"/>
        </w:rPr>
      </w:pPr>
    </w:p>
    <w:p>
      <w:pPr>
        <w:ind w:left="1780" w:hanging="520"/>
        <w:spacing w:after="0"/>
        <w:tabs>
          <w:tab w:leader="none" w:pos="1780" w:val="left"/>
        </w:tabs>
        <w:numPr>
          <w:ilvl w:val="0"/>
          <w:numId w:val="49"/>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317" w:lineRule="exact"/>
        <w:rPr>
          <w:sz w:val="20"/>
          <w:szCs w:val="20"/>
          <w:color w:val="auto"/>
        </w:rPr>
      </w:pPr>
    </w:p>
    <w:p>
      <w:pPr>
        <w:jc w:val="right"/>
        <w:ind w:right="1260"/>
        <w:spacing w:after="0"/>
        <w:rPr>
          <w:sz w:val="20"/>
          <w:szCs w:val="20"/>
          <w:color w:val="auto"/>
        </w:rPr>
      </w:pPr>
      <w:r>
        <w:rPr>
          <w:rFonts w:ascii="Arial" w:cs="Arial" w:eastAsia="Arial" w:hAnsi="Arial"/>
          <w:sz w:val="14"/>
          <w:szCs w:val="14"/>
          <w:color w:val="346094"/>
        </w:rPr>
        <w:t>EXECUTIVE OFFICERS</w:t>
      </w:r>
    </w:p>
    <w:p>
      <w:pPr>
        <w:spacing w:after="0" w:line="1"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104" w:lineRule="exact"/>
        <w:rPr>
          <w:sz w:val="20"/>
          <w:szCs w:val="20"/>
          <w:color w:val="auto"/>
        </w:rPr>
      </w:pPr>
    </w:p>
    <w:p>
      <w:pPr>
        <w:ind w:left="1260" w:right="1360"/>
        <w:spacing w:after="0" w:line="278" w:lineRule="auto"/>
        <w:rPr>
          <w:sz w:val="20"/>
          <w:szCs w:val="20"/>
          <w:color w:val="auto"/>
        </w:rPr>
      </w:pPr>
      <w:r>
        <w:rPr>
          <w:rFonts w:ascii="Arial" w:cs="Arial" w:eastAsia="Arial" w:hAnsi="Arial"/>
          <w:sz w:val="17"/>
          <w:szCs w:val="17"/>
          <w:i w:val="1"/>
          <w:iCs w:val="1"/>
          <w:color w:val="4C4C4C"/>
        </w:rPr>
        <w:t xml:space="preserve">Andrew L. Shafer </w:t>
      </w:r>
      <w:r>
        <w:rPr>
          <w:rFonts w:ascii="Arial" w:cs="Arial" w:eastAsia="Arial" w:hAnsi="Arial"/>
          <w:sz w:val="17"/>
          <w:szCs w:val="17"/>
          <w:color w:val="4C4C4C"/>
        </w:rPr>
        <w:t>has served as Chief Customer,</w:t>
      </w:r>
      <w:r>
        <w:rPr>
          <w:rFonts w:ascii="Arial" w:cs="Arial" w:eastAsia="Arial" w:hAnsi="Arial"/>
          <w:sz w:val="17"/>
          <w:szCs w:val="17"/>
          <w:i w:val="1"/>
          <w:iCs w:val="1"/>
          <w:color w:val="4C4C4C"/>
        </w:rPr>
        <w:t xml:space="preserve"> </w:t>
      </w:r>
      <w:r>
        <w:rPr>
          <w:rFonts w:ascii="Arial" w:cs="Arial" w:eastAsia="Arial" w:hAnsi="Arial"/>
          <w:sz w:val="17"/>
          <w:szCs w:val="17"/>
          <w:color w:val="4C4C4C"/>
        </w:rPr>
        <w:t>Marketing and Brand Officer since November 2023.</w:t>
      </w:r>
      <w:r>
        <w:rPr>
          <w:rFonts w:ascii="Arial" w:cs="Arial" w:eastAsia="Arial" w:hAnsi="Arial"/>
          <w:sz w:val="17"/>
          <w:szCs w:val="17"/>
          <w:i w:val="1"/>
          <w:iCs w:val="1"/>
          <w:color w:val="4C4C4C"/>
        </w:rPr>
        <w:t xml:space="preserve"> </w:t>
      </w:r>
      <w:r>
        <w:rPr>
          <w:rFonts w:ascii="Arial" w:cs="Arial" w:eastAsia="Arial" w:hAnsi="Arial"/>
          <w:sz w:val="17"/>
          <w:szCs w:val="17"/>
          <w:color w:val="4C4C4C"/>
        </w:rPr>
        <w:t>Prior to joining the Company, Mr. Shafer served as the sole proprietor of Shafer’s Innovation and Business Building Services, a management consulting business, from February 2016 to October 2023. From November 2007 to January 2016, Mr. Shafer served as Executive Vice President responsible for Sales and Market Development, as well as Corporate Brand and Communications and Strategic Partnerships for Elevance Renewable Sciences , Inc. From December 2003 to November 2007,</w:t>
      </w:r>
    </w:p>
    <w:p>
      <w:pPr>
        <w:spacing w:after="0" w:line="2" w:lineRule="exact"/>
        <w:rPr>
          <w:sz w:val="20"/>
          <w:szCs w:val="20"/>
          <w:color w:val="auto"/>
        </w:rPr>
      </w:pPr>
    </w:p>
    <w:p>
      <w:pPr>
        <w:ind w:left="1260" w:right="1480"/>
        <w:spacing w:after="0" w:line="290" w:lineRule="auto"/>
        <w:rPr>
          <w:sz w:val="20"/>
          <w:szCs w:val="20"/>
          <w:color w:val="auto"/>
        </w:rPr>
      </w:pPr>
      <w:r>
        <w:rPr>
          <w:rFonts w:ascii="Arial" w:cs="Arial" w:eastAsia="Arial" w:hAnsi="Arial"/>
          <w:sz w:val="18"/>
          <w:szCs w:val="18"/>
          <w:color w:val="4C4C4C"/>
        </w:rPr>
        <w:t>Mr. Shafer served as Business Development Manager for Cargill, Inc. From 1997 to December 2003, Mr. Shafer served as Commercial Director for Cargill Dow,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20" w:type="dxa"/>
            <w:vAlign w:val="bottom"/>
          </w:tcPr>
          <w:p>
            <w:pPr>
              <w:ind w:left="5880"/>
              <w:spacing w:after="0"/>
              <w:rPr>
                <w:sz w:val="20"/>
                <w:szCs w:val="20"/>
                <w:color w:val="auto"/>
              </w:rPr>
            </w:pPr>
            <w:r>
              <w:rPr>
                <w:rFonts w:ascii="Arial" w:cs="Arial" w:eastAsia="Arial" w:hAnsi="Arial"/>
                <w:sz w:val="18"/>
                <w:szCs w:val="18"/>
                <w:color w:val="346094"/>
                <w:w w:val="93"/>
              </w:rPr>
              <w:t xml:space="preserve">GEVO, INC.  |  </w:t>
            </w:r>
            <w:r>
              <w:rPr>
                <w:rFonts w:ascii="Arial" w:cs="Arial" w:eastAsia="Arial" w:hAnsi="Arial"/>
                <w:sz w:val="18"/>
                <w:szCs w:val="18"/>
                <w:i w:val="1"/>
                <w:iCs w:val="1"/>
                <w:color w:val="4C4C4C"/>
                <w:w w:val="93"/>
              </w:rPr>
              <w:t>2026 PROXY STATEMENT</w:t>
            </w:r>
          </w:p>
        </w:tc>
        <w:tc>
          <w:tcPr>
            <w:tcW w:w="1600" w:type="dxa"/>
            <w:vAlign w:val="bottom"/>
          </w:tcPr>
          <w:p>
            <w:pPr>
              <w:jc w:val="right"/>
              <w:ind w:right="1170"/>
              <w:spacing w:after="0"/>
              <w:rPr>
                <w:sz w:val="20"/>
                <w:szCs w:val="20"/>
                <w:color w:val="auto"/>
              </w:rPr>
            </w:pPr>
            <w:r>
              <w:rPr>
                <w:rFonts w:ascii="Arial" w:cs="Arial" w:eastAsia="Arial" w:hAnsi="Arial"/>
                <w:sz w:val="18"/>
                <w:szCs w:val="18"/>
                <w:color w:val="4C4C4C"/>
              </w:rPr>
              <w:t>31</w:t>
            </w:r>
          </w:p>
        </w:tc>
      </w:tr>
      <w:tr>
        <w:trPr>
          <w:trHeight w:val="395"/>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520"/>
        <w:spacing w:after="0"/>
        <w:rPr>
          <w:sz w:val="20"/>
          <w:szCs w:val="20"/>
          <w:color w:val="auto"/>
        </w:rPr>
      </w:pPr>
      <w:r>
        <w:rPr>
          <w:rFonts w:ascii="Trebuchet MS" w:cs="Trebuchet MS" w:eastAsia="Trebuchet MS" w:hAnsi="Trebuchet MS"/>
          <w:sz w:val="29"/>
          <w:szCs w:val="29"/>
          <w:b w:val="1"/>
          <w:bCs w:val="1"/>
          <w:color w:val="FFFFFF"/>
        </w:rPr>
        <w:t>CO</w:t>
      </w:r>
      <w:r>
        <w:rPr>
          <w:rFonts w:ascii="Arial" w:cs="Arial" w:eastAsia="Arial" w:hAnsi="Arial"/>
          <w:sz w:val="27"/>
          <w:szCs w:val="27"/>
          <w:b w:val="1"/>
          <w:bCs w:val="1"/>
          <w:color w:val="FFFFFF"/>
        </w:rPr>
        <w:t>M</w:t>
      </w:r>
      <w:r>
        <w:rPr>
          <w:rFonts w:ascii="Trebuchet MS" w:cs="Trebuchet MS" w:eastAsia="Trebuchet MS" w:hAnsi="Trebuchet MS"/>
          <w:sz w:val="29"/>
          <w:szCs w:val="29"/>
          <w:b w:val="1"/>
          <w:bCs w:val="1"/>
          <w:color w:val="FFFFFF"/>
        </w:rPr>
        <w:t>PENSATION DISCUSSION AND ANALYSIS</w:t>
      </w:r>
    </w:p>
    <w:p>
      <w:pPr>
        <w:spacing w:after="0" w:line="234"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4C4C4C"/>
        </w:rPr>
        <w:t>This Compensation Discussion and Analysis provides information about our executive compensation program as it relates to the following “named executive officers” whose compensation information is presented in the tables and accompanying narratives following this discussion:</w:t>
      </w:r>
    </w:p>
    <w:p>
      <w:pPr>
        <w:spacing w:after="0" w:line="198" w:lineRule="exact"/>
        <w:rPr>
          <w:sz w:val="20"/>
          <w:szCs w:val="20"/>
          <w:color w:val="auto"/>
        </w:rPr>
      </w:pPr>
    </w:p>
    <w:tbl>
      <w:tblPr>
        <w:tblLayout w:type="fixed"/>
        <w:tblInd w:w="1260" w:type="dxa"/>
        <w:tblCellMar>
          <w:top w:w="0" w:type="dxa"/>
          <w:left w:w="0" w:type="dxa"/>
          <w:bottom w:w="0" w:type="dxa"/>
          <w:right w:w="0" w:type="dxa"/>
        </w:tblCellMar>
      </w:tblPr>
      <w:tr>
        <w:trPr>
          <w:trHeight w:val="237"/>
        </w:trPr>
        <w:tc>
          <w:tcPr>
            <w:tcW w:w="2260" w:type="dxa"/>
            <w:vAlign w:val="bottom"/>
            <w:tcBorders>
              <w:bottom w:val="single" w:sz="8" w:color="346094"/>
            </w:tcBorders>
            <w:shd w:val="clear" w:color="auto" w:fill="346094"/>
          </w:tcPr>
          <w:p>
            <w:pPr>
              <w:ind w:left="60"/>
              <w:spacing w:after="0"/>
              <w:rPr>
                <w:sz w:val="20"/>
                <w:szCs w:val="20"/>
                <w:color w:val="auto"/>
              </w:rPr>
            </w:pPr>
            <w:r>
              <w:rPr>
                <w:rFonts w:ascii="Trebuchet MS" w:cs="Trebuchet MS" w:eastAsia="Trebuchet MS" w:hAnsi="Trebuchet MS"/>
                <w:sz w:val="16"/>
                <w:szCs w:val="16"/>
                <w:b w:val="1"/>
                <w:bCs w:val="1"/>
                <w:color w:val="FFFFFF"/>
              </w:rPr>
              <w:t>Name</w:t>
            </w:r>
          </w:p>
        </w:tc>
        <w:tc>
          <w:tcPr>
            <w:tcW w:w="5940" w:type="dxa"/>
            <w:vAlign w:val="bottom"/>
            <w:tcBorders>
              <w:bottom w:val="single" w:sz="8" w:color="346094"/>
            </w:tcBorders>
            <w:shd w:val="clear" w:color="auto" w:fill="346094"/>
          </w:tcPr>
          <w:p>
            <w:pPr>
              <w:ind w:left="40"/>
              <w:spacing w:after="0"/>
              <w:rPr>
                <w:sz w:val="20"/>
                <w:szCs w:val="20"/>
                <w:color w:val="auto"/>
              </w:rPr>
            </w:pPr>
            <w:r>
              <w:rPr>
                <w:rFonts w:ascii="Trebuchet MS" w:cs="Trebuchet MS" w:eastAsia="Trebuchet MS" w:hAnsi="Trebuchet MS"/>
                <w:sz w:val="16"/>
                <w:szCs w:val="16"/>
                <w:b w:val="1"/>
                <w:bCs w:val="1"/>
                <w:color w:val="FFFFFF"/>
              </w:rPr>
              <w:t>Position at December 31, 2025</w:t>
            </w:r>
          </w:p>
        </w:tc>
      </w:tr>
      <w:tr>
        <w:trPr>
          <w:trHeight w:val="270"/>
        </w:trPr>
        <w:tc>
          <w:tcPr>
            <w:tcW w:w="2260" w:type="dxa"/>
            <w:vAlign w:val="bottom"/>
          </w:tcPr>
          <w:p>
            <w:pPr>
              <w:ind w:left="60"/>
              <w:spacing w:after="0" w:line="270" w:lineRule="exact"/>
              <w:rPr>
                <w:sz w:val="20"/>
                <w:szCs w:val="20"/>
                <w:color w:val="auto"/>
              </w:rPr>
            </w:pPr>
            <w:r>
              <w:rPr>
                <w:rFonts w:ascii="Trebuchet MS" w:cs="Trebuchet MS" w:eastAsia="Trebuchet MS" w:hAnsi="Trebuchet MS"/>
                <w:sz w:val="16"/>
                <w:szCs w:val="16"/>
                <w:color w:val="4C4C4C"/>
              </w:rPr>
              <w:t>Patrick R. Gruber</w:t>
            </w:r>
            <w:r>
              <w:rPr>
                <w:rFonts w:ascii="Trebuchet MS" w:cs="Trebuchet MS" w:eastAsia="Trebuchet MS" w:hAnsi="Trebuchet MS"/>
                <w:sz w:val="25"/>
                <w:szCs w:val="25"/>
                <w:color w:val="4C4C4C"/>
                <w:vertAlign w:val="superscript"/>
              </w:rPr>
              <w:t>(1)</w:t>
            </w:r>
          </w:p>
        </w:tc>
        <w:tc>
          <w:tcPr>
            <w:tcW w:w="5940" w:type="dxa"/>
            <w:vAlign w:val="bottom"/>
          </w:tcPr>
          <w:p>
            <w:pPr>
              <w:ind w:left="40"/>
              <w:spacing w:after="0"/>
              <w:rPr>
                <w:sz w:val="20"/>
                <w:szCs w:val="20"/>
                <w:color w:val="auto"/>
              </w:rPr>
            </w:pPr>
            <w:r>
              <w:rPr>
                <w:rFonts w:ascii="Trebuchet MS" w:cs="Trebuchet MS" w:eastAsia="Trebuchet MS" w:hAnsi="Trebuchet MS"/>
                <w:sz w:val="16"/>
                <w:szCs w:val="16"/>
                <w:color w:val="4C4C4C"/>
              </w:rPr>
              <w:t>Chief Executive Officer</w:t>
            </w:r>
          </w:p>
        </w:tc>
      </w:tr>
      <w:tr>
        <w:trPr>
          <w:trHeight w:val="237"/>
        </w:trPr>
        <w:tc>
          <w:tcPr>
            <w:tcW w:w="2260" w:type="dxa"/>
            <w:vAlign w:val="bottom"/>
            <w:tcBorders>
              <w:bottom w:val="single" w:sz="8" w:color="E1E7EF"/>
            </w:tcBorders>
            <w:shd w:val="clear" w:color="auto" w:fill="E1E7EF"/>
          </w:tcPr>
          <w:p>
            <w:pPr>
              <w:ind w:left="60"/>
              <w:spacing w:after="0"/>
              <w:rPr>
                <w:sz w:val="20"/>
                <w:szCs w:val="20"/>
                <w:color w:val="auto"/>
              </w:rPr>
            </w:pPr>
            <w:r>
              <w:rPr>
                <w:rFonts w:ascii="Trebuchet MS" w:cs="Trebuchet MS" w:eastAsia="Trebuchet MS" w:hAnsi="Trebuchet MS"/>
                <w:sz w:val="16"/>
                <w:szCs w:val="16"/>
                <w:color w:val="4C4C4C"/>
              </w:rPr>
              <w:t>Oluwagbemileke (Leke) Agiri</w:t>
            </w:r>
          </w:p>
        </w:tc>
        <w:tc>
          <w:tcPr>
            <w:tcW w:w="5940" w:type="dxa"/>
            <w:vAlign w:val="bottom"/>
            <w:tcBorders>
              <w:bottom w:val="single" w:sz="8" w:color="E1E7EF"/>
            </w:tcBorders>
            <w:shd w:val="clear" w:color="auto" w:fill="E1E7EF"/>
          </w:tcPr>
          <w:p>
            <w:pPr>
              <w:ind w:left="40"/>
              <w:spacing w:after="0"/>
              <w:rPr>
                <w:sz w:val="20"/>
                <w:szCs w:val="20"/>
                <w:color w:val="auto"/>
              </w:rPr>
            </w:pPr>
            <w:r>
              <w:rPr>
                <w:rFonts w:ascii="Trebuchet MS" w:cs="Trebuchet MS" w:eastAsia="Trebuchet MS" w:hAnsi="Trebuchet MS"/>
                <w:sz w:val="16"/>
                <w:szCs w:val="16"/>
                <w:color w:val="4C4C4C"/>
              </w:rPr>
              <w:t>Chief Financial Officer</w:t>
            </w:r>
          </w:p>
        </w:tc>
      </w:tr>
      <w:tr>
        <w:trPr>
          <w:trHeight w:val="204"/>
        </w:trPr>
        <w:tc>
          <w:tcPr>
            <w:tcW w:w="2260" w:type="dxa"/>
            <w:vAlign w:val="bottom"/>
          </w:tcPr>
          <w:p>
            <w:pPr>
              <w:ind w:left="60"/>
              <w:spacing w:after="0"/>
              <w:rPr>
                <w:sz w:val="20"/>
                <w:szCs w:val="20"/>
                <w:color w:val="auto"/>
              </w:rPr>
            </w:pPr>
            <w:r>
              <w:rPr>
                <w:rFonts w:ascii="Trebuchet MS" w:cs="Trebuchet MS" w:eastAsia="Trebuchet MS" w:hAnsi="Trebuchet MS"/>
                <w:sz w:val="16"/>
                <w:szCs w:val="16"/>
                <w:color w:val="4C4C4C"/>
              </w:rPr>
              <w:t>Paul D. Bloom</w:t>
            </w:r>
          </w:p>
        </w:tc>
        <w:tc>
          <w:tcPr>
            <w:tcW w:w="5940" w:type="dxa"/>
            <w:vAlign w:val="bottom"/>
          </w:tcPr>
          <w:p>
            <w:pPr>
              <w:ind w:left="40"/>
              <w:spacing w:after="0"/>
              <w:rPr>
                <w:sz w:val="20"/>
                <w:szCs w:val="20"/>
                <w:color w:val="auto"/>
              </w:rPr>
            </w:pPr>
            <w:r>
              <w:rPr>
                <w:rFonts w:ascii="Trebuchet MS" w:cs="Trebuchet MS" w:eastAsia="Trebuchet MS" w:hAnsi="Trebuchet MS"/>
                <w:sz w:val="16"/>
                <w:szCs w:val="16"/>
                <w:color w:val="4C4C4C"/>
              </w:rPr>
              <w:t>President</w:t>
            </w:r>
          </w:p>
        </w:tc>
      </w:tr>
      <w:tr>
        <w:trPr>
          <w:trHeight w:val="53"/>
        </w:trPr>
        <w:tc>
          <w:tcPr>
            <w:tcW w:w="2260" w:type="dxa"/>
            <w:vAlign w:val="bottom"/>
          </w:tcPr>
          <w:p>
            <w:pPr>
              <w:spacing w:after="0"/>
              <w:rPr>
                <w:sz w:val="4"/>
                <w:szCs w:val="4"/>
                <w:color w:val="auto"/>
              </w:rPr>
            </w:pPr>
          </w:p>
        </w:tc>
        <w:tc>
          <w:tcPr>
            <w:tcW w:w="5940" w:type="dxa"/>
            <w:vAlign w:val="bottom"/>
          </w:tcPr>
          <w:p>
            <w:pPr>
              <w:spacing w:after="0"/>
              <w:rPr>
                <w:sz w:val="4"/>
                <w:szCs w:val="4"/>
                <w:color w:val="auto"/>
              </w:rPr>
            </w:pPr>
          </w:p>
        </w:tc>
      </w:tr>
      <w:tr>
        <w:trPr>
          <w:trHeight w:val="236"/>
        </w:trPr>
        <w:tc>
          <w:tcPr>
            <w:tcW w:w="2260" w:type="dxa"/>
            <w:vAlign w:val="bottom"/>
            <w:tcBorders>
              <w:bottom w:val="single" w:sz="8" w:color="E1E7EF"/>
            </w:tcBorders>
            <w:shd w:val="clear" w:color="auto" w:fill="E1E7EF"/>
          </w:tcPr>
          <w:p>
            <w:pPr>
              <w:ind w:left="60"/>
              <w:spacing w:after="0"/>
              <w:rPr>
                <w:sz w:val="20"/>
                <w:szCs w:val="20"/>
                <w:color w:val="auto"/>
              </w:rPr>
            </w:pPr>
            <w:r>
              <w:rPr>
                <w:rFonts w:ascii="Trebuchet MS" w:cs="Trebuchet MS" w:eastAsia="Trebuchet MS" w:hAnsi="Trebuchet MS"/>
                <w:sz w:val="16"/>
                <w:szCs w:val="16"/>
                <w:color w:val="4C4C4C"/>
              </w:rPr>
              <w:t xml:space="preserve">Christopher </w:t>
            </w:r>
            <w:r>
              <w:rPr>
                <w:rFonts w:ascii="Arial" w:cs="Arial" w:eastAsia="Arial" w:hAnsi="Arial"/>
                <w:sz w:val="16"/>
                <w:szCs w:val="16"/>
                <w:color w:val="4C4C4C"/>
              </w:rPr>
              <w:t>M</w:t>
            </w:r>
            <w:r>
              <w:rPr>
                <w:rFonts w:ascii="Trebuchet MS" w:cs="Trebuchet MS" w:eastAsia="Trebuchet MS" w:hAnsi="Trebuchet MS"/>
                <w:sz w:val="16"/>
                <w:szCs w:val="16"/>
                <w:color w:val="4C4C4C"/>
              </w:rPr>
              <w:t>. Ryan</w:t>
            </w:r>
          </w:p>
        </w:tc>
        <w:tc>
          <w:tcPr>
            <w:tcW w:w="5940" w:type="dxa"/>
            <w:vAlign w:val="bottom"/>
            <w:tcBorders>
              <w:bottom w:val="single" w:sz="8" w:color="E1E7EF"/>
            </w:tcBorders>
            <w:shd w:val="clear" w:color="auto" w:fill="E1E7EF"/>
          </w:tcPr>
          <w:p>
            <w:pPr>
              <w:ind w:left="40"/>
              <w:spacing w:after="0"/>
              <w:rPr>
                <w:sz w:val="20"/>
                <w:szCs w:val="20"/>
                <w:color w:val="auto"/>
              </w:rPr>
            </w:pPr>
            <w:r>
              <w:rPr>
                <w:rFonts w:ascii="Trebuchet MS" w:cs="Trebuchet MS" w:eastAsia="Trebuchet MS" w:hAnsi="Trebuchet MS"/>
                <w:sz w:val="16"/>
                <w:szCs w:val="16"/>
                <w:color w:val="4C4C4C"/>
              </w:rPr>
              <w:t>President and Chief Operating Officer</w:t>
            </w:r>
          </w:p>
        </w:tc>
      </w:tr>
      <w:tr>
        <w:trPr>
          <w:trHeight w:val="215"/>
        </w:trPr>
        <w:tc>
          <w:tcPr>
            <w:tcW w:w="2260" w:type="dxa"/>
            <w:vAlign w:val="bottom"/>
          </w:tcPr>
          <w:p>
            <w:pPr>
              <w:ind w:left="60"/>
              <w:spacing w:after="0"/>
              <w:rPr>
                <w:sz w:val="20"/>
                <w:szCs w:val="20"/>
                <w:color w:val="auto"/>
              </w:rPr>
            </w:pPr>
            <w:r>
              <w:rPr>
                <w:rFonts w:ascii="Trebuchet MS" w:cs="Trebuchet MS" w:eastAsia="Trebuchet MS" w:hAnsi="Trebuchet MS"/>
                <w:sz w:val="16"/>
                <w:szCs w:val="16"/>
                <w:color w:val="4C4C4C"/>
              </w:rPr>
              <w:t>Andrew L. Shafer</w:t>
            </w:r>
          </w:p>
        </w:tc>
        <w:tc>
          <w:tcPr>
            <w:tcW w:w="5940" w:type="dxa"/>
            <w:vAlign w:val="bottom"/>
          </w:tcPr>
          <w:p>
            <w:pPr>
              <w:ind w:left="40"/>
              <w:spacing w:after="0"/>
              <w:rPr>
                <w:sz w:val="20"/>
                <w:szCs w:val="20"/>
                <w:color w:val="auto"/>
              </w:rPr>
            </w:pPr>
            <w:r>
              <w:rPr>
                <w:rFonts w:ascii="Trebuchet MS" w:cs="Trebuchet MS" w:eastAsia="Trebuchet MS" w:hAnsi="Trebuchet MS"/>
                <w:sz w:val="16"/>
                <w:szCs w:val="16"/>
                <w:color w:val="4C4C4C"/>
              </w:rPr>
              <w:t xml:space="preserve">Chief Customer, </w:t>
            </w:r>
            <w:r>
              <w:rPr>
                <w:rFonts w:ascii="Arial" w:cs="Arial" w:eastAsia="Arial" w:hAnsi="Arial"/>
                <w:sz w:val="16"/>
                <w:szCs w:val="16"/>
                <w:color w:val="4C4C4C"/>
              </w:rPr>
              <w:t>M</w:t>
            </w:r>
            <w:r>
              <w:rPr>
                <w:rFonts w:ascii="Trebuchet MS" w:cs="Trebuchet MS" w:eastAsia="Trebuchet MS" w:hAnsi="Trebuchet MS"/>
                <w:sz w:val="16"/>
                <w:szCs w:val="16"/>
                <w:color w:val="4C4C4C"/>
              </w:rPr>
              <w:t>arketing and Brand Officer</w:t>
            </w:r>
          </w:p>
        </w:tc>
      </w:tr>
      <w:tr>
        <w:trPr>
          <w:trHeight w:val="42"/>
        </w:trPr>
        <w:tc>
          <w:tcPr>
            <w:tcW w:w="2260" w:type="dxa"/>
            <w:vAlign w:val="bottom"/>
          </w:tcPr>
          <w:p>
            <w:pPr>
              <w:spacing w:after="0"/>
              <w:rPr>
                <w:sz w:val="3"/>
                <w:szCs w:val="3"/>
                <w:color w:val="auto"/>
              </w:rPr>
            </w:pPr>
          </w:p>
        </w:tc>
        <w:tc>
          <w:tcPr>
            <w:tcW w:w="5940" w:type="dxa"/>
            <w:vAlign w:val="bottom"/>
          </w:tcPr>
          <w:p>
            <w:pPr>
              <w:spacing w:after="0"/>
              <w:rPr>
                <w:sz w:val="3"/>
                <w:szCs w:val="3"/>
                <w:color w:val="auto"/>
              </w:rPr>
            </w:pPr>
          </w:p>
        </w:tc>
      </w:tr>
      <w:tr>
        <w:trPr>
          <w:trHeight w:val="243"/>
        </w:trPr>
        <w:tc>
          <w:tcPr>
            <w:tcW w:w="2260" w:type="dxa"/>
            <w:vAlign w:val="bottom"/>
            <w:shd w:val="clear" w:color="auto" w:fill="E1E7EF"/>
          </w:tcPr>
          <w:p>
            <w:pPr>
              <w:ind w:left="60"/>
              <w:spacing w:after="0" w:line="242" w:lineRule="exact"/>
              <w:rPr>
                <w:sz w:val="20"/>
                <w:szCs w:val="20"/>
                <w:color w:val="auto"/>
              </w:rPr>
            </w:pPr>
            <w:r>
              <w:rPr>
                <w:rFonts w:ascii="Trebuchet MS" w:cs="Trebuchet MS" w:eastAsia="Trebuchet MS" w:hAnsi="Trebuchet MS"/>
                <w:sz w:val="16"/>
                <w:szCs w:val="16"/>
                <w:color w:val="4C4C4C"/>
              </w:rPr>
              <w:t>L. Lynn Smull</w:t>
            </w:r>
            <w:r>
              <w:rPr>
                <w:rFonts w:ascii="Trebuchet MS" w:cs="Trebuchet MS" w:eastAsia="Trebuchet MS" w:hAnsi="Trebuchet MS"/>
                <w:sz w:val="25"/>
                <w:szCs w:val="25"/>
                <w:color w:val="4C4C4C"/>
                <w:vertAlign w:val="superscript"/>
              </w:rPr>
              <w:t>(2)</w:t>
            </w:r>
          </w:p>
        </w:tc>
        <w:tc>
          <w:tcPr>
            <w:tcW w:w="5940" w:type="dxa"/>
            <w:vAlign w:val="bottom"/>
            <w:shd w:val="clear" w:color="auto" w:fill="E1E7EF"/>
          </w:tcPr>
          <w:p>
            <w:pPr>
              <w:ind w:left="40"/>
              <w:spacing w:after="0"/>
              <w:rPr>
                <w:sz w:val="20"/>
                <w:szCs w:val="20"/>
                <w:color w:val="auto"/>
              </w:rPr>
            </w:pPr>
            <w:r>
              <w:rPr>
                <w:rFonts w:ascii="Trebuchet MS" w:cs="Trebuchet MS" w:eastAsia="Trebuchet MS" w:hAnsi="Trebuchet MS"/>
                <w:sz w:val="16"/>
                <w:szCs w:val="16"/>
                <w:color w:val="4C4C4C"/>
              </w:rPr>
              <w:t>Executive Vice President and Former Chief Financial Officer</w:t>
            </w:r>
          </w:p>
        </w:tc>
      </w:tr>
      <w:tr>
        <w:trPr>
          <w:trHeight w:val="162"/>
        </w:trPr>
        <w:tc>
          <w:tcPr>
            <w:tcW w:w="2260" w:type="dxa"/>
            <w:vAlign w:val="bottom"/>
            <w:tcBorders>
              <w:bottom w:val="single" w:sz="8" w:color="4C4C4C"/>
            </w:tcBorders>
          </w:tcPr>
          <w:p>
            <w:pPr>
              <w:spacing w:after="0"/>
              <w:rPr>
                <w:sz w:val="14"/>
                <w:szCs w:val="14"/>
                <w:color w:val="auto"/>
              </w:rPr>
            </w:pPr>
          </w:p>
        </w:tc>
        <w:tc>
          <w:tcPr>
            <w:tcW w:w="5940" w:type="dxa"/>
            <w:vAlign w:val="bottom"/>
          </w:tcPr>
          <w:p>
            <w:pPr>
              <w:spacing w:after="0"/>
              <w:rPr>
                <w:sz w:val="14"/>
                <w:szCs w:val="14"/>
                <w:color w:val="auto"/>
              </w:rPr>
            </w:pPr>
          </w:p>
        </w:tc>
      </w:tr>
    </w:tbl>
    <w:p>
      <w:pPr>
        <w:spacing w:after="0" w:line="68" w:lineRule="exact"/>
        <w:rPr>
          <w:sz w:val="20"/>
          <w:szCs w:val="20"/>
          <w:color w:val="auto"/>
        </w:rPr>
      </w:pPr>
    </w:p>
    <w:p>
      <w:pPr>
        <w:ind w:left="1620" w:hanging="360"/>
        <w:spacing w:after="0"/>
        <w:tabs>
          <w:tab w:leader="none" w:pos="1620" w:val="left"/>
        </w:tabs>
        <w:numPr>
          <w:ilvl w:val="0"/>
          <w:numId w:val="50"/>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Mr. Gruber retired as Chief Executive Officer on March 31, 2026.</w:t>
      </w:r>
    </w:p>
    <w:p>
      <w:pPr>
        <w:spacing w:after="0" w:line="83" w:lineRule="exact"/>
        <w:rPr>
          <w:rFonts w:ascii="Trebuchet MS" w:cs="Trebuchet MS" w:eastAsia="Trebuchet MS" w:hAnsi="Trebuchet MS"/>
          <w:sz w:val="27"/>
          <w:szCs w:val="27"/>
          <w:color w:val="4C4C4C"/>
          <w:vertAlign w:val="superscript"/>
        </w:rPr>
      </w:pPr>
    </w:p>
    <w:p>
      <w:pPr>
        <w:ind w:left="1620" w:right="659" w:hanging="360"/>
        <w:spacing w:after="0" w:line="204" w:lineRule="auto"/>
        <w:tabs>
          <w:tab w:leader="none" w:pos="1620" w:val="left"/>
        </w:tabs>
        <w:numPr>
          <w:ilvl w:val="0"/>
          <w:numId w:val="50"/>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Mr. Smull retired as Chief Financial Officer on May 21, 2025 and retired from the Company on January 1, 2026.</w:t>
      </w:r>
    </w:p>
    <w:p>
      <w:pPr>
        <w:spacing w:after="0" w:line="191"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Introduction</w:t>
      </w:r>
    </w:p>
    <w:p>
      <w:pPr>
        <w:spacing w:after="0" w:line="191"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4C4C4C"/>
        </w:rPr>
        <w:t>Gevo, Inc. is a growth-oriented carbon abatement company that focuses on hard to decarbonize market sectors such as jet fuel, certain specialty fuels, on-road fuels, chemicals and materials, and certain products for the food chain such as protein and feeds made as co-products from our processes. Each of the market areas that Gevo focuses on has the common need for carbon-based products and are not conducive to full electrification or hydrogen. We produce and sell renewable, drop-in products for these sectors, and generate carbon abatement value through our plant design and business systems.</w:t>
      </w:r>
    </w:p>
    <w:p>
      <w:pPr>
        <w:spacing w:after="0" w:line="186"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4C4C4C"/>
        </w:rPr>
        <w:t>Each of our named executive officers has years of experience at Gevo or in related industries and has an in-depth understanding of our business model and growth strategy. Having a highly engaged senior leadership team with the ability to successfully execute our business strategy will continue to be critical to our long-term goals and performance. To support the execution of our business model and our long-term success, we remain highly focused on developing and retaining talent within Gevo and maintaining robust succession planning practices.</w:t>
      </w:r>
    </w:p>
    <w:p>
      <w:pPr>
        <w:spacing w:after="0" w:line="180"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Executive Summary</w:t>
      </w:r>
    </w:p>
    <w:p>
      <w:pPr>
        <w:spacing w:after="0" w:line="205"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4C4C4C"/>
        </w:rPr>
        <w:t>The primary objective of our executive compensation program is to incentivize executives to create long-term stockholder value by achieving strategic objectives, increasing profitability and maintaining a strong financial position. We have structured our compensation program to ensure executives are appropriately rewarded for exceptional performance while being held accountable for under performance. We achieve this through the use of restricted stock awards and stock options that vest over a 3-year period, which ties executive compensation to the Company’s long-term success. In addition, attracting and retaining superior executive talent is critical for knowledge continuity and ensuring organizational stability, which is important for good employee and customer relationships. We also believe that the strong interest in our industry has made our executive team highly sought after due to their years of experience in a unique and complicated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780" w:hanging="520"/>
        <w:spacing w:after="0"/>
        <w:tabs>
          <w:tab w:leader="none" w:pos="1780" w:val="left"/>
        </w:tabs>
        <w:numPr>
          <w:ilvl w:val="0"/>
          <w:numId w:val="51"/>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6700"/>
        <w:spacing w:after="0"/>
        <w:rPr>
          <w:sz w:val="20"/>
          <w:szCs w:val="20"/>
          <w:color w:val="auto"/>
        </w:rPr>
      </w:pPr>
      <w:r>
        <w:rPr>
          <w:rFonts w:ascii="Arial" w:cs="Arial" w:eastAsia="Arial" w:hAnsi="Arial"/>
          <w:sz w:val="12"/>
          <w:szCs w:val="12"/>
          <w:color w:val="346094"/>
        </w:rPr>
        <w:t>COMPENSATION DISCUSSION AND ANALYSIS</w:t>
      </w:r>
    </w:p>
    <w:p>
      <w:pPr>
        <w:spacing w:after="0" w:line="33"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95"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2025 Company Performance</w:t>
      </w:r>
    </w:p>
    <w:p>
      <w:pPr>
        <w:spacing w:after="0" w:line="197" w:lineRule="exact"/>
        <w:rPr>
          <w:sz w:val="20"/>
          <w:szCs w:val="20"/>
          <w:color w:val="auto"/>
        </w:rPr>
      </w:pPr>
    </w:p>
    <w:p>
      <w:pPr>
        <w:ind w:left="1260" w:right="899"/>
        <w:spacing w:after="0" w:line="259" w:lineRule="auto"/>
        <w:rPr>
          <w:sz w:val="20"/>
          <w:szCs w:val="20"/>
          <w:color w:val="auto"/>
        </w:rPr>
      </w:pPr>
      <w:r>
        <w:rPr>
          <w:rFonts w:ascii="Arial" w:cs="Arial" w:eastAsia="Arial" w:hAnsi="Arial"/>
          <w:sz w:val="18"/>
          <w:szCs w:val="18"/>
          <w:color w:val="4C4C4C"/>
        </w:rPr>
        <w:t>In 2025, our financial and business performance reflected continued growth, highlighted by the following:</w:t>
      </w:r>
    </w:p>
    <w:p>
      <w:pPr>
        <w:spacing w:after="0" w:line="93" w:lineRule="exact"/>
        <w:rPr>
          <w:sz w:val="20"/>
          <w:szCs w:val="20"/>
          <w:color w:val="auto"/>
        </w:rPr>
      </w:pPr>
    </w:p>
    <w:p>
      <w:pPr>
        <w:jc w:val="both"/>
        <w:ind w:left="1800" w:right="519" w:hanging="180"/>
        <w:spacing w:after="0" w:line="255" w:lineRule="auto"/>
        <w:tabs>
          <w:tab w:leader="none" w:pos="1800" w:val="left"/>
        </w:tabs>
        <w:numPr>
          <w:ilvl w:val="0"/>
          <w:numId w:val="52"/>
        </w:numPr>
        <w:rPr>
          <w:rFonts w:ascii="Arial" w:cs="Arial" w:eastAsia="Arial" w:hAnsi="Arial"/>
          <w:sz w:val="18"/>
          <w:szCs w:val="18"/>
          <w:color w:val="4C4C4C"/>
        </w:rPr>
      </w:pPr>
      <w:r>
        <w:rPr>
          <w:rFonts w:ascii="Arial" w:cs="Arial" w:eastAsia="Arial" w:hAnsi="Arial"/>
          <w:sz w:val="18"/>
          <w:szCs w:val="18"/>
          <w:color w:val="4C4C4C"/>
        </w:rPr>
        <w:t>In January 2025, we announced the closing of our acquisition of substantially all of the assets and certain liabilities of Red Trail Energy, LLC, including its ethanol production plant, carbon capture and sequestration assets, and pore space in Richardton, North Dakota.</w:t>
      </w:r>
    </w:p>
    <w:p>
      <w:pPr>
        <w:spacing w:after="0" w:line="96" w:lineRule="exact"/>
        <w:rPr>
          <w:rFonts w:ascii="Arial" w:cs="Arial" w:eastAsia="Arial" w:hAnsi="Arial"/>
          <w:sz w:val="18"/>
          <w:szCs w:val="18"/>
          <w:color w:val="4C4C4C"/>
        </w:rPr>
      </w:pPr>
    </w:p>
    <w:p>
      <w:pPr>
        <w:jc w:val="both"/>
        <w:ind w:left="1800" w:right="1059" w:hanging="180"/>
        <w:spacing w:after="0" w:line="255" w:lineRule="auto"/>
        <w:tabs>
          <w:tab w:leader="none" w:pos="1800" w:val="left"/>
        </w:tabs>
        <w:numPr>
          <w:ilvl w:val="0"/>
          <w:numId w:val="52"/>
        </w:numPr>
        <w:rPr>
          <w:rFonts w:ascii="Arial" w:cs="Arial" w:eastAsia="Arial" w:hAnsi="Arial"/>
          <w:sz w:val="18"/>
          <w:szCs w:val="18"/>
          <w:color w:val="4C4C4C"/>
        </w:rPr>
      </w:pPr>
      <w:r>
        <w:rPr>
          <w:rFonts w:ascii="Arial" w:cs="Arial" w:eastAsia="Arial" w:hAnsi="Arial"/>
          <w:sz w:val="18"/>
          <w:szCs w:val="18"/>
          <w:color w:val="4C4C4C"/>
        </w:rPr>
        <w:t>In February 2025, we announced a new strategic alliance with Axens to accelerate the development and commercialization of synthetic aviation fuel using the ethanol-to-jet pathway.</w:t>
      </w:r>
    </w:p>
    <w:p>
      <w:pPr>
        <w:spacing w:after="0" w:line="96" w:lineRule="exact"/>
        <w:rPr>
          <w:rFonts w:ascii="Arial" w:cs="Arial" w:eastAsia="Arial" w:hAnsi="Arial"/>
          <w:sz w:val="18"/>
          <w:szCs w:val="18"/>
          <w:color w:val="4C4C4C"/>
        </w:rPr>
      </w:pPr>
    </w:p>
    <w:p>
      <w:pPr>
        <w:ind w:left="1800" w:right="579" w:hanging="180"/>
        <w:spacing w:after="0" w:line="259" w:lineRule="auto"/>
        <w:tabs>
          <w:tab w:leader="none" w:pos="1800" w:val="left"/>
        </w:tabs>
        <w:numPr>
          <w:ilvl w:val="0"/>
          <w:numId w:val="52"/>
        </w:numPr>
        <w:rPr>
          <w:rFonts w:ascii="Arial" w:cs="Arial" w:eastAsia="Arial" w:hAnsi="Arial"/>
          <w:sz w:val="18"/>
          <w:szCs w:val="18"/>
          <w:color w:val="4C4C4C"/>
        </w:rPr>
      </w:pPr>
      <w:r>
        <w:rPr>
          <w:rFonts w:ascii="Arial" w:cs="Arial" w:eastAsia="Arial" w:hAnsi="Arial"/>
          <w:sz w:val="18"/>
          <w:szCs w:val="18"/>
          <w:color w:val="4C4C4C"/>
        </w:rPr>
        <w:t>In April 2025, we announced that we entered into a purchase agreement for our Scope 1 and Scope 3 voluntary carbon credits with Future Energy Global.</w:t>
      </w:r>
    </w:p>
    <w:p>
      <w:pPr>
        <w:spacing w:after="0" w:line="81" w:lineRule="exact"/>
        <w:rPr>
          <w:rFonts w:ascii="Arial" w:cs="Arial" w:eastAsia="Arial" w:hAnsi="Arial"/>
          <w:sz w:val="18"/>
          <w:szCs w:val="18"/>
          <w:color w:val="4C4C4C"/>
        </w:rPr>
      </w:pPr>
    </w:p>
    <w:p>
      <w:pPr>
        <w:ind w:left="1800" w:right="659" w:hanging="180"/>
        <w:spacing w:after="0" w:line="303" w:lineRule="auto"/>
        <w:tabs>
          <w:tab w:leader="none" w:pos="1800" w:val="left"/>
        </w:tabs>
        <w:numPr>
          <w:ilvl w:val="0"/>
          <w:numId w:val="52"/>
        </w:numPr>
        <w:rPr>
          <w:rFonts w:ascii="Arial" w:cs="Arial" w:eastAsia="Arial" w:hAnsi="Arial"/>
          <w:sz w:val="18"/>
          <w:szCs w:val="18"/>
          <w:color w:val="4C4C4C"/>
        </w:rPr>
      </w:pPr>
      <w:r>
        <w:rPr>
          <w:rFonts w:ascii="Arial" w:cs="Arial" w:eastAsia="Arial" w:hAnsi="Arial"/>
          <w:sz w:val="18"/>
          <w:szCs w:val="18"/>
          <w:color w:val="4C4C4C"/>
        </w:rPr>
        <w:t>In May 2025, we announced that we entered into a definitive agreement to sell our ethanol production plant in Luverne, Minnesota.</w:t>
      </w:r>
    </w:p>
    <w:p>
      <w:pPr>
        <w:spacing w:after="0" w:line="42" w:lineRule="exact"/>
        <w:rPr>
          <w:rFonts w:ascii="Arial" w:cs="Arial" w:eastAsia="Arial" w:hAnsi="Arial"/>
          <w:sz w:val="18"/>
          <w:szCs w:val="18"/>
          <w:color w:val="4C4C4C"/>
        </w:rPr>
      </w:pPr>
    </w:p>
    <w:p>
      <w:pPr>
        <w:ind w:left="1800" w:right="619" w:hanging="180"/>
        <w:spacing w:after="0" w:line="255" w:lineRule="auto"/>
        <w:tabs>
          <w:tab w:leader="none" w:pos="1800" w:val="left"/>
        </w:tabs>
        <w:numPr>
          <w:ilvl w:val="0"/>
          <w:numId w:val="52"/>
        </w:numPr>
        <w:rPr>
          <w:rFonts w:ascii="Arial" w:cs="Arial" w:eastAsia="Arial" w:hAnsi="Arial"/>
          <w:sz w:val="18"/>
          <w:szCs w:val="18"/>
          <w:color w:val="4C4C4C"/>
        </w:rPr>
      </w:pPr>
      <w:r>
        <w:rPr>
          <w:rFonts w:ascii="Arial" w:cs="Arial" w:eastAsia="Arial" w:hAnsi="Arial"/>
          <w:sz w:val="18"/>
          <w:szCs w:val="18"/>
          <w:color w:val="4C4C4C"/>
        </w:rPr>
        <w:t>In July 2025, we also announced that Barclays Capital Inc. purchased $40 million of newly issued non-recourse tax-exempt private activity bonds that were issued by the Iowa Finance Authority for the benefit of our wholly owned subsidiary, Gevo NW Iowa RNG, LLC.</w:t>
      </w:r>
    </w:p>
    <w:p>
      <w:pPr>
        <w:spacing w:after="0" w:line="96" w:lineRule="exact"/>
        <w:rPr>
          <w:rFonts w:ascii="Arial" w:cs="Arial" w:eastAsia="Arial" w:hAnsi="Arial"/>
          <w:sz w:val="18"/>
          <w:szCs w:val="18"/>
          <w:color w:val="4C4C4C"/>
        </w:rPr>
      </w:pPr>
    </w:p>
    <w:p>
      <w:pPr>
        <w:ind w:left="1800" w:right="439" w:hanging="180"/>
        <w:spacing w:after="0" w:line="259" w:lineRule="auto"/>
        <w:tabs>
          <w:tab w:leader="none" w:pos="1800" w:val="left"/>
        </w:tabs>
        <w:numPr>
          <w:ilvl w:val="0"/>
          <w:numId w:val="52"/>
        </w:numPr>
        <w:rPr>
          <w:rFonts w:ascii="Arial" w:cs="Arial" w:eastAsia="Arial" w:hAnsi="Arial"/>
          <w:sz w:val="18"/>
          <w:szCs w:val="18"/>
          <w:color w:val="4C4C4C"/>
        </w:rPr>
      </w:pPr>
      <w:r>
        <w:rPr>
          <w:rFonts w:ascii="Arial" w:cs="Arial" w:eastAsia="Arial" w:hAnsi="Arial"/>
          <w:sz w:val="18"/>
          <w:szCs w:val="18"/>
          <w:color w:val="4C4C4C"/>
        </w:rPr>
        <w:t>In July 2025, we also announced that we started selling carbon abatement into the market for the first time.</w:t>
      </w:r>
    </w:p>
    <w:p>
      <w:pPr>
        <w:spacing w:after="0" w:line="93" w:lineRule="exact"/>
        <w:rPr>
          <w:rFonts w:ascii="Arial" w:cs="Arial" w:eastAsia="Arial" w:hAnsi="Arial"/>
          <w:sz w:val="18"/>
          <w:szCs w:val="18"/>
          <w:color w:val="4C4C4C"/>
        </w:rPr>
      </w:pPr>
    </w:p>
    <w:p>
      <w:pPr>
        <w:ind w:left="1800" w:right="539" w:hanging="180"/>
        <w:spacing w:after="0" w:line="259" w:lineRule="auto"/>
        <w:tabs>
          <w:tab w:leader="none" w:pos="1800" w:val="left"/>
        </w:tabs>
        <w:numPr>
          <w:ilvl w:val="0"/>
          <w:numId w:val="52"/>
        </w:numPr>
        <w:rPr>
          <w:rFonts w:ascii="Arial" w:cs="Arial" w:eastAsia="Arial" w:hAnsi="Arial"/>
          <w:sz w:val="18"/>
          <w:szCs w:val="18"/>
          <w:color w:val="4C4C4C"/>
        </w:rPr>
      </w:pPr>
      <w:r>
        <w:rPr>
          <w:rFonts w:ascii="Arial" w:cs="Arial" w:eastAsia="Arial" w:hAnsi="Arial"/>
          <w:sz w:val="18"/>
          <w:szCs w:val="18"/>
          <w:color w:val="4C4C4C"/>
        </w:rPr>
        <w:t>In September 2025, we announced that we entered into a multi-year sales agreement for our carbon dioxide removal credits with Biorecro.</w:t>
      </w:r>
    </w:p>
    <w:p>
      <w:pPr>
        <w:spacing w:after="0" w:line="93" w:lineRule="exact"/>
        <w:rPr>
          <w:rFonts w:ascii="Arial" w:cs="Arial" w:eastAsia="Arial" w:hAnsi="Arial"/>
          <w:sz w:val="18"/>
          <w:szCs w:val="18"/>
          <w:color w:val="4C4C4C"/>
        </w:rPr>
      </w:pPr>
    </w:p>
    <w:p>
      <w:pPr>
        <w:ind w:left="1800" w:right="499" w:hanging="180"/>
        <w:spacing w:after="0" w:line="259" w:lineRule="auto"/>
        <w:tabs>
          <w:tab w:leader="none" w:pos="1800" w:val="left"/>
        </w:tabs>
        <w:numPr>
          <w:ilvl w:val="0"/>
          <w:numId w:val="52"/>
        </w:numPr>
        <w:rPr>
          <w:rFonts w:ascii="Arial" w:cs="Arial" w:eastAsia="Arial" w:hAnsi="Arial"/>
          <w:sz w:val="18"/>
          <w:szCs w:val="18"/>
          <w:color w:val="4C4C4C"/>
        </w:rPr>
      </w:pPr>
      <w:r>
        <w:rPr>
          <w:rFonts w:ascii="Arial" w:cs="Arial" w:eastAsia="Arial" w:hAnsi="Arial"/>
          <w:sz w:val="18"/>
          <w:szCs w:val="18"/>
          <w:color w:val="4C4C4C"/>
        </w:rPr>
        <w:t>In November 2025, we announced that we sold the remaining 2025 45Z production tax credits for $30 million.</w:t>
      </w:r>
    </w:p>
    <w:p>
      <w:pPr>
        <w:spacing w:after="0" w:line="93" w:lineRule="exact"/>
        <w:rPr>
          <w:rFonts w:ascii="Arial" w:cs="Arial" w:eastAsia="Arial" w:hAnsi="Arial"/>
          <w:sz w:val="18"/>
          <w:szCs w:val="18"/>
          <w:color w:val="4C4C4C"/>
        </w:rPr>
      </w:pPr>
    </w:p>
    <w:p>
      <w:pPr>
        <w:ind w:left="1800" w:right="679" w:hanging="180"/>
        <w:spacing w:after="0" w:line="273" w:lineRule="auto"/>
        <w:tabs>
          <w:tab w:leader="none" w:pos="1800" w:val="left"/>
        </w:tabs>
        <w:numPr>
          <w:ilvl w:val="0"/>
          <w:numId w:val="52"/>
        </w:numPr>
        <w:rPr>
          <w:rFonts w:ascii="Arial" w:cs="Arial" w:eastAsia="Arial" w:hAnsi="Arial"/>
          <w:sz w:val="18"/>
          <w:szCs w:val="18"/>
          <w:color w:val="4C4C4C"/>
        </w:rPr>
      </w:pPr>
      <w:r>
        <w:rPr>
          <w:rFonts w:ascii="Arial" w:cs="Arial" w:eastAsia="Arial" w:hAnsi="Arial"/>
          <w:sz w:val="18"/>
          <w:szCs w:val="18"/>
          <w:color w:val="4C4C4C"/>
        </w:rPr>
        <w:t>In November 2025, we also announced that we closed on the sale of our ethanol production plant in Luverne, Minnesota.</w:t>
      </w:r>
    </w:p>
    <w:p>
      <w:pPr>
        <w:spacing w:after="0" w:line="82" w:lineRule="exact"/>
        <w:rPr>
          <w:rFonts w:ascii="Arial" w:cs="Arial" w:eastAsia="Arial" w:hAnsi="Arial"/>
          <w:sz w:val="18"/>
          <w:szCs w:val="18"/>
          <w:color w:val="4C4C4C"/>
        </w:rPr>
      </w:pPr>
    </w:p>
    <w:p>
      <w:pPr>
        <w:ind w:left="1800" w:right="1559" w:hanging="180"/>
        <w:spacing w:after="0" w:line="259" w:lineRule="auto"/>
        <w:tabs>
          <w:tab w:leader="none" w:pos="1800" w:val="left"/>
        </w:tabs>
        <w:numPr>
          <w:ilvl w:val="0"/>
          <w:numId w:val="52"/>
        </w:numPr>
        <w:rPr>
          <w:rFonts w:ascii="Arial" w:cs="Arial" w:eastAsia="Arial" w:hAnsi="Arial"/>
          <w:sz w:val="18"/>
          <w:szCs w:val="18"/>
          <w:color w:val="4C4C4C"/>
        </w:rPr>
      </w:pPr>
      <w:r>
        <w:rPr>
          <w:rFonts w:ascii="Arial" w:cs="Arial" w:eastAsia="Arial" w:hAnsi="Arial"/>
          <w:sz w:val="18"/>
          <w:szCs w:val="18"/>
          <w:color w:val="4C4C4C"/>
        </w:rPr>
        <w:t>We ended 2025 with cash, cash equivalents and restricted cash of approximately $109.9 million.</w:t>
      </w:r>
    </w:p>
    <w:p>
      <w:pPr>
        <w:spacing w:after="0" w:line="181"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Executive Compensation Highlights</w:t>
      </w:r>
    </w:p>
    <w:p>
      <w:pPr>
        <w:spacing w:after="0" w:line="183"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4C4C4C"/>
        </w:rPr>
        <w:t>We believe that our executive compensation program is well-structured to support our business objectives, and we also believe that our compensation programs and policies reflect an overall pay-for-performance philosophy that is closely aligned with the long-term interests of our stockholders. Since we are still in the growth phase of our business model, we do not rely on or measure our executive compensation against traditional financial metrics. Instead, our success is measured based on strategic objectives and decision making that takes place during the year, which we try to align with our compensation program, including our annual bonus goals.</w:t>
      </w:r>
    </w:p>
    <w:p>
      <w:pPr>
        <w:spacing w:after="0" w:line="179" w:lineRule="exact"/>
        <w:rPr>
          <w:sz w:val="20"/>
          <w:szCs w:val="20"/>
          <w:color w:val="auto"/>
        </w:rPr>
      </w:pPr>
    </w:p>
    <w:p>
      <w:pPr>
        <w:jc w:val="both"/>
        <w:ind w:left="1260" w:right="419"/>
        <w:spacing w:after="0" w:line="226" w:lineRule="auto"/>
        <w:rPr>
          <w:sz w:val="20"/>
          <w:szCs w:val="20"/>
          <w:color w:val="auto"/>
        </w:rPr>
      </w:pPr>
      <w:r>
        <w:rPr>
          <w:rFonts w:ascii="Arial" w:cs="Arial" w:eastAsia="Arial" w:hAnsi="Arial"/>
          <w:sz w:val="18"/>
          <w:szCs w:val="18"/>
          <w:color w:val="4C4C4C"/>
        </w:rPr>
        <w:t>For 2025, we paid bonuses at 105% of target for all named executive officers, reflecting achievement of most of our operational and financial objectives for 2025. The Compensation Committee generally targets total cash compensation at the 50</w:t>
      </w:r>
      <w:r>
        <w:rPr>
          <w:rFonts w:ascii="Trebuchet MS" w:cs="Trebuchet MS" w:eastAsia="Trebuchet MS" w:hAnsi="Trebuchet MS"/>
          <w:sz w:val="26"/>
          <w:szCs w:val="26"/>
          <w:color w:val="4C4C4C"/>
          <w:vertAlign w:val="superscript"/>
        </w:rPr>
        <w:t>th</w:t>
      </w:r>
      <w:r>
        <w:rPr>
          <w:rFonts w:ascii="Arial" w:cs="Arial" w:eastAsia="Arial" w:hAnsi="Arial"/>
          <w:sz w:val="18"/>
          <w:szCs w:val="18"/>
          <w:color w:val="4C4C4C"/>
        </w:rPr>
        <w:t xml:space="preserve"> percentile of our peer group, subject to adjustments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that account for performance, tenure, organizational criticality, and internal equity considerations.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Our annual incentive bonus opportunity is contingent on our financial and business performance.</w:t>
      </w:r>
    </w:p>
    <w:p>
      <w:pPr>
        <w:spacing w:after="0" w:line="198" w:lineRule="exact"/>
        <w:rPr>
          <w:sz w:val="20"/>
          <w:szCs w:val="20"/>
          <w:color w:val="auto"/>
        </w:rPr>
      </w:pPr>
    </w:p>
    <w:p>
      <w:pPr>
        <w:ind w:left="1260" w:right="459"/>
        <w:spacing w:after="0" w:line="239" w:lineRule="auto"/>
        <w:rPr>
          <w:sz w:val="20"/>
          <w:szCs w:val="20"/>
          <w:color w:val="auto"/>
        </w:rPr>
      </w:pPr>
      <w:r>
        <w:rPr>
          <w:rFonts w:ascii="Arial" w:cs="Arial" w:eastAsia="Arial" w:hAnsi="Arial"/>
          <w:sz w:val="18"/>
          <w:szCs w:val="18"/>
          <w:color w:val="4C4C4C"/>
        </w:rPr>
        <w:t>In 2025, the Compensation Committee granted our named executive officers an equity mix of 75% stock options and 25% restricted stock that vest in equal installments on the first three anniversaries of the grant date. The Compensation Committee sets targets for annual equity compensation for each of the executive officers. The targets are informed by a survey of our peer group’s and similar companies’ pay practices. While the Compensation Committee may grant long-term incentive awards at the higher end of the range for a variety of factors, including individual performance, it typically targets the 50</w:t>
      </w:r>
      <w:r>
        <w:rPr>
          <w:rFonts w:ascii="Trebuchet MS" w:cs="Trebuchet MS" w:eastAsia="Trebuchet MS" w:hAnsi="Trebuchet MS"/>
          <w:sz w:val="26"/>
          <w:szCs w:val="26"/>
          <w:color w:val="4C4C4C"/>
          <w:vertAlign w:val="superscript"/>
        </w:rPr>
        <w:t>th</w:t>
      </w:r>
      <w:r>
        <w:rPr>
          <w:rFonts w:ascii="Arial" w:cs="Arial" w:eastAsia="Arial" w:hAnsi="Arial"/>
          <w:sz w:val="18"/>
          <w:szCs w:val="18"/>
          <w:color w:val="4C4C4C"/>
        </w:rPr>
        <w:t xml:space="preserve"> percentile for base salaries, bonuses and equity compensation. The actual</w:t>
      </w:r>
    </w:p>
    <w:p>
      <w:pPr>
        <w:spacing w:after="0" w:line="2"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4C4C4C"/>
        </w:rPr>
        <w:t>grant date value of equity compensation awarded is individually determined at the discretion of the Compensation Committee. Consideration is given to the individual’s skills, experience and future potential to positively impact the Company’s performance, prior years’ award values, equity ownership level in the Company, as well as the individual’s and Company’s</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COMPENSATION DISCUSSION AND ANALYSIS</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260" w:right="659"/>
        <w:spacing w:after="0" w:line="253" w:lineRule="auto"/>
        <w:rPr>
          <w:sz w:val="20"/>
          <w:szCs w:val="20"/>
          <w:color w:val="auto"/>
        </w:rPr>
      </w:pPr>
      <w:r>
        <w:rPr>
          <w:rFonts w:ascii="Arial" w:cs="Arial" w:eastAsia="Arial" w:hAnsi="Arial"/>
          <w:sz w:val="18"/>
          <w:szCs w:val="18"/>
          <w:color w:val="4C4C4C"/>
        </w:rPr>
        <w:t>performance in the prior year. The ultimate value of equity grants is dependent on our stock price on the date of exercise and reflects the Compensation Committee’s attempt to further incent and align the long-term interests of our executives with those of our stockholders, while providing a strong retention tool.</w:t>
      </w:r>
    </w:p>
    <w:p>
      <w:pPr>
        <w:spacing w:after="0" w:line="187"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Compensation Governance Highlights</w:t>
      </w:r>
    </w:p>
    <w:p>
      <w:pPr>
        <w:spacing w:after="0" w:line="197" w:lineRule="exact"/>
        <w:rPr>
          <w:sz w:val="20"/>
          <w:szCs w:val="20"/>
          <w:color w:val="auto"/>
        </w:rPr>
      </w:pPr>
    </w:p>
    <w:p>
      <w:pPr>
        <w:jc w:val="both"/>
        <w:ind w:left="1260" w:right="599"/>
        <w:spacing w:after="0" w:line="255" w:lineRule="auto"/>
        <w:rPr>
          <w:sz w:val="20"/>
          <w:szCs w:val="20"/>
          <w:color w:val="auto"/>
        </w:rPr>
      </w:pPr>
      <w:r>
        <w:rPr>
          <w:rFonts w:ascii="Arial" w:cs="Arial" w:eastAsia="Arial" w:hAnsi="Arial"/>
          <w:sz w:val="18"/>
          <w:szCs w:val="18"/>
          <w:color w:val="4C4C4C"/>
        </w:rPr>
        <w:t>In order to further align the long-term interests of management with those of our stockholders and align our compensation program with best practices, the Compensation Committee has established the following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125730</wp:posOffset>
            </wp:positionV>
            <wp:extent cx="521208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05" w:lineRule="exact"/>
        <w:rPr>
          <w:sz w:val="20"/>
          <w:szCs w:val="20"/>
          <w:color w:val="auto"/>
        </w:rPr>
      </w:pPr>
    </w:p>
    <w:p>
      <w:pPr>
        <w:ind w:left="2620"/>
        <w:spacing w:after="0"/>
        <w:tabs>
          <w:tab w:leader="none" w:pos="6620" w:val="left"/>
        </w:tabs>
        <w:rPr>
          <w:sz w:val="20"/>
          <w:szCs w:val="20"/>
          <w:color w:val="auto"/>
        </w:rPr>
      </w:pPr>
      <w:r>
        <w:rPr>
          <w:rFonts w:ascii="Trebuchet MS" w:cs="Trebuchet MS" w:eastAsia="Trebuchet MS" w:hAnsi="Trebuchet MS"/>
          <w:sz w:val="18"/>
          <w:szCs w:val="18"/>
          <w:b w:val="1"/>
          <w:bCs w:val="1"/>
          <w:color w:val="FFFFFF"/>
        </w:rPr>
        <w:t>Things We Do:</w:t>
      </w:r>
      <w:r>
        <w:rPr>
          <w:sz w:val="20"/>
          <w:szCs w:val="20"/>
          <w:color w:val="auto"/>
        </w:rPr>
        <w:tab/>
      </w:r>
      <w:r>
        <w:rPr>
          <w:rFonts w:ascii="Trebuchet MS" w:cs="Trebuchet MS" w:eastAsia="Trebuchet MS" w:hAnsi="Trebuchet MS"/>
          <w:sz w:val="18"/>
          <w:szCs w:val="18"/>
          <w:b w:val="1"/>
          <w:bCs w:val="1"/>
          <w:color w:val="FFFFFF"/>
        </w:rPr>
        <w:t>Things We Don’t Do:</w:t>
      </w:r>
    </w:p>
    <w:p>
      <w:pPr>
        <w:sectPr>
          <w:pgSz w:w="11900" w:h="16838" w:orient="portrait"/>
          <w:cols w:equalWidth="0" w:num="1">
            <w:col w:w="9879"/>
          </w:cols>
          <w:pgMar w:left="580" w:top="97" w:right="1440" w:bottom="1440" w:gutter="0" w:footer="0" w:header="0"/>
        </w:sectPr>
      </w:pPr>
    </w:p>
    <w:p>
      <w:pPr>
        <w:spacing w:after="0" w:line="128" w:lineRule="exact"/>
        <w:rPr>
          <w:sz w:val="20"/>
          <w:szCs w:val="20"/>
          <w:color w:val="auto"/>
        </w:rPr>
      </w:pPr>
    </w:p>
    <w:p>
      <w:pPr>
        <w:ind w:left="1620" w:right="40" w:hanging="360"/>
        <w:spacing w:after="0" w:line="253" w:lineRule="auto"/>
        <w:tabs>
          <w:tab w:leader="none" w:pos="1620" w:val="left"/>
        </w:tabs>
        <w:numPr>
          <w:ilvl w:val="0"/>
          <w:numId w:val="53"/>
        </w:numPr>
        <w:rPr>
          <w:rFonts w:ascii="MS PGothic" w:cs="MS PGothic" w:eastAsia="MS PGothic" w:hAnsi="MS PGothic"/>
          <w:sz w:val="18"/>
          <w:szCs w:val="18"/>
          <w:color w:val="auto"/>
          <w:shd w:val="clear" w:color="auto" w:fill="346094"/>
        </w:rPr>
      </w:pPr>
      <w:r>
        <w:rPr>
          <w:rFonts w:ascii="Trebuchet MS" w:cs="Trebuchet MS" w:eastAsia="Trebuchet MS" w:hAnsi="Trebuchet MS"/>
          <w:sz w:val="18"/>
          <w:szCs w:val="18"/>
          <w:b w:val="1"/>
          <w:bCs w:val="1"/>
          <w:color w:val="4C4C4C"/>
        </w:rPr>
        <w:t>Pay for Performance</w:t>
      </w:r>
      <w:r>
        <w:rPr>
          <w:rFonts w:ascii="Arial" w:cs="Arial" w:eastAsia="Arial" w:hAnsi="Arial"/>
          <w:sz w:val="18"/>
          <w:szCs w:val="18"/>
          <w:color w:val="4C4C4C"/>
        </w:rPr>
        <w:t>. We link a significant</w:t>
      </w:r>
      <w:r>
        <w:rPr>
          <w:rFonts w:ascii="Trebuchet MS" w:cs="Trebuchet MS" w:eastAsia="Trebuchet MS" w:hAnsi="Trebuchet MS"/>
          <w:sz w:val="18"/>
          <w:szCs w:val="18"/>
          <w:b w:val="1"/>
          <w:bCs w:val="1"/>
          <w:color w:val="4C4C4C"/>
        </w:rPr>
        <w:t xml:space="preserve"> </w:t>
      </w:r>
      <w:r>
        <w:rPr>
          <w:rFonts w:ascii="Arial" w:cs="Arial" w:eastAsia="Arial" w:hAnsi="Arial"/>
          <w:sz w:val="18"/>
          <w:szCs w:val="18"/>
          <w:color w:val="4C4C4C"/>
        </w:rPr>
        <w:t>portion of total compensation to performance, including annual bonuses and the grant of stock options to our named executive officers.</w:t>
      </w:r>
    </w:p>
    <w:p>
      <w:pPr>
        <w:spacing w:after="0" w:line="133" w:lineRule="exact"/>
        <w:rPr>
          <w:rFonts w:ascii="MS PGothic" w:cs="MS PGothic" w:eastAsia="MS PGothic" w:hAnsi="MS PGothic"/>
          <w:sz w:val="18"/>
          <w:szCs w:val="18"/>
          <w:color w:val="auto"/>
          <w:shd w:val="clear" w:color="auto" w:fill="346094"/>
        </w:rPr>
      </w:pPr>
    </w:p>
    <w:p>
      <w:pPr>
        <w:jc w:val="both"/>
        <w:ind w:left="1620" w:right="160" w:hanging="360"/>
        <w:spacing w:after="0" w:line="253" w:lineRule="auto"/>
        <w:tabs>
          <w:tab w:leader="none" w:pos="1620" w:val="left"/>
        </w:tabs>
        <w:numPr>
          <w:ilvl w:val="0"/>
          <w:numId w:val="53"/>
        </w:numPr>
        <w:rPr>
          <w:rFonts w:ascii="MS PGothic" w:cs="MS PGothic" w:eastAsia="MS PGothic" w:hAnsi="MS PGothic"/>
          <w:sz w:val="18"/>
          <w:szCs w:val="18"/>
          <w:color w:val="auto"/>
          <w:shd w:val="clear" w:color="auto" w:fill="346094"/>
        </w:rPr>
      </w:pPr>
      <w:r>
        <w:rPr>
          <w:rFonts w:ascii="Trebuchet MS" w:cs="Trebuchet MS" w:eastAsia="Trebuchet MS" w:hAnsi="Trebuchet MS"/>
          <w:sz w:val="18"/>
          <w:szCs w:val="18"/>
          <w:b w:val="1"/>
          <w:bCs w:val="1"/>
          <w:color w:val="4C4C4C"/>
        </w:rPr>
        <w:t>Independent Compensation Committee</w:t>
      </w:r>
      <w:r>
        <w:rPr>
          <w:rFonts w:ascii="Arial" w:cs="Arial" w:eastAsia="Arial" w:hAnsi="Arial"/>
          <w:sz w:val="18"/>
          <w:szCs w:val="18"/>
          <w:color w:val="4C4C4C"/>
        </w:rPr>
        <w:t>.</w:t>
      </w:r>
      <w:r>
        <w:rPr>
          <w:rFonts w:ascii="Trebuchet MS" w:cs="Trebuchet MS" w:eastAsia="Trebuchet MS" w:hAnsi="Trebuchet MS"/>
          <w:sz w:val="18"/>
          <w:szCs w:val="18"/>
          <w:b w:val="1"/>
          <w:bCs w:val="1"/>
          <w:color w:val="4C4C4C"/>
        </w:rPr>
        <w:t xml:space="preserve"> </w:t>
      </w:r>
      <w:r>
        <w:rPr>
          <w:rFonts w:ascii="Arial" w:cs="Arial" w:eastAsia="Arial" w:hAnsi="Arial"/>
          <w:sz w:val="18"/>
          <w:szCs w:val="18"/>
          <w:color w:val="4C4C4C"/>
        </w:rPr>
        <w:t>The Compensation Committee, comprised solely of independent directors, approves all compensation for our named executive officers.</w:t>
      </w:r>
    </w:p>
    <w:p>
      <w:pPr>
        <w:spacing w:after="0" w:line="119" w:lineRule="exact"/>
        <w:rPr>
          <w:rFonts w:ascii="MS PGothic" w:cs="MS PGothic" w:eastAsia="MS PGothic" w:hAnsi="MS PGothic"/>
          <w:sz w:val="18"/>
          <w:szCs w:val="18"/>
          <w:color w:val="auto"/>
          <w:shd w:val="clear" w:color="auto" w:fill="346094"/>
        </w:rPr>
      </w:pPr>
    </w:p>
    <w:p>
      <w:pPr>
        <w:ind w:left="1620" w:hanging="360"/>
        <w:spacing w:after="0" w:line="253" w:lineRule="auto"/>
        <w:tabs>
          <w:tab w:leader="none" w:pos="1620" w:val="left"/>
        </w:tabs>
        <w:numPr>
          <w:ilvl w:val="0"/>
          <w:numId w:val="53"/>
        </w:numPr>
        <w:rPr>
          <w:rFonts w:ascii="MS PGothic" w:cs="MS PGothic" w:eastAsia="MS PGothic" w:hAnsi="MS PGothic"/>
          <w:sz w:val="18"/>
          <w:szCs w:val="18"/>
          <w:color w:val="auto"/>
          <w:shd w:val="clear" w:color="auto" w:fill="346094"/>
        </w:rPr>
      </w:pPr>
      <w:r>
        <w:rPr>
          <w:rFonts w:ascii="Trebuchet MS" w:cs="Trebuchet MS" w:eastAsia="Trebuchet MS" w:hAnsi="Trebuchet MS"/>
          <w:sz w:val="18"/>
          <w:szCs w:val="18"/>
          <w:b w:val="1"/>
          <w:bCs w:val="1"/>
          <w:color w:val="4C4C4C"/>
        </w:rPr>
        <w:t>Independent Compensation Consultant</w:t>
      </w:r>
      <w:r>
        <w:rPr>
          <w:rFonts w:ascii="Arial" w:cs="Arial" w:eastAsia="Arial" w:hAnsi="Arial"/>
          <w:sz w:val="18"/>
          <w:szCs w:val="18"/>
          <w:color w:val="4C4C4C"/>
        </w:rPr>
        <w:t>.</w:t>
      </w:r>
      <w:r>
        <w:rPr>
          <w:rFonts w:ascii="Trebuchet MS" w:cs="Trebuchet MS" w:eastAsia="Trebuchet MS" w:hAnsi="Trebuchet MS"/>
          <w:sz w:val="18"/>
          <w:szCs w:val="18"/>
          <w:b w:val="1"/>
          <w:bCs w:val="1"/>
          <w:color w:val="4C4C4C"/>
        </w:rPr>
        <w:t xml:space="preserve"> </w:t>
      </w:r>
      <w:r>
        <w:rPr>
          <w:rFonts w:ascii="Arial" w:cs="Arial" w:eastAsia="Arial" w:hAnsi="Arial"/>
          <w:sz w:val="18"/>
          <w:szCs w:val="18"/>
          <w:color w:val="4C4C4C"/>
        </w:rPr>
        <w:t>The Compensation Committee has retained an independent compensation consultant to provide data and information for use in the Committee’s decision-making.</w:t>
      </w:r>
    </w:p>
    <w:p>
      <w:pPr>
        <w:spacing w:after="0" w:line="127" w:lineRule="exact"/>
        <w:rPr>
          <w:rFonts w:ascii="MS PGothic" w:cs="MS PGothic" w:eastAsia="MS PGothic" w:hAnsi="MS PGothic"/>
          <w:sz w:val="18"/>
          <w:szCs w:val="18"/>
          <w:color w:val="auto"/>
          <w:shd w:val="clear" w:color="auto" w:fill="346094"/>
        </w:rPr>
      </w:pPr>
    </w:p>
    <w:p>
      <w:pPr>
        <w:ind w:left="1620" w:right="140" w:hanging="360"/>
        <w:spacing w:after="0" w:line="257" w:lineRule="auto"/>
        <w:tabs>
          <w:tab w:leader="none" w:pos="1620" w:val="left"/>
        </w:tabs>
        <w:numPr>
          <w:ilvl w:val="0"/>
          <w:numId w:val="53"/>
        </w:numPr>
        <w:rPr>
          <w:rFonts w:ascii="MS PGothic" w:cs="MS PGothic" w:eastAsia="MS PGothic" w:hAnsi="MS PGothic"/>
          <w:sz w:val="18"/>
          <w:szCs w:val="18"/>
          <w:color w:val="auto"/>
          <w:shd w:val="clear" w:color="auto" w:fill="346094"/>
        </w:rPr>
      </w:pPr>
      <w:r>
        <w:rPr>
          <w:rFonts w:ascii="Arial" w:cs="Arial" w:eastAsia="Arial" w:hAnsi="Arial"/>
          <w:sz w:val="18"/>
          <w:szCs w:val="18"/>
          <w:b w:val="1"/>
          <w:bCs w:val="1"/>
          <w:color w:val="4C4C4C"/>
        </w:rPr>
        <w:t>M</w:t>
      </w:r>
      <w:r>
        <w:rPr>
          <w:rFonts w:ascii="Trebuchet MS" w:cs="Trebuchet MS" w:eastAsia="Trebuchet MS" w:hAnsi="Trebuchet MS"/>
          <w:sz w:val="18"/>
          <w:szCs w:val="18"/>
          <w:b w:val="1"/>
          <w:bCs w:val="1"/>
          <w:color w:val="4C4C4C"/>
        </w:rPr>
        <w:t>eaningful Stock Ownership Guidelines</w:t>
      </w:r>
      <w:r>
        <w:rPr>
          <w:rFonts w:ascii="Arial" w:cs="Arial" w:eastAsia="Arial" w:hAnsi="Arial"/>
          <w:sz w:val="18"/>
          <w:szCs w:val="18"/>
          <w:color w:val="4C4C4C"/>
        </w:rPr>
        <w:t>.</w:t>
      </w:r>
      <w:r>
        <w:rPr>
          <w:rFonts w:ascii="Arial" w:cs="Arial" w:eastAsia="Arial" w:hAnsi="Arial"/>
          <w:sz w:val="18"/>
          <w:szCs w:val="18"/>
          <w:b w:val="1"/>
          <w:bCs w:val="1"/>
          <w:color w:val="4C4C4C"/>
        </w:rPr>
        <w:t xml:space="preserve"> </w:t>
      </w:r>
      <w:r>
        <w:rPr>
          <w:rFonts w:ascii="Arial" w:cs="Arial" w:eastAsia="Arial" w:hAnsi="Arial"/>
          <w:sz w:val="18"/>
          <w:szCs w:val="18"/>
          <w:color w:val="4C4C4C"/>
        </w:rPr>
        <w:t>The Chief Executive Officer is expected to own 5x his salary and other senior management is expected to own 3x their salary; directors have a 5x annual cash retainer holding expectation.</w:t>
      </w:r>
    </w:p>
    <w:p>
      <w:pPr>
        <w:spacing w:after="0" w:line="125" w:lineRule="exact"/>
        <w:rPr>
          <w:rFonts w:ascii="MS PGothic" w:cs="MS PGothic" w:eastAsia="MS PGothic" w:hAnsi="MS PGothic"/>
          <w:sz w:val="18"/>
          <w:szCs w:val="18"/>
          <w:color w:val="auto"/>
          <w:shd w:val="clear" w:color="auto" w:fill="346094"/>
        </w:rPr>
      </w:pPr>
    </w:p>
    <w:p>
      <w:pPr>
        <w:ind w:left="1620" w:right="80" w:hanging="360"/>
        <w:spacing w:after="0" w:line="262" w:lineRule="auto"/>
        <w:tabs>
          <w:tab w:leader="none" w:pos="1620" w:val="left"/>
        </w:tabs>
        <w:numPr>
          <w:ilvl w:val="0"/>
          <w:numId w:val="53"/>
        </w:numPr>
        <w:rPr>
          <w:rFonts w:ascii="MS PGothic" w:cs="MS PGothic" w:eastAsia="MS PGothic" w:hAnsi="MS PGothic"/>
          <w:sz w:val="18"/>
          <w:szCs w:val="18"/>
          <w:color w:val="auto"/>
          <w:shd w:val="clear" w:color="auto" w:fill="346094"/>
        </w:rPr>
      </w:pPr>
      <w:r>
        <w:rPr>
          <w:rFonts w:ascii="Arial" w:cs="Arial" w:eastAsia="Arial" w:hAnsi="Arial"/>
          <w:sz w:val="18"/>
          <w:szCs w:val="18"/>
          <w:b w:val="1"/>
          <w:bCs w:val="1"/>
          <w:color w:val="4C4C4C"/>
        </w:rPr>
        <w:t>M</w:t>
      </w:r>
      <w:r>
        <w:rPr>
          <w:rFonts w:ascii="Trebuchet MS" w:cs="Trebuchet MS" w:eastAsia="Trebuchet MS" w:hAnsi="Trebuchet MS"/>
          <w:sz w:val="18"/>
          <w:szCs w:val="18"/>
          <w:b w:val="1"/>
          <w:bCs w:val="1"/>
          <w:color w:val="4C4C4C"/>
        </w:rPr>
        <w:t>inimum Vesting</w:t>
      </w:r>
      <w:r>
        <w:rPr>
          <w:rFonts w:ascii="Arial" w:cs="Arial" w:eastAsia="Arial" w:hAnsi="Arial"/>
          <w:sz w:val="18"/>
          <w:szCs w:val="18"/>
          <w:color w:val="4C4C4C"/>
        </w:rPr>
        <w:t>. Our equity</w:t>
      </w:r>
      <w:r>
        <w:rPr>
          <w:rFonts w:ascii="Arial" w:cs="Arial" w:eastAsia="Arial" w:hAnsi="Arial"/>
          <w:sz w:val="18"/>
          <w:szCs w:val="18"/>
          <w:b w:val="1"/>
          <w:bCs w:val="1"/>
          <w:color w:val="4C4C4C"/>
        </w:rPr>
        <w:t xml:space="preserve"> </w:t>
      </w:r>
      <w:r>
        <w:rPr>
          <w:rFonts w:ascii="Arial" w:cs="Arial" w:eastAsia="Arial" w:hAnsi="Arial"/>
          <w:sz w:val="18"/>
          <w:szCs w:val="18"/>
          <w:color w:val="4C4C4C"/>
        </w:rPr>
        <w:t>compensation plan includes a one-year minimum vesting period for equity awards, subject to limited exceptions.</w:t>
      </w:r>
    </w:p>
    <w:p>
      <w:pPr>
        <w:spacing w:after="0" w:line="112" w:lineRule="exact"/>
        <w:rPr>
          <w:rFonts w:ascii="MS PGothic" w:cs="MS PGothic" w:eastAsia="MS PGothic" w:hAnsi="MS PGothic"/>
          <w:sz w:val="18"/>
          <w:szCs w:val="18"/>
          <w:color w:val="auto"/>
          <w:shd w:val="clear" w:color="auto" w:fill="346094"/>
        </w:rPr>
      </w:pPr>
    </w:p>
    <w:p>
      <w:pPr>
        <w:ind w:left="1620" w:right="440" w:hanging="360"/>
        <w:spacing w:after="0" w:line="291" w:lineRule="auto"/>
        <w:tabs>
          <w:tab w:leader="none" w:pos="1620" w:val="left"/>
        </w:tabs>
        <w:numPr>
          <w:ilvl w:val="0"/>
          <w:numId w:val="53"/>
        </w:numPr>
        <w:rPr>
          <w:rFonts w:ascii="MS PGothic" w:cs="MS PGothic" w:eastAsia="MS PGothic" w:hAnsi="MS PGothic"/>
          <w:sz w:val="17"/>
          <w:szCs w:val="17"/>
          <w:color w:val="auto"/>
          <w:shd w:val="clear" w:color="auto" w:fill="346094"/>
        </w:rPr>
      </w:pPr>
      <w:r>
        <w:rPr>
          <w:rFonts w:ascii="Trebuchet MS" w:cs="Trebuchet MS" w:eastAsia="Trebuchet MS" w:hAnsi="Trebuchet MS"/>
          <w:sz w:val="17"/>
          <w:szCs w:val="17"/>
          <w:b w:val="1"/>
          <w:bCs w:val="1"/>
          <w:color w:val="4C4C4C"/>
        </w:rPr>
        <w:t>Limited Perquisites</w:t>
      </w:r>
      <w:r>
        <w:rPr>
          <w:rFonts w:ascii="Arial" w:cs="Arial" w:eastAsia="Arial" w:hAnsi="Arial"/>
          <w:sz w:val="17"/>
          <w:szCs w:val="17"/>
          <w:color w:val="4C4C4C"/>
        </w:rPr>
        <w:t>. Our management</w:t>
      </w:r>
      <w:r>
        <w:rPr>
          <w:rFonts w:ascii="Trebuchet MS" w:cs="Trebuchet MS" w:eastAsia="Trebuchet MS" w:hAnsi="Trebuchet MS"/>
          <w:sz w:val="17"/>
          <w:szCs w:val="17"/>
          <w:b w:val="1"/>
          <w:bCs w:val="1"/>
          <w:color w:val="4C4C4C"/>
        </w:rPr>
        <w:t xml:space="preserve"> </w:t>
      </w:r>
      <w:r>
        <w:rPr>
          <w:rFonts w:ascii="Arial" w:cs="Arial" w:eastAsia="Arial" w:hAnsi="Arial"/>
          <w:sz w:val="17"/>
          <w:szCs w:val="17"/>
          <w:color w:val="4C4C4C"/>
        </w:rPr>
        <w:t>receives minimal perquisites.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354" w:right="659" w:hanging="354"/>
        <w:spacing w:after="0" w:line="256" w:lineRule="auto"/>
        <w:tabs>
          <w:tab w:leader="none" w:pos="354" w:val="left"/>
        </w:tabs>
        <w:numPr>
          <w:ilvl w:val="0"/>
          <w:numId w:val="54"/>
        </w:numPr>
        <w:rPr>
          <w:rFonts w:ascii="MS PGothic" w:cs="MS PGothic" w:eastAsia="MS PGothic" w:hAnsi="MS PGothic"/>
          <w:sz w:val="18"/>
          <w:szCs w:val="18"/>
          <w:color w:val="auto"/>
          <w:shd w:val="clear" w:color="auto" w:fill="346094"/>
        </w:rPr>
      </w:pPr>
      <w:r>
        <w:rPr>
          <w:rFonts w:ascii="Trebuchet MS" w:cs="Trebuchet MS" w:eastAsia="Trebuchet MS" w:hAnsi="Trebuchet MS"/>
          <w:sz w:val="18"/>
          <w:szCs w:val="18"/>
          <w:b w:val="1"/>
          <w:bCs w:val="1"/>
          <w:color w:val="4C4C4C"/>
        </w:rPr>
        <w:t>Excise Tax Gross-Ups</w:t>
      </w:r>
      <w:r>
        <w:rPr>
          <w:rFonts w:ascii="Arial" w:cs="Arial" w:eastAsia="Arial" w:hAnsi="Arial"/>
          <w:sz w:val="18"/>
          <w:szCs w:val="18"/>
          <w:color w:val="4C4C4C"/>
        </w:rPr>
        <w:t>. We do not provide</w:t>
      </w:r>
      <w:r>
        <w:rPr>
          <w:rFonts w:ascii="Trebuchet MS" w:cs="Trebuchet MS" w:eastAsia="Trebuchet MS" w:hAnsi="Trebuchet MS"/>
          <w:sz w:val="18"/>
          <w:szCs w:val="18"/>
          <w:b w:val="1"/>
          <w:bCs w:val="1"/>
          <w:color w:val="4C4C4C"/>
        </w:rPr>
        <w:t xml:space="preserve"> </w:t>
      </w:r>
      <w:r>
        <w:rPr>
          <w:rFonts w:ascii="Arial" w:cs="Arial" w:eastAsia="Arial" w:hAnsi="Arial"/>
          <w:sz w:val="18"/>
          <w:szCs w:val="18"/>
          <w:color w:val="4C4C4C"/>
        </w:rPr>
        <w:t>our management with “excise tax gross-ups” in the event of a change in control.</w:t>
      </w:r>
    </w:p>
    <w:p>
      <w:pPr>
        <w:spacing w:after="0" w:line="129" w:lineRule="exact"/>
        <w:rPr>
          <w:rFonts w:ascii="MS PGothic" w:cs="MS PGothic" w:eastAsia="MS PGothic" w:hAnsi="MS PGothic"/>
          <w:sz w:val="18"/>
          <w:szCs w:val="18"/>
          <w:color w:val="auto"/>
          <w:shd w:val="clear" w:color="auto" w:fill="346094"/>
        </w:rPr>
      </w:pPr>
    </w:p>
    <w:p>
      <w:pPr>
        <w:ind w:left="354" w:right="539" w:hanging="354"/>
        <w:spacing w:after="0" w:line="253" w:lineRule="auto"/>
        <w:tabs>
          <w:tab w:leader="none" w:pos="354" w:val="left"/>
        </w:tabs>
        <w:numPr>
          <w:ilvl w:val="0"/>
          <w:numId w:val="54"/>
        </w:numPr>
        <w:rPr>
          <w:rFonts w:ascii="MS PGothic" w:cs="MS PGothic" w:eastAsia="MS PGothic" w:hAnsi="MS PGothic"/>
          <w:sz w:val="18"/>
          <w:szCs w:val="18"/>
          <w:color w:val="auto"/>
          <w:shd w:val="clear" w:color="auto" w:fill="346094"/>
        </w:rPr>
      </w:pPr>
      <w:r>
        <w:rPr>
          <w:rFonts w:ascii="Trebuchet MS" w:cs="Trebuchet MS" w:eastAsia="Trebuchet MS" w:hAnsi="Trebuchet MS"/>
          <w:sz w:val="18"/>
          <w:szCs w:val="18"/>
          <w:b w:val="1"/>
          <w:bCs w:val="1"/>
          <w:color w:val="4C4C4C"/>
        </w:rPr>
        <w:t>Short Sales, Hedging and Pledging</w:t>
      </w:r>
      <w:r>
        <w:rPr>
          <w:rFonts w:ascii="Arial" w:cs="Arial" w:eastAsia="Arial" w:hAnsi="Arial"/>
          <w:sz w:val="18"/>
          <w:szCs w:val="18"/>
          <w:color w:val="4C4C4C"/>
        </w:rPr>
        <w:t>. We do</w:t>
      </w:r>
      <w:r>
        <w:rPr>
          <w:rFonts w:ascii="Trebuchet MS" w:cs="Trebuchet MS" w:eastAsia="Trebuchet MS" w:hAnsi="Trebuchet MS"/>
          <w:sz w:val="18"/>
          <w:szCs w:val="18"/>
          <w:b w:val="1"/>
          <w:bCs w:val="1"/>
          <w:color w:val="4C4C4C"/>
        </w:rPr>
        <w:t xml:space="preserve"> </w:t>
      </w:r>
      <w:r>
        <w:rPr>
          <w:rFonts w:ascii="Arial" w:cs="Arial" w:eastAsia="Arial" w:hAnsi="Arial"/>
          <w:sz w:val="18"/>
          <w:szCs w:val="18"/>
          <w:color w:val="4C4C4C"/>
        </w:rPr>
        <w:t>not allow our management or directors to engage in hedging (including through derivative securities) or pledging transactions in our stock.</w:t>
      </w:r>
    </w:p>
    <w:p>
      <w:pPr>
        <w:spacing w:after="0" w:line="119" w:lineRule="exact"/>
        <w:rPr>
          <w:rFonts w:ascii="MS PGothic" w:cs="MS PGothic" w:eastAsia="MS PGothic" w:hAnsi="MS PGothic"/>
          <w:sz w:val="18"/>
          <w:szCs w:val="18"/>
          <w:color w:val="auto"/>
          <w:shd w:val="clear" w:color="auto" w:fill="346094"/>
        </w:rPr>
      </w:pPr>
    </w:p>
    <w:p>
      <w:pPr>
        <w:ind w:left="354" w:right="459" w:hanging="354"/>
        <w:spacing w:after="0" w:line="253" w:lineRule="auto"/>
        <w:tabs>
          <w:tab w:leader="none" w:pos="354" w:val="left"/>
        </w:tabs>
        <w:numPr>
          <w:ilvl w:val="0"/>
          <w:numId w:val="54"/>
        </w:numPr>
        <w:rPr>
          <w:rFonts w:ascii="MS PGothic" w:cs="MS PGothic" w:eastAsia="MS PGothic" w:hAnsi="MS PGothic"/>
          <w:sz w:val="18"/>
          <w:szCs w:val="18"/>
          <w:color w:val="auto"/>
          <w:shd w:val="clear" w:color="auto" w:fill="346094"/>
        </w:rPr>
      </w:pPr>
      <w:r>
        <w:rPr>
          <w:rFonts w:ascii="Trebuchet MS" w:cs="Trebuchet MS" w:eastAsia="Trebuchet MS" w:hAnsi="Trebuchet MS"/>
          <w:sz w:val="18"/>
          <w:szCs w:val="18"/>
          <w:b w:val="1"/>
          <w:bCs w:val="1"/>
          <w:color w:val="4C4C4C"/>
        </w:rPr>
        <w:t>Enhanced Benefit Programs</w:t>
      </w:r>
      <w:r>
        <w:rPr>
          <w:rFonts w:ascii="Arial" w:cs="Arial" w:eastAsia="Arial" w:hAnsi="Arial"/>
          <w:sz w:val="18"/>
          <w:szCs w:val="18"/>
          <w:color w:val="4C4C4C"/>
        </w:rPr>
        <w:t>. We do not</w:t>
      </w:r>
      <w:r>
        <w:rPr>
          <w:rFonts w:ascii="Trebuchet MS" w:cs="Trebuchet MS" w:eastAsia="Trebuchet MS" w:hAnsi="Trebuchet MS"/>
          <w:sz w:val="18"/>
          <w:szCs w:val="18"/>
          <w:b w:val="1"/>
          <w:bCs w:val="1"/>
          <w:color w:val="4C4C4C"/>
        </w:rPr>
        <w:t xml:space="preserve"> </w:t>
      </w:r>
      <w:r>
        <w:rPr>
          <w:rFonts w:ascii="Arial" w:cs="Arial" w:eastAsia="Arial" w:hAnsi="Arial"/>
          <w:sz w:val="18"/>
          <w:szCs w:val="18"/>
          <w:color w:val="4C4C4C"/>
        </w:rPr>
        <w:t>provide our management with pensions or any other enhanced benefit programs beyond those that are typically available to all other employees.</w:t>
      </w:r>
    </w:p>
    <w:p>
      <w:pPr>
        <w:spacing w:after="0" w:line="133" w:lineRule="exact"/>
        <w:rPr>
          <w:rFonts w:ascii="MS PGothic" w:cs="MS PGothic" w:eastAsia="MS PGothic" w:hAnsi="MS PGothic"/>
          <w:sz w:val="18"/>
          <w:szCs w:val="18"/>
          <w:color w:val="auto"/>
          <w:shd w:val="clear" w:color="auto" w:fill="346094"/>
        </w:rPr>
      </w:pPr>
    </w:p>
    <w:p>
      <w:pPr>
        <w:ind w:left="354" w:right="499" w:hanging="354"/>
        <w:spacing w:after="0" w:line="256" w:lineRule="auto"/>
        <w:tabs>
          <w:tab w:leader="none" w:pos="354" w:val="left"/>
        </w:tabs>
        <w:numPr>
          <w:ilvl w:val="0"/>
          <w:numId w:val="54"/>
        </w:numPr>
        <w:rPr>
          <w:rFonts w:ascii="MS PGothic" w:cs="MS PGothic" w:eastAsia="MS PGothic" w:hAnsi="MS PGothic"/>
          <w:sz w:val="18"/>
          <w:szCs w:val="18"/>
          <w:color w:val="auto"/>
          <w:shd w:val="clear" w:color="auto" w:fill="346094"/>
        </w:rPr>
      </w:pPr>
      <w:r>
        <w:rPr>
          <w:rFonts w:ascii="Trebuchet MS" w:cs="Trebuchet MS" w:eastAsia="Trebuchet MS" w:hAnsi="Trebuchet MS"/>
          <w:sz w:val="18"/>
          <w:szCs w:val="18"/>
          <w:b w:val="1"/>
          <w:bCs w:val="1"/>
          <w:color w:val="4C4C4C"/>
        </w:rPr>
        <w:t>Option Repricing</w:t>
      </w:r>
      <w:r>
        <w:rPr>
          <w:rFonts w:ascii="Arial" w:cs="Arial" w:eastAsia="Arial" w:hAnsi="Arial"/>
          <w:sz w:val="18"/>
          <w:szCs w:val="18"/>
          <w:color w:val="4C4C4C"/>
        </w:rPr>
        <w:t>. We are not permitted to</w:t>
      </w:r>
      <w:r>
        <w:rPr>
          <w:rFonts w:ascii="Trebuchet MS" w:cs="Trebuchet MS" w:eastAsia="Trebuchet MS" w:hAnsi="Trebuchet MS"/>
          <w:sz w:val="18"/>
          <w:szCs w:val="18"/>
          <w:b w:val="1"/>
          <w:bCs w:val="1"/>
          <w:color w:val="4C4C4C"/>
        </w:rPr>
        <w:t xml:space="preserve"> </w:t>
      </w:r>
      <w:r>
        <w:rPr>
          <w:rFonts w:ascii="Arial" w:cs="Arial" w:eastAsia="Arial" w:hAnsi="Arial"/>
          <w:sz w:val="18"/>
          <w:szCs w:val="18"/>
          <w:color w:val="4C4C4C"/>
        </w:rPr>
        <w:t>reprice stock options without stockholder approval.</w:t>
      </w:r>
    </w:p>
    <w:p>
      <w:pPr>
        <w:spacing w:after="0" w:line="129" w:lineRule="exact"/>
        <w:rPr>
          <w:rFonts w:ascii="MS PGothic" w:cs="MS PGothic" w:eastAsia="MS PGothic" w:hAnsi="MS PGothic"/>
          <w:sz w:val="18"/>
          <w:szCs w:val="18"/>
          <w:color w:val="auto"/>
          <w:shd w:val="clear" w:color="auto" w:fill="346094"/>
        </w:rPr>
      </w:pPr>
    </w:p>
    <w:p>
      <w:pPr>
        <w:ind w:left="354" w:right="539" w:hanging="354"/>
        <w:spacing w:after="0" w:line="253" w:lineRule="auto"/>
        <w:tabs>
          <w:tab w:leader="none" w:pos="354" w:val="left"/>
        </w:tabs>
        <w:numPr>
          <w:ilvl w:val="0"/>
          <w:numId w:val="54"/>
        </w:numPr>
        <w:rPr>
          <w:rFonts w:ascii="MS PGothic" w:cs="MS PGothic" w:eastAsia="MS PGothic" w:hAnsi="MS PGothic"/>
          <w:sz w:val="18"/>
          <w:szCs w:val="18"/>
          <w:color w:val="auto"/>
          <w:shd w:val="clear" w:color="auto" w:fill="346094"/>
        </w:rPr>
      </w:pPr>
      <w:r>
        <w:rPr>
          <w:rFonts w:ascii="Trebuchet MS" w:cs="Trebuchet MS" w:eastAsia="Trebuchet MS" w:hAnsi="Trebuchet MS"/>
          <w:sz w:val="18"/>
          <w:szCs w:val="18"/>
          <w:b w:val="1"/>
          <w:bCs w:val="1"/>
          <w:color w:val="4C4C4C"/>
        </w:rPr>
        <w:t>Liberal Share Recycling</w:t>
      </w:r>
      <w:r>
        <w:rPr>
          <w:rFonts w:ascii="Arial" w:cs="Arial" w:eastAsia="Arial" w:hAnsi="Arial"/>
          <w:sz w:val="18"/>
          <w:szCs w:val="18"/>
          <w:color w:val="4C4C4C"/>
        </w:rPr>
        <w:t>. Our equity</w:t>
      </w:r>
      <w:r>
        <w:rPr>
          <w:rFonts w:ascii="Trebuchet MS" w:cs="Trebuchet MS" w:eastAsia="Trebuchet MS" w:hAnsi="Trebuchet MS"/>
          <w:sz w:val="18"/>
          <w:szCs w:val="18"/>
          <w:b w:val="1"/>
          <w:bCs w:val="1"/>
          <w:color w:val="4C4C4C"/>
        </w:rPr>
        <w:t xml:space="preserve"> </w:t>
      </w:r>
      <w:r>
        <w:rPr>
          <w:rFonts w:ascii="Arial" w:cs="Arial" w:eastAsia="Arial" w:hAnsi="Arial"/>
          <w:sz w:val="18"/>
          <w:szCs w:val="18"/>
          <w:color w:val="4C4C4C"/>
        </w:rPr>
        <w:t>compensation plans do not contain liberal share recycling provisions. Any increase in available shares for equity awards must be approved by stockholders.</w:t>
      </w:r>
    </w:p>
    <w:p>
      <w:pPr>
        <w:spacing w:after="0" w:line="119" w:lineRule="exact"/>
        <w:rPr>
          <w:rFonts w:ascii="MS PGothic" w:cs="MS PGothic" w:eastAsia="MS PGothic" w:hAnsi="MS PGothic"/>
          <w:sz w:val="18"/>
          <w:szCs w:val="18"/>
          <w:color w:val="auto"/>
          <w:shd w:val="clear" w:color="auto" w:fill="346094"/>
        </w:rPr>
      </w:pPr>
    </w:p>
    <w:p>
      <w:pPr>
        <w:ind w:left="354" w:right="439" w:hanging="354"/>
        <w:spacing w:after="0" w:line="252" w:lineRule="auto"/>
        <w:tabs>
          <w:tab w:leader="none" w:pos="354" w:val="left"/>
        </w:tabs>
        <w:numPr>
          <w:ilvl w:val="0"/>
          <w:numId w:val="54"/>
        </w:numPr>
        <w:rPr>
          <w:rFonts w:ascii="MS PGothic" w:cs="MS PGothic" w:eastAsia="MS PGothic" w:hAnsi="MS PGothic"/>
          <w:sz w:val="18"/>
          <w:szCs w:val="18"/>
          <w:color w:val="auto"/>
          <w:shd w:val="clear" w:color="auto" w:fill="346094"/>
        </w:rPr>
      </w:pPr>
      <w:r>
        <w:rPr>
          <w:rFonts w:ascii="Trebuchet MS" w:cs="Trebuchet MS" w:eastAsia="Trebuchet MS" w:hAnsi="Trebuchet MS"/>
          <w:sz w:val="18"/>
          <w:szCs w:val="18"/>
          <w:b w:val="1"/>
          <w:bCs w:val="1"/>
          <w:color w:val="4C4C4C"/>
        </w:rPr>
        <w:t>Evergreen Provisions</w:t>
      </w:r>
      <w:r>
        <w:rPr>
          <w:rFonts w:ascii="Arial" w:cs="Arial" w:eastAsia="Arial" w:hAnsi="Arial"/>
          <w:sz w:val="18"/>
          <w:szCs w:val="18"/>
          <w:color w:val="4C4C4C"/>
        </w:rPr>
        <w:t>. Our equity</w:t>
      </w:r>
      <w:r>
        <w:rPr>
          <w:rFonts w:ascii="Trebuchet MS" w:cs="Trebuchet MS" w:eastAsia="Trebuchet MS" w:hAnsi="Trebuchet MS"/>
          <w:sz w:val="18"/>
          <w:szCs w:val="18"/>
          <w:b w:val="1"/>
          <w:bCs w:val="1"/>
          <w:color w:val="4C4C4C"/>
        </w:rPr>
        <w:t xml:space="preserve"> </w:t>
      </w:r>
      <w:r>
        <w:rPr>
          <w:rFonts w:ascii="Arial" w:cs="Arial" w:eastAsia="Arial" w:hAnsi="Arial"/>
          <w:sz w:val="18"/>
          <w:szCs w:val="18"/>
          <w:color w:val="4C4C4C"/>
        </w:rPr>
        <w:t>compensation plans do not contain any “evergreen” provisions to increase shares available for issuance as equity awards. Any increase in available shares for equity awards must be approved by stockholders.</w:t>
      </w:r>
    </w:p>
    <w:p>
      <w:pPr>
        <w:spacing w:after="0" w:line="216" w:lineRule="exact"/>
        <w:rPr>
          <w:sz w:val="20"/>
          <w:szCs w:val="20"/>
          <w:color w:val="auto"/>
        </w:rPr>
      </w:pPr>
    </w:p>
    <w:p>
      <w:pPr>
        <w:sectPr>
          <w:pgSz w:w="11900" w:h="16838" w:orient="portrait"/>
          <w:cols w:equalWidth="0" w:num="2">
            <w:col w:w="5180" w:space="346"/>
            <w:col w:w="4353"/>
          </w:cols>
          <w:pgMar w:left="580" w:top="97" w:right="1440" w:bottom="1440" w:gutter="0" w:footer="0" w:header="0"/>
          <w:type w:val="continuous"/>
        </w:sectPr>
      </w:pPr>
    </w:p>
    <w:p>
      <w:pPr>
        <w:ind w:left="1620"/>
        <w:spacing w:after="0"/>
        <w:rPr>
          <w:sz w:val="20"/>
          <w:szCs w:val="20"/>
          <w:color w:val="auto"/>
        </w:rPr>
      </w:pPr>
      <w:r>
        <w:rPr>
          <w:rFonts w:ascii="Trebuchet MS" w:cs="Trebuchet MS" w:eastAsia="Trebuchet MS" w:hAnsi="Trebuchet MS"/>
          <w:sz w:val="22"/>
          <w:szCs w:val="22"/>
          <w:i w:val="1"/>
          <w:iCs w:val="1"/>
          <w:color w:val="346094"/>
        </w:rPr>
        <w:t>2025 Say-on-Pay Vote</w:t>
      </w:r>
    </w:p>
    <w:p>
      <w:pPr>
        <w:spacing w:after="0" w:line="185" w:lineRule="exact"/>
        <w:rPr>
          <w:sz w:val="20"/>
          <w:szCs w:val="20"/>
          <w:color w:val="auto"/>
        </w:rPr>
      </w:pPr>
    </w:p>
    <w:p>
      <w:pPr>
        <w:ind w:left="1260" w:right="419"/>
        <w:spacing w:after="0" w:line="267" w:lineRule="auto"/>
        <w:rPr>
          <w:sz w:val="20"/>
          <w:szCs w:val="20"/>
          <w:color w:val="auto"/>
        </w:rPr>
      </w:pPr>
      <w:r>
        <w:rPr>
          <w:rFonts w:ascii="Arial" w:cs="Arial" w:eastAsia="Arial" w:hAnsi="Arial"/>
          <w:sz w:val="18"/>
          <w:szCs w:val="18"/>
          <w:color w:val="4C4C4C"/>
        </w:rPr>
        <w:t>At our annual meeting of stockholders in May 2025, we held an advisory stockholder vote to approve the compensation of our named executive officers, or say-on-pay. The compensation of our named executive officers reported in our 2024 proxy statement was approved by approximately 74.8% of the votes cast at the 2025 Annual Meeting of Stockholders.</w:t>
      </w:r>
    </w:p>
    <w:p>
      <w:pPr>
        <w:spacing w:after="0" w:line="171"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4C4C4C"/>
        </w:rPr>
        <w:t>The Compensation Committee believes this affirms our stockholders’ support for our approach to executive compensation. The Compensation Committee will continue to consider the outcome of our advisory say-on-pay votes and feedback from stockholders when making future compensation decisions for our named executive officers. Additionally, the Compensation Committee is increasing investor outreach on executive compensation and will continue to solicit feedback in this area. During 2025, we</w:t>
      </w:r>
    </w:p>
    <w:p>
      <w:pPr>
        <w:spacing w:after="0" w:line="374" w:lineRule="exact"/>
        <w:rPr>
          <w:sz w:val="20"/>
          <w:szCs w:val="20"/>
          <w:color w:val="auto"/>
        </w:rPr>
      </w:pPr>
    </w:p>
    <w:p>
      <w:pPr>
        <w:ind w:left="1780" w:hanging="520"/>
        <w:spacing w:after="0"/>
        <w:tabs>
          <w:tab w:leader="none" w:pos="1780" w:val="left"/>
        </w:tabs>
        <w:numPr>
          <w:ilvl w:val="0"/>
          <w:numId w:val="55"/>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308" w:lineRule="exact"/>
        <w:rPr>
          <w:sz w:val="20"/>
          <w:szCs w:val="20"/>
          <w:color w:val="auto"/>
        </w:rPr>
      </w:pPr>
    </w:p>
    <w:p>
      <w:pPr>
        <w:ind w:left="6700"/>
        <w:spacing w:after="0"/>
        <w:rPr>
          <w:sz w:val="20"/>
          <w:szCs w:val="20"/>
          <w:color w:val="auto"/>
        </w:rPr>
      </w:pPr>
      <w:r>
        <w:rPr>
          <w:rFonts w:ascii="Arial" w:cs="Arial" w:eastAsia="Arial" w:hAnsi="Arial"/>
          <w:sz w:val="12"/>
          <w:szCs w:val="12"/>
          <w:color w:val="346094"/>
        </w:rPr>
        <w:t>COMPENSATION DISCUSSION AND ANALYSIS</w:t>
      </w:r>
    </w:p>
    <w:p>
      <w:pPr>
        <w:spacing w:after="0" w:line="33"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02"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4C4C4C"/>
        </w:rPr>
        <w:t>targeted our 15 largest shareholders for feedback on our executive compensation but were unable to meet with any of those shareholders.</w:t>
      </w:r>
    </w:p>
    <w:p>
      <w:pPr>
        <w:spacing w:after="0" w:line="199"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Executive Compensation Philosophy and Objectives</w:t>
      </w:r>
    </w:p>
    <w:p>
      <w:pPr>
        <w:spacing w:after="0" w:line="191" w:lineRule="exact"/>
        <w:rPr>
          <w:sz w:val="20"/>
          <w:szCs w:val="20"/>
          <w:color w:val="auto"/>
        </w:rPr>
      </w:pPr>
    </w:p>
    <w:p>
      <w:pPr>
        <w:ind w:left="1260" w:right="799"/>
        <w:spacing w:after="0" w:line="239" w:lineRule="auto"/>
        <w:rPr>
          <w:sz w:val="20"/>
          <w:szCs w:val="20"/>
          <w:color w:val="auto"/>
        </w:rPr>
      </w:pPr>
      <w:r>
        <w:rPr>
          <w:rFonts w:ascii="Arial" w:cs="Arial" w:eastAsia="Arial" w:hAnsi="Arial"/>
          <w:sz w:val="18"/>
          <w:szCs w:val="18"/>
          <w:color w:val="4C4C4C"/>
        </w:rPr>
        <w:t>Our primary objective with respect to executive compensation is to attract, retain and motivate superior executive talent with the skills and experience to successfully execute our business strategy. Our executive compensation program is designed to:</w:t>
      </w:r>
    </w:p>
    <w:p>
      <w:pPr>
        <w:spacing w:after="0" w:line="111" w:lineRule="exact"/>
        <w:rPr>
          <w:sz w:val="20"/>
          <w:szCs w:val="20"/>
          <w:color w:val="auto"/>
        </w:rPr>
      </w:pPr>
    </w:p>
    <w:p>
      <w:pPr>
        <w:ind w:left="1800" w:right="559" w:hanging="180"/>
        <w:spacing w:after="0" w:line="259" w:lineRule="auto"/>
        <w:tabs>
          <w:tab w:leader="none" w:pos="1800" w:val="left"/>
        </w:tabs>
        <w:numPr>
          <w:ilvl w:val="0"/>
          <w:numId w:val="56"/>
        </w:numPr>
        <w:rPr>
          <w:rFonts w:ascii="Arial" w:cs="Arial" w:eastAsia="Arial" w:hAnsi="Arial"/>
          <w:sz w:val="18"/>
          <w:szCs w:val="18"/>
          <w:color w:val="4C4C4C"/>
        </w:rPr>
      </w:pPr>
      <w:r>
        <w:rPr>
          <w:rFonts w:ascii="Arial" w:cs="Arial" w:eastAsia="Arial" w:hAnsi="Arial"/>
          <w:sz w:val="18"/>
          <w:szCs w:val="18"/>
          <w:color w:val="4C4C4C"/>
        </w:rPr>
        <w:t>provide short-term competitive incentives that reward the achievement of critical goals that directly correlate to achieving our long-term strategy and enhancing stockholder value;</w:t>
      </w:r>
    </w:p>
    <w:p>
      <w:pPr>
        <w:spacing w:after="0" w:line="93" w:lineRule="exact"/>
        <w:rPr>
          <w:rFonts w:ascii="Arial" w:cs="Arial" w:eastAsia="Arial" w:hAnsi="Arial"/>
          <w:sz w:val="18"/>
          <w:szCs w:val="18"/>
          <w:color w:val="4C4C4C"/>
        </w:rPr>
      </w:pPr>
    </w:p>
    <w:p>
      <w:pPr>
        <w:ind w:left="1800" w:right="879" w:hanging="180"/>
        <w:spacing w:after="0" w:line="255" w:lineRule="auto"/>
        <w:tabs>
          <w:tab w:leader="none" w:pos="1800" w:val="left"/>
        </w:tabs>
        <w:numPr>
          <w:ilvl w:val="0"/>
          <w:numId w:val="56"/>
        </w:numPr>
        <w:rPr>
          <w:rFonts w:ascii="Arial" w:cs="Arial" w:eastAsia="Arial" w:hAnsi="Arial"/>
          <w:sz w:val="18"/>
          <w:szCs w:val="18"/>
          <w:color w:val="4C4C4C"/>
        </w:rPr>
      </w:pPr>
      <w:r>
        <w:rPr>
          <w:rFonts w:ascii="Arial" w:cs="Arial" w:eastAsia="Arial" w:hAnsi="Arial"/>
          <w:sz w:val="18"/>
          <w:szCs w:val="18"/>
          <w:color w:val="4C4C4C"/>
        </w:rPr>
        <w:t>align the interests of our executives with those of our stockholders by utilizing long-term equity incentives that reward performance through success of the corporation, with the ultimate objective of increasing long-term stockholder value;</w:t>
      </w:r>
    </w:p>
    <w:p>
      <w:pPr>
        <w:spacing w:after="0" w:line="96" w:lineRule="exact"/>
        <w:rPr>
          <w:rFonts w:ascii="Arial" w:cs="Arial" w:eastAsia="Arial" w:hAnsi="Arial"/>
          <w:sz w:val="18"/>
          <w:szCs w:val="18"/>
          <w:color w:val="4C4C4C"/>
        </w:rPr>
      </w:pPr>
    </w:p>
    <w:p>
      <w:pPr>
        <w:ind w:left="1800" w:hanging="180"/>
        <w:spacing w:after="0"/>
        <w:tabs>
          <w:tab w:leader="none" w:pos="1800" w:val="left"/>
        </w:tabs>
        <w:numPr>
          <w:ilvl w:val="0"/>
          <w:numId w:val="56"/>
        </w:numPr>
        <w:rPr>
          <w:rFonts w:ascii="Arial" w:cs="Arial" w:eastAsia="Arial" w:hAnsi="Arial"/>
          <w:sz w:val="18"/>
          <w:szCs w:val="18"/>
          <w:color w:val="4C4C4C"/>
        </w:rPr>
      </w:pPr>
      <w:r>
        <w:rPr>
          <w:rFonts w:ascii="Arial" w:cs="Arial" w:eastAsia="Arial" w:hAnsi="Arial"/>
          <w:sz w:val="18"/>
          <w:szCs w:val="18"/>
          <w:color w:val="4C4C4C"/>
        </w:rPr>
        <w:t>provide long-term incentives that promote executive retention; and</w:t>
      </w:r>
    </w:p>
    <w:p>
      <w:pPr>
        <w:spacing w:after="0" w:line="103" w:lineRule="exact"/>
        <w:rPr>
          <w:rFonts w:ascii="Arial" w:cs="Arial" w:eastAsia="Arial" w:hAnsi="Arial"/>
          <w:sz w:val="18"/>
          <w:szCs w:val="18"/>
          <w:color w:val="4C4C4C"/>
        </w:rPr>
      </w:pPr>
    </w:p>
    <w:p>
      <w:pPr>
        <w:ind w:left="1800" w:hanging="180"/>
        <w:spacing w:after="0"/>
        <w:tabs>
          <w:tab w:leader="none" w:pos="1800" w:val="left"/>
        </w:tabs>
        <w:numPr>
          <w:ilvl w:val="0"/>
          <w:numId w:val="56"/>
        </w:numPr>
        <w:rPr>
          <w:rFonts w:ascii="Arial" w:cs="Arial" w:eastAsia="Arial" w:hAnsi="Arial"/>
          <w:sz w:val="18"/>
          <w:szCs w:val="18"/>
          <w:color w:val="4C4C4C"/>
        </w:rPr>
      </w:pPr>
      <w:r>
        <w:rPr>
          <w:rFonts w:ascii="Arial" w:cs="Arial" w:eastAsia="Arial" w:hAnsi="Arial"/>
          <w:sz w:val="18"/>
          <w:szCs w:val="18"/>
          <w:color w:val="4C4C4C"/>
        </w:rPr>
        <w:t>align our executives with the long-term strategic goals and objectives approved by our Board.</w:t>
      </w:r>
    </w:p>
    <w:p>
      <w:pPr>
        <w:spacing w:after="0" w:line="171" w:lineRule="exact"/>
        <w:rPr>
          <w:sz w:val="20"/>
          <w:szCs w:val="20"/>
          <w:color w:val="auto"/>
        </w:rPr>
      </w:pPr>
    </w:p>
    <w:p>
      <w:pPr>
        <w:ind w:left="1260" w:right="439"/>
        <w:spacing w:after="0" w:line="242" w:lineRule="auto"/>
        <w:rPr>
          <w:sz w:val="20"/>
          <w:szCs w:val="20"/>
          <w:color w:val="auto"/>
        </w:rPr>
      </w:pPr>
      <w:r>
        <w:rPr>
          <w:rFonts w:ascii="Arial" w:cs="Arial" w:eastAsia="Arial" w:hAnsi="Arial"/>
          <w:sz w:val="18"/>
          <w:szCs w:val="18"/>
          <w:color w:val="4C4C4C"/>
        </w:rPr>
        <w:t>To achieve these objectives, our executive compensation program ties a significant portion of each named executive officer’s cash compensation to key corporate financial and strategic goals. We have also historically provided a portion of our executive compensation in the form of equity awards that vest over time, which we believe helps to retain our named executive officers and aligns their interests with those of our stockholders by allowing them to participate in our long-term performance as reflected in the trading price of our common stock.</w:t>
      </w:r>
    </w:p>
    <w:p>
      <w:pPr>
        <w:spacing w:after="0" w:line="196"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 xml:space="preserve">Role of Compensation Committee, </w:t>
      </w:r>
      <w:r>
        <w:rPr>
          <w:rFonts w:ascii="Arial" w:cs="Arial" w:eastAsia="Arial" w:hAnsi="Arial"/>
          <w:sz w:val="20"/>
          <w:szCs w:val="20"/>
          <w:i w:val="1"/>
          <w:iCs w:val="1"/>
          <w:color w:val="346094"/>
        </w:rPr>
        <w:t>M</w:t>
      </w:r>
      <w:r>
        <w:rPr>
          <w:rFonts w:ascii="Trebuchet MS" w:cs="Trebuchet MS" w:eastAsia="Trebuchet MS" w:hAnsi="Trebuchet MS"/>
          <w:sz w:val="22"/>
          <w:szCs w:val="22"/>
          <w:i w:val="1"/>
          <w:iCs w:val="1"/>
          <w:color w:val="346094"/>
        </w:rPr>
        <w:t>anagement and Compensation Consultant</w:t>
      </w:r>
    </w:p>
    <w:p>
      <w:pPr>
        <w:spacing w:after="0" w:line="186" w:lineRule="exact"/>
        <w:rPr>
          <w:sz w:val="20"/>
          <w:szCs w:val="20"/>
          <w:color w:val="auto"/>
        </w:rPr>
      </w:pPr>
    </w:p>
    <w:p>
      <w:pPr>
        <w:jc w:val="both"/>
        <w:ind w:left="1260" w:right="779"/>
        <w:spacing w:after="0" w:line="247" w:lineRule="auto"/>
        <w:rPr>
          <w:sz w:val="20"/>
          <w:szCs w:val="20"/>
          <w:color w:val="auto"/>
        </w:rPr>
      </w:pPr>
      <w:r>
        <w:rPr>
          <w:rFonts w:ascii="Arial" w:cs="Arial" w:eastAsia="Arial" w:hAnsi="Arial"/>
          <w:sz w:val="18"/>
          <w:szCs w:val="18"/>
          <w:color w:val="4C4C4C"/>
        </w:rPr>
        <w:t>Our Compensation Committee makes all compensation decisions regarding our named executive officers. Our Compensation Committee is charged with, among other things, the responsibility of reviewing our named executive officer compensation policies and practices.</w:t>
      </w:r>
    </w:p>
    <w:p>
      <w:pPr>
        <w:spacing w:after="0" w:line="171" w:lineRule="exact"/>
        <w:rPr>
          <w:sz w:val="20"/>
          <w:szCs w:val="20"/>
          <w:color w:val="auto"/>
        </w:rPr>
      </w:pPr>
    </w:p>
    <w:p>
      <w:pPr>
        <w:ind w:left="1260" w:right="439"/>
        <w:spacing w:after="0"/>
        <w:rPr>
          <w:sz w:val="20"/>
          <w:szCs w:val="20"/>
          <w:color w:val="auto"/>
        </w:rPr>
      </w:pPr>
      <w:r>
        <w:rPr>
          <w:rFonts w:ascii="Arial" w:cs="Arial" w:eastAsia="Arial" w:hAnsi="Arial"/>
          <w:sz w:val="18"/>
          <w:szCs w:val="18"/>
          <w:color w:val="4C4C4C"/>
        </w:rPr>
        <w:t>Our Chief Executive Officer annually reviews the performance of each of our named executive officers, other than himself, and, based on these reviews, makes recommendations to our Compensation Committee regarding salary adjustments, annual incentive bonus payments and equity incentive awards for such named executive officers. The Compensation Committee believes it is valuable to consider the recommendations of our Chief Executive Officer with respect to these matters because, given his knowledge of our operations and the day-to-day responsibilities of our named executive officers, he is in a unique position to provide the Compensation Committee with perspective into the performance of our executive officers in light of our business at a given point in time. While the Compensation Committee considers the Chief Executive Officer’s reviews and recommendations, the Compensation Committee decides the compensation of our named executive officers and also considers, among other things, company and individual performance, peer group data and recommendations from the Compensation Committee’s independent compensation consultant, as further described below.</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As part of the 2025 compensation process, our Compensation Committee retained Frederic W. Cook</w:t>
      </w:r>
    </w:p>
    <w:p>
      <w:pPr>
        <w:spacing w:after="0" w:line="9" w:lineRule="exact"/>
        <w:rPr>
          <w:sz w:val="20"/>
          <w:szCs w:val="20"/>
          <w:color w:val="auto"/>
        </w:rPr>
      </w:pPr>
    </w:p>
    <w:p>
      <w:pPr>
        <w:ind w:left="1260" w:right="459"/>
        <w:spacing w:after="0" w:line="239" w:lineRule="auto"/>
        <w:tabs>
          <w:tab w:leader="none" w:pos="1441" w:val="left"/>
        </w:tabs>
        <w:numPr>
          <w:ilvl w:val="0"/>
          <w:numId w:val="57"/>
        </w:numPr>
        <w:rPr>
          <w:rFonts w:ascii="Arial" w:cs="Arial" w:eastAsia="Arial" w:hAnsi="Arial"/>
          <w:sz w:val="18"/>
          <w:szCs w:val="18"/>
          <w:color w:val="4C4C4C"/>
        </w:rPr>
      </w:pPr>
      <w:r>
        <w:rPr>
          <w:rFonts w:ascii="Arial" w:cs="Arial" w:eastAsia="Arial" w:hAnsi="Arial"/>
          <w:sz w:val="18"/>
          <w:szCs w:val="18"/>
          <w:color w:val="4C4C4C"/>
        </w:rPr>
        <w:t>Co., Inc. (“FW Cook”) as its independent compensation consultant. FW Cook has served in this capacity since August 2023. FW Cook provides advisory services with respect to executive compensation and incentive design as directed by the Compensation Committee. From time to time, FW Cook provides additional services to management in the areas of non-executive compensation, such as non-employee director compensation, with all such services being approved by the chair of the Compensation Committee before any services are provided. Prior to engaging FW Cook, our Compensation Committee considered the independence of FW Cook in accordance with the applicable regulations mandated by Nasdaq and the SEC. After conducting this assessment, our Compensation Committee did not identify any conflicts of interest with respect to FW Cook.</w:t>
      </w:r>
    </w:p>
    <w:p>
      <w:pPr>
        <w:spacing w:after="0" w:line="183" w:lineRule="exact"/>
        <w:rPr>
          <w:sz w:val="20"/>
          <w:szCs w:val="20"/>
          <w:color w:val="auto"/>
        </w:rPr>
      </w:pPr>
    </w:p>
    <w:p>
      <w:pPr>
        <w:jc w:val="both"/>
        <w:ind w:left="1260" w:right="459"/>
        <w:spacing w:after="0" w:line="247" w:lineRule="auto"/>
        <w:rPr>
          <w:sz w:val="20"/>
          <w:szCs w:val="20"/>
          <w:color w:val="auto"/>
        </w:rPr>
      </w:pPr>
      <w:r>
        <w:rPr>
          <w:rFonts w:ascii="Arial" w:cs="Arial" w:eastAsia="Arial" w:hAnsi="Arial"/>
          <w:sz w:val="18"/>
          <w:szCs w:val="18"/>
          <w:color w:val="4C4C4C"/>
        </w:rPr>
        <w:t>The Compensation Committee took the results of FW Cook’s comparative analyses of our peer group (as described below), as well as the considerations provided by FW Cook with respect to components and</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COMPENSATION DISCUSSION AND ANALYSIS</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02" w:lineRule="exact"/>
        <w:rPr>
          <w:sz w:val="20"/>
          <w:szCs w:val="20"/>
          <w:color w:val="auto"/>
        </w:rPr>
      </w:pPr>
    </w:p>
    <w:p>
      <w:pPr>
        <w:ind w:left="1260" w:right="539"/>
        <w:spacing w:after="0"/>
        <w:rPr>
          <w:sz w:val="20"/>
          <w:szCs w:val="20"/>
          <w:color w:val="auto"/>
        </w:rPr>
      </w:pPr>
      <w:r>
        <w:rPr>
          <w:rFonts w:ascii="Arial" w:cs="Arial" w:eastAsia="Arial" w:hAnsi="Arial"/>
          <w:sz w:val="18"/>
          <w:szCs w:val="18"/>
          <w:color w:val="4C4C4C"/>
        </w:rPr>
        <w:t>levels of compensation for our named executive officers, under advisement in determining competitive market practice in our industry. The Compensation Committee considered the assessment of peer group market compensation, historical compensation levels, individual performance and other qualitative factors in establishing and approving the various elements of our executive compensation program for 2025. After considering the data and information provided by FW Cook, the Compensation Committee made its own determinations about the compensation granted in 2025 to our Chief Executive Officer, our other named executive officers and our non-employee directors.</w:t>
      </w:r>
    </w:p>
    <w:p>
      <w:pPr>
        <w:spacing w:after="0" w:line="200"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Peer Group</w:t>
      </w:r>
    </w:p>
    <w:p>
      <w:pPr>
        <w:spacing w:after="0" w:line="183" w:lineRule="exact"/>
        <w:rPr>
          <w:sz w:val="20"/>
          <w:szCs w:val="20"/>
          <w:color w:val="auto"/>
        </w:rPr>
      </w:pPr>
    </w:p>
    <w:p>
      <w:pPr>
        <w:ind w:left="1260" w:right="419"/>
        <w:spacing w:after="0"/>
        <w:rPr>
          <w:sz w:val="20"/>
          <w:szCs w:val="20"/>
          <w:color w:val="auto"/>
        </w:rPr>
      </w:pPr>
      <w:r>
        <w:rPr>
          <w:rFonts w:ascii="Arial" w:cs="Arial" w:eastAsia="Arial" w:hAnsi="Arial"/>
          <w:sz w:val="18"/>
          <w:szCs w:val="18"/>
          <w:color w:val="4C4C4C"/>
        </w:rPr>
        <w:t>Our Compensation Committee has identified certain peer group data with the assistance of FW Cook. Our peer companies are selected from publicly-traded companies based in the U.S. in similar or adjacent industries and then further refined to more closely align with us based on revenue, market capitalization, employee headcount, and competition for executive talent. The Compensation Committee also takes into consideration our stage of development, net income (loss), other key financial metrics, and the lack of many direct peers in our industry and competitors for talent. The Compensation Committee believes that the companies selected to our peer group are broadly comparable to us and represent our labor market for talent for key leadership positions.</w:t>
      </w:r>
    </w:p>
    <w:p>
      <w:pPr>
        <w:spacing w:after="0" w:line="167" w:lineRule="exact"/>
        <w:rPr>
          <w:sz w:val="20"/>
          <w:szCs w:val="20"/>
          <w:color w:val="auto"/>
        </w:rPr>
      </w:pPr>
    </w:p>
    <w:p>
      <w:pPr>
        <w:ind w:left="1260" w:right="419"/>
        <w:spacing w:after="0"/>
        <w:rPr>
          <w:sz w:val="20"/>
          <w:szCs w:val="20"/>
          <w:color w:val="auto"/>
        </w:rPr>
      </w:pPr>
      <w:r>
        <w:rPr>
          <w:rFonts w:ascii="Arial" w:cs="Arial" w:eastAsia="Arial" w:hAnsi="Arial"/>
          <w:sz w:val="18"/>
          <w:szCs w:val="18"/>
          <w:color w:val="4C4C4C"/>
        </w:rPr>
        <w:t>Our Compensation Committee reviews our peer group annually to determine if adjustments are necessary to ensure that it continues to be relevant or if additional peer companies or groups are necessary to provide appropriate information on market practices and compensation levels. For 2025, the Compensation Committee, based on analysis and recommendations from FW Cook, removed Aeva Technologies, Inc., Danimer Scientific, Inc., Eos Energy Enterprises, Inc. Hyliion Corp., LanzaTech Global, Inc. NextDecade Corporation, Origin Materials, Inc., PureCycle Technologies, Inc., Tellurian, Inc., Vertex Energy, Inc. and Workhorse Group, Inc. from the peer group and approved the following peer group in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144780</wp:posOffset>
            </wp:positionV>
            <wp:extent cx="521208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08" w:lineRule="exact"/>
        <w:rPr>
          <w:sz w:val="20"/>
          <w:szCs w:val="20"/>
          <w:color w:val="auto"/>
        </w:rPr>
      </w:pPr>
    </w:p>
    <w:tbl>
      <w:tblPr>
        <w:tblLayout w:type="fixed"/>
        <w:tblInd w:w="1260" w:type="dxa"/>
        <w:tblCellMar>
          <w:top w:w="0" w:type="dxa"/>
          <w:left w:w="0" w:type="dxa"/>
          <w:bottom w:w="0" w:type="dxa"/>
          <w:right w:w="0" w:type="dxa"/>
        </w:tblCellMar>
      </w:tblPr>
      <w:tr>
        <w:trPr>
          <w:trHeight w:val="243"/>
        </w:trPr>
        <w:tc>
          <w:tcPr>
            <w:tcW w:w="7980" w:type="dxa"/>
            <w:vAlign w:val="bottom"/>
            <w:gridSpan w:val="3"/>
          </w:tcPr>
          <w:p>
            <w:pPr>
              <w:ind w:left="2060"/>
              <w:spacing w:after="0"/>
              <w:rPr>
                <w:sz w:val="20"/>
                <w:szCs w:val="20"/>
                <w:color w:val="auto"/>
              </w:rPr>
            </w:pPr>
            <w:r>
              <w:rPr>
                <w:rFonts w:ascii="Arial" w:cs="Arial" w:eastAsia="Arial" w:hAnsi="Arial"/>
                <w:sz w:val="16"/>
                <w:szCs w:val="16"/>
                <w:b w:val="1"/>
                <w:bCs w:val="1"/>
                <w:color w:val="FFFFFF"/>
              </w:rPr>
              <w:t>Our peer group for 2025 compensation purposes was:</w:t>
            </w:r>
          </w:p>
        </w:tc>
        <w:tc>
          <w:tcPr>
            <w:tcW w:w="240" w:type="dxa"/>
            <w:vAlign w:val="bottom"/>
            <w:gridSpan w:val="2"/>
          </w:tcPr>
          <w:p>
            <w:pPr>
              <w:ind w:left="200"/>
              <w:spacing w:after="0"/>
              <w:rPr>
                <w:sz w:val="20"/>
                <w:szCs w:val="20"/>
                <w:color w:val="auto"/>
              </w:rPr>
            </w:pPr>
            <w:r>
              <w:rPr>
                <w:rFonts w:ascii="Arial" w:cs="Arial" w:eastAsia="Arial" w:hAnsi="Arial"/>
                <w:sz w:val="16"/>
                <w:szCs w:val="16"/>
                <w:b w:val="1"/>
                <w:bCs w:val="1"/>
                <w:color w:val="FFFFFF"/>
              </w:rPr>
              <w:t>​</w:t>
            </w:r>
          </w:p>
        </w:tc>
      </w:tr>
      <w:tr>
        <w:trPr>
          <w:trHeight w:val="218"/>
        </w:trPr>
        <w:tc>
          <w:tcPr>
            <w:tcW w:w="2720" w:type="dxa"/>
            <w:vAlign w:val="bottom"/>
          </w:tcPr>
          <w:p>
            <w:pPr>
              <w:ind w:left="60"/>
              <w:spacing w:after="0"/>
              <w:rPr>
                <w:sz w:val="20"/>
                <w:szCs w:val="20"/>
                <w:color w:val="auto"/>
              </w:rPr>
            </w:pPr>
            <w:r>
              <w:rPr>
                <w:rFonts w:ascii="Trebuchet MS" w:cs="Trebuchet MS" w:eastAsia="Trebuchet MS" w:hAnsi="Trebuchet MS"/>
                <w:sz w:val="16"/>
                <w:szCs w:val="16"/>
                <w:color w:val="4C4C4C"/>
              </w:rPr>
              <w:t>Aemetis, Inc.</w:t>
            </w:r>
          </w:p>
        </w:tc>
        <w:tc>
          <w:tcPr>
            <w:tcW w:w="2380" w:type="dxa"/>
            <w:vAlign w:val="bottom"/>
          </w:tcPr>
          <w:p>
            <w:pPr>
              <w:ind w:left="460"/>
              <w:spacing w:after="0"/>
              <w:rPr>
                <w:sz w:val="20"/>
                <w:szCs w:val="20"/>
                <w:color w:val="auto"/>
              </w:rPr>
            </w:pPr>
            <w:r>
              <w:rPr>
                <w:rFonts w:ascii="Trebuchet MS" w:cs="Trebuchet MS" w:eastAsia="Trebuchet MS" w:hAnsi="Trebuchet MS"/>
                <w:sz w:val="16"/>
                <w:szCs w:val="16"/>
                <w:color w:val="4C4C4C"/>
              </w:rPr>
              <w:t>Ameresco, Inc.</w:t>
            </w:r>
          </w:p>
        </w:tc>
        <w:tc>
          <w:tcPr>
            <w:tcW w:w="2880" w:type="dxa"/>
            <w:vAlign w:val="bottom"/>
          </w:tcPr>
          <w:p>
            <w:pPr>
              <w:ind w:left="120"/>
              <w:spacing w:after="0"/>
              <w:rPr>
                <w:sz w:val="20"/>
                <w:szCs w:val="20"/>
                <w:color w:val="auto"/>
              </w:rPr>
            </w:pPr>
            <w:r>
              <w:rPr>
                <w:rFonts w:ascii="Trebuchet MS" w:cs="Trebuchet MS" w:eastAsia="Trebuchet MS" w:hAnsi="Trebuchet MS"/>
                <w:sz w:val="16"/>
                <w:szCs w:val="16"/>
                <w:color w:val="4C4C4C"/>
              </w:rPr>
              <w:t>American Vanguard Corporation</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
        </w:trPr>
        <w:tc>
          <w:tcPr>
            <w:tcW w:w="27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720" w:type="dxa"/>
            <w:vAlign w:val="bottom"/>
            <w:tcBorders>
              <w:bottom w:val="single" w:sz="8" w:color="E1E7EF"/>
            </w:tcBorders>
            <w:shd w:val="clear" w:color="auto" w:fill="E1E7EF"/>
          </w:tcPr>
          <w:p>
            <w:pPr>
              <w:ind w:left="60"/>
              <w:spacing w:after="0"/>
              <w:rPr>
                <w:sz w:val="20"/>
                <w:szCs w:val="20"/>
                <w:color w:val="auto"/>
              </w:rPr>
            </w:pPr>
            <w:r>
              <w:rPr>
                <w:rFonts w:ascii="Trebuchet MS" w:cs="Trebuchet MS" w:eastAsia="Trebuchet MS" w:hAnsi="Trebuchet MS"/>
                <w:sz w:val="16"/>
                <w:szCs w:val="16"/>
                <w:color w:val="4C4C4C"/>
              </w:rPr>
              <w:t>Centrus Energy Corp.</w:t>
            </w:r>
          </w:p>
        </w:tc>
        <w:tc>
          <w:tcPr>
            <w:tcW w:w="2380" w:type="dxa"/>
            <w:vAlign w:val="bottom"/>
            <w:tcBorders>
              <w:bottom w:val="single" w:sz="8" w:color="E1E7EF"/>
            </w:tcBorders>
            <w:shd w:val="clear" w:color="auto" w:fill="E1E7EF"/>
          </w:tcPr>
          <w:p>
            <w:pPr>
              <w:ind w:left="460"/>
              <w:spacing w:after="0"/>
              <w:rPr>
                <w:sz w:val="20"/>
                <w:szCs w:val="20"/>
                <w:color w:val="auto"/>
              </w:rPr>
            </w:pPr>
            <w:r>
              <w:rPr>
                <w:rFonts w:ascii="Trebuchet MS" w:cs="Trebuchet MS" w:eastAsia="Trebuchet MS" w:hAnsi="Trebuchet MS"/>
                <w:sz w:val="16"/>
                <w:szCs w:val="16"/>
                <w:color w:val="4C4C4C"/>
              </w:rPr>
              <w:t>Clean Energy Fuels Corp.</w:t>
            </w:r>
          </w:p>
        </w:tc>
        <w:tc>
          <w:tcPr>
            <w:tcW w:w="2880" w:type="dxa"/>
            <w:vAlign w:val="bottom"/>
            <w:tcBorders>
              <w:bottom w:val="single" w:sz="8" w:color="E1E7EF"/>
            </w:tcBorders>
            <w:shd w:val="clear" w:color="auto" w:fill="E1E7EF"/>
          </w:tcPr>
          <w:p>
            <w:pPr>
              <w:ind w:left="120"/>
              <w:spacing w:after="0"/>
              <w:rPr>
                <w:sz w:val="20"/>
                <w:szCs w:val="20"/>
                <w:color w:val="auto"/>
              </w:rPr>
            </w:pPr>
            <w:r>
              <w:rPr>
                <w:rFonts w:ascii="Trebuchet MS" w:cs="Trebuchet MS" w:eastAsia="Trebuchet MS" w:hAnsi="Trebuchet MS"/>
                <w:sz w:val="16"/>
                <w:szCs w:val="16"/>
                <w:color w:val="4C4C4C"/>
              </w:rPr>
              <w:t>Energy Fuels Resources Corporation</w:t>
            </w:r>
          </w:p>
        </w:tc>
        <w:tc>
          <w:tcPr>
            <w:tcW w:w="220" w:type="dxa"/>
            <w:vAlign w:val="bottom"/>
            <w:tcBorders>
              <w:bottom w:val="single" w:sz="8" w:color="E1E7EF"/>
            </w:tcBorders>
            <w:shd w:val="clear" w:color="auto" w:fill="E1E7EF"/>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720" w:type="dxa"/>
            <w:vAlign w:val="bottom"/>
          </w:tcPr>
          <w:p>
            <w:pPr>
              <w:ind w:left="60"/>
              <w:spacing w:after="0"/>
              <w:rPr>
                <w:sz w:val="20"/>
                <w:szCs w:val="20"/>
                <w:color w:val="auto"/>
              </w:rPr>
            </w:pPr>
            <w:r>
              <w:rPr>
                <w:rFonts w:ascii="Trebuchet MS" w:cs="Trebuchet MS" w:eastAsia="Trebuchet MS" w:hAnsi="Trebuchet MS"/>
                <w:sz w:val="16"/>
                <w:szCs w:val="16"/>
                <w:color w:val="4C4C4C"/>
              </w:rPr>
              <w:t>Energy Recovery, Inc.</w:t>
            </w:r>
          </w:p>
        </w:tc>
        <w:tc>
          <w:tcPr>
            <w:tcW w:w="2380" w:type="dxa"/>
            <w:vAlign w:val="bottom"/>
          </w:tcPr>
          <w:p>
            <w:pPr>
              <w:ind w:left="460"/>
              <w:spacing w:after="0"/>
              <w:rPr>
                <w:sz w:val="20"/>
                <w:szCs w:val="20"/>
                <w:color w:val="auto"/>
              </w:rPr>
            </w:pPr>
            <w:r>
              <w:rPr>
                <w:rFonts w:ascii="Trebuchet MS" w:cs="Trebuchet MS" w:eastAsia="Trebuchet MS" w:hAnsi="Trebuchet MS"/>
                <w:sz w:val="16"/>
                <w:szCs w:val="16"/>
                <w:color w:val="4C4C4C"/>
              </w:rPr>
              <w:t>FuelCell Energy, Inc.</w:t>
            </w:r>
          </w:p>
        </w:tc>
        <w:tc>
          <w:tcPr>
            <w:tcW w:w="2880" w:type="dxa"/>
            <w:vAlign w:val="bottom"/>
          </w:tcPr>
          <w:p>
            <w:pPr>
              <w:ind w:left="120"/>
              <w:spacing w:after="0"/>
              <w:rPr>
                <w:sz w:val="20"/>
                <w:szCs w:val="20"/>
                <w:color w:val="auto"/>
              </w:rPr>
            </w:pPr>
            <w:r>
              <w:rPr>
                <w:rFonts w:ascii="Trebuchet MS" w:cs="Trebuchet MS" w:eastAsia="Trebuchet MS" w:hAnsi="Trebuchet MS"/>
                <w:sz w:val="16"/>
                <w:szCs w:val="16"/>
                <w:color w:val="4C4C4C"/>
              </w:rPr>
              <w:t>Green Plains Inc.</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
        </w:trPr>
        <w:tc>
          <w:tcPr>
            <w:tcW w:w="27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720" w:type="dxa"/>
            <w:vAlign w:val="bottom"/>
            <w:shd w:val="clear" w:color="auto" w:fill="E1E7EF"/>
          </w:tcPr>
          <w:p>
            <w:pPr>
              <w:ind w:left="60"/>
              <w:spacing w:after="0"/>
              <w:rPr>
                <w:sz w:val="20"/>
                <w:szCs w:val="20"/>
                <w:color w:val="auto"/>
              </w:rPr>
            </w:pPr>
            <w:r>
              <w:rPr>
                <w:rFonts w:ascii="Arial" w:cs="Arial" w:eastAsia="Arial" w:hAnsi="Arial"/>
                <w:sz w:val="16"/>
                <w:szCs w:val="16"/>
                <w:color w:val="4C4C4C"/>
              </w:rPr>
              <w:t>M</w:t>
            </w:r>
            <w:r>
              <w:rPr>
                <w:rFonts w:ascii="Trebuchet MS" w:cs="Trebuchet MS" w:eastAsia="Trebuchet MS" w:hAnsi="Trebuchet MS"/>
                <w:sz w:val="16"/>
                <w:szCs w:val="16"/>
                <w:color w:val="4C4C4C"/>
              </w:rPr>
              <w:t>ontauk Renewables, Inc.</w:t>
            </w:r>
          </w:p>
        </w:tc>
        <w:tc>
          <w:tcPr>
            <w:tcW w:w="2380" w:type="dxa"/>
            <w:vAlign w:val="bottom"/>
            <w:shd w:val="clear" w:color="auto" w:fill="E1E7EF"/>
          </w:tcPr>
          <w:p>
            <w:pPr>
              <w:ind w:left="460"/>
              <w:spacing w:after="0"/>
              <w:rPr>
                <w:sz w:val="20"/>
                <w:szCs w:val="20"/>
                <w:color w:val="auto"/>
              </w:rPr>
            </w:pPr>
            <w:r>
              <w:rPr>
                <w:rFonts w:ascii="Trebuchet MS" w:cs="Trebuchet MS" w:eastAsia="Trebuchet MS" w:hAnsi="Trebuchet MS"/>
                <w:sz w:val="16"/>
                <w:szCs w:val="16"/>
                <w:color w:val="4C4C4C"/>
              </w:rPr>
              <w:t>OPAL Fuels Inc.</w:t>
            </w:r>
          </w:p>
        </w:tc>
        <w:tc>
          <w:tcPr>
            <w:tcW w:w="2880" w:type="dxa"/>
            <w:vAlign w:val="bottom"/>
            <w:shd w:val="clear" w:color="auto" w:fill="E1E7EF"/>
          </w:tcPr>
          <w:p>
            <w:pPr>
              <w:ind w:left="120"/>
              <w:spacing w:after="0"/>
              <w:rPr>
                <w:sz w:val="20"/>
                <w:szCs w:val="20"/>
                <w:color w:val="auto"/>
              </w:rPr>
            </w:pPr>
            <w:r>
              <w:rPr>
                <w:rFonts w:ascii="Trebuchet MS" w:cs="Trebuchet MS" w:eastAsia="Trebuchet MS" w:hAnsi="Trebuchet MS"/>
                <w:sz w:val="16"/>
                <w:szCs w:val="16"/>
                <w:color w:val="4C4C4C"/>
              </w:rPr>
              <w:t>Ouster, Inc.</w:t>
            </w:r>
          </w:p>
        </w:tc>
        <w:tc>
          <w:tcPr>
            <w:tcW w:w="220" w:type="dxa"/>
            <w:vAlign w:val="bottom"/>
            <w:shd w:val="clear" w:color="auto" w:fill="E1E7EF"/>
          </w:tcPr>
          <w:p>
            <w:pPr>
              <w:spacing w:after="0"/>
              <w:rPr>
                <w:sz w:val="21"/>
                <w:szCs w:val="21"/>
                <w:color w:val="auto"/>
              </w:rPr>
            </w:pPr>
          </w:p>
        </w:tc>
        <w:tc>
          <w:tcPr>
            <w:tcW w:w="20" w:type="dxa"/>
            <w:vAlign w:val="bottom"/>
          </w:tcPr>
          <w:p>
            <w:pPr>
              <w:spacing w:after="0"/>
              <w:rPr>
                <w:sz w:val="21"/>
                <w:szCs w:val="21"/>
                <w:color w:val="auto"/>
              </w:rPr>
            </w:pPr>
          </w:p>
        </w:tc>
      </w:tr>
      <w:tr>
        <w:trPr>
          <w:trHeight w:val="218"/>
        </w:trPr>
        <w:tc>
          <w:tcPr>
            <w:tcW w:w="2720" w:type="dxa"/>
            <w:vAlign w:val="bottom"/>
          </w:tcPr>
          <w:p>
            <w:pPr>
              <w:ind w:left="60"/>
              <w:spacing w:after="0"/>
              <w:rPr>
                <w:sz w:val="20"/>
                <w:szCs w:val="20"/>
                <w:color w:val="auto"/>
              </w:rPr>
            </w:pPr>
            <w:r>
              <w:rPr>
                <w:rFonts w:ascii="Trebuchet MS" w:cs="Trebuchet MS" w:eastAsia="Trebuchet MS" w:hAnsi="Trebuchet MS"/>
                <w:sz w:val="16"/>
                <w:szCs w:val="16"/>
                <w:color w:val="4C4C4C"/>
              </w:rPr>
              <w:t>REX American Resources Corp.</w:t>
            </w:r>
          </w:p>
        </w:tc>
        <w:tc>
          <w:tcPr>
            <w:tcW w:w="2380" w:type="dxa"/>
            <w:vAlign w:val="bottom"/>
          </w:tcPr>
          <w:p>
            <w:pPr>
              <w:ind w:left="460"/>
              <w:spacing w:after="0"/>
              <w:rPr>
                <w:sz w:val="20"/>
                <w:szCs w:val="20"/>
                <w:color w:val="auto"/>
              </w:rPr>
            </w:pPr>
            <w:r>
              <w:rPr>
                <w:rFonts w:ascii="Trebuchet MS" w:cs="Trebuchet MS" w:eastAsia="Trebuchet MS" w:hAnsi="Trebuchet MS"/>
                <w:sz w:val="16"/>
                <w:szCs w:val="16"/>
                <w:color w:val="4C4C4C"/>
              </w:rPr>
              <w:t>Stem, Inc.</w:t>
            </w:r>
          </w:p>
        </w:tc>
        <w:tc>
          <w:tcPr>
            <w:tcW w:w="2880" w:type="dxa"/>
            <w:vAlign w:val="bottom"/>
          </w:tcPr>
          <w:p>
            <w:pPr>
              <w:ind w:left="120"/>
              <w:spacing w:after="0"/>
              <w:rPr>
                <w:sz w:val="20"/>
                <w:szCs w:val="20"/>
                <w:color w:val="auto"/>
              </w:rPr>
            </w:pPr>
            <w:r>
              <w:rPr>
                <w:rFonts w:ascii="Trebuchet MS" w:cs="Trebuchet MS" w:eastAsia="Trebuchet MS" w:hAnsi="Trebuchet MS"/>
                <w:sz w:val="16"/>
                <w:szCs w:val="16"/>
                <w:color w:val="4C4C4C"/>
              </w:rPr>
              <w:t>Sunnova Energy International, Inc.</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74"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Elements of Our Executive Compensation Program</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Our compensation program is made up of the following direct compensation elements:</w:t>
      </w:r>
    </w:p>
    <w:p>
      <w:pPr>
        <w:spacing w:after="0" w:line="218" w:lineRule="exact"/>
        <w:rPr>
          <w:sz w:val="20"/>
          <w:szCs w:val="20"/>
          <w:color w:val="auto"/>
        </w:rPr>
      </w:pPr>
    </w:p>
    <w:tbl>
      <w:tblPr>
        <w:tblLayout w:type="fixed"/>
        <w:tblInd w:w="1260" w:type="dxa"/>
        <w:tblCellMar>
          <w:top w:w="0" w:type="dxa"/>
          <w:left w:w="0" w:type="dxa"/>
          <w:bottom w:w="0" w:type="dxa"/>
          <w:right w:w="0" w:type="dxa"/>
        </w:tblCellMar>
      </w:tblPr>
      <w:tr>
        <w:trPr>
          <w:trHeight w:val="243"/>
        </w:trPr>
        <w:tc>
          <w:tcPr>
            <w:tcW w:w="400" w:type="dxa"/>
            <w:vAlign w:val="bottom"/>
            <w:gridSpan w:val="2"/>
            <w:shd w:val="clear" w:color="auto" w:fill="346094"/>
          </w:tcPr>
          <w:p>
            <w:pPr>
              <w:ind w:left="40"/>
              <w:spacing w:after="0"/>
              <w:rPr>
                <w:sz w:val="20"/>
                <w:szCs w:val="20"/>
                <w:color w:val="auto"/>
              </w:rPr>
            </w:pPr>
            <w:r>
              <w:rPr>
                <w:rFonts w:ascii="Arial" w:cs="Arial" w:eastAsia="Arial" w:hAnsi="Arial"/>
                <w:sz w:val="16"/>
                <w:szCs w:val="16"/>
                <w:b w:val="1"/>
                <w:bCs w:val="1"/>
                <w:color w:val="FFFFFF"/>
              </w:rPr>
              <w:t>​</w:t>
            </w:r>
          </w:p>
        </w:tc>
        <w:tc>
          <w:tcPr>
            <w:tcW w:w="1720" w:type="dxa"/>
            <w:vAlign w:val="bottom"/>
            <w:shd w:val="clear" w:color="auto" w:fill="346094"/>
          </w:tcPr>
          <w:p>
            <w:pPr>
              <w:ind w:left="320"/>
              <w:spacing w:after="0"/>
              <w:rPr>
                <w:sz w:val="20"/>
                <w:szCs w:val="20"/>
                <w:color w:val="auto"/>
              </w:rPr>
            </w:pPr>
            <w:r>
              <w:rPr>
                <w:rFonts w:ascii="Arial" w:cs="Arial" w:eastAsia="Arial" w:hAnsi="Arial"/>
                <w:sz w:val="16"/>
                <w:szCs w:val="16"/>
                <w:b w:val="1"/>
                <w:bCs w:val="1"/>
                <w:color w:val="FFFFFF"/>
              </w:rPr>
              <w:t>Element</w:t>
            </w:r>
          </w:p>
        </w:tc>
        <w:tc>
          <w:tcPr>
            <w:tcW w:w="1620" w:type="dxa"/>
            <w:vAlign w:val="bottom"/>
            <w:shd w:val="clear" w:color="auto" w:fill="346094"/>
          </w:tcPr>
          <w:p>
            <w:pPr>
              <w:ind w:left="220"/>
              <w:spacing w:after="0"/>
              <w:rPr>
                <w:sz w:val="20"/>
                <w:szCs w:val="20"/>
                <w:color w:val="auto"/>
              </w:rPr>
            </w:pPr>
            <w:r>
              <w:rPr>
                <w:rFonts w:ascii="Arial" w:cs="Arial" w:eastAsia="Arial" w:hAnsi="Arial"/>
                <w:sz w:val="16"/>
                <w:szCs w:val="16"/>
                <w:b w:val="1"/>
                <w:bCs w:val="1"/>
                <w:color w:val="FFFFFF"/>
              </w:rPr>
              <w:t>Fixed or Variable</w:t>
            </w:r>
          </w:p>
        </w:tc>
        <w:tc>
          <w:tcPr>
            <w:tcW w:w="4460" w:type="dxa"/>
            <w:vAlign w:val="bottom"/>
            <w:shd w:val="clear" w:color="auto" w:fill="346094"/>
          </w:tcPr>
          <w:p>
            <w:pPr>
              <w:ind w:left="1980"/>
              <w:spacing w:after="0"/>
              <w:rPr>
                <w:sz w:val="20"/>
                <w:szCs w:val="20"/>
                <w:color w:val="auto"/>
              </w:rPr>
            </w:pPr>
            <w:r>
              <w:rPr>
                <w:rFonts w:ascii="Arial" w:cs="Arial" w:eastAsia="Arial" w:hAnsi="Arial"/>
                <w:sz w:val="16"/>
                <w:szCs w:val="16"/>
                <w:b w:val="1"/>
                <w:bCs w:val="1"/>
                <w:color w:val="FFFFFF"/>
              </w:rPr>
              <w:t>Purpose</w:t>
            </w:r>
          </w:p>
        </w:tc>
        <w:tc>
          <w:tcPr>
            <w:tcW w:w="60" w:type="dxa"/>
            <w:vAlign w:val="bottom"/>
            <w:gridSpan w:val="2"/>
          </w:tcPr>
          <w:p>
            <w:pPr>
              <w:spacing w:after="0"/>
              <w:rPr>
                <w:sz w:val="20"/>
                <w:szCs w:val="20"/>
                <w:color w:val="auto"/>
              </w:rPr>
            </w:pPr>
            <w:r>
              <w:rPr>
                <w:rFonts w:ascii="Arial" w:cs="Arial" w:eastAsia="Arial" w:hAnsi="Arial"/>
                <w:sz w:val="16"/>
                <w:szCs w:val="16"/>
                <w:b w:val="1"/>
                <w:bCs w:val="1"/>
                <w:color w:val="FFFFFF"/>
              </w:rPr>
              <w:t>​</w:t>
            </w:r>
          </w:p>
        </w:tc>
      </w:tr>
      <w:tr>
        <w:trPr>
          <w:trHeight w:val="226"/>
        </w:trPr>
        <w:tc>
          <w:tcPr>
            <w:tcW w:w="2120" w:type="dxa"/>
            <w:vAlign w:val="bottom"/>
            <w:gridSpan w:val="3"/>
            <w:shd w:val="clear" w:color="auto" w:fill="E1E7EF"/>
          </w:tcPr>
          <w:p>
            <w:pPr>
              <w:ind w:left="60"/>
              <w:spacing w:after="0"/>
              <w:rPr>
                <w:sz w:val="20"/>
                <w:szCs w:val="20"/>
                <w:color w:val="auto"/>
              </w:rPr>
            </w:pPr>
            <w:r>
              <w:rPr>
                <w:rFonts w:ascii="Arial" w:cs="Arial" w:eastAsia="Arial" w:hAnsi="Arial"/>
                <w:sz w:val="16"/>
                <w:szCs w:val="16"/>
                <w:b w:val="1"/>
                <w:bCs w:val="1"/>
                <w:color w:val="346094"/>
              </w:rPr>
              <w:t>Base Salary</w:t>
            </w:r>
          </w:p>
        </w:tc>
        <w:tc>
          <w:tcPr>
            <w:tcW w:w="1620" w:type="dxa"/>
            <w:vAlign w:val="bottom"/>
          </w:tcPr>
          <w:p>
            <w:pPr>
              <w:ind w:left="100"/>
              <w:spacing w:after="0"/>
              <w:rPr>
                <w:sz w:val="20"/>
                <w:szCs w:val="20"/>
                <w:color w:val="auto"/>
              </w:rPr>
            </w:pPr>
            <w:r>
              <w:rPr>
                <w:rFonts w:ascii="Trebuchet MS" w:cs="Trebuchet MS" w:eastAsia="Trebuchet MS" w:hAnsi="Trebuchet MS"/>
                <w:sz w:val="16"/>
                <w:szCs w:val="16"/>
                <w:color w:val="4C4C4C"/>
              </w:rPr>
              <w:t>Fixed</w:t>
            </w:r>
          </w:p>
        </w:tc>
        <w:tc>
          <w:tcPr>
            <w:tcW w:w="4460" w:type="dxa"/>
            <w:vAlign w:val="bottom"/>
          </w:tcPr>
          <w:p>
            <w:pPr>
              <w:ind w:left="100"/>
              <w:spacing w:after="0"/>
              <w:rPr>
                <w:sz w:val="20"/>
                <w:szCs w:val="20"/>
                <w:color w:val="auto"/>
              </w:rPr>
            </w:pPr>
            <w:r>
              <w:rPr>
                <w:rFonts w:ascii="Trebuchet MS" w:cs="Trebuchet MS" w:eastAsia="Trebuchet MS" w:hAnsi="Trebuchet MS"/>
                <w:sz w:val="16"/>
                <w:szCs w:val="16"/>
                <w:color w:val="4C4C4C"/>
              </w:rPr>
              <w:t>To attract and retain executives with the knowledge, skills,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4"/>
        </w:trPr>
        <w:tc>
          <w:tcPr>
            <w:tcW w:w="60" w:type="dxa"/>
            <w:vAlign w:val="bottom"/>
            <w:shd w:val="clear" w:color="auto" w:fill="E1E7EF"/>
          </w:tcPr>
          <w:p>
            <w:pPr>
              <w:spacing w:after="0"/>
              <w:rPr>
                <w:sz w:val="16"/>
                <w:szCs w:val="16"/>
                <w:color w:val="auto"/>
              </w:rPr>
            </w:pPr>
          </w:p>
        </w:tc>
        <w:tc>
          <w:tcPr>
            <w:tcW w:w="340" w:type="dxa"/>
            <w:vAlign w:val="bottom"/>
            <w:shd w:val="clear" w:color="auto" w:fill="E1E7EF"/>
          </w:tcPr>
          <w:p>
            <w:pPr>
              <w:spacing w:after="0"/>
              <w:rPr>
                <w:sz w:val="16"/>
                <w:szCs w:val="16"/>
                <w:color w:val="auto"/>
              </w:rPr>
            </w:pPr>
          </w:p>
        </w:tc>
        <w:tc>
          <w:tcPr>
            <w:tcW w:w="1720" w:type="dxa"/>
            <w:vAlign w:val="bottom"/>
            <w:shd w:val="clear" w:color="auto" w:fill="E1E7EF"/>
          </w:tcPr>
          <w:p>
            <w:pPr>
              <w:spacing w:after="0"/>
              <w:rPr>
                <w:sz w:val="16"/>
                <w:szCs w:val="16"/>
                <w:color w:val="auto"/>
              </w:rPr>
            </w:pPr>
          </w:p>
        </w:tc>
        <w:tc>
          <w:tcPr>
            <w:tcW w:w="1620" w:type="dxa"/>
            <w:vAlign w:val="bottom"/>
          </w:tcPr>
          <w:p>
            <w:pPr>
              <w:spacing w:after="0"/>
              <w:rPr>
                <w:sz w:val="16"/>
                <w:szCs w:val="16"/>
                <w:color w:val="auto"/>
              </w:rPr>
            </w:pPr>
          </w:p>
        </w:tc>
        <w:tc>
          <w:tcPr>
            <w:tcW w:w="4460" w:type="dxa"/>
            <w:vAlign w:val="bottom"/>
          </w:tcPr>
          <w:p>
            <w:pPr>
              <w:ind w:left="100"/>
              <w:spacing w:after="0"/>
              <w:rPr>
                <w:sz w:val="20"/>
                <w:szCs w:val="20"/>
                <w:color w:val="auto"/>
              </w:rPr>
            </w:pPr>
            <w:r>
              <w:rPr>
                <w:rFonts w:ascii="Trebuchet MS" w:cs="Trebuchet MS" w:eastAsia="Trebuchet MS" w:hAnsi="Trebuchet MS"/>
                <w:sz w:val="16"/>
                <w:szCs w:val="16"/>
                <w:color w:val="4C4C4C"/>
              </w:rPr>
              <w:t>and abilities necessary to successfully execute their job</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7"/>
        </w:trPr>
        <w:tc>
          <w:tcPr>
            <w:tcW w:w="60" w:type="dxa"/>
            <w:vAlign w:val="bottom"/>
            <w:shd w:val="clear" w:color="auto" w:fill="E1E7EF"/>
          </w:tcPr>
          <w:p>
            <w:pPr>
              <w:spacing w:after="0"/>
              <w:rPr>
                <w:sz w:val="17"/>
                <w:szCs w:val="17"/>
                <w:color w:val="auto"/>
              </w:rPr>
            </w:pPr>
          </w:p>
        </w:tc>
        <w:tc>
          <w:tcPr>
            <w:tcW w:w="340" w:type="dxa"/>
            <w:vAlign w:val="bottom"/>
            <w:shd w:val="clear" w:color="auto" w:fill="E1E7EF"/>
          </w:tcPr>
          <w:p>
            <w:pPr>
              <w:spacing w:after="0"/>
              <w:rPr>
                <w:sz w:val="17"/>
                <w:szCs w:val="17"/>
                <w:color w:val="auto"/>
              </w:rPr>
            </w:pPr>
          </w:p>
        </w:tc>
        <w:tc>
          <w:tcPr>
            <w:tcW w:w="1720" w:type="dxa"/>
            <w:vAlign w:val="bottom"/>
            <w:shd w:val="clear" w:color="auto" w:fill="E1E7EF"/>
          </w:tcPr>
          <w:p>
            <w:pPr>
              <w:spacing w:after="0"/>
              <w:rPr>
                <w:sz w:val="17"/>
                <w:szCs w:val="17"/>
                <w:color w:val="auto"/>
              </w:rPr>
            </w:pPr>
          </w:p>
        </w:tc>
        <w:tc>
          <w:tcPr>
            <w:tcW w:w="1620" w:type="dxa"/>
            <w:vAlign w:val="bottom"/>
          </w:tcPr>
          <w:p>
            <w:pPr>
              <w:spacing w:after="0"/>
              <w:rPr>
                <w:sz w:val="17"/>
                <w:szCs w:val="17"/>
                <w:color w:val="auto"/>
              </w:rPr>
            </w:pPr>
          </w:p>
        </w:tc>
        <w:tc>
          <w:tcPr>
            <w:tcW w:w="4460" w:type="dxa"/>
            <w:vAlign w:val="bottom"/>
          </w:tcPr>
          <w:p>
            <w:pPr>
              <w:ind w:left="100"/>
              <w:spacing w:after="0"/>
              <w:rPr>
                <w:sz w:val="20"/>
                <w:szCs w:val="20"/>
                <w:color w:val="auto"/>
              </w:rPr>
            </w:pPr>
            <w:r>
              <w:rPr>
                <w:rFonts w:ascii="Trebuchet MS" w:cs="Trebuchet MS" w:eastAsia="Trebuchet MS" w:hAnsi="Trebuchet MS"/>
                <w:sz w:val="16"/>
                <w:szCs w:val="16"/>
                <w:color w:val="4C4C4C"/>
              </w:rPr>
              <w:t>responsibilities by offering fixed compensation that is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60" w:type="dxa"/>
            <w:vAlign w:val="bottom"/>
            <w:shd w:val="clear" w:color="auto" w:fill="E1E7EF"/>
          </w:tcPr>
          <w:p>
            <w:pPr>
              <w:spacing w:after="0"/>
              <w:rPr>
                <w:sz w:val="16"/>
                <w:szCs w:val="16"/>
                <w:color w:val="auto"/>
              </w:rPr>
            </w:pPr>
          </w:p>
        </w:tc>
        <w:tc>
          <w:tcPr>
            <w:tcW w:w="340" w:type="dxa"/>
            <w:vAlign w:val="bottom"/>
            <w:shd w:val="clear" w:color="auto" w:fill="E1E7EF"/>
          </w:tcPr>
          <w:p>
            <w:pPr>
              <w:spacing w:after="0"/>
              <w:rPr>
                <w:sz w:val="16"/>
                <w:szCs w:val="16"/>
                <w:color w:val="auto"/>
              </w:rPr>
            </w:pPr>
          </w:p>
        </w:tc>
        <w:tc>
          <w:tcPr>
            <w:tcW w:w="1720" w:type="dxa"/>
            <w:vAlign w:val="bottom"/>
            <w:shd w:val="clear" w:color="auto" w:fill="E1E7EF"/>
          </w:tcPr>
          <w:p>
            <w:pPr>
              <w:spacing w:after="0"/>
              <w:rPr>
                <w:sz w:val="16"/>
                <w:szCs w:val="16"/>
                <w:color w:val="auto"/>
              </w:rPr>
            </w:pPr>
          </w:p>
        </w:tc>
        <w:tc>
          <w:tcPr>
            <w:tcW w:w="1620" w:type="dxa"/>
            <w:vAlign w:val="bottom"/>
          </w:tcPr>
          <w:p>
            <w:pPr>
              <w:spacing w:after="0"/>
              <w:rPr>
                <w:sz w:val="16"/>
                <w:szCs w:val="16"/>
                <w:color w:val="auto"/>
              </w:rPr>
            </w:pPr>
          </w:p>
        </w:tc>
        <w:tc>
          <w:tcPr>
            <w:tcW w:w="4460" w:type="dxa"/>
            <w:vAlign w:val="bottom"/>
          </w:tcPr>
          <w:p>
            <w:pPr>
              <w:ind w:left="100"/>
              <w:spacing w:after="0"/>
              <w:rPr>
                <w:sz w:val="20"/>
                <w:szCs w:val="20"/>
                <w:color w:val="auto"/>
              </w:rPr>
            </w:pPr>
            <w:r>
              <w:rPr>
                <w:rFonts w:ascii="Trebuchet MS" w:cs="Trebuchet MS" w:eastAsia="Trebuchet MS" w:hAnsi="Trebuchet MS"/>
                <w:sz w:val="16"/>
                <w:szCs w:val="16"/>
                <w:color w:val="4C4C4C"/>
              </w:rPr>
              <w:t>competitive with market opportunities and that recognizes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60" w:type="dxa"/>
            <w:vAlign w:val="bottom"/>
            <w:shd w:val="clear" w:color="auto" w:fill="E1E7EF"/>
          </w:tcPr>
          <w:p>
            <w:pPr>
              <w:spacing w:after="0"/>
              <w:rPr>
                <w:sz w:val="16"/>
                <w:szCs w:val="16"/>
                <w:color w:val="auto"/>
              </w:rPr>
            </w:pPr>
          </w:p>
        </w:tc>
        <w:tc>
          <w:tcPr>
            <w:tcW w:w="340" w:type="dxa"/>
            <w:vAlign w:val="bottom"/>
            <w:shd w:val="clear" w:color="auto" w:fill="E1E7EF"/>
          </w:tcPr>
          <w:p>
            <w:pPr>
              <w:spacing w:after="0"/>
              <w:rPr>
                <w:sz w:val="16"/>
                <w:szCs w:val="16"/>
                <w:color w:val="auto"/>
              </w:rPr>
            </w:pPr>
          </w:p>
        </w:tc>
        <w:tc>
          <w:tcPr>
            <w:tcW w:w="1720" w:type="dxa"/>
            <w:vAlign w:val="bottom"/>
            <w:shd w:val="clear" w:color="auto" w:fill="E1E7EF"/>
          </w:tcPr>
          <w:p>
            <w:pPr>
              <w:spacing w:after="0"/>
              <w:rPr>
                <w:sz w:val="16"/>
                <w:szCs w:val="16"/>
                <w:color w:val="auto"/>
              </w:rPr>
            </w:pPr>
          </w:p>
        </w:tc>
        <w:tc>
          <w:tcPr>
            <w:tcW w:w="1620" w:type="dxa"/>
            <w:vAlign w:val="bottom"/>
          </w:tcPr>
          <w:p>
            <w:pPr>
              <w:spacing w:after="0"/>
              <w:rPr>
                <w:sz w:val="16"/>
                <w:szCs w:val="16"/>
                <w:color w:val="auto"/>
              </w:rPr>
            </w:pPr>
          </w:p>
        </w:tc>
        <w:tc>
          <w:tcPr>
            <w:tcW w:w="4460" w:type="dxa"/>
            <w:vAlign w:val="bottom"/>
          </w:tcPr>
          <w:p>
            <w:pPr>
              <w:ind w:left="100"/>
              <w:spacing w:after="0"/>
              <w:rPr>
                <w:sz w:val="20"/>
                <w:szCs w:val="20"/>
                <w:color w:val="auto"/>
              </w:rPr>
            </w:pPr>
            <w:r>
              <w:rPr>
                <w:rFonts w:ascii="Trebuchet MS" w:cs="Trebuchet MS" w:eastAsia="Trebuchet MS" w:hAnsi="Trebuchet MS"/>
                <w:sz w:val="16"/>
                <w:szCs w:val="16"/>
                <w:color w:val="4C4C4C"/>
              </w:rPr>
              <w:t>each executive’s position, role, responsibility and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5"/>
        </w:trPr>
        <w:tc>
          <w:tcPr>
            <w:tcW w:w="60" w:type="dxa"/>
            <w:vAlign w:val="bottom"/>
            <w:tcBorders>
              <w:bottom w:val="single" w:sz="8" w:color="E1E7EF"/>
            </w:tcBorders>
            <w:shd w:val="clear" w:color="auto" w:fill="E1E7EF"/>
          </w:tcPr>
          <w:p>
            <w:pPr>
              <w:spacing w:after="0"/>
              <w:rPr>
                <w:sz w:val="20"/>
                <w:szCs w:val="20"/>
                <w:color w:val="auto"/>
              </w:rPr>
            </w:pPr>
          </w:p>
        </w:tc>
        <w:tc>
          <w:tcPr>
            <w:tcW w:w="340" w:type="dxa"/>
            <w:vAlign w:val="bottom"/>
            <w:tcBorders>
              <w:bottom w:val="single" w:sz="8" w:color="E1E7EF"/>
            </w:tcBorders>
            <w:shd w:val="clear" w:color="auto" w:fill="E1E7EF"/>
          </w:tcPr>
          <w:p>
            <w:pPr>
              <w:spacing w:after="0"/>
              <w:rPr>
                <w:sz w:val="20"/>
                <w:szCs w:val="20"/>
                <w:color w:val="auto"/>
              </w:rPr>
            </w:pPr>
          </w:p>
        </w:tc>
        <w:tc>
          <w:tcPr>
            <w:tcW w:w="1720" w:type="dxa"/>
            <w:vAlign w:val="bottom"/>
            <w:tcBorders>
              <w:bottom w:val="single" w:sz="8" w:color="E1E7EF"/>
            </w:tcBorders>
            <w:shd w:val="clear" w:color="auto" w:fill="E1E7EF"/>
          </w:tcPr>
          <w:p>
            <w:pPr>
              <w:spacing w:after="0"/>
              <w:rPr>
                <w:sz w:val="20"/>
                <w:szCs w:val="20"/>
                <w:color w:val="auto"/>
              </w:rPr>
            </w:pPr>
          </w:p>
        </w:tc>
        <w:tc>
          <w:tcPr>
            <w:tcW w:w="1620" w:type="dxa"/>
            <w:vAlign w:val="bottom"/>
          </w:tcPr>
          <w:p>
            <w:pPr>
              <w:spacing w:after="0"/>
              <w:rPr>
                <w:sz w:val="20"/>
                <w:szCs w:val="20"/>
                <w:color w:val="auto"/>
              </w:rPr>
            </w:pPr>
          </w:p>
        </w:tc>
        <w:tc>
          <w:tcPr>
            <w:tcW w:w="4460" w:type="dxa"/>
            <w:vAlign w:val="bottom"/>
          </w:tcPr>
          <w:p>
            <w:pPr>
              <w:ind w:left="100"/>
              <w:spacing w:after="0"/>
              <w:rPr>
                <w:sz w:val="20"/>
                <w:szCs w:val="20"/>
                <w:color w:val="auto"/>
              </w:rPr>
            </w:pPr>
            <w:r>
              <w:rPr>
                <w:rFonts w:ascii="Trebuchet MS" w:cs="Trebuchet MS" w:eastAsia="Trebuchet MS" w:hAnsi="Trebuchet MS"/>
                <w:sz w:val="16"/>
                <w:szCs w:val="16"/>
                <w:color w:val="4C4C4C"/>
              </w:rPr>
              <w:t>experience.</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2"/>
        </w:trPr>
        <w:tc>
          <w:tcPr>
            <w:tcW w:w="60" w:type="dxa"/>
            <w:vAlign w:val="bottom"/>
            <w:tcBorders>
              <w:top w:val="single" w:sz="8" w:color="346094"/>
            </w:tcBorders>
          </w:tcPr>
          <w:p>
            <w:pPr>
              <w:spacing w:after="0"/>
              <w:rPr>
                <w:sz w:val="18"/>
                <w:szCs w:val="18"/>
                <w:color w:val="auto"/>
              </w:rPr>
            </w:pPr>
          </w:p>
        </w:tc>
        <w:tc>
          <w:tcPr>
            <w:tcW w:w="2060" w:type="dxa"/>
            <w:vAlign w:val="bottom"/>
            <w:tcBorders>
              <w:top w:val="single" w:sz="8" w:color="346094"/>
            </w:tcBorders>
            <w:gridSpan w:val="2"/>
            <w:shd w:val="clear" w:color="auto" w:fill="E1E7EF"/>
          </w:tcPr>
          <w:p>
            <w:pPr>
              <w:spacing w:after="0"/>
              <w:rPr>
                <w:sz w:val="20"/>
                <w:szCs w:val="20"/>
                <w:color w:val="auto"/>
              </w:rPr>
            </w:pPr>
            <w:r>
              <w:rPr>
                <w:rFonts w:ascii="Arial" w:cs="Arial" w:eastAsia="Arial" w:hAnsi="Arial"/>
                <w:sz w:val="16"/>
                <w:szCs w:val="16"/>
                <w:b w:val="1"/>
                <w:bCs w:val="1"/>
                <w:color w:val="346094"/>
              </w:rPr>
              <w:t>Annual Cash Incentive</w:t>
            </w:r>
          </w:p>
        </w:tc>
        <w:tc>
          <w:tcPr>
            <w:tcW w:w="1620" w:type="dxa"/>
            <w:vAlign w:val="bottom"/>
            <w:tcBorders>
              <w:top w:val="single" w:sz="8" w:color="346094"/>
            </w:tcBorders>
          </w:tcPr>
          <w:p>
            <w:pPr>
              <w:ind w:left="100"/>
              <w:spacing w:after="0"/>
              <w:rPr>
                <w:sz w:val="20"/>
                <w:szCs w:val="20"/>
                <w:color w:val="auto"/>
              </w:rPr>
            </w:pPr>
            <w:r>
              <w:rPr>
                <w:rFonts w:ascii="Trebuchet MS" w:cs="Trebuchet MS" w:eastAsia="Trebuchet MS" w:hAnsi="Trebuchet MS"/>
                <w:sz w:val="16"/>
                <w:szCs w:val="16"/>
                <w:color w:val="4C4C4C"/>
              </w:rPr>
              <w:t>Variable</w:t>
            </w:r>
          </w:p>
        </w:tc>
        <w:tc>
          <w:tcPr>
            <w:tcW w:w="4460" w:type="dxa"/>
            <w:vAlign w:val="bottom"/>
            <w:tcBorders>
              <w:top w:val="single" w:sz="8" w:color="346094"/>
            </w:tcBorders>
          </w:tcPr>
          <w:p>
            <w:pPr>
              <w:ind w:left="100"/>
              <w:spacing w:after="0"/>
              <w:rPr>
                <w:sz w:val="20"/>
                <w:szCs w:val="20"/>
                <w:color w:val="auto"/>
              </w:rPr>
            </w:pPr>
            <w:r>
              <w:rPr>
                <w:rFonts w:ascii="Trebuchet MS" w:cs="Trebuchet MS" w:eastAsia="Trebuchet MS" w:hAnsi="Trebuchet MS"/>
                <w:sz w:val="16"/>
                <w:szCs w:val="16"/>
                <w:color w:val="4C4C4C"/>
              </w:rPr>
              <w:t>To align, motivate and focus attention on the execution of</w:t>
            </w:r>
          </w:p>
        </w:tc>
        <w:tc>
          <w:tcPr>
            <w:tcW w:w="20" w:type="dxa"/>
            <w:vAlign w:val="bottom"/>
            <w:tcBorders>
              <w:top w:val="single" w:sz="8" w:color="346094"/>
            </w:tcBorders>
          </w:tcPr>
          <w:p>
            <w:pPr>
              <w:spacing w:after="0"/>
              <w:rPr>
                <w:sz w:val="18"/>
                <w:szCs w:val="18"/>
                <w:color w:val="auto"/>
              </w:rPr>
            </w:pPr>
          </w:p>
        </w:tc>
        <w:tc>
          <w:tcPr>
            <w:tcW w:w="40" w:type="dxa"/>
            <w:vAlign w:val="bottom"/>
          </w:tcPr>
          <w:p>
            <w:pPr>
              <w:spacing w:after="0"/>
              <w:rPr>
                <w:sz w:val="18"/>
                <w:szCs w:val="18"/>
                <w:color w:val="auto"/>
              </w:rPr>
            </w:pPr>
          </w:p>
        </w:tc>
      </w:tr>
      <w:tr>
        <w:trPr>
          <w:trHeight w:val="240"/>
        </w:trPr>
        <w:tc>
          <w:tcPr>
            <w:tcW w:w="60" w:type="dxa"/>
            <w:vAlign w:val="bottom"/>
          </w:tcPr>
          <w:p>
            <w:pPr>
              <w:spacing w:after="0"/>
              <w:rPr>
                <w:sz w:val="20"/>
                <w:szCs w:val="20"/>
                <w:color w:val="auto"/>
              </w:rPr>
            </w:pPr>
          </w:p>
        </w:tc>
        <w:tc>
          <w:tcPr>
            <w:tcW w:w="340" w:type="dxa"/>
            <w:vAlign w:val="bottom"/>
            <w:tcBorders>
              <w:bottom w:val="single" w:sz="8" w:color="E1E7EF"/>
            </w:tcBorders>
            <w:shd w:val="clear" w:color="auto" w:fill="E1E7EF"/>
          </w:tcPr>
          <w:p>
            <w:pPr>
              <w:spacing w:after="0"/>
              <w:rPr>
                <w:sz w:val="20"/>
                <w:szCs w:val="20"/>
                <w:color w:val="auto"/>
              </w:rPr>
            </w:pPr>
          </w:p>
        </w:tc>
        <w:tc>
          <w:tcPr>
            <w:tcW w:w="1720" w:type="dxa"/>
            <w:vAlign w:val="bottom"/>
            <w:tcBorders>
              <w:bottom w:val="single" w:sz="8" w:color="E1E7EF"/>
            </w:tcBorders>
            <w:shd w:val="clear" w:color="auto" w:fill="E1E7EF"/>
          </w:tcPr>
          <w:p>
            <w:pPr>
              <w:spacing w:after="0"/>
              <w:rPr>
                <w:sz w:val="20"/>
                <w:szCs w:val="20"/>
                <w:color w:val="auto"/>
              </w:rPr>
            </w:pPr>
          </w:p>
        </w:tc>
        <w:tc>
          <w:tcPr>
            <w:tcW w:w="1620" w:type="dxa"/>
            <w:vAlign w:val="bottom"/>
          </w:tcPr>
          <w:p>
            <w:pPr>
              <w:spacing w:after="0"/>
              <w:rPr>
                <w:sz w:val="20"/>
                <w:szCs w:val="20"/>
                <w:color w:val="auto"/>
              </w:rPr>
            </w:pPr>
          </w:p>
        </w:tc>
        <w:tc>
          <w:tcPr>
            <w:tcW w:w="4460" w:type="dxa"/>
            <w:vAlign w:val="bottom"/>
          </w:tcPr>
          <w:p>
            <w:pPr>
              <w:ind w:left="100"/>
              <w:spacing w:after="0"/>
              <w:rPr>
                <w:sz w:val="20"/>
                <w:szCs w:val="20"/>
                <w:color w:val="auto"/>
              </w:rPr>
            </w:pPr>
            <w:r>
              <w:rPr>
                <w:rFonts w:ascii="Trebuchet MS" w:cs="Trebuchet MS" w:eastAsia="Trebuchet MS" w:hAnsi="Trebuchet MS"/>
                <w:sz w:val="16"/>
                <w:szCs w:val="16"/>
                <w:color w:val="4C4C4C"/>
              </w:rPr>
              <w:t>key short-term strategic and operational initiatives.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2"/>
        </w:trPr>
        <w:tc>
          <w:tcPr>
            <w:tcW w:w="2120" w:type="dxa"/>
            <w:vAlign w:val="bottom"/>
            <w:tcBorders>
              <w:top w:val="single" w:sz="8" w:color="346094"/>
            </w:tcBorders>
            <w:gridSpan w:val="3"/>
          </w:tcPr>
          <w:p>
            <w:pPr>
              <w:ind w:left="60"/>
              <w:spacing w:after="0"/>
              <w:rPr>
                <w:sz w:val="20"/>
                <w:szCs w:val="20"/>
                <w:color w:val="auto"/>
              </w:rPr>
            </w:pPr>
            <w:r>
              <w:rPr>
                <w:rFonts w:ascii="Arial" w:cs="Arial" w:eastAsia="Arial" w:hAnsi="Arial"/>
                <w:sz w:val="16"/>
                <w:szCs w:val="16"/>
                <w:b w:val="1"/>
                <w:bCs w:val="1"/>
                <w:color w:val="346094"/>
              </w:rPr>
              <w:t>Equity Awards</w:t>
            </w:r>
          </w:p>
        </w:tc>
        <w:tc>
          <w:tcPr>
            <w:tcW w:w="1620" w:type="dxa"/>
            <w:vAlign w:val="bottom"/>
            <w:tcBorders>
              <w:top w:val="single" w:sz="8" w:color="346094"/>
            </w:tcBorders>
          </w:tcPr>
          <w:p>
            <w:pPr>
              <w:ind w:left="100"/>
              <w:spacing w:after="0"/>
              <w:rPr>
                <w:sz w:val="20"/>
                <w:szCs w:val="20"/>
                <w:color w:val="auto"/>
              </w:rPr>
            </w:pPr>
            <w:r>
              <w:rPr>
                <w:rFonts w:ascii="Trebuchet MS" w:cs="Trebuchet MS" w:eastAsia="Trebuchet MS" w:hAnsi="Trebuchet MS"/>
                <w:sz w:val="16"/>
                <w:szCs w:val="16"/>
                <w:color w:val="4C4C4C"/>
              </w:rPr>
              <w:t>Variable</w:t>
            </w:r>
          </w:p>
        </w:tc>
        <w:tc>
          <w:tcPr>
            <w:tcW w:w="4460" w:type="dxa"/>
            <w:vAlign w:val="bottom"/>
            <w:tcBorders>
              <w:top w:val="single" w:sz="8" w:color="346094"/>
            </w:tcBorders>
          </w:tcPr>
          <w:p>
            <w:pPr>
              <w:ind w:left="100"/>
              <w:spacing w:after="0"/>
              <w:rPr>
                <w:sz w:val="20"/>
                <w:szCs w:val="20"/>
                <w:color w:val="auto"/>
              </w:rPr>
            </w:pPr>
            <w:r>
              <w:rPr>
                <w:rFonts w:ascii="Trebuchet MS" w:cs="Trebuchet MS" w:eastAsia="Trebuchet MS" w:hAnsi="Trebuchet MS"/>
                <w:sz w:val="16"/>
                <w:szCs w:val="16"/>
                <w:color w:val="4C4C4C"/>
              </w:rPr>
              <w:t>To align executives’ interests with the interests of</w:t>
            </w:r>
          </w:p>
        </w:tc>
        <w:tc>
          <w:tcPr>
            <w:tcW w:w="20" w:type="dxa"/>
            <w:vAlign w:val="bottom"/>
            <w:tcBorders>
              <w:top w:val="single" w:sz="8" w:color="346094"/>
            </w:tcBorders>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60" w:type="dxa"/>
            <w:vAlign w:val="bottom"/>
          </w:tcPr>
          <w:p>
            <w:pPr>
              <w:ind w:left="100"/>
              <w:spacing w:after="0"/>
              <w:rPr>
                <w:sz w:val="20"/>
                <w:szCs w:val="20"/>
                <w:color w:val="auto"/>
              </w:rPr>
            </w:pPr>
            <w:r>
              <w:rPr>
                <w:rFonts w:ascii="Trebuchet MS" w:cs="Trebuchet MS" w:eastAsia="Trebuchet MS" w:hAnsi="Trebuchet MS"/>
                <w:sz w:val="16"/>
                <w:szCs w:val="16"/>
                <w:color w:val="4C4C4C"/>
              </w:rPr>
              <w:t>stockholders through equity-based compensation to ensure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-1354455</wp:posOffset>
            </wp:positionV>
            <wp:extent cx="5212080" cy="17659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2080" cy="1765935"/>
                    </a:xfrm>
                    <a:prstGeom prst="rect">
                      <a:avLst/>
                    </a:prstGeom>
                    <a:noFill/>
                  </pic:spPr>
                </pic:pic>
              </a:graphicData>
            </a:graphic>
          </wp:anchor>
        </w:drawing>
      </w:r>
    </w:p>
    <w:p>
      <w:pPr>
        <w:ind w:left="5100"/>
        <w:spacing w:after="0"/>
        <w:rPr>
          <w:sz w:val="20"/>
          <w:szCs w:val="20"/>
          <w:color w:val="auto"/>
        </w:rPr>
      </w:pPr>
      <w:r>
        <w:rPr>
          <w:rFonts w:ascii="Trebuchet MS" w:cs="Trebuchet MS" w:eastAsia="Trebuchet MS" w:hAnsi="Trebuchet MS"/>
          <w:sz w:val="16"/>
          <w:szCs w:val="16"/>
          <w:color w:val="4C4C4C"/>
        </w:rPr>
        <w:t>focus on long-term value creation and the Company’s</w:t>
      </w:r>
    </w:p>
    <w:p>
      <w:pPr>
        <w:spacing w:after="0" w:line="3" w:lineRule="exact"/>
        <w:rPr>
          <w:sz w:val="20"/>
          <w:szCs w:val="20"/>
          <w:color w:val="auto"/>
        </w:rPr>
      </w:pPr>
    </w:p>
    <w:p>
      <w:pPr>
        <w:ind w:left="5100"/>
        <w:spacing w:after="0"/>
        <w:rPr>
          <w:sz w:val="20"/>
          <w:szCs w:val="20"/>
          <w:color w:val="auto"/>
        </w:rPr>
      </w:pPr>
      <w:r>
        <w:rPr>
          <w:rFonts w:ascii="Trebuchet MS" w:cs="Trebuchet MS" w:eastAsia="Trebuchet MS" w:hAnsi="Trebuchet MS"/>
          <w:sz w:val="16"/>
          <w:szCs w:val="16"/>
          <w:color w:val="4C4C4C"/>
        </w:rPr>
        <w:t>strategic objectives, and to promote the long-term</w:t>
      </w:r>
    </w:p>
    <w:p>
      <w:pPr>
        <w:spacing w:after="0" w:line="3" w:lineRule="exact"/>
        <w:rPr>
          <w:sz w:val="20"/>
          <w:szCs w:val="20"/>
          <w:color w:val="auto"/>
        </w:rPr>
      </w:pPr>
    </w:p>
    <w:p>
      <w:pPr>
        <w:ind w:left="5100"/>
        <w:spacing w:after="0"/>
        <w:rPr>
          <w:sz w:val="20"/>
          <w:szCs w:val="20"/>
          <w:color w:val="auto"/>
        </w:rPr>
      </w:pPr>
      <w:r>
        <w:rPr>
          <w:rFonts w:ascii="Trebuchet MS" w:cs="Trebuchet MS" w:eastAsia="Trebuchet MS" w:hAnsi="Trebuchet MS"/>
          <w:sz w:val="16"/>
          <w:szCs w:val="16"/>
          <w:color w:val="4C4C4C"/>
        </w:rPr>
        <w:t>retention of our executives.</w:t>
      </w:r>
    </w:p>
    <w:p>
      <w:pPr>
        <w:spacing w:after="0" w:line="239"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i w:val="1"/>
          <w:iCs w:val="1"/>
          <w:color w:val="4C4C4C"/>
        </w:rPr>
        <w:t>Base Salaries</w:t>
      </w:r>
    </w:p>
    <w:p>
      <w:pPr>
        <w:spacing w:after="0" w:line="173" w:lineRule="exact"/>
        <w:rPr>
          <w:sz w:val="20"/>
          <w:szCs w:val="20"/>
          <w:color w:val="auto"/>
        </w:rPr>
      </w:pPr>
    </w:p>
    <w:p>
      <w:pPr>
        <w:ind w:left="1260" w:right="479"/>
        <w:spacing w:after="0" w:line="247" w:lineRule="auto"/>
        <w:rPr>
          <w:sz w:val="20"/>
          <w:szCs w:val="20"/>
          <w:color w:val="auto"/>
        </w:rPr>
      </w:pPr>
      <w:r>
        <w:rPr>
          <w:rFonts w:ascii="Arial" w:cs="Arial" w:eastAsia="Arial" w:hAnsi="Arial"/>
          <w:sz w:val="18"/>
          <w:szCs w:val="18"/>
          <w:color w:val="4C4C4C"/>
        </w:rPr>
        <w:t>We use competitive base salaries to attract and retain qualified executives with the knowledge, skills, and abilities necessary to successfully execute their job responsibilities to help us achieve our growth and</w:t>
      </w:r>
    </w:p>
    <w:p>
      <w:pPr>
        <w:spacing w:after="0" w:line="391" w:lineRule="exact"/>
        <w:rPr>
          <w:sz w:val="20"/>
          <w:szCs w:val="20"/>
          <w:color w:val="auto"/>
        </w:rPr>
      </w:pPr>
    </w:p>
    <w:p>
      <w:pPr>
        <w:ind w:left="1780" w:hanging="520"/>
        <w:spacing w:after="0"/>
        <w:tabs>
          <w:tab w:leader="none" w:pos="1780" w:val="left"/>
        </w:tabs>
        <w:numPr>
          <w:ilvl w:val="0"/>
          <w:numId w:val="58"/>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6700"/>
        <w:spacing w:after="0"/>
        <w:rPr>
          <w:sz w:val="20"/>
          <w:szCs w:val="20"/>
          <w:color w:val="auto"/>
        </w:rPr>
      </w:pPr>
      <w:r>
        <w:rPr>
          <w:rFonts w:ascii="Arial" w:cs="Arial" w:eastAsia="Arial" w:hAnsi="Arial"/>
          <w:sz w:val="12"/>
          <w:szCs w:val="12"/>
          <w:color w:val="346094"/>
        </w:rPr>
        <w:t>COMPENSATION DISCUSSION AND ANALYSIS</w:t>
      </w:r>
    </w:p>
    <w:p>
      <w:pPr>
        <w:spacing w:after="0" w:line="33"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02" w:lineRule="exact"/>
        <w:rPr>
          <w:sz w:val="20"/>
          <w:szCs w:val="20"/>
          <w:color w:val="auto"/>
        </w:rPr>
      </w:pPr>
    </w:p>
    <w:p>
      <w:pPr>
        <w:ind w:left="1260" w:right="619"/>
        <w:spacing w:after="0" w:line="244" w:lineRule="auto"/>
        <w:rPr>
          <w:sz w:val="20"/>
          <w:szCs w:val="20"/>
          <w:color w:val="auto"/>
        </w:rPr>
      </w:pPr>
      <w:r>
        <w:rPr>
          <w:rFonts w:ascii="Arial" w:cs="Arial" w:eastAsia="Arial" w:hAnsi="Arial"/>
          <w:sz w:val="18"/>
          <w:szCs w:val="18"/>
          <w:color w:val="4C4C4C"/>
        </w:rPr>
        <w:t>performance goals. Base salaries are intended to recognize a named executive officer’s immediate contribution to our organization, as well as his or her experience, knowledge and responsibilities.</w:t>
      </w:r>
    </w:p>
    <w:p>
      <w:pPr>
        <w:spacing w:after="0" w:line="187" w:lineRule="exact"/>
        <w:rPr>
          <w:sz w:val="20"/>
          <w:szCs w:val="20"/>
          <w:color w:val="auto"/>
        </w:rPr>
      </w:pPr>
    </w:p>
    <w:p>
      <w:pPr>
        <w:ind w:left="1260" w:right="1079"/>
        <w:spacing w:after="0" w:line="259" w:lineRule="auto"/>
        <w:rPr>
          <w:sz w:val="20"/>
          <w:szCs w:val="20"/>
          <w:color w:val="auto"/>
        </w:rPr>
      </w:pPr>
      <w:r>
        <w:rPr>
          <w:rFonts w:ascii="Arial" w:cs="Arial" w:eastAsia="Arial" w:hAnsi="Arial"/>
          <w:sz w:val="18"/>
          <w:szCs w:val="18"/>
          <w:color w:val="4C4C4C"/>
        </w:rPr>
        <w:t>Our Compensation Committee annually evaluates named executive officer base salary levels, including:</w:t>
      </w:r>
    </w:p>
    <w:p>
      <w:pPr>
        <w:spacing w:after="0" w:line="80" w:lineRule="exact"/>
        <w:rPr>
          <w:sz w:val="20"/>
          <w:szCs w:val="20"/>
          <w:color w:val="auto"/>
        </w:rPr>
      </w:pPr>
    </w:p>
    <w:p>
      <w:pPr>
        <w:ind w:left="1800" w:right="599" w:hanging="180"/>
        <w:spacing w:after="0" w:line="259" w:lineRule="auto"/>
        <w:tabs>
          <w:tab w:leader="none" w:pos="1800" w:val="left"/>
        </w:tabs>
        <w:numPr>
          <w:ilvl w:val="0"/>
          <w:numId w:val="59"/>
        </w:numPr>
        <w:rPr>
          <w:rFonts w:ascii="Arial" w:cs="Arial" w:eastAsia="Arial" w:hAnsi="Arial"/>
          <w:sz w:val="18"/>
          <w:szCs w:val="18"/>
          <w:color w:val="4C4C4C"/>
        </w:rPr>
      </w:pPr>
      <w:r>
        <w:rPr>
          <w:rFonts w:ascii="Arial" w:cs="Arial" w:eastAsia="Arial" w:hAnsi="Arial"/>
          <w:sz w:val="18"/>
          <w:szCs w:val="18"/>
          <w:color w:val="4C4C4C"/>
        </w:rPr>
        <w:t>recommendations from our Chief Executive Officer (for named executive officers other than himself);</w:t>
      </w:r>
    </w:p>
    <w:p>
      <w:pPr>
        <w:spacing w:after="0" w:line="66" w:lineRule="exact"/>
        <w:rPr>
          <w:rFonts w:ascii="Arial" w:cs="Arial" w:eastAsia="Arial" w:hAnsi="Arial"/>
          <w:sz w:val="18"/>
          <w:szCs w:val="18"/>
          <w:color w:val="4C4C4C"/>
        </w:rPr>
      </w:pPr>
    </w:p>
    <w:p>
      <w:pPr>
        <w:ind w:left="1800" w:hanging="180"/>
        <w:spacing w:after="0"/>
        <w:tabs>
          <w:tab w:leader="none" w:pos="1800" w:val="left"/>
        </w:tabs>
        <w:numPr>
          <w:ilvl w:val="0"/>
          <w:numId w:val="59"/>
        </w:numPr>
        <w:rPr>
          <w:rFonts w:ascii="Arial" w:cs="Arial" w:eastAsia="Arial" w:hAnsi="Arial"/>
          <w:sz w:val="18"/>
          <w:szCs w:val="18"/>
          <w:color w:val="4C4C4C"/>
        </w:rPr>
      </w:pPr>
      <w:r>
        <w:rPr>
          <w:rFonts w:ascii="Arial" w:cs="Arial" w:eastAsia="Arial" w:hAnsi="Arial"/>
          <w:sz w:val="18"/>
          <w:szCs w:val="18"/>
          <w:color w:val="4C4C4C"/>
        </w:rPr>
        <w:t>the named executive officer’s skills and experience;</w:t>
      </w:r>
    </w:p>
    <w:p>
      <w:pPr>
        <w:spacing w:after="0" w:line="90" w:lineRule="exact"/>
        <w:rPr>
          <w:rFonts w:ascii="Arial" w:cs="Arial" w:eastAsia="Arial" w:hAnsi="Arial"/>
          <w:sz w:val="18"/>
          <w:szCs w:val="18"/>
          <w:color w:val="4C4C4C"/>
        </w:rPr>
      </w:pPr>
    </w:p>
    <w:p>
      <w:pPr>
        <w:ind w:left="1800" w:hanging="180"/>
        <w:spacing w:after="0"/>
        <w:tabs>
          <w:tab w:leader="none" w:pos="1800" w:val="left"/>
        </w:tabs>
        <w:numPr>
          <w:ilvl w:val="0"/>
          <w:numId w:val="59"/>
        </w:numPr>
        <w:rPr>
          <w:rFonts w:ascii="Arial" w:cs="Arial" w:eastAsia="Arial" w:hAnsi="Arial"/>
          <w:sz w:val="18"/>
          <w:szCs w:val="18"/>
          <w:color w:val="4C4C4C"/>
        </w:rPr>
      </w:pPr>
      <w:r>
        <w:rPr>
          <w:rFonts w:ascii="Arial" w:cs="Arial" w:eastAsia="Arial" w:hAnsi="Arial"/>
          <w:sz w:val="18"/>
          <w:szCs w:val="18"/>
          <w:color w:val="4C4C4C"/>
        </w:rPr>
        <w:t>the particular importance of the named executive officer’s position to us;</w:t>
      </w:r>
    </w:p>
    <w:p>
      <w:pPr>
        <w:spacing w:after="0" w:line="90" w:lineRule="exact"/>
        <w:rPr>
          <w:rFonts w:ascii="Arial" w:cs="Arial" w:eastAsia="Arial" w:hAnsi="Arial"/>
          <w:sz w:val="18"/>
          <w:szCs w:val="18"/>
          <w:color w:val="4C4C4C"/>
        </w:rPr>
      </w:pPr>
    </w:p>
    <w:p>
      <w:pPr>
        <w:ind w:left="1800" w:hanging="180"/>
        <w:spacing w:after="0"/>
        <w:tabs>
          <w:tab w:leader="none" w:pos="1800" w:val="left"/>
        </w:tabs>
        <w:numPr>
          <w:ilvl w:val="0"/>
          <w:numId w:val="59"/>
        </w:numPr>
        <w:rPr>
          <w:rFonts w:ascii="Arial" w:cs="Arial" w:eastAsia="Arial" w:hAnsi="Arial"/>
          <w:sz w:val="18"/>
          <w:szCs w:val="18"/>
          <w:color w:val="4C4C4C"/>
        </w:rPr>
      </w:pPr>
      <w:r>
        <w:rPr>
          <w:rFonts w:ascii="Arial" w:cs="Arial" w:eastAsia="Arial" w:hAnsi="Arial"/>
          <w:sz w:val="18"/>
          <w:szCs w:val="18"/>
          <w:color w:val="4C4C4C"/>
        </w:rPr>
        <w:t>the named executive officer’s individual performance;</w:t>
      </w:r>
    </w:p>
    <w:p>
      <w:pPr>
        <w:spacing w:after="0" w:line="90" w:lineRule="exact"/>
        <w:rPr>
          <w:rFonts w:ascii="Arial" w:cs="Arial" w:eastAsia="Arial" w:hAnsi="Arial"/>
          <w:sz w:val="18"/>
          <w:szCs w:val="18"/>
          <w:color w:val="4C4C4C"/>
        </w:rPr>
      </w:pPr>
    </w:p>
    <w:p>
      <w:pPr>
        <w:ind w:left="1800" w:hanging="180"/>
        <w:spacing w:after="0"/>
        <w:tabs>
          <w:tab w:leader="none" w:pos="1800" w:val="left"/>
        </w:tabs>
        <w:numPr>
          <w:ilvl w:val="0"/>
          <w:numId w:val="59"/>
        </w:numPr>
        <w:rPr>
          <w:rFonts w:ascii="Arial" w:cs="Arial" w:eastAsia="Arial" w:hAnsi="Arial"/>
          <w:sz w:val="18"/>
          <w:szCs w:val="18"/>
          <w:color w:val="4C4C4C"/>
        </w:rPr>
      </w:pPr>
      <w:r>
        <w:rPr>
          <w:rFonts w:ascii="Arial" w:cs="Arial" w:eastAsia="Arial" w:hAnsi="Arial"/>
          <w:sz w:val="18"/>
          <w:szCs w:val="18"/>
          <w:color w:val="4C4C4C"/>
        </w:rPr>
        <w:t>the named executive officer’s growth in his or her position; and</w:t>
      </w:r>
    </w:p>
    <w:p>
      <w:pPr>
        <w:spacing w:after="0" w:line="90" w:lineRule="exact"/>
        <w:rPr>
          <w:rFonts w:ascii="Arial" w:cs="Arial" w:eastAsia="Arial" w:hAnsi="Arial"/>
          <w:sz w:val="18"/>
          <w:szCs w:val="18"/>
          <w:color w:val="4C4C4C"/>
        </w:rPr>
      </w:pPr>
    </w:p>
    <w:p>
      <w:pPr>
        <w:ind w:left="1800" w:right="939" w:hanging="180"/>
        <w:spacing w:after="0" w:line="259" w:lineRule="auto"/>
        <w:tabs>
          <w:tab w:leader="none" w:pos="1800" w:val="left"/>
        </w:tabs>
        <w:numPr>
          <w:ilvl w:val="0"/>
          <w:numId w:val="59"/>
        </w:numPr>
        <w:rPr>
          <w:rFonts w:ascii="Arial" w:cs="Arial" w:eastAsia="Arial" w:hAnsi="Arial"/>
          <w:sz w:val="18"/>
          <w:szCs w:val="18"/>
          <w:color w:val="4C4C4C"/>
        </w:rPr>
      </w:pPr>
      <w:r>
        <w:rPr>
          <w:rFonts w:ascii="Arial" w:cs="Arial" w:eastAsia="Arial" w:hAnsi="Arial"/>
          <w:sz w:val="18"/>
          <w:szCs w:val="18"/>
          <w:color w:val="4C4C4C"/>
        </w:rPr>
        <w:t>the results of FW Cook’s comparative assessment regarding base salaries for comparable positions at peer companies.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The 2025 base salaries of our named executive officers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138430</wp:posOffset>
            </wp:positionV>
            <wp:extent cx="5212080"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198" w:lineRule="exact"/>
        <w:rPr>
          <w:sz w:val="20"/>
          <w:szCs w:val="20"/>
          <w:color w:val="auto"/>
        </w:rPr>
      </w:pPr>
    </w:p>
    <w:tbl>
      <w:tblPr>
        <w:tblLayout w:type="fixed"/>
        <w:tblInd w:w="1260" w:type="dxa"/>
        <w:tblCellMar>
          <w:top w:w="0" w:type="dxa"/>
          <w:left w:w="0" w:type="dxa"/>
          <w:bottom w:w="0" w:type="dxa"/>
          <w:right w:w="0" w:type="dxa"/>
        </w:tblCellMar>
      </w:tblPr>
      <w:tr>
        <w:trPr>
          <w:trHeight w:val="256"/>
        </w:trPr>
        <w:tc>
          <w:tcPr>
            <w:tcW w:w="3220" w:type="dxa"/>
            <w:vAlign w:val="bottom"/>
          </w:tcPr>
          <w:p>
            <w:pPr>
              <w:ind w:left="40"/>
              <w:spacing w:after="0"/>
              <w:rPr>
                <w:sz w:val="20"/>
                <w:szCs w:val="20"/>
                <w:color w:val="auto"/>
              </w:rPr>
            </w:pPr>
            <w:r>
              <w:rPr>
                <w:rFonts w:ascii="Arial" w:cs="Arial" w:eastAsia="Arial" w:hAnsi="Arial"/>
                <w:sz w:val="16"/>
                <w:szCs w:val="16"/>
                <w:b w:val="1"/>
                <w:bCs w:val="1"/>
                <w:color w:val="FFFFFF"/>
              </w:rPr>
              <w:t>​Named Executive Officer</w:t>
            </w:r>
          </w:p>
        </w:tc>
        <w:tc>
          <w:tcPr>
            <w:tcW w:w="2360" w:type="dxa"/>
            <w:vAlign w:val="bottom"/>
          </w:tcPr>
          <w:p>
            <w:pPr>
              <w:jc w:val="right"/>
              <w:ind w:right="109"/>
              <w:spacing w:after="0"/>
              <w:rPr>
                <w:sz w:val="20"/>
                <w:szCs w:val="20"/>
                <w:color w:val="auto"/>
              </w:rPr>
            </w:pPr>
            <w:r>
              <w:rPr>
                <w:rFonts w:ascii="Arial" w:cs="Arial" w:eastAsia="Arial" w:hAnsi="Arial"/>
                <w:sz w:val="16"/>
                <w:szCs w:val="16"/>
                <w:b w:val="1"/>
                <w:bCs w:val="1"/>
                <w:color w:val="FFFFFF"/>
              </w:rPr>
              <w:t>2025 Base Salary</w:t>
            </w:r>
          </w:p>
        </w:tc>
        <w:tc>
          <w:tcPr>
            <w:tcW w:w="2640" w:type="dxa"/>
            <w:vAlign w:val="bottom"/>
            <w:gridSpan w:val="3"/>
          </w:tcPr>
          <w:p>
            <w:pPr>
              <w:ind w:left="140"/>
              <w:spacing w:after="0"/>
              <w:rPr>
                <w:sz w:val="20"/>
                <w:szCs w:val="20"/>
                <w:color w:val="auto"/>
              </w:rPr>
            </w:pPr>
            <w:r>
              <w:rPr>
                <w:rFonts w:ascii="Arial" w:cs="Arial" w:eastAsia="Arial" w:hAnsi="Arial"/>
                <w:sz w:val="16"/>
                <w:szCs w:val="16"/>
                <w:b w:val="1"/>
                <w:bCs w:val="1"/>
                <w:color w:val="FFFFFF"/>
              </w:rPr>
              <w:t>Increase Over 2024 Base Salary ​</w:t>
            </w:r>
          </w:p>
        </w:tc>
        <w:tc>
          <w:tcPr>
            <w:tcW w:w="0" w:type="dxa"/>
            <w:vAlign w:val="bottom"/>
          </w:tcPr>
          <w:p>
            <w:pPr>
              <w:spacing w:after="0"/>
              <w:rPr>
                <w:sz w:val="1"/>
                <w:szCs w:val="1"/>
                <w:color w:val="auto"/>
              </w:rPr>
            </w:pPr>
          </w:p>
        </w:tc>
      </w:tr>
      <w:tr>
        <w:trPr>
          <w:trHeight w:val="257"/>
        </w:trPr>
        <w:tc>
          <w:tcPr>
            <w:tcW w:w="3220" w:type="dxa"/>
            <w:vAlign w:val="bottom"/>
          </w:tcPr>
          <w:p>
            <w:pPr>
              <w:ind w:left="40"/>
              <w:spacing w:after="0"/>
              <w:rPr>
                <w:sz w:val="20"/>
                <w:szCs w:val="20"/>
                <w:color w:val="auto"/>
              </w:rPr>
            </w:pPr>
            <w:r>
              <w:rPr>
                <w:rFonts w:ascii="Arial" w:cs="Arial" w:eastAsia="Arial" w:hAnsi="Arial"/>
                <w:sz w:val="16"/>
                <w:szCs w:val="16"/>
                <w:color w:val="4C4C4C"/>
              </w:rPr>
              <w:t>​Patrick R. Gruber</w:t>
            </w:r>
          </w:p>
        </w:tc>
        <w:tc>
          <w:tcPr>
            <w:tcW w:w="2360" w:type="dxa"/>
            <w:vAlign w:val="bottom"/>
          </w:tcPr>
          <w:p>
            <w:pPr>
              <w:jc w:val="right"/>
              <w:ind w:right="49"/>
              <w:spacing w:after="0"/>
              <w:rPr>
                <w:sz w:val="20"/>
                <w:szCs w:val="20"/>
                <w:color w:val="auto"/>
              </w:rPr>
            </w:pPr>
            <w:r>
              <w:rPr>
                <w:rFonts w:ascii="Arial" w:cs="Arial" w:eastAsia="Arial" w:hAnsi="Arial"/>
                <w:sz w:val="16"/>
                <w:szCs w:val="16"/>
                <w:color w:val="4C4C4C"/>
              </w:rPr>
              <w:t>​$687,500</w:t>
            </w:r>
          </w:p>
        </w:tc>
        <w:tc>
          <w:tcPr>
            <w:tcW w:w="2640" w:type="dxa"/>
            <w:vAlign w:val="bottom"/>
            <w:gridSpan w:val="3"/>
          </w:tcPr>
          <w:p>
            <w:pPr>
              <w:jc w:val="right"/>
              <w:spacing w:after="0"/>
              <w:rPr>
                <w:sz w:val="20"/>
                <w:szCs w:val="20"/>
                <w:color w:val="auto"/>
              </w:rPr>
            </w:pPr>
            <w:r>
              <w:rPr>
                <w:rFonts w:ascii="Arial" w:cs="Arial" w:eastAsia="Arial" w:hAnsi="Arial"/>
                <w:sz w:val="16"/>
                <w:szCs w:val="16"/>
                <w:color w:val="4C4C4C"/>
              </w:rPr>
              <w:t>​ 3% ​</w:t>
            </w:r>
          </w:p>
        </w:tc>
        <w:tc>
          <w:tcPr>
            <w:tcW w:w="0" w:type="dxa"/>
            <w:vAlign w:val="bottom"/>
          </w:tcPr>
          <w:p>
            <w:pPr>
              <w:spacing w:after="0"/>
              <w:rPr>
                <w:sz w:val="1"/>
                <w:szCs w:val="1"/>
                <w:color w:val="auto"/>
              </w:rPr>
            </w:pPr>
          </w:p>
        </w:tc>
      </w:tr>
      <w:tr>
        <w:trPr>
          <w:trHeight w:val="189"/>
        </w:trPr>
        <w:tc>
          <w:tcPr>
            <w:tcW w:w="3220" w:type="dxa"/>
            <w:vAlign w:val="bottom"/>
          </w:tcPr>
          <w:p>
            <w:pPr>
              <w:ind w:left="60"/>
              <w:spacing w:after="0" w:line="189" w:lineRule="exact"/>
              <w:rPr>
                <w:sz w:val="20"/>
                <w:szCs w:val="20"/>
                <w:color w:val="auto"/>
              </w:rPr>
            </w:pPr>
            <w:r>
              <w:rPr>
                <w:rFonts w:ascii="Arial" w:cs="Arial" w:eastAsia="Arial" w:hAnsi="Arial"/>
                <w:sz w:val="14"/>
                <w:szCs w:val="14"/>
                <w:color w:val="4C4C4C"/>
              </w:rPr>
              <w:t>Oluwagbemileke (Leke) Agiri</w:t>
            </w:r>
            <w:r>
              <w:rPr>
                <w:rFonts w:ascii="Trebuchet MS" w:cs="Trebuchet MS" w:eastAsia="Trebuchet MS" w:hAnsi="Trebuchet MS"/>
                <w:sz w:val="21"/>
                <w:szCs w:val="21"/>
                <w:color w:val="4C4C4C"/>
                <w:vertAlign w:val="superscript"/>
              </w:rPr>
              <w:t>(1)</w:t>
            </w:r>
          </w:p>
        </w:tc>
        <w:tc>
          <w:tcPr>
            <w:tcW w:w="2360" w:type="dxa"/>
            <w:vAlign w:val="bottom"/>
          </w:tcPr>
          <w:p>
            <w:pPr>
              <w:jc w:val="right"/>
              <w:ind w:right="49"/>
              <w:spacing w:after="0"/>
              <w:rPr>
                <w:sz w:val="20"/>
                <w:szCs w:val="20"/>
                <w:color w:val="auto"/>
              </w:rPr>
            </w:pPr>
            <w:r>
              <w:rPr>
                <w:rFonts w:ascii="Arial" w:cs="Arial" w:eastAsia="Arial" w:hAnsi="Arial"/>
                <w:sz w:val="16"/>
                <w:szCs w:val="16"/>
                <w:color w:val="4C4C4C"/>
              </w:rPr>
              <w:t>$380,000</w:t>
            </w:r>
          </w:p>
        </w:tc>
        <w:tc>
          <w:tcPr>
            <w:tcW w:w="2580" w:type="dxa"/>
            <w:vAlign w:val="bottom"/>
            <w:gridSpan w:val="2"/>
          </w:tcPr>
          <w:p>
            <w:pPr>
              <w:ind w:left="2300"/>
              <w:spacing w:after="0"/>
              <w:rPr>
                <w:sz w:val="20"/>
                <w:szCs w:val="20"/>
                <w:color w:val="auto"/>
              </w:rPr>
            </w:pPr>
            <w:r>
              <w:rPr>
                <w:rFonts w:ascii="Arial" w:cs="Arial" w:eastAsia="Arial" w:hAnsi="Arial"/>
                <w:sz w:val="16"/>
                <w:szCs w:val="16"/>
                <w:color w:val="4C4C4C"/>
                <w:w w:val="81"/>
              </w:rPr>
              <w:t>25%</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3220" w:type="dxa"/>
            <w:vAlign w:val="bottom"/>
          </w:tcPr>
          <w:p>
            <w:pPr>
              <w:ind w:left="40"/>
              <w:spacing w:after="0" w:line="68" w:lineRule="exact"/>
              <w:rPr>
                <w:sz w:val="20"/>
                <w:szCs w:val="20"/>
                <w:color w:val="auto"/>
              </w:rPr>
            </w:pPr>
            <w:r>
              <w:rPr>
                <w:rFonts w:ascii="Arial" w:cs="Arial" w:eastAsia="Arial" w:hAnsi="Arial"/>
                <w:sz w:val="7"/>
                <w:szCs w:val="7"/>
                <w:color w:val="4C4C4C"/>
              </w:rPr>
              <w:t>​</w:t>
            </w:r>
          </w:p>
        </w:tc>
        <w:tc>
          <w:tcPr>
            <w:tcW w:w="2360" w:type="dxa"/>
            <w:vAlign w:val="bottom"/>
          </w:tcPr>
          <w:p>
            <w:pPr>
              <w:jc w:val="right"/>
              <w:ind w:right="669"/>
              <w:spacing w:after="0" w:line="68" w:lineRule="exact"/>
              <w:rPr>
                <w:sz w:val="20"/>
                <w:szCs w:val="20"/>
                <w:color w:val="auto"/>
              </w:rPr>
            </w:pPr>
            <w:r>
              <w:rPr>
                <w:rFonts w:ascii="Arial" w:cs="Arial" w:eastAsia="Arial" w:hAnsi="Arial"/>
                <w:sz w:val="7"/>
                <w:szCs w:val="7"/>
                <w:color w:val="4C4C4C"/>
              </w:rPr>
              <w:t>​</w:t>
            </w:r>
          </w:p>
        </w:tc>
        <w:tc>
          <w:tcPr>
            <w:tcW w:w="2380" w:type="dxa"/>
            <w:vAlign w:val="bottom"/>
          </w:tcPr>
          <w:p>
            <w:pPr>
              <w:ind w:left="2280"/>
              <w:spacing w:after="0" w:line="68" w:lineRule="exact"/>
              <w:rPr>
                <w:sz w:val="20"/>
                <w:szCs w:val="20"/>
                <w:color w:val="auto"/>
              </w:rPr>
            </w:pPr>
            <w:r>
              <w:rPr>
                <w:rFonts w:ascii="Arial" w:cs="Arial" w:eastAsia="Arial" w:hAnsi="Arial"/>
                <w:sz w:val="7"/>
                <w:szCs w:val="7"/>
                <w:color w:val="4C4C4C"/>
              </w:rPr>
              <w:t>​</w:t>
            </w:r>
          </w:p>
        </w:tc>
        <w:tc>
          <w:tcPr>
            <w:tcW w:w="2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220" w:type="dxa"/>
            <w:vAlign w:val="bottom"/>
          </w:tcPr>
          <w:p>
            <w:pPr>
              <w:ind w:left="40"/>
              <w:spacing w:after="0"/>
              <w:rPr>
                <w:sz w:val="20"/>
                <w:szCs w:val="20"/>
                <w:color w:val="auto"/>
              </w:rPr>
            </w:pPr>
            <w:r>
              <w:rPr>
                <w:rFonts w:ascii="Arial" w:cs="Arial" w:eastAsia="Arial" w:hAnsi="Arial"/>
                <w:sz w:val="16"/>
                <w:szCs w:val="16"/>
                <w:color w:val="4C4C4C"/>
              </w:rPr>
              <w:t>​Christopher M. Ryan</w:t>
            </w:r>
          </w:p>
        </w:tc>
        <w:tc>
          <w:tcPr>
            <w:tcW w:w="2360" w:type="dxa"/>
            <w:vAlign w:val="bottom"/>
          </w:tcPr>
          <w:p>
            <w:pPr>
              <w:jc w:val="right"/>
              <w:ind w:right="49"/>
              <w:spacing w:after="0"/>
              <w:rPr>
                <w:sz w:val="20"/>
                <w:szCs w:val="20"/>
                <w:color w:val="auto"/>
              </w:rPr>
            </w:pPr>
            <w:r>
              <w:rPr>
                <w:rFonts w:ascii="Arial" w:cs="Arial" w:eastAsia="Arial" w:hAnsi="Arial"/>
                <w:sz w:val="16"/>
                <w:szCs w:val="16"/>
                <w:color w:val="4C4C4C"/>
              </w:rPr>
              <w:t>​$456,546</w:t>
            </w:r>
          </w:p>
        </w:tc>
        <w:tc>
          <w:tcPr>
            <w:tcW w:w="2640" w:type="dxa"/>
            <w:vAlign w:val="bottom"/>
            <w:gridSpan w:val="3"/>
          </w:tcPr>
          <w:p>
            <w:pPr>
              <w:jc w:val="right"/>
              <w:spacing w:after="0"/>
              <w:rPr>
                <w:sz w:val="20"/>
                <w:szCs w:val="20"/>
                <w:color w:val="auto"/>
              </w:rPr>
            </w:pPr>
            <w:r>
              <w:rPr>
                <w:rFonts w:ascii="Arial" w:cs="Arial" w:eastAsia="Arial" w:hAnsi="Arial"/>
                <w:sz w:val="16"/>
                <w:szCs w:val="16"/>
                <w:color w:val="4C4C4C"/>
              </w:rPr>
              <w:t>​ 3% ​</w:t>
            </w:r>
          </w:p>
        </w:tc>
        <w:tc>
          <w:tcPr>
            <w:tcW w:w="0" w:type="dxa"/>
            <w:vAlign w:val="bottom"/>
          </w:tcPr>
          <w:p>
            <w:pPr>
              <w:spacing w:after="0"/>
              <w:rPr>
                <w:sz w:val="1"/>
                <w:szCs w:val="1"/>
                <w:color w:val="auto"/>
              </w:rPr>
            </w:pPr>
          </w:p>
        </w:tc>
      </w:tr>
      <w:tr>
        <w:trPr>
          <w:trHeight w:val="189"/>
        </w:trPr>
        <w:tc>
          <w:tcPr>
            <w:tcW w:w="3220" w:type="dxa"/>
            <w:vAlign w:val="bottom"/>
          </w:tcPr>
          <w:p>
            <w:pPr>
              <w:ind w:left="60"/>
              <w:spacing w:after="0" w:line="189" w:lineRule="exact"/>
              <w:rPr>
                <w:sz w:val="20"/>
                <w:szCs w:val="20"/>
                <w:color w:val="auto"/>
              </w:rPr>
            </w:pPr>
            <w:r>
              <w:rPr>
                <w:rFonts w:ascii="Arial" w:cs="Arial" w:eastAsia="Arial" w:hAnsi="Arial"/>
                <w:sz w:val="14"/>
                <w:szCs w:val="14"/>
                <w:color w:val="4C4C4C"/>
              </w:rPr>
              <w:t>Paul D. Bloom</w:t>
            </w:r>
            <w:r>
              <w:rPr>
                <w:rFonts w:ascii="Trebuchet MS" w:cs="Trebuchet MS" w:eastAsia="Trebuchet MS" w:hAnsi="Trebuchet MS"/>
                <w:sz w:val="21"/>
                <w:szCs w:val="21"/>
                <w:color w:val="4C4C4C"/>
                <w:vertAlign w:val="superscript"/>
              </w:rPr>
              <w:t>(2)</w:t>
            </w:r>
          </w:p>
        </w:tc>
        <w:tc>
          <w:tcPr>
            <w:tcW w:w="2360" w:type="dxa"/>
            <w:vAlign w:val="bottom"/>
          </w:tcPr>
          <w:p>
            <w:pPr>
              <w:jc w:val="right"/>
              <w:ind w:right="49"/>
              <w:spacing w:after="0"/>
              <w:rPr>
                <w:sz w:val="20"/>
                <w:szCs w:val="20"/>
                <w:color w:val="auto"/>
              </w:rPr>
            </w:pPr>
            <w:r>
              <w:rPr>
                <w:rFonts w:ascii="Arial" w:cs="Arial" w:eastAsia="Arial" w:hAnsi="Arial"/>
                <w:sz w:val="16"/>
                <w:szCs w:val="16"/>
                <w:color w:val="4C4C4C"/>
              </w:rPr>
              <w:t>$550,000</w:t>
            </w:r>
          </w:p>
        </w:tc>
        <w:tc>
          <w:tcPr>
            <w:tcW w:w="2580" w:type="dxa"/>
            <w:vAlign w:val="bottom"/>
            <w:gridSpan w:val="2"/>
          </w:tcPr>
          <w:p>
            <w:pPr>
              <w:ind w:left="2300"/>
              <w:spacing w:after="0"/>
              <w:rPr>
                <w:sz w:val="20"/>
                <w:szCs w:val="20"/>
                <w:color w:val="auto"/>
              </w:rPr>
            </w:pPr>
            <w:r>
              <w:rPr>
                <w:rFonts w:ascii="Arial" w:cs="Arial" w:eastAsia="Arial" w:hAnsi="Arial"/>
                <w:sz w:val="16"/>
                <w:szCs w:val="16"/>
                <w:color w:val="4C4C4C"/>
                <w:w w:val="81"/>
              </w:rPr>
              <w:t>31%</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3220" w:type="dxa"/>
            <w:vAlign w:val="bottom"/>
          </w:tcPr>
          <w:p>
            <w:pPr>
              <w:ind w:left="40"/>
              <w:spacing w:after="0" w:line="68" w:lineRule="exact"/>
              <w:rPr>
                <w:sz w:val="20"/>
                <w:szCs w:val="20"/>
                <w:color w:val="auto"/>
              </w:rPr>
            </w:pPr>
            <w:r>
              <w:rPr>
                <w:rFonts w:ascii="Arial" w:cs="Arial" w:eastAsia="Arial" w:hAnsi="Arial"/>
                <w:sz w:val="7"/>
                <w:szCs w:val="7"/>
                <w:color w:val="4C4C4C"/>
              </w:rPr>
              <w:t>​</w:t>
            </w:r>
          </w:p>
        </w:tc>
        <w:tc>
          <w:tcPr>
            <w:tcW w:w="2360" w:type="dxa"/>
            <w:vAlign w:val="bottom"/>
          </w:tcPr>
          <w:p>
            <w:pPr>
              <w:jc w:val="right"/>
              <w:ind w:right="669"/>
              <w:spacing w:after="0" w:line="68" w:lineRule="exact"/>
              <w:rPr>
                <w:sz w:val="20"/>
                <w:szCs w:val="20"/>
                <w:color w:val="auto"/>
              </w:rPr>
            </w:pPr>
            <w:r>
              <w:rPr>
                <w:rFonts w:ascii="Arial" w:cs="Arial" w:eastAsia="Arial" w:hAnsi="Arial"/>
                <w:sz w:val="7"/>
                <w:szCs w:val="7"/>
                <w:color w:val="4C4C4C"/>
              </w:rPr>
              <w:t>​</w:t>
            </w:r>
          </w:p>
        </w:tc>
        <w:tc>
          <w:tcPr>
            <w:tcW w:w="2380" w:type="dxa"/>
            <w:vAlign w:val="bottom"/>
          </w:tcPr>
          <w:p>
            <w:pPr>
              <w:ind w:left="2280"/>
              <w:spacing w:after="0" w:line="68" w:lineRule="exact"/>
              <w:rPr>
                <w:sz w:val="20"/>
                <w:szCs w:val="20"/>
                <w:color w:val="auto"/>
              </w:rPr>
            </w:pPr>
            <w:r>
              <w:rPr>
                <w:rFonts w:ascii="Arial" w:cs="Arial" w:eastAsia="Arial" w:hAnsi="Arial"/>
                <w:sz w:val="7"/>
                <w:szCs w:val="7"/>
                <w:color w:val="4C4C4C"/>
              </w:rPr>
              <w:t>​</w:t>
            </w:r>
          </w:p>
        </w:tc>
        <w:tc>
          <w:tcPr>
            <w:tcW w:w="2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220" w:type="dxa"/>
            <w:vAlign w:val="bottom"/>
          </w:tcPr>
          <w:p>
            <w:pPr>
              <w:ind w:left="40"/>
              <w:spacing w:after="0"/>
              <w:rPr>
                <w:sz w:val="20"/>
                <w:szCs w:val="20"/>
                <w:color w:val="auto"/>
              </w:rPr>
            </w:pPr>
            <w:r>
              <w:rPr>
                <w:rFonts w:ascii="Arial" w:cs="Arial" w:eastAsia="Arial" w:hAnsi="Arial"/>
                <w:sz w:val="16"/>
                <w:szCs w:val="16"/>
                <w:color w:val="4C4C4C"/>
              </w:rPr>
              <w:t>​Andrew L. Shafer</w:t>
            </w:r>
          </w:p>
        </w:tc>
        <w:tc>
          <w:tcPr>
            <w:tcW w:w="2360" w:type="dxa"/>
            <w:vAlign w:val="bottom"/>
          </w:tcPr>
          <w:p>
            <w:pPr>
              <w:jc w:val="right"/>
              <w:ind w:right="49"/>
              <w:spacing w:after="0"/>
              <w:rPr>
                <w:sz w:val="20"/>
                <w:szCs w:val="20"/>
                <w:color w:val="auto"/>
              </w:rPr>
            </w:pPr>
            <w:r>
              <w:rPr>
                <w:rFonts w:ascii="Arial" w:cs="Arial" w:eastAsia="Arial" w:hAnsi="Arial"/>
                <w:sz w:val="16"/>
                <w:szCs w:val="16"/>
                <w:color w:val="4C4C4C"/>
              </w:rPr>
              <w:t>​$418,303</w:t>
            </w:r>
          </w:p>
        </w:tc>
        <w:tc>
          <w:tcPr>
            <w:tcW w:w="2580" w:type="dxa"/>
            <w:vAlign w:val="bottom"/>
            <w:gridSpan w:val="2"/>
          </w:tcPr>
          <w:p>
            <w:pPr>
              <w:ind w:left="2280"/>
              <w:spacing w:after="0"/>
              <w:rPr>
                <w:sz w:val="20"/>
                <w:szCs w:val="20"/>
                <w:color w:val="auto"/>
              </w:rPr>
            </w:pPr>
            <w:r>
              <w:rPr>
                <w:rFonts w:ascii="Arial" w:cs="Arial" w:eastAsia="Arial" w:hAnsi="Arial"/>
                <w:sz w:val="16"/>
                <w:szCs w:val="16"/>
                <w:color w:val="4C4C4C"/>
              </w:rPr>
              <w:t>​ 2%</w:t>
            </w:r>
          </w:p>
        </w:tc>
        <w:tc>
          <w:tcPr>
            <w:tcW w:w="60" w:type="dxa"/>
            <w:vAlign w:val="bottom"/>
          </w:tcPr>
          <w:p>
            <w:pPr>
              <w:jc w:val="right"/>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257"/>
        </w:trPr>
        <w:tc>
          <w:tcPr>
            <w:tcW w:w="3220" w:type="dxa"/>
            <w:vAlign w:val="bottom"/>
          </w:tcPr>
          <w:p>
            <w:pPr>
              <w:ind w:left="40"/>
              <w:spacing w:after="0"/>
              <w:rPr>
                <w:sz w:val="20"/>
                <w:szCs w:val="20"/>
                <w:color w:val="auto"/>
              </w:rPr>
            </w:pPr>
            <w:r>
              <w:rPr>
                <w:rFonts w:ascii="Arial" w:cs="Arial" w:eastAsia="Arial" w:hAnsi="Arial"/>
                <w:sz w:val="16"/>
                <w:szCs w:val="16"/>
                <w:color w:val="4C4C4C"/>
              </w:rPr>
              <w:t>​L. Lynn Smull</w:t>
            </w:r>
          </w:p>
        </w:tc>
        <w:tc>
          <w:tcPr>
            <w:tcW w:w="2360" w:type="dxa"/>
            <w:vAlign w:val="bottom"/>
          </w:tcPr>
          <w:p>
            <w:pPr>
              <w:jc w:val="right"/>
              <w:ind w:right="49"/>
              <w:spacing w:after="0"/>
              <w:rPr>
                <w:sz w:val="20"/>
                <w:szCs w:val="20"/>
                <w:color w:val="auto"/>
              </w:rPr>
            </w:pPr>
            <w:r>
              <w:rPr>
                <w:rFonts w:ascii="Arial" w:cs="Arial" w:eastAsia="Arial" w:hAnsi="Arial"/>
                <w:sz w:val="16"/>
                <w:szCs w:val="16"/>
                <w:color w:val="4C4C4C"/>
              </w:rPr>
              <w:t>​$427,248</w:t>
            </w:r>
          </w:p>
        </w:tc>
        <w:tc>
          <w:tcPr>
            <w:tcW w:w="2380" w:type="dxa"/>
            <w:vAlign w:val="bottom"/>
          </w:tcPr>
          <w:p>
            <w:pPr>
              <w:ind w:left="2280"/>
              <w:spacing w:after="0"/>
              <w:rPr>
                <w:sz w:val="20"/>
                <w:szCs w:val="20"/>
                <w:color w:val="auto"/>
              </w:rPr>
            </w:pPr>
            <w:r>
              <w:rPr>
                <w:rFonts w:ascii="Arial" w:cs="Arial" w:eastAsia="Arial" w:hAnsi="Arial"/>
                <w:sz w:val="16"/>
                <w:szCs w:val="16"/>
                <w:color w:val="4C4C4C"/>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4C4C4C"/>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-814070</wp:posOffset>
            </wp:positionV>
            <wp:extent cx="521208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-487680</wp:posOffset>
            </wp:positionV>
            <wp:extent cx="521208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-162560</wp:posOffset>
            </wp:positionV>
            <wp:extent cx="521208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102870</wp:posOffset>
            </wp:positionV>
            <wp:extent cx="1431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72" w:lineRule="exact"/>
        <w:rPr>
          <w:sz w:val="20"/>
          <w:szCs w:val="20"/>
          <w:color w:val="auto"/>
        </w:rPr>
      </w:pPr>
    </w:p>
    <w:p>
      <w:pPr>
        <w:ind w:left="1620" w:right="599" w:hanging="360"/>
        <w:spacing w:after="0" w:line="221" w:lineRule="auto"/>
        <w:tabs>
          <w:tab w:leader="none" w:pos="1620" w:val="left"/>
        </w:tabs>
        <w:numPr>
          <w:ilvl w:val="0"/>
          <w:numId w:val="60"/>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In May 2025, Mr. Agiri was promoted to the position of Chief Financial Officer of the Company, which resulted in an increase to his base salary to align with market compensation levels associated with the new role and the role’s expanded scope and responsibilities.</w:t>
      </w:r>
    </w:p>
    <w:p>
      <w:pPr>
        <w:spacing w:after="0" w:line="45" w:lineRule="exact"/>
        <w:rPr>
          <w:rFonts w:ascii="Trebuchet MS" w:cs="Trebuchet MS" w:eastAsia="Trebuchet MS" w:hAnsi="Trebuchet MS"/>
          <w:sz w:val="27"/>
          <w:szCs w:val="27"/>
          <w:color w:val="4C4C4C"/>
          <w:vertAlign w:val="superscript"/>
        </w:rPr>
      </w:pPr>
    </w:p>
    <w:p>
      <w:pPr>
        <w:ind w:left="1620" w:right="519" w:hanging="360"/>
        <w:spacing w:after="0" w:line="221" w:lineRule="auto"/>
        <w:tabs>
          <w:tab w:leader="none" w:pos="1620" w:val="left"/>
        </w:tabs>
        <w:numPr>
          <w:ilvl w:val="0"/>
          <w:numId w:val="60"/>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In December 2025, Mr. Bloom was promoted to the position of President of the Company, which resulted in an increase to his base salary to align with market compensation levels associated with the new role and the role’s expanded scope and responsibilities.</w:t>
      </w:r>
    </w:p>
    <w:p>
      <w:pPr>
        <w:spacing w:after="0" w:line="202"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i w:val="1"/>
          <w:iCs w:val="1"/>
          <w:color w:val="346094"/>
        </w:rPr>
        <w:t>Annual Cash Incentives</w:t>
      </w:r>
    </w:p>
    <w:p>
      <w:pPr>
        <w:spacing w:after="0" w:line="173" w:lineRule="exact"/>
        <w:rPr>
          <w:sz w:val="20"/>
          <w:szCs w:val="20"/>
          <w:color w:val="auto"/>
        </w:rPr>
      </w:pPr>
    </w:p>
    <w:p>
      <w:pPr>
        <w:ind w:left="1260" w:right="439"/>
        <w:spacing w:after="0"/>
        <w:rPr>
          <w:sz w:val="20"/>
          <w:szCs w:val="20"/>
          <w:color w:val="auto"/>
        </w:rPr>
      </w:pPr>
      <w:r>
        <w:rPr>
          <w:rFonts w:ascii="Arial" w:cs="Arial" w:eastAsia="Arial" w:hAnsi="Arial"/>
          <w:sz w:val="18"/>
          <w:szCs w:val="18"/>
          <w:color w:val="4C4C4C"/>
        </w:rPr>
        <w:t>The Compensation Committee believes that annual incentive bonuses that are awarded to our named executive officers based on Company and individual performance goals provide our named executive officers additional incentive to outperform our financial goals and increase stockholder value. Each year, the Compensation Committee establishes a target annual incentive award for each named executive officer expressed as a percentage of the executive’s base salary, based on various factors, including the results of FW Cook’s comparative assessment regarding annual incentive award targets for comparable positions at peer companies, the expected contribution and responsibility of the individual named executive officer and market practices.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4C4C4C"/>
        </w:rPr>
        <w:t>For 2025, the targets for our named executive officers and actual payouts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138430</wp:posOffset>
            </wp:positionV>
            <wp:extent cx="5212080" cy="3854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2080" cy="385445"/>
                    </a:xfrm>
                    <a:prstGeom prst="rect">
                      <a:avLst/>
                    </a:prstGeom>
                    <a:noFill/>
                  </pic:spPr>
                </pic:pic>
              </a:graphicData>
            </a:graphic>
          </wp:anchor>
        </w:drawing>
      </w:r>
    </w:p>
    <w:p>
      <w:pPr>
        <w:spacing w:after="0" w:line="198" w:lineRule="exact"/>
        <w:rPr>
          <w:sz w:val="20"/>
          <w:szCs w:val="20"/>
          <w:color w:val="auto"/>
        </w:rPr>
      </w:pPr>
    </w:p>
    <w:tbl>
      <w:tblPr>
        <w:tblLayout w:type="fixed"/>
        <w:tblInd w:w="1260" w:type="dxa"/>
        <w:tblCellMar>
          <w:top w:w="0" w:type="dxa"/>
          <w:left w:w="0" w:type="dxa"/>
          <w:bottom w:w="0" w:type="dxa"/>
          <w:right w:w="0" w:type="dxa"/>
        </w:tblCellMar>
      </w:tblPr>
      <w:tr>
        <w:trPr>
          <w:trHeight w:val="220"/>
        </w:trPr>
        <w:tc>
          <w:tcPr>
            <w:tcW w:w="24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880" w:type="dxa"/>
            <w:vAlign w:val="bottom"/>
            <w:gridSpan w:val="2"/>
          </w:tcPr>
          <w:p>
            <w:pPr>
              <w:jc w:val="center"/>
              <w:spacing w:after="0"/>
              <w:rPr>
                <w:sz w:val="20"/>
                <w:szCs w:val="20"/>
                <w:color w:val="auto"/>
              </w:rPr>
            </w:pPr>
            <w:r>
              <w:rPr>
                <w:rFonts w:ascii="Arial" w:cs="Arial" w:eastAsia="Arial" w:hAnsi="Arial"/>
                <w:sz w:val="16"/>
                <w:szCs w:val="16"/>
                <w:b w:val="1"/>
                <w:bCs w:val="1"/>
                <w:color w:val="FFFFFF"/>
              </w:rPr>
              <w:t>Actual 2025 Annual Incentive</w:t>
            </w:r>
          </w:p>
        </w:tc>
      </w:tr>
      <w:tr>
        <w:trPr>
          <w:trHeight w:val="175"/>
        </w:trPr>
        <w:tc>
          <w:tcPr>
            <w:tcW w:w="2420" w:type="dxa"/>
            <w:vAlign w:val="bottom"/>
          </w:tcPr>
          <w:p>
            <w:pPr>
              <w:spacing w:after="0"/>
              <w:rPr>
                <w:sz w:val="15"/>
                <w:szCs w:val="15"/>
                <w:color w:val="auto"/>
              </w:rPr>
            </w:pPr>
          </w:p>
        </w:tc>
        <w:tc>
          <w:tcPr>
            <w:tcW w:w="2920" w:type="dxa"/>
            <w:vAlign w:val="bottom"/>
          </w:tcPr>
          <w:p>
            <w:pPr>
              <w:ind w:left="380"/>
              <w:spacing w:after="0" w:line="175" w:lineRule="exact"/>
              <w:rPr>
                <w:sz w:val="20"/>
                <w:szCs w:val="20"/>
                <w:color w:val="auto"/>
              </w:rPr>
            </w:pPr>
            <w:r>
              <w:rPr>
                <w:rFonts w:ascii="Arial" w:cs="Arial" w:eastAsia="Arial" w:hAnsi="Arial"/>
                <w:sz w:val="16"/>
                <w:szCs w:val="16"/>
                <w:b w:val="1"/>
                <w:bCs w:val="1"/>
                <w:color w:val="FFFFFF"/>
              </w:rPr>
              <w:t>2025 Annual Incentive Target</w:t>
            </w:r>
          </w:p>
        </w:tc>
        <w:tc>
          <w:tcPr>
            <w:tcW w:w="288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FFFFFF"/>
                <w:w w:val="96"/>
              </w:rPr>
              <w:t>Payment (As a Percentage of Base</w:t>
            </w:r>
          </w:p>
        </w:tc>
      </w:tr>
      <w:tr>
        <w:trPr>
          <w:trHeight w:val="212"/>
        </w:trPr>
        <w:tc>
          <w:tcPr>
            <w:tcW w:w="2420" w:type="dxa"/>
            <w:vAlign w:val="bottom"/>
          </w:tcPr>
          <w:p>
            <w:pPr>
              <w:ind w:left="40"/>
              <w:spacing w:after="0"/>
              <w:rPr>
                <w:sz w:val="20"/>
                <w:szCs w:val="20"/>
                <w:color w:val="auto"/>
              </w:rPr>
            </w:pPr>
            <w:r>
              <w:rPr>
                <w:rFonts w:ascii="Arial" w:cs="Arial" w:eastAsia="Arial" w:hAnsi="Arial"/>
                <w:sz w:val="16"/>
                <w:szCs w:val="16"/>
                <w:b w:val="1"/>
                <w:bCs w:val="1"/>
                <w:color w:val="FFFFFF"/>
              </w:rPr>
              <w:t>​Named Executive Officer</w:t>
            </w:r>
          </w:p>
        </w:tc>
        <w:tc>
          <w:tcPr>
            <w:tcW w:w="2920" w:type="dxa"/>
            <w:vAlign w:val="bottom"/>
          </w:tcPr>
          <w:p>
            <w:pPr>
              <w:ind w:left="280"/>
              <w:spacing w:after="0"/>
              <w:rPr>
                <w:sz w:val="20"/>
                <w:szCs w:val="20"/>
                <w:color w:val="auto"/>
              </w:rPr>
            </w:pPr>
            <w:r>
              <w:rPr>
                <w:rFonts w:ascii="Arial" w:cs="Arial" w:eastAsia="Arial" w:hAnsi="Arial"/>
                <w:sz w:val="16"/>
                <w:szCs w:val="16"/>
                <w:b w:val="1"/>
                <w:bCs w:val="1"/>
                <w:color w:val="FFFFFF"/>
              </w:rPr>
              <w:t>(As a Percentage of Base Salary)</w:t>
            </w:r>
          </w:p>
        </w:tc>
        <w:tc>
          <w:tcPr>
            <w:tcW w:w="2040" w:type="dxa"/>
            <w:vAlign w:val="bottom"/>
          </w:tcPr>
          <w:p>
            <w:pPr>
              <w:jc w:val="center"/>
              <w:ind w:left="739"/>
              <w:spacing w:after="0"/>
              <w:rPr>
                <w:sz w:val="20"/>
                <w:szCs w:val="20"/>
                <w:color w:val="auto"/>
              </w:rPr>
            </w:pPr>
            <w:r>
              <w:rPr>
                <w:rFonts w:ascii="Arial" w:cs="Arial" w:eastAsia="Arial" w:hAnsi="Arial"/>
                <w:sz w:val="16"/>
                <w:szCs w:val="16"/>
                <w:b w:val="1"/>
                <w:bCs w:val="1"/>
                <w:color w:val="FFFFFF"/>
                <w:w w:val="93"/>
              </w:rPr>
              <w:t>Salary)</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FFFFFF"/>
              </w:rPr>
              <w:t>​</w:t>
            </w:r>
          </w:p>
        </w:tc>
      </w:tr>
      <w:tr>
        <w:trPr>
          <w:trHeight w:val="256"/>
        </w:trPr>
        <w:tc>
          <w:tcPr>
            <w:tcW w:w="2420" w:type="dxa"/>
            <w:vAlign w:val="bottom"/>
          </w:tcPr>
          <w:p>
            <w:pPr>
              <w:ind w:left="40"/>
              <w:spacing w:after="0"/>
              <w:rPr>
                <w:sz w:val="20"/>
                <w:szCs w:val="20"/>
                <w:color w:val="auto"/>
              </w:rPr>
            </w:pPr>
            <w:r>
              <w:rPr>
                <w:rFonts w:ascii="Arial" w:cs="Arial" w:eastAsia="Arial" w:hAnsi="Arial"/>
                <w:sz w:val="16"/>
                <w:szCs w:val="16"/>
                <w:color w:val="4C4C4C"/>
              </w:rPr>
              <w:t>​Patrick R. Gruber</w:t>
            </w:r>
          </w:p>
        </w:tc>
        <w:tc>
          <w:tcPr>
            <w:tcW w:w="2920" w:type="dxa"/>
            <w:vAlign w:val="bottom"/>
          </w:tcPr>
          <w:p>
            <w:pPr>
              <w:ind w:left="2400"/>
              <w:spacing w:after="0"/>
              <w:rPr>
                <w:sz w:val="20"/>
                <w:szCs w:val="20"/>
                <w:color w:val="auto"/>
              </w:rPr>
            </w:pPr>
            <w:r>
              <w:rPr>
                <w:rFonts w:ascii="Arial" w:cs="Arial" w:eastAsia="Arial" w:hAnsi="Arial"/>
                <w:sz w:val="16"/>
                <w:szCs w:val="16"/>
                <w:color w:val="4C4C4C"/>
              </w:rPr>
              <w:t>​100%</w:t>
            </w:r>
          </w:p>
        </w:tc>
        <w:tc>
          <w:tcPr>
            <w:tcW w:w="20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4C4C4C"/>
              </w:rPr>
              <w:t>​105% ​</w:t>
            </w:r>
          </w:p>
        </w:tc>
      </w:tr>
      <w:tr>
        <w:trPr>
          <w:trHeight w:val="256"/>
        </w:trPr>
        <w:tc>
          <w:tcPr>
            <w:tcW w:w="2420" w:type="dxa"/>
            <w:vAlign w:val="bottom"/>
          </w:tcPr>
          <w:p>
            <w:pPr>
              <w:ind w:left="40"/>
              <w:spacing w:after="0"/>
              <w:rPr>
                <w:sz w:val="20"/>
                <w:szCs w:val="20"/>
                <w:color w:val="auto"/>
              </w:rPr>
            </w:pPr>
            <w:r>
              <w:rPr>
                <w:rFonts w:ascii="Arial" w:cs="Arial" w:eastAsia="Arial" w:hAnsi="Arial"/>
                <w:sz w:val="16"/>
                <w:szCs w:val="16"/>
                <w:color w:val="4C4C4C"/>
              </w:rPr>
              <w:t>​Oluwagbemileke (Leke) Agiri</w:t>
            </w:r>
          </w:p>
        </w:tc>
        <w:tc>
          <w:tcPr>
            <w:tcW w:w="2920" w:type="dxa"/>
            <w:vAlign w:val="bottom"/>
          </w:tcPr>
          <w:p>
            <w:pPr>
              <w:ind w:left="2400"/>
              <w:spacing w:after="0"/>
              <w:rPr>
                <w:sz w:val="20"/>
                <w:szCs w:val="20"/>
                <w:color w:val="auto"/>
              </w:rPr>
            </w:pPr>
            <w:r>
              <w:rPr>
                <w:rFonts w:ascii="Arial" w:cs="Arial" w:eastAsia="Arial" w:hAnsi="Arial"/>
                <w:sz w:val="16"/>
                <w:szCs w:val="16"/>
                <w:color w:val="4C4C4C"/>
              </w:rPr>
              <w:t>​ 65%</w:t>
            </w:r>
          </w:p>
        </w:tc>
        <w:tc>
          <w:tcPr>
            <w:tcW w:w="20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4C4C4C"/>
              </w:rPr>
              <w:t>​ 68% ​</w:t>
            </w:r>
          </w:p>
        </w:tc>
      </w:tr>
      <w:tr>
        <w:trPr>
          <w:trHeight w:val="256"/>
        </w:trPr>
        <w:tc>
          <w:tcPr>
            <w:tcW w:w="2420" w:type="dxa"/>
            <w:vAlign w:val="bottom"/>
          </w:tcPr>
          <w:p>
            <w:pPr>
              <w:ind w:left="40"/>
              <w:spacing w:after="0"/>
              <w:rPr>
                <w:sz w:val="20"/>
                <w:szCs w:val="20"/>
                <w:color w:val="auto"/>
              </w:rPr>
            </w:pPr>
            <w:r>
              <w:rPr>
                <w:rFonts w:ascii="Arial" w:cs="Arial" w:eastAsia="Arial" w:hAnsi="Arial"/>
                <w:sz w:val="16"/>
                <w:szCs w:val="16"/>
                <w:color w:val="4C4C4C"/>
              </w:rPr>
              <w:t>​Christopher M. Ryan</w:t>
            </w:r>
          </w:p>
        </w:tc>
        <w:tc>
          <w:tcPr>
            <w:tcW w:w="2920" w:type="dxa"/>
            <w:vAlign w:val="bottom"/>
          </w:tcPr>
          <w:p>
            <w:pPr>
              <w:ind w:left="2400"/>
              <w:spacing w:after="0"/>
              <w:rPr>
                <w:sz w:val="20"/>
                <w:szCs w:val="20"/>
                <w:color w:val="auto"/>
              </w:rPr>
            </w:pPr>
            <w:r>
              <w:rPr>
                <w:rFonts w:ascii="Arial" w:cs="Arial" w:eastAsia="Arial" w:hAnsi="Arial"/>
                <w:sz w:val="16"/>
                <w:szCs w:val="16"/>
                <w:color w:val="4C4C4C"/>
              </w:rPr>
              <w:t>​ 80%</w:t>
            </w:r>
          </w:p>
        </w:tc>
        <w:tc>
          <w:tcPr>
            <w:tcW w:w="20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4C4C4C"/>
              </w:rPr>
              <w:t>​ 84% ​</w:t>
            </w:r>
          </w:p>
        </w:tc>
      </w:tr>
      <w:tr>
        <w:trPr>
          <w:trHeight w:val="256"/>
        </w:trPr>
        <w:tc>
          <w:tcPr>
            <w:tcW w:w="2420" w:type="dxa"/>
            <w:vAlign w:val="bottom"/>
          </w:tcPr>
          <w:p>
            <w:pPr>
              <w:ind w:left="40"/>
              <w:spacing w:after="0"/>
              <w:rPr>
                <w:sz w:val="20"/>
                <w:szCs w:val="20"/>
                <w:color w:val="auto"/>
              </w:rPr>
            </w:pPr>
            <w:r>
              <w:rPr>
                <w:rFonts w:ascii="Arial" w:cs="Arial" w:eastAsia="Arial" w:hAnsi="Arial"/>
                <w:sz w:val="16"/>
                <w:szCs w:val="16"/>
                <w:color w:val="4C4C4C"/>
              </w:rPr>
              <w:t>​Paul D. Bloom</w:t>
            </w:r>
          </w:p>
        </w:tc>
        <w:tc>
          <w:tcPr>
            <w:tcW w:w="2920" w:type="dxa"/>
            <w:vAlign w:val="bottom"/>
          </w:tcPr>
          <w:p>
            <w:pPr>
              <w:ind w:left="2400"/>
              <w:spacing w:after="0"/>
              <w:rPr>
                <w:sz w:val="20"/>
                <w:szCs w:val="20"/>
                <w:color w:val="auto"/>
              </w:rPr>
            </w:pPr>
            <w:r>
              <w:rPr>
                <w:rFonts w:ascii="Arial" w:cs="Arial" w:eastAsia="Arial" w:hAnsi="Arial"/>
                <w:sz w:val="16"/>
                <w:szCs w:val="16"/>
                <w:color w:val="4C4C4C"/>
              </w:rPr>
              <w:t>​100%</w:t>
            </w:r>
          </w:p>
        </w:tc>
        <w:tc>
          <w:tcPr>
            <w:tcW w:w="20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4C4C4C"/>
              </w:rPr>
              <w:t>​105% ​</w:t>
            </w:r>
          </w:p>
        </w:tc>
      </w:tr>
      <w:tr>
        <w:trPr>
          <w:trHeight w:val="256"/>
        </w:trPr>
        <w:tc>
          <w:tcPr>
            <w:tcW w:w="2420" w:type="dxa"/>
            <w:vAlign w:val="bottom"/>
          </w:tcPr>
          <w:p>
            <w:pPr>
              <w:ind w:left="40"/>
              <w:spacing w:after="0"/>
              <w:rPr>
                <w:sz w:val="20"/>
                <w:szCs w:val="20"/>
                <w:color w:val="auto"/>
              </w:rPr>
            </w:pPr>
            <w:r>
              <w:rPr>
                <w:rFonts w:ascii="Arial" w:cs="Arial" w:eastAsia="Arial" w:hAnsi="Arial"/>
                <w:sz w:val="16"/>
                <w:szCs w:val="16"/>
                <w:color w:val="4C4C4C"/>
              </w:rPr>
              <w:t>​Andrew L. Shafer</w:t>
            </w:r>
          </w:p>
        </w:tc>
        <w:tc>
          <w:tcPr>
            <w:tcW w:w="2920" w:type="dxa"/>
            <w:vAlign w:val="bottom"/>
          </w:tcPr>
          <w:p>
            <w:pPr>
              <w:ind w:left="2400"/>
              <w:spacing w:after="0"/>
              <w:rPr>
                <w:sz w:val="20"/>
                <w:szCs w:val="20"/>
                <w:color w:val="auto"/>
              </w:rPr>
            </w:pPr>
            <w:r>
              <w:rPr>
                <w:rFonts w:ascii="Arial" w:cs="Arial" w:eastAsia="Arial" w:hAnsi="Arial"/>
                <w:sz w:val="16"/>
                <w:szCs w:val="16"/>
                <w:color w:val="4C4C4C"/>
              </w:rPr>
              <w:t>​ 65%</w:t>
            </w:r>
          </w:p>
        </w:tc>
        <w:tc>
          <w:tcPr>
            <w:tcW w:w="20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4C4C4C"/>
              </w:rPr>
              <w:t>​ 68% ​</w:t>
            </w:r>
          </w:p>
        </w:tc>
      </w:tr>
      <w:tr>
        <w:trPr>
          <w:trHeight w:val="270"/>
        </w:trPr>
        <w:tc>
          <w:tcPr>
            <w:tcW w:w="2420" w:type="dxa"/>
            <w:vAlign w:val="bottom"/>
          </w:tcPr>
          <w:p>
            <w:pPr>
              <w:ind w:left="40"/>
              <w:spacing w:after="0"/>
              <w:rPr>
                <w:sz w:val="20"/>
                <w:szCs w:val="20"/>
                <w:color w:val="auto"/>
              </w:rPr>
            </w:pPr>
            <w:r>
              <w:rPr>
                <w:rFonts w:ascii="Arial" w:cs="Arial" w:eastAsia="Arial" w:hAnsi="Arial"/>
                <w:sz w:val="16"/>
                <w:szCs w:val="16"/>
                <w:color w:val="4C4C4C"/>
              </w:rPr>
              <w:t>​L. Lynn Smull</w:t>
            </w:r>
          </w:p>
        </w:tc>
        <w:tc>
          <w:tcPr>
            <w:tcW w:w="2920" w:type="dxa"/>
            <w:vAlign w:val="bottom"/>
          </w:tcPr>
          <w:p>
            <w:pPr>
              <w:ind w:left="2400"/>
              <w:spacing w:after="0"/>
              <w:rPr>
                <w:sz w:val="20"/>
                <w:szCs w:val="20"/>
                <w:color w:val="auto"/>
              </w:rPr>
            </w:pPr>
            <w:r>
              <w:rPr>
                <w:rFonts w:ascii="Arial" w:cs="Arial" w:eastAsia="Arial" w:hAnsi="Arial"/>
                <w:sz w:val="16"/>
                <w:szCs w:val="16"/>
                <w:color w:val="4C4C4C"/>
              </w:rPr>
              <w:t>​ 65%</w:t>
            </w:r>
          </w:p>
        </w:tc>
        <w:tc>
          <w:tcPr>
            <w:tcW w:w="20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4C4C4C"/>
              </w:rPr>
              <w:t>​ 68%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-822325</wp:posOffset>
            </wp:positionV>
            <wp:extent cx="5212080"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8"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COMPENSATION DISCUSSION AND ANALYSIS</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02" w:lineRule="exact"/>
        <w:rPr>
          <w:sz w:val="20"/>
          <w:szCs w:val="20"/>
          <w:color w:val="auto"/>
        </w:rPr>
      </w:pPr>
    </w:p>
    <w:p>
      <w:pPr>
        <w:ind w:left="1260" w:right="559"/>
        <w:spacing w:after="0" w:line="243" w:lineRule="auto"/>
        <w:rPr>
          <w:sz w:val="20"/>
          <w:szCs w:val="20"/>
          <w:color w:val="auto"/>
        </w:rPr>
      </w:pPr>
      <w:r>
        <w:rPr>
          <w:rFonts w:ascii="Arial" w:cs="Arial" w:eastAsia="Arial" w:hAnsi="Arial"/>
          <w:sz w:val="18"/>
          <w:szCs w:val="18"/>
          <w:color w:val="4C4C4C"/>
        </w:rPr>
        <w:t>Our Compensation Committee, at their discretion, assesses the achievement of corporate and individual goals and performance at the end of each fiscal year to determine the appropriate bonus for each named executive officer. The Compensation Committee approved the annual incentive bonuses at 105% of target amounts based on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132080</wp:posOffset>
            </wp:positionV>
            <wp:extent cx="5212080" cy="2571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2080" cy="257175"/>
                    </a:xfrm>
                    <a:prstGeom prst="rect">
                      <a:avLst/>
                    </a:prstGeom>
                    <a:noFill/>
                  </pic:spPr>
                </pic:pic>
              </a:graphicData>
            </a:graphic>
          </wp:anchor>
        </w:drawing>
      </w:r>
    </w:p>
    <w:p>
      <w:pPr>
        <w:spacing w:after="0" w:line="188" w:lineRule="exact"/>
        <w:rPr>
          <w:sz w:val="20"/>
          <w:szCs w:val="20"/>
          <w:color w:val="auto"/>
        </w:rPr>
      </w:pPr>
    </w:p>
    <w:tbl>
      <w:tblPr>
        <w:tblLayout w:type="fixed"/>
        <w:tblInd w:w="1260" w:type="dxa"/>
        <w:tblCellMar>
          <w:top w:w="0" w:type="dxa"/>
          <w:left w:w="0" w:type="dxa"/>
          <w:bottom w:w="0" w:type="dxa"/>
          <w:right w:w="0" w:type="dxa"/>
        </w:tblCellMar>
      </w:tblPr>
      <w:tr>
        <w:trPr>
          <w:trHeight w:val="202"/>
        </w:trPr>
        <w:tc>
          <w:tcPr>
            <w:tcW w:w="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FFFFFF"/>
                <w:w w:val="94"/>
              </w:rPr>
              <w:t>Target Bonus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FFFFFF"/>
              </w:rPr>
              <w:t>Performance</w:t>
            </w:r>
          </w:p>
        </w:tc>
        <w:tc>
          <w:tcPr>
            <w:tcW w:w="1400" w:type="dxa"/>
            <w:vAlign w:val="bottom"/>
            <w:gridSpan w:val="2"/>
          </w:tcPr>
          <w:p>
            <w:pPr>
              <w:ind w:left="140"/>
              <w:spacing w:after="0"/>
              <w:rPr>
                <w:sz w:val="20"/>
                <w:szCs w:val="20"/>
                <w:color w:val="auto"/>
              </w:rPr>
            </w:pPr>
            <w:r>
              <w:rPr>
                <w:rFonts w:ascii="Arial" w:cs="Arial" w:eastAsia="Arial" w:hAnsi="Arial"/>
                <w:sz w:val="16"/>
                <w:szCs w:val="16"/>
                <w:b w:val="1"/>
                <w:bCs w:val="1"/>
                <w:color w:val="FFFFFF"/>
              </w:rPr>
              <w:t>Bonus Payment</w:t>
            </w:r>
          </w:p>
        </w:tc>
        <w:tc>
          <w:tcPr>
            <w:tcW w:w="20" w:type="dxa"/>
            <w:vAlign w:val="bottom"/>
          </w:tcPr>
          <w:p>
            <w:pPr>
              <w:spacing w:after="0"/>
              <w:rPr>
                <w:sz w:val="17"/>
                <w:szCs w:val="17"/>
                <w:color w:val="auto"/>
              </w:rPr>
            </w:pPr>
          </w:p>
        </w:tc>
      </w:tr>
      <w:tr>
        <w:trPr>
          <w:trHeight w:val="199"/>
        </w:trPr>
        <w:tc>
          <w:tcPr>
            <w:tcW w:w="4300" w:type="dxa"/>
            <w:vAlign w:val="bottom"/>
            <w:gridSpan w:val="2"/>
          </w:tcPr>
          <w:p>
            <w:pPr>
              <w:ind w:left="40"/>
              <w:spacing w:after="0"/>
              <w:rPr>
                <w:sz w:val="20"/>
                <w:szCs w:val="20"/>
                <w:color w:val="auto"/>
              </w:rPr>
            </w:pPr>
            <w:r>
              <w:rPr>
                <w:rFonts w:ascii="Arial" w:cs="Arial" w:eastAsia="Arial" w:hAnsi="Arial"/>
                <w:sz w:val="16"/>
                <w:szCs w:val="16"/>
                <w:b w:val="1"/>
                <w:bCs w:val="1"/>
                <w:color w:val="FFFFFF"/>
              </w:rPr>
              <w:t>​2025 Goal and Related Achievements</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FFFFFF"/>
                <w:w w:val="97"/>
              </w:rPr>
              <w:t>Percentage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FFFFFF"/>
              </w:rPr>
              <w:t>Modifier</w:t>
            </w: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FFFFFF"/>
              </w:rPr>
              <w:t>Percentage   ​</w:t>
            </w:r>
          </w:p>
        </w:tc>
      </w:tr>
      <w:tr>
        <w:trPr>
          <w:trHeight w:val="208"/>
        </w:trPr>
        <w:tc>
          <w:tcPr>
            <w:tcW w:w="4300" w:type="dxa"/>
            <w:vAlign w:val="bottom"/>
            <w:gridSpan w:val="2"/>
            <w:shd w:val="clear" w:color="auto" w:fill="E1E7EF"/>
          </w:tcPr>
          <w:p>
            <w:pPr>
              <w:ind w:left="40"/>
              <w:spacing w:after="0"/>
              <w:rPr>
                <w:sz w:val="20"/>
                <w:szCs w:val="20"/>
                <w:color w:val="auto"/>
              </w:rPr>
            </w:pPr>
            <w:r>
              <w:rPr>
                <w:rFonts w:ascii="Arial" w:cs="Arial" w:eastAsia="Arial" w:hAnsi="Arial"/>
                <w:sz w:val="16"/>
                <w:szCs w:val="16"/>
                <w:color w:val="4C4C4C"/>
              </w:rPr>
              <w:t>​The Company met its safety standards.</w:t>
            </w:r>
          </w:p>
        </w:tc>
        <w:tc>
          <w:tcPr>
            <w:tcW w:w="820" w:type="dxa"/>
            <w:vAlign w:val="bottom"/>
          </w:tcPr>
          <w:p>
            <w:pPr>
              <w:ind w:left="720"/>
              <w:spacing w:after="0"/>
              <w:rPr>
                <w:sz w:val="20"/>
                <w:szCs w:val="20"/>
                <w:color w:val="auto"/>
              </w:rPr>
            </w:pPr>
            <w:r>
              <w:rPr>
                <w:rFonts w:ascii="Arial" w:cs="Arial" w:eastAsia="Arial" w:hAnsi="Arial"/>
                <w:sz w:val="16"/>
                <w:szCs w:val="16"/>
                <w:color w:val="4C4C4C"/>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4C4C4C"/>
                <w:w w:val="87"/>
              </w:rPr>
              <w:t>20%</w:t>
            </w:r>
          </w:p>
        </w:tc>
        <w:tc>
          <w:tcPr>
            <w:tcW w:w="1260" w:type="dxa"/>
            <w:vAlign w:val="bottom"/>
          </w:tcPr>
          <w:p>
            <w:pPr>
              <w:ind w:left="740"/>
              <w:spacing w:after="0"/>
              <w:rPr>
                <w:sz w:val="20"/>
                <w:szCs w:val="20"/>
                <w:color w:val="auto"/>
              </w:rPr>
            </w:pPr>
            <w:r>
              <w:rPr>
                <w:rFonts w:ascii="Arial" w:cs="Arial" w:eastAsia="Arial" w:hAnsi="Arial"/>
                <w:sz w:val="16"/>
                <w:szCs w:val="16"/>
                <w:color w:val="4C4C4C"/>
              </w:rPr>
              <w:t>​100%</w:t>
            </w:r>
          </w:p>
        </w:tc>
        <w:tc>
          <w:tcPr>
            <w:tcW w:w="1020" w:type="dxa"/>
            <w:vAlign w:val="bottom"/>
          </w:tcPr>
          <w:p>
            <w:pPr>
              <w:ind w:left="900"/>
              <w:spacing w:after="0"/>
              <w:rPr>
                <w:sz w:val="20"/>
                <w:szCs w:val="20"/>
                <w:color w:val="auto"/>
              </w:rPr>
            </w:pPr>
            <w:r>
              <w:rPr>
                <w:rFonts w:ascii="Arial" w:cs="Arial" w:eastAsia="Arial" w:hAnsi="Arial"/>
                <w:sz w:val="16"/>
                <w:szCs w:val="16"/>
                <w:color w:val="4C4C4C"/>
              </w:rPr>
              <w:t>​</w:t>
            </w:r>
          </w:p>
        </w:tc>
        <w:tc>
          <w:tcPr>
            <w:tcW w:w="400" w:type="dxa"/>
            <w:vAlign w:val="bottom"/>
            <w:gridSpan w:val="2"/>
          </w:tcPr>
          <w:p>
            <w:pPr>
              <w:jc w:val="right"/>
              <w:spacing w:after="0"/>
              <w:rPr>
                <w:sz w:val="20"/>
                <w:szCs w:val="20"/>
                <w:color w:val="auto"/>
              </w:rPr>
            </w:pPr>
            <w:r>
              <w:rPr>
                <w:rFonts w:ascii="Arial" w:cs="Arial" w:eastAsia="Arial" w:hAnsi="Arial"/>
                <w:sz w:val="16"/>
                <w:szCs w:val="16"/>
                <w:color w:val="4C4C4C"/>
              </w:rPr>
              <w:t>20% ​</w:t>
            </w:r>
          </w:p>
        </w:tc>
      </w:tr>
      <w:tr>
        <w:trPr>
          <w:trHeight w:val="276"/>
        </w:trPr>
        <w:tc>
          <w:tcPr>
            <w:tcW w:w="60" w:type="dxa"/>
            <w:vAlign w:val="bottom"/>
            <w:tcBorders>
              <w:bottom w:val="single" w:sz="8" w:color="346094"/>
            </w:tcBorders>
            <w:shd w:val="clear" w:color="auto" w:fill="E1E7EF"/>
          </w:tcPr>
          <w:p>
            <w:pPr>
              <w:spacing w:after="0"/>
              <w:rPr>
                <w:sz w:val="23"/>
                <w:szCs w:val="23"/>
                <w:color w:val="auto"/>
              </w:rPr>
            </w:pPr>
          </w:p>
        </w:tc>
        <w:tc>
          <w:tcPr>
            <w:tcW w:w="4240" w:type="dxa"/>
            <w:vAlign w:val="bottom"/>
            <w:tcBorders>
              <w:bottom w:val="single" w:sz="8" w:color="346094"/>
            </w:tcBorders>
            <w:shd w:val="clear" w:color="auto" w:fill="E1E7EF"/>
          </w:tcPr>
          <w:p>
            <w:pPr>
              <w:ind w:left="160"/>
              <w:spacing w:after="0"/>
              <w:rPr>
                <w:sz w:val="20"/>
                <w:szCs w:val="20"/>
                <w:color w:val="auto"/>
              </w:rPr>
            </w:pPr>
            <w:r>
              <w:rPr>
                <w:rFonts w:ascii="Arial" w:cs="Arial" w:eastAsia="Arial" w:hAnsi="Arial"/>
                <w:sz w:val="16"/>
                <w:szCs w:val="16"/>
                <w:color w:val="4C4C4C"/>
              </w:rPr>
              <w:t>• We performed well on our safety scorecard.</w:t>
            </w:r>
          </w:p>
        </w:tc>
        <w:tc>
          <w:tcPr>
            <w:tcW w:w="820" w:type="dxa"/>
            <w:vAlign w:val="bottom"/>
            <w:tcBorders>
              <w:bottom w:val="single" w:sz="8" w:color="346094"/>
            </w:tcBorders>
          </w:tcPr>
          <w:p>
            <w:pPr>
              <w:spacing w:after="0"/>
              <w:rPr>
                <w:sz w:val="23"/>
                <w:szCs w:val="23"/>
                <w:color w:val="auto"/>
              </w:rPr>
            </w:pPr>
          </w:p>
        </w:tc>
        <w:tc>
          <w:tcPr>
            <w:tcW w:w="420" w:type="dxa"/>
            <w:vAlign w:val="bottom"/>
            <w:tcBorders>
              <w:bottom w:val="single" w:sz="8" w:color="346094"/>
            </w:tcBorders>
          </w:tcPr>
          <w:p>
            <w:pPr>
              <w:spacing w:after="0"/>
              <w:rPr>
                <w:sz w:val="23"/>
                <w:szCs w:val="23"/>
                <w:color w:val="auto"/>
              </w:rPr>
            </w:pPr>
          </w:p>
        </w:tc>
        <w:tc>
          <w:tcPr>
            <w:tcW w:w="1260" w:type="dxa"/>
            <w:vAlign w:val="bottom"/>
            <w:tcBorders>
              <w:bottom w:val="single" w:sz="8" w:color="346094"/>
            </w:tcBorders>
          </w:tcPr>
          <w:p>
            <w:pPr>
              <w:spacing w:after="0"/>
              <w:rPr>
                <w:sz w:val="23"/>
                <w:szCs w:val="23"/>
                <w:color w:val="auto"/>
              </w:rPr>
            </w:pPr>
          </w:p>
        </w:tc>
        <w:tc>
          <w:tcPr>
            <w:tcW w:w="1020" w:type="dxa"/>
            <w:vAlign w:val="bottom"/>
            <w:tcBorders>
              <w:bottom w:val="single" w:sz="8" w:color="346094"/>
            </w:tcBorders>
          </w:tcPr>
          <w:p>
            <w:pPr>
              <w:spacing w:after="0"/>
              <w:rPr>
                <w:sz w:val="23"/>
                <w:szCs w:val="23"/>
                <w:color w:val="auto"/>
              </w:rPr>
            </w:pPr>
          </w:p>
        </w:tc>
        <w:tc>
          <w:tcPr>
            <w:tcW w:w="380" w:type="dxa"/>
            <w:vAlign w:val="bottom"/>
            <w:tcBorders>
              <w:bottom w:val="single" w:sz="8" w:color="346094"/>
            </w:tcBorders>
          </w:tcPr>
          <w:p>
            <w:pPr>
              <w:spacing w:after="0"/>
              <w:rPr>
                <w:sz w:val="23"/>
                <w:szCs w:val="23"/>
                <w:color w:val="auto"/>
              </w:rPr>
            </w:pPr>
          </w:p>
        </w:tc>
        <w:tc>
          <w:tcPr>
            <w:tcW w:w="20" w:type="dxa"/>
            <w:vAlign w:val="bottom"/>
          </w:tcPr>
          <w:p>
            <w:pPr>
              <w:spacing w:after="0"/>
              <w:rPr>
                <w:sz w:val="23"/>
                <w:szCs w:val="23"/>
                <w:color w:val="auto"/>
              </w:rPr>
            </w:pPr>
          </w:p>
        </w:tc>
      </w:tr>
      <w:tr>
        <w:trPr>
          <w:trHeight w:val="194"/>
        </w:trPr>
        <w:tc>
          <w:tcPr>
            <w:tcW w:w="60" w:type="dxa"/>
            <w:vAlign w:val="bottom"/>
          </w:tcPr>
          <w:p>
            <w:pPr>
              <w:spacing w:after="0"/>
              <w:rPr>
                <w:sz w:val="16"/>
                <w:szCs w:val="16"/>
                <w:color w:val="auto"/>
              </w:rPr>
            </w:pPr>
          </w:p>
        </w:tc>
        <w:tc>
          <w:tcPr>
            <w:tcW w:w="4240" w:type="dxa"/>
            <w:vAlign w:val="bottom"/>
            <w:shd w:val="clear" w:color="auto" w:fill="E1E7EF"/>
          </w:tcPr>
          <w:p>
            <w:pPr>
              <w:spacing w:after="0"/>
              <w:rPr>
                <w:sz w:val="20"/>
                <w:szCs w:val="20"/>
                <w:color w:val="auto"/>
              </w:rPr>
            </w:pPr>
            <w:r>
              <w:rPr>
                <w:rFonts w:ascii="Arial" w:cs="Arial" w:eastAsia="Arial" w:hAnsi="Arial"/>
                <w:sz w:val="16"/>
                <w:szCs w:val="16"/>
                <w:color w:val="4C4C4C"/>
              </w:rPr>
              <w:t>​Gevo North Dakota met certain financial goals.</w:t>
            </w:r>
          </w:p>
        </w:tc>
        <w:tc>
          <w:tcPr>
            <w:tcW w:w="820" w:type="dxa"/>
            <w:vAlign w:val="bottom"/>
          </w:tcPr>
          <w:p>
            <w:pPr>
              <w:ind w:left="720"/>
              <w:spacing w:after="0"/>
              <w:rPr>
                <w:sz w:val="20"/>
                <w:szCs w:val="20"/>
                <w:color w:val="auto"/>
              </w:rPr>
            </w:pPr>
            <w:r>
              <w:rPr>
                <w:rFonts w:ascii="Arial" w:cs="Arial" w:eastAsia="Arial" w:hAnsi="Arial"/>
                <w:sz w:val="16"/>
                <w:szCs w:val="16"/>
                <w:color w:val="4C4C4C"/>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4C4C4C"/>
                <w:w w:val="87"/>
              </w:rPr>
              <w:t>20%</w:t>
            </w:r>
          </w:p>
        </w:tc>
        <w:tc>
          <w:tcPr>
            <w:tcW w:w="1260" w:type="dxa"/>
            <w:vAlign w:val="bottom"/>
          </w:tcPr>
          <w:p>
            <w:pPr>
              <w:ind w:left="740"/>
              <w:spacing w:after="0"/>
              <w:rPr>
                <w:sz w:val="20"/>
                <w:szCs w:val="20"/>
                <w:color w:val="auto"/>
              </w:rPr>
            </w:pPr>
            <w:r>
              <w:rPr>
                <w:rFonts w:ascii="Arial" w:cs="Arial" w:eastAsia="Arial" w:hAnsi="Arial"/>
                <w:sz w:val="16"/>
                <w:szCs w:val="16"/>
                <w:color w:val="4C4C4C"/>
              </w:rPr>
              <w:t>​175%</w:t>
            </w:r>
          </w:p>
        </w:tc>
        <w:tc>
          <w:tcPr>
            <w:tcW w:w="1020" w:type="dxa"/>
            <w:vAlign w:val="bottom"/>
          </w:tcPr>
          <w:p>
            <w:pPr>
              <w:ind w:left="900"/>
              <w:spacing w:after="0"/>
              <w:rPr>
                <w:sz w:val="20"/>
                <w:szCs w:val="20"/>
                <w:color w:val="auto"/>
              </w:rPr>
            </w:pPr>
            <w:r>
              <w:rPr>
                <w:rFonts w:ascii="Arial" w:cs="Arial" w:eastAsia="Arial" w:hAnsi="Arial"/>
                <w:sz w:val="16"/>
                <w:szCs w:val="16"/>
                <w:color w:val="4C4C4C"/>
              </w:rPr>
              <w:t>​</w:t>
            </w:r>
          </w:p>
        </w:tc>
        <w:tc>
          <w:tcPr>
            <w:tcW w:w="400" w:type="dxa"/>
            <w:vAlign w:val="bottom"/>
            <w:gridSpan w:val="2"/>
          </w:tcPr>
          <w:p>
            <w:pPr>
              <w:jc w:val="right"/>
              <w:spacing w:after="0"/>
              <w:rPr>
                <w:sz w:val="20"/>
                <w:szCs w:val="20"/>
                <w:color w:val="auto"/>
              </w:rPr>
            </w:pPr>
            <w:r>
              <w:rPr>
                <w:rFonts w:ascii="Arial" w:cs="Arial" w:eastAsia="Arial" w:hAnsi="Arial"/>
                <w:sz w:val="16"/>
                <w:szCs w:val="16"/>
                <w:color w:val="4C4C4C"/>
              </w:rPr>
              <w:t>35% ​</w:t>
            </w:r>
          </w:p>
        </w:tc>
      </w:tr>
      <w:tr>
        <w:trPr>
          <w:trHeight w:val="280"/>
        </w:trPr>
        <w:tc>
          <w:tcPr>
            <w:tcW w:w="60" w:type="dxa"/>
            <w:vAlign w:val="bottom"/>
          </w:tcPr>
          <w:p>
            <w:pPr>
              <w:spacing w:after="0"/>
              <w:rPr>
                <w:sz w:val="24"/>
                <w:szCs w:val="24"/>
                <w:color w:val="auto"/>
              </w:rPr>
            </w:pPr>
          </w:p>
        </w:tc>
        <w:tc>
          <w:tcPr>
            <w:tcW w:w="4240" w:type="dxa"/>
            <w:vAlign w:val="bottom"/>
            <w:shd w:val="clear" w:color="auto" w:fill="E1E7EF"/>
          </w:tcPr>
          <w:p>
            <w:pPr>
              <w:ind w:left="160"/>
              <w:spacing w:after="0"/>
              <w:rPr>
                <w:sz w:val="20"/>
                <w:szCs w:val="20"/>
                <w:color w:val="auto"/>
              </w:rPr>
            </w:pPr>
            <w:r>
              <w:rPr>
                <w:rFonts w:ascii="Arial" w:cs="Arial" w:eastAsia="Arial" w:hAnsi="Arial"/>
                <w:sz w:val="16"/>
                <w:szCs w:val="16"/>
                <w:color w:val="4C4C4C"/>
              </w:rPr>
              <w:t>• Our Gevo North Dakota segment exceeded its goals</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60" w:type="dxa"/>
            <w:vAlign w:val="bottom"/>
          </w:tcPr>
          <w:p>
            <w:pPr>
              <w:spacing w:after="0"/>
              <w:rPr>
                <w:sz w:val="17"/>
                <w:szCs w:val="17"/>
                <w:color w:val="auto"/>
              </w:rPr>
            </w:pPr>
          </w:p>
        </w:tc>
        <w:tc>
          <w:tcPr>
            <w:tcW w:w="4240" w:type="dxa"/>
            <w:vAlign w:val="bottom"/>
            <w:shd w:val="clear" w:color="auto" w:fill="E1E7EF"/>
          </w:tcPr>
          <w:p>
            <w:pPr>
              <w:ind w:left="340"/>
              <w:spacing w:after="0"/>
              <w:rPr>
                <w:sz w:val="20"/>
                <w:szCs w:val="20"/>
                <w:color w:val="auto"/>
              </w:rPr>
            </w:pPr>
            <w:r>
              <w:rPr>
                <w:rFonts w:ascii="Arial" w:cs="Arial" w:eastAsia="Arial" w:hAnsi="Arial"/>
                <w:sz w:val="16"/>
                <w:szCs w:val="16"/>
                <w:color w:val="4C4C4C"/>
              </w:rPr>
              <w:t>and achieved greater than $52 million per year run-</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60" w:type="dxa"/>
            <w:vAlign w:val="bottom"/>
            <w:tcBorders>
              <w:bottom w:val="single" w:sz="8" w:color="346094"/>
            </w:tcBorders>
          </w:tcPr>
          <w:p>
            <w:pPr>
              <w:spacing w:after="0"/>
              <w:rPr>
                <w:sz w:val="18"/>
                <w:szCs w:val="18"/>
                <w:color w:val="auto"/>
              </w:rPr>
            </w:pPr>
          </w:p>
        </w:tc>
        <w:tc>
          <w:tcPr>
            <w:tcW w:w="4240" w:type="dxa"/>
            <w:vAlign w:val="bottom"/>
            <w:tcBorders>
              <w:bottom w:val="single" w:sz="8" w:color="346094"/>
            </w:tcBorders>
            <w:shd w:val="clear" w:color="auto" w:fill="E1E7EF"/>
          </w:tcPr>
          <w:p>
            <w:pPr>
              <w:ind w:left="340"/>
              <w:spacing w:after="0"/>
              <w:rPr>
                <w:sz w:val="20"/>
                <w:szCs w:val="20"/>
                <w:color w:val="auto"/>
              </w:rPr>
            </w:pPr>
            <w:r>
              <w:rPr>
                <w:rFonts w:ascii="Arial" w:cs="Arial" w:eastAsia="Arial" w:hAnsi="Arial"/>
                <w:sz w:val="16"/>
                <w:szCs w:val="16"/>
                <w:color w:val="4C4C4C"/>
              </w:rPr>
              <w:t>rate Adjusted EBITDA.</w:t>
            </w:r>
          </w:p>
        </w:tc>
        <w:tc>
          <w:tcPr>
            <w:tcW w:w="820" w:type="dxa"/>
            <w:vAlign w:val="bottom"/>
            <w:tcBorders>
              <w:bottom w:val="single" w:sz="8" w:color="346094"/>
            </w:tcBorders>
          </w:tcPr>
          <w:p>
            <w:pPr>
              <w:spacing w:after="0"/>
              <w:rPr>
                <w:sz w:val="18"/>
                <w:szCs w:val="18"/>
                <w:color w:val="auto"/>
              </w:rPr>
            </w:pPr>
          </w:p>
        </w:tc>
        <w:tc>
          <w:tcPr>
            <w:tcW w:w="420" w:type="dxa"/>
            <w:vAlign w:val="bottom"/>
            <w:tcBorders>
              <w:bottom w:val="single" w:sz="8" w:color="346094"/>
            </w:tcBorders>
          </w:tcPr>
          <w:p>
            <w:pPr>
              <w:spacing w:after="0"/>
              <w:rPr>
                <w:sz w:val="18"/>
                <w:szCs w:val="18"/>
                <w:color w:val="auto"/>
              </w:rPr>
            </w:pPr>
          </w:p>
        </w:tc>
        <w:tc>
          <w:tcPr>
            <w:tcW w:w="1260" w:type="dxa"/>
            <w:vAlign w:val="bottom"/>
            <w:tcBorders>
              <w:bottom w:val="single" w:sz="8" w:color="346094"/>
            </w:tcBorders>
          </w:tcPr>
          <w:p>
            <w:pPr>
              <w:spacing w:after="0"/>
              <w:rPr>
                <w:sz w:val="18"/>
                <w:szCs w:val="18"/>
                <w:color w:val="auto"/>
              </w:rPr>
            </w:pPr>
          </w:p>
        </w:tc>
        <w:tc>
          <w:tcPr>
            <w:tcW w:w="1020" w:type="dxa"/>
            <w:vAlign w:val="bottom"/>
            <w:tcBorders>
              <w:bottom w:val="single" w:sz="8" w:color="346094"/>
            </w:tcBorders>
          </w:tcPr>
          <w:p>
            <w:pPr>
              <w:spacing w:after="0"/>
              <w:rPr>
                <w:sz w:val="18"/>
                <w:szCs w:val="18"/>
                <w:color w:val="auto"/>
              </w:rPr>
            </w:pPr>
          </w:p>
        </w:tc>
        <w:tc>
          <w:tcPr>
            <w:tcW w:w="380" w:type="dxa"/>
            <w:vAlign w:val="bottom"/>
            <w:tcBorders>
              <w:bottom w:val="single" w:sz="8" w:color="346094"/>
            </w:tcBorders>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4300" w:type="dxa"/>
            <w:vAlign w:val="bottom"/>
            <w:gridSpan w:val="2"/>
          </w:tcPr>
          <w:p>
            <w:pPr>
              <w:ind w:left="40"/>
              <w:spacing w:after="0"/>
              <w:rPr>
                <w:sz w:val="20"/>
                <w:szCs w:val="20"/>
                <w:color w:val="auto"/>
              </w:rPr>
            </w:pPr>
            <w:r>
              <w:rPr>
                <w:rFonts w:ascii="Arial" w:cs="Arial" w:eastAsia="Arial" w:hAnsi="Arial"/>
                <w:sz w:val="16"/>
                <w:szCs w:val="16"/>
                <w:color w:val="4C4C4C"/>
              </w:rPr>
              <w:t>​Our renewable natural gas (“RNG”) segment met</w:t>
            </w:r>
          </w:p>
        </w:tc>
        <w:tc>
          <w:tcPr>
            <w:tcW w:w="820" w:type="dxa"/>
            <w:vAlign w:val="bottom"/>
          </w:tcPr>
          <w:p>
            <w:pPr>
              <w:ind w:left="720"/>
              <w:spacing w:after="0"/>
              <w:rPr>
                <w:sz w:val="20"/>
                <w:szCs w:val="20"/>
                <w:color w:val="auto"/>
              </w:rPr>
            </w:pPr>
            <w:r>
              <w:rPr>
                <w:rFonts w:ascii="Arial" w:cs="Arial" w:eastAsia="Arial" w:hAnsi="Arial"/>
                <w:sz w:val="16"/>
                <w:szCs w:val="16"/>
                <w:color w:val="4C4C4C"/>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4C4C4C"/>
                <w:w w:val="87"/>
              </w:rPr>
              <w:t>20%</w:t>
            </w:r>
          </w:p>
        </w:tc>
        <w:tc>
          <w:tcPr>
            <w:tcW w:w="1260" w:type="dxa"/>
            <w:vAlign w:val="bottom"/>
          </w:tcPr>
          <w:p>
            <w:pPr>
              <w:ind w:left="740"/>
              <w:spacing w:after="0"/>
              <w:rPr>
                <w:sz w:val="20"/>
                <w:szCs w:val="20"/>
                <w:color w:val="auto"/>
              </w:rPr>
            </w:pPr>
            <w:r>
              <w:rPr>
                <w:rFonts w:ascii="Arial" w:cs="Arial" w:eastAsia="Arial" w:hAnsi="Arial"/>
                <w:sz w:val="16"/>
                <w:szCs w:val="16"/>
                <w:color w:val="4C4C4C"/>
              </w:rPr>
              <w:t>​ 50%</w:t>
            </w:r>
          </w:p>
        </w:tc>
        <w:tc>
          <w:tcPr>
            <w:tcW w:w="1020" w:type="dxa"/>
            <w:vAlign w:val="bottom"/>
          </w:tcPr>
          <w:p>
            <w:pPr>
              <w:ind w:left="900"/>
              <w:spacing w:after="0"/>
              <w:rPr>
                <w:sz w:val="20"/>
                <w:szCs w:val="20"/>
                <w:color w:val="auto"/>
              </w:rPr>
            </w:pPr>
            <w:r>
              <w:rPr>
                <w:rFonts w:ascii="Arial" w:cs="Arial" w:eastAsia="Arial" w:hAnsi="Arial"/>
                <w:sz w:val="16"/>
                <w:szCs w:val="16"/>
                <w:color w:val="4C4C4C"/>
              </w:rPr>
              <w:t>​</w:t>
            </w:r>
          </w:p>
        </w:tc>
        <w:tc>
          <w:tcPr>
            <w:tcW w:w="400" w:type="dxa"/>
            <w:vAlign w:val="bottom"/>
            <w:gridSpan w:val="2"/>
          </w:tcPr>
          <w:p>
            <w:pPr>
              <w:jc w:val="right"/>
              <w:spacing w:after="0"/>
              <w:rPr>
                <w:sz w:val="20"/>
                <w:szCs w:val="20"/>
                <w:color w:val="auto"/>
              </w:rPr>
            </w:pPr>
            <w:r>
              <w:rPr>
                <w:rFonts w:ascii="Arial" w:cs="Arial" w:eastAsia="Arial" w:hAnsi="Arial"/>
                <w:sz w:val="16"/>
                <w:szCs w:val="16"/>
                <w:color w:val="4C4C4C"/>
              </w:rPr>
              <w:t>10% ​</w:t>
            </w:r>
          </w:p>
        </w:tc>
      </w:tr>
      <w:tr>
        <w:trPr>
          <w:trHeight w:val="199"/>
        </w:trPr>
        <w:tc>
          <w:tcPr>
            <w:tcW w:w="4300" w:type="dxa"/>
            <w:vAlign w:val="bottom"/>
            <w:gridSpan w:val="2"/>
          </w:tcPr>
          <w:p>
            <w:pPr>
              <w:ind w:left="60"/>
              <w:spacing w:after="0"/>
              <w:rPr>
                <w:sz w:val="20"/>
                <w:szCs w:val="20"/>
                <w:color w:val="auto"/>
              </w:rPr>
            </w:pPr>
            <w:r>
              <w:rPr>
                <w:rFonts w:ascii="Arial" w:cs="Arial" w:eastAsia="Arial" w:hAnsi="Arial"/>
                <w:sz w:val="16"/>
                <w:szCs w:val="16"/>
                <w:color w:val="4C4C4C"/>
              </w:rPr>
              <w:t>certain financial goals.</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-1140460</wp:posOffset>
            </wp:positionV>
            <wp:extent cx="5212080" cy="32232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2080" cy="3223260"/>
                    </a:xfrm>
                    <a:prstGeom prst="rect">
                      <a:avLst/>
                    </a:prstGeom>
                    <a:noFill/>
                  </pic:spPr>
                </pic:pic>
              </a:graphicData>
            </a:graphic>
          </wp:anchor>
        </w:drawing>
      </w:r>
    </w:p>
    <w:p>
      <w:pPr>
        <w:spacing w:after="0" w:line="69" w:lineRule="exact"/>
        <w:rPr>
          <w:sz w:val="20"/>
          <w:szCs w:val="20"/>
          <w:color w:val="auto"/>
        </w:rPr>
      </w:pPr>
    </w:p>
    <w:p>
      <w:pPr>
        <w:jc w:val="both"/>
        <w:ind w:left="1660" w:right="5119" w:hanging="171"/>
        <w:spacing w:after="0" w:line="259" w:lineRule="auto"/>
        <w:tabs>
          <w:tab w:leader="none" w:pos="1660" w:val="left"/>
        </w:tabs>
        <w:numPr>
          <w:ilvl w:val="0"/>
          <w:numId w:val="61"/>
        </w:numPr>
        <w:rPr>
          <w:rFonts w:ascii="Arial" w:cs="Arial" w:eastAsia="Arial" w:hAnsi="Arial"/>
          <w:sz w:val="16"/>
          <w:szCs w:val="16"/>
          <w:color w:val="4C4C4C"/>
        </w:rPr>
      </w:pPr>
      <w:r>
        <w:rPr>
          <w:rFonts w:ascii="Arial" w:cs="Arial" w:eastAsia="Arial" w:hAnsi="Arial"/>
          <w:sz w:val="16"/>
          <w:szCs w:val="16"/>
          <w:color w:val="4C4C4C"/>
        </w:rPr>
        <w:t>Our RNG segment met its threshold goal of achieving $9.5 million in Adjusted EBITDA.</w:t>
      </w:r>
    </w:p>
    <w:tbl>
      <w:tblPr>
        <w:tblLayout w:type="fixed"/>
        <w:tblInd w:w="1260" w:type="dxa"/>
        <w:tblCellMar>
          <w:top w:w="0" w:type="dxa"/>
          <w:left w:w="0" w:type="dxa"/>
          <w:bottom w:w="0" w:type="dxa"/>
          <w:right w:w="0" w:type="dxa"/>
        </w:tblCellMar>
      </w:tblPr>
      <w:tr>
        <w:trPr>
          <w:trHeight w:val="199"/>
        </w:trPr>
        <w:tc>
          <w:tcPr>
            <w:tcW w:w="4060" w:type="dxa"/>
            <w:vAlign w:val="bottom"/>
            <w:tcBorders>
              <w:top w:val="single" w:sz="8" w:color="346094"/>
            </w:tcBorders>
          </w:tcPr>
          <w:p>
            <w:pPr>
              <w:ind w:left="40"/>
              <w:spacing w:after="0"/>
              <w:rPr>
                <w:sz w:val="20"/>
                <w:szCs w:val="20"/>
                <w:color w:val="auto"/>
              </w:rPr>
            </w:pPr>
            <w:r>
              <w:rPr>
                <w:rFonts w:ascii="Arial" w:cs="Arial" w:eastAsia="Arial" w:hAnsi="Arial"/>
                <w:sz w:val="16"/>
                <w:szCs w:val="16"/>
                <w:color w:val="4C4C4C"/>
              </w:rPr>
              <w:t>​Secure agreements to sell carbon credits.</w:t>
            </w:r>
          </w:p>
        </w:tc>
        <w:tc>
          <w:tcPr>
            <w:tcW w:w="1800" w:type="dxa"/>
            <w:vAlign w:val="bottom"/>
            <w:tcBorders>
              <w:top w:val="single" w:sz="8" w:color="346094"/>
            </w:tcBorders>
          </w:tcPr>
          <w:p>
            <w:pPr>
              <w:ind w:left="960"/>
              <w:spacing w:after="0"/>
              <w:rPr>
                <w:sz w:val="20"/>
                <w:szCs w:val="20"/>
                <w:color w:val="auto"/>
              </w:rPr>
            </w:pPr>
            <w:r>
              <w:rPr>
                <w:rFonts w:ascii="Arial" w:cs="Arial" w:eastAsia="Arial" w:hAnsi="Arial"/>
                <w:sz w:val="16"/>
                <w:szCs w:val="16"/>
                <w:color w:val="4C4C4C"/>
              </w:rPr>
              <w:t>​ 10%</w:t>
            </w:r>
          </w:p>
        </w:tc>
        <w:tc>
          <w:tcPr>
            <w:tcW w:w="1320" w:type="dxa"/>
            <w:vAlign w:val="bottom"/>
            <w:tcBorders>
              <w:top w:val="single" w:sz="8" w:color="346094"/>
            </w:tcBorders>
          </w:tcPr>
          <w:p>
            <w:pPr>
              <w:ind w:left="420"/>
              <w:spacing w:after="0"/>
              <w:rPr>
                <w:sz w:val="20"/>
                <w:szCs w:val="20"/>
                <w:color w:val="auto"/>
              </w:rPr>
            </w:pPr>
            <w:r>
              <w:rPr>
                <w:rFonts w:ascii="Arial" w:cs="Arial" w:eastAsia="Arial" w:hAnsi="Arial"/>
                <w:sz w:val="16"/>
                <w:szCs w:val="16"/>
                <w:color w:val="4C4C4C"/>
              </w:rPr>
              <w:t>​150%</w:t>
            </w:r>
          </w:p>
        </w:tc>
        <w:tc>
          <w:tcPr>
            <w:tcW w:w="1040" w:type="dxa"/>
            <w:vAlign w:val="bottom"/>
            <w:tcBorders>
              <w:top w:val="single" w:sz="8" w:color="346094"/>
            </w:tcBorders>
          </w:tcPr>
          <w:p>
            <w:pPr>
              <w:ind w:left="520"/>
              <w:spacing w:after="0"/>
              <w:rPr>
                <w:sz w:val="20"/>
                <w:szCs w:val="20"/>
                <w:color w:val="auto"/>
              </w:rPr>
            </w:pPr>
            <w:r>
              <w:rPr>
                <w:rFonts w:ascii="Arial" w:cs="Arial" w:eastAsia="Arial" w:hAnsi="Arial"/>
                <w:sz w:val="16"/>
                <w:szCs w:val="16"/>
                <w:color w:val="4C4C4C"/>
              </w:rPr>
              <w:t>​  15% ​</w:t>
            </w:r>
          </w:p>
        </w:tc>
      </w:tr>
    </w:tbl>
    <w:p>
      <w:pPr>
        <w:spacing w:after="0" w:line="86" w:lineRule="exact"/>
        <w:rPr>
          <w:sz w:val="20"/>
          <w:szCs w:val="20"/>
          <w:color w:val="auto"/>
        </w:rPr>
      </w:pPr>
    </w:p>
    <w:p>
      <w:pPr>
        <w:ind w:left="1660" w:right="4459" w:hanging="171"/>
        <w:spacing w:after="0" w:line="271" w:lineRule="auto"/>
        <w:tabs>
          <w:tab w:leader="none" w:pos="1660" w:val="left"/>
        </w:tabs>
        <w:numPr>
          <w:ilvl w:val="0"/>
          <w:numId w:val="62"/>
        </w:numPr>
        <w:rPr>
          <w:rFonts w:ascii="Arial" w:cs="Arial" w:eastAsia="Arial" w:hAnsi="Arial"/>
          <w:sz w:val="16"/>
          <w:szCs w:val="16"/>
          <w:color w:val="4C4C4C"/>
        </w:rPr>
      </w:pPr>
      <w:r>
        <w:rPr>
          <w:rFonts w:ascii="Arial" w:cs="Arial" w:eastAsia="Arial" w:hAnsi="Arial"/>
          <w:sz w:val="16"/>
          <w:szCs w:val="16"/>
          <w:color w:val="4C4C4C"/>
        </w:rPr>
        <w:t>We entered into multiple agreements to sell carbon dioxide removal credits from Gevo North Dakota.</w:t>
      </w:r>
    </w:p>
    <w:tbl>
      <w:tblPr>
        <w:tblLayout w:type="fixed"/>
        <w:tblInd w:w="1260" w:type="dxa"/>
        <w:tblCellMar>
          <w:top w:w="0" w:type="dxa"/>
          <w:left w:w="0" w:type="dxa"/>
          <w:bottom w:w="0" w:type="dxa"/>
          <w:right w:w="0" w:type="dxa"/>
        </w:tblCellMar>
      </w:tblPr>
      <w:tr>
        <w:trPr>
          <w:trHeight w:val="194"/>
        </w:trPr>
        <w:tc>
          <w:tcPr>
            <w:tcW w:w="4500" w:type="dxa"/>
            <w:vAlign w:val="bottom"/>
            <w:tcBorders>
              <w:top w:val="single" w:sz="8" w:color="346094"/>
            </w:tcBorders>
          </w:tcPr>
          <w:p>
            <w:pPr>
              <w:ind w:left="40"/>
              <w:spacing w:after="0"/>
              <w:rPr>
                <w:sz w:val="20"/>
                <w:szCs w:val="20"/>
                <w:color w:val="auto"/>
              </w:rPr>
            </w:pPr>
            <w:r>
              <w:rPr>
                <w:rFonts w:ascii="Arial" w:cs="Arial" w:eastAsia="Arial" w:hAnsi="Arial"/>
                <w:sz w:val="16"/>
                <w:szCs w:val="16"/>
                <w:color w:val="4C4C4C"/>
              </w:rPr>
              <w:t>​Verity meets certain operational goals.</w:t>
            </w:r>
          </w:p>
        </w:tc>
        <w:tc>
          <w:tcPr>
            <w:tcW w:w="620" w:type="dxa"/>
            <w:vAlign w:val="bottom"/>
            <w:tcBorders>
              <w:top w:val="single" w:sz="8" w:color="346094"/>
            </w:tcBorders>
          </w:tcPr>
          <w:p>
            <w:pPr>
              <w:ind w:left="520"/>
              <w:spacing w:after="0"/>
              <w:rPr>
                <w:sz w:val="20"/>
                <w:szCs w:val="20"/>
                <w:color w:val="auto"/>
              </w:rPr>
            </w:pPr>
            <w:r>
              <w:rPr>
                <w:rFonts w:ascii="Arial" w:cs="Arial" w:eastAsia="Arial" w:hAnsi="Arial"/>
                <w:sz w:val="16"/>
                <w:szCs w:val="16"/>
                <w:color w:val="4C4C4C"/>
              </w:rPr>
              <w:t>​</w:t>
            </w:r>
          </w:p>
        </w:tc>
        <w:tc>
          <w:tcPr>
            <w:tcW w:w="740" w:type="dxa"/>
            <w:vAlign w:val="bottom"/>
            <w:tcBorders>
              <w:top w:val="single" w:sz="8" w:color="346094"/>
            </w:tcBorders>
          </w:tcPr>
          <w:p>
            <w:pPr>
              <w:jc w:val="right"/>
              <w:ind w:right="359"/>
              <w:spacing w:after="0"/>
              <w:rPr>
                <w:sz w:val="20"/>
                <w:szCs w:val="20"/>
                <w:color w:val="auto"/>
              </w:rPr>
            </w:pPr>
            <w:r>
              <w:rPr>
                <w:rFonts w:ascii="Arial" w:cs="Arial" w:eastAsia="Arial" w:hAnsi="Arial"/>
                <w:sz w:val="16"/>
                <w:szCs w:val="16"/>
                <w:color w:val="4C4C4C"/>
                <w:w w:val="87"/>
              </w:rPr>
              <w:t>10%</w:t>
            </w:r>
          </w:p>
        </w:tc>
        <w:tc>
          <w:tcPr>
            <w:tcW w:w="1320" w:type="dxa"/>
            <w:vAlign w:val="bottom"/>
            <w:tcBorders>
              <w:top w:val="single" w:sz="8" w:color="346094"/>
            </w:tcBorders>
          </w:tcPr>
          <w:p>
            <w:pPr>
              <w:ind w:left="420"/>
              <w:spacing w:after="0"/>
              <w:rPr>
                <w:sz w:val="20"/>
                <w:szCs w:val="20"/>
                <w:color w:val="auto"/>
              </w:rPr>
            </w:pPr>
            <w:r>
              <w:rPr>
                <w:rFonts w:ascii="Arial" w:cs="Arial" w:eastAsia="Arial" w:hAnsi="Arial"/>
                <w:sz w:val="16"/>
                <w:szCs w:val="16"/>
                <w:color w:val="4C4C4C"/>
              </w:rPr>
              <w:t>​150%</w:t>
            </w:r>
          </w:p>
        </w:tc>
        <w:tc>
          <w:tcPr>
            <w:tcW w:w="640" w:type="dxa"/>
            <w:vAlign w:val="bottom"/>
            <w:tcBorders>
              <w:top w:val="single" w:sz="8" w:color="346094"/>
            </w:tcBorders>
          </w:tcPr>
          <w:p>
            <w:pPr>
              <w:ind w:left="520"/>
              <w:spacing w:after="0"/>
              <w:rPr>
                <w:sz w:val="20"/>
                <w:szCs w:val="20"/>
                <w:color w:val="auto"/>
              </w:rPr>
            </w:pPr>
            <w:r>
              <w:rPr>
                <w:rFonts w:ascii="Arial" w:cs="Arial" w:eastAsia="Arial" w:hAnsi="Arial"/>
                <w:sz w:val="16"/>
                <w:szCs w:val="16"/>
                <w:color w:val="4C4C4C"/>
              </w:rPr>
              <w:t>​</w:t>
            </w:r>
          </w:p>
        </w:tc>
        <w:tc>
          <w:tcPr>
            <w:tcW w:w="400" w:type="dxa"/>
            <w:vAlign w:val="bottom"/>
            <w:tcBorders>
              <w:top w:val="single" w:sz="8" w:color="346094"/>
            </w:tcBorders>
            <w:gridSpan w:val="2"/>
          </w:tcPr>
          <w:p>
            <w:pPr>
              <w:ind w:left="60"/>
              <w:spacing w:after="0"/>
              <w:rPr>
                <w:sz w:val="20"/>
                <w:szCs w:val="20"/>
                <w:color w:val="auto"/>
              </w:rPr>
            </w:pPr>
            <w:r>
              <w:rPr>
                <w:rFonts w:ascii="Arial" w:cs="Arial" w:eastAsia="Arial" w:hAnsi="Arial"/>
                <w:sz w:val="16"/>
                <w:szCs w:val="16"/>
                <w:color w:val="4C4C4C"/>
                <w:w w:val="87"/>
              </w:rPr>
              <w:t>15% ​</w:t>
            </w:r>
          </w:p>
        </w:tc>
      </w:tr>
      <w:tr>
        <w:trPr>
          <w:trHeight w:val="280"/>
        </w:trPr>
        <w:tc>
          <w:tcPr>
            <w:tcW w:w="4500" w:type="dxa"/>
            <w:vAlign w:val="bottom"/>
          </w:tcPr>
          <w:p>
            <w:pPr>
              <w:ind w:left="220"/>
              <w:spacing w:after="0"/>
              <w:rPr>
                <w:sz w:val="20"/>
                <w:szCs w:val="20"/>
                <w:color w:val="auto"/>
              </w:rPr>
            </w:pPr>
            <w:r>
              <w:rPr>
                <w:rFonts w:ascii="Arial" w:cs="Arial" w:eastAsia="Arial" w:hAnsi="Arial"/>
                <w:sz w:val="16"/>
                <w:szCs w:val="16"/>
                <w:color w:val="4C4C4C"/>
              </w:rPr>
              <w:t>• Verity’s grower application was completed and</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4500" w:type="dxa"/>
            <w:vAlign w:val="bottom"/>
            <w:tcBorders>
              <w:bottom w:val="single" w:sz="8" w:color="346094"/>
            </w:tcBorders>
          </w:tcPr>
          <w:p>
            <w:pPr>
              <w:ind w:left="400"/>
              <w:spacing w:after="0"/>
              <w:rPr>
                <w:sz w:val="20"/>
                <w:szCs w:val="20"/>
                <w:color w:val="auto"/>
              </w:rPr>
            </w:pPr>
            <w:r>
              <w:rPr>
                <w:rFonts w:ascii="Arial" w:cs="Arial" w:eastAsia="Arial" w:hAnsi="Arial"/>
                <w:sz w:val="16"/>
                <w:szCs w:val="16"/>
                <w:color w:val="4C4C4C"/>
              </w:rPr>
              <w:t>expanded to include multiple types of inventory.</w:t>
            </w:r>
          </w:p>
        </w:tc>
        <w:tc>
          <w:tcPr>
            <w:tcW w:w="620" w:type="dxa"/>
            <w:vAlign w:val="bottom"/>
            <w:tcBorders>
              <w:bottom w:val="single" w:sz="8" w:color="346094"/>
            </w:tcBorders>
          </w:tcPr>
          <w:p>
            <w:pPr>
              <w:spacing w:after="0"/>
              <w:rPr>
                <w:sz w:val="19"/>
                <w:szCs w:val="19"/>
                <w:color w:val="auto"/>
              </w:rPr>
            </w:pPr>
          </w:p>
        </w:tc>
        <w:tc>
          <w:tcPr>
            <w:tcW w:w="740" w:type="dxa"/>
            <w:vAlign w:val="bottom"/>
            <w:tcBorders>
              <w:bottom w:val="single" w:sz="8" w:color="346094"/>
            </w:tcBorders>
          </w:tcPr>
          <w:p>
            <w:pPr>
              <w:spacing w:after="0"/>
              <w:rPr>
                <w:sz w:val="19"/>
                <w:szCs w:val="19"/>
                <w:color w:val="auto"/>
              </w:rPr>
            </w:pPr>
          </w:p>
        </w:tc>
        <w:tc>
          <w:tcPr>
            <w:tcW w:w="1320" w:type="dxa"/>
            <w:vAlign w:val="bottom"/>
            <w:tcBorders>
              <w:bottom w:val="single" w:sz="8" w:color="346094"/>
            </w:tcBorders>
          </w:tcPr>
          <w:p>
            <w:pPr>
              <w:spacing w:after="0"/>
              <w:rPr>
                <w:sz w:val="19"/>
                <w:szCs w:val="19"/>
                <w:color w:val="auto"/>
              </w:rPr>
            </w:pPr>
          </w:p>
        </w:tc>
        <w:tc>
          <w:tcPr>
            <w:tcW w:w="640" w:type="dxa"/>
            <w:vAlign w:val="bottom"/>
            <w:tcBorders>
              <w:bottom w:val="single" w:sz="8" w:color="346094"/>
            </w:tcBorders>
          </w:tcPr>
          <w:p>
            <w:pPr>
              <w:spacing w:after="0"/>
              <w:rPr>
                <w:sz w:val="19"/>
                <w:szCs w:val="19"/>
                <w:color w:val="auto"/>
              </w:rPr>
            </w:pPr>
          </w:p>
        </w:tc>
        <w:tc>
          <w:tcPr>
            <w:tcW w:w="380" w:type="dxa"/>
            <w:vAlign w:val="bottom"/>
            <w:tcBorders>
              <w:bottom w:val="single" w:sz="8" w:color="346094"/>
            </w:tcBorders>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4500" w:type="dxa"/>
            <w:vAlign w:val="bottom"/>
          </w:tcPr>
          <w:p>
            <w:pPr>
              <w:ind w:left="40"/>
              <w:spacing w:after="0"/>
              <w:rPr>
                <w:sz w:val="20"/>
                <w:szCs w:val="20"/>
                <w:color w:val="auto"/>
              </w:rPr>
            </w:pPr>
            <w:r>
              <w:rPr>
                <w:rFonts w:ascii="Arial" w:cs="Arial" w:eastAsia="Arial" w:hAnsi="Arial"/>
                <w:sz w:val="16"/>
                <w:szCs w:val="16"/>
                <w:color w:val="4C4C4C"/>
              </w:rPr>
              <w:t>​Secure additional offtake agreements for synthetic</w:t>
            </w:r>
          </w:p>
        </w:tc>
        <w:tc>
          <w:tcPr>
            <w:tcW w:w="620" w:type="dxa"/>
            <w:vAlign w:val="bottom"/>
          </w:tcPr>
          <w:p>
            <w:pPr>
              <w:ind w:left="520"/>
              <w:spacing w:after="0"/>
              <w:rPr>
                <w:sz w:val="20"/>
                <w:szCs w:val="20"/>
                <w:color w:val="auto"/>
              </w:rPr>
            </w:pPr>
            <w:r>
              <w:rPr>
                <w:rFonts w:ascii="Arial" w:cs="Arial" w:eastAsia="Arial" w:hAnsi="Arial"/>
                <w:sz w:val="16"/>
                <w:szCs w:val="16"/>
                <w:color w:val="4C4C4C"/>
              </w:rPr>
              <w:t>​</w:t>
            </w:r>
          </w:p>
        </w:tc>
        <w:tc>
          <w:tcPr>
            <w:tcW w:w="740" w:type="dxa"/>
            <w:vAlign w:val="bottom"/>
          </w:tcPr>
          <w:p>
            <w:pPr>
              <w:jc w:val="right"/>
              <w:ind w:right="359"/>
              <w:spacing w:after="0"/>
              <w:rPr>
                <w:sz w:val="20"/>
                <w:szCs w:val="20"/>
                <w:color w:val="auto"/>
              </w:rPr>
            </w:pPr>
            <w:r>
              <w:rPr>
                <w:rFonts w:ascii="Arial" w:cs="Arial" w:eastAsia="Arial" w:hAnsi="Arial"/>
                <w:sz w:val="16"/>
                <w:szCs w:val="16"/>
                <w:color w:val="4C4C4C"/>
                <w:w w:val="87"/>
              </w:rPr>
              <w:t>20%</w:t>
            </w:r>
          </w:p>
        </w:tc>
        <w:tc>
          <w:tcPr>
            <w:tcW w:w="1320" w:type="dxa"/>
            <w:vAlign w:val="bottom"/>
          </w:tcPr>
          <w:p>
            <w:pPr>
              <w:ind w:left="420"/>
              <w:spacing w:after="0"/>
              <w:rPr>
                <w:sz w:val="20"/>
                <w:szCs w:val="20"/>
                <w:color w:val="auto"/>
              </w:rPr>
            </w:pPr>
            <w:r>
              <w:rPr>
                <w:rFonts w:ascii="Arial" w:cs="Arial" w:eastAsia="Arial" w:hAnsi="Arial"/>
                <w:sz w:val="16"/>
                <w:szCs w:val="16"/>
                <w:color w:val="4C4C4C"/>
              </w:rPr>
              <w:t>​ 50%</w:t>
            </w:r>
          </w:p>
        </w:tc>
        <w:tc>
          <w:tcPr>
            <w:tcW w:w="640" w:type="dxa"/>
            <w:vAlign w:val="bottom"/>
          </w:tcPr>
          <w:p>
            <w:pPr>
              <w:ind w:left="520"/>
              <w:spacing w:after="0"/>
              <w:rPr>
                <w:sz w:val="20"/>
                <w:szCs w:val="20"/>
                <w:color w:val="auto"/>
              </w:rPr>
            </w:pPr>
            <w:r>
              <w:rPr>
                <w:rFonts w:ascii="Arial" w:cs="Arial" w:eastAsia="Arial" w:hAnsi="Arial"/>
                <w:sz w:val="16"/>
                <w:szCs w:val="16"/>
                <w:color w:val="4C4C4C"/>
              </w:rPr>
              <w:t>​</w:t>
            </w:r>
          </w:p>
        </w:tc>
        <w:tc>
          <w:tcPr>
            <w:tcW w:w="400" w:type="dxa"/>
            <w:vAlign w:val="bottom"/>
            <w:gridSpan w:val="2"/>
          </w:tcPr>
          <w:p>
            <w:pPr>
              <w:ind w:left="60"/>
              <w:spacing w:after="0"/>
              <w:rPr>
                <w:sz w:val="20"/>
                <w:szCs w:val="20"/>
                <w:color w:val="auto"/>
              </w:rPr>
            </w:pPr>
            <w:r>
              <w:rPr>
                <w:rFonts w:ascii="Arial" w:cs="Arial" w:eastAsia="Arial" w:hAnsi="Arial"/>
                <w:sz w:val="16"/>
                <w:szCs w:val="16"/>
                <w:color w:val="4C4C4C"/>
                <w:w w:val="87"/>
              </w:rPr>
              <w:t>10% ​</w:t>
            </w:r>
          </w:p>
        </w:tc>
      </w:tr>
      <w:tr>
        <w:trPr>
          <w:trHeight w:val="194"/>
        </w:trPr>
        <w:tc>
          <w:tcPr>
            <w:tcW w:w="4500" w:type="dxa"/>
            <w:vAlign w:val="bottom"/>
          </w:tcPr>
          <w:p>
            <w:pPr>
              <w:ind w:left="60"/>
              <w:spacing w:after="0"/>
              <w:rPr>
                <w:sz w:val="20"/>
                <w:szCs w:val="20"/>
                <w:color w:val="auto"/>
              </w:rPr>
            </w:pPr>
            <w:r>
              <w:rPr>
                <w:rFonts w:ascii="Arial" w:cs="Arial" w:eastAsia="Arial" w:hAnsi="Arial"/>
                <w:sz w:val="16"/>
                <w:szCs w:val="16"/>
                <w:color w:val="4C4C4C"/>
              </w:rPr>
              <w:t>aviation fuel (“SAF”) and related Scope 1 and Scope 3</w:t>
            </w: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4500" w:type="dxa"/>
            <w:vAlign w:val="bottom"/>
          </w:tcPr>
          <w:p>
            <w:pPr>
              <w:ind w:left="60"/>
              <w:spacing w:after="0"/>
              <w:rPr>
                <w:sz w:val="20"/>
                <w:szCs w:val="20"/>
                <w:color w:val="auto"/>
              </w:rPr>
            </w:pPr>
            <w:r>
              <w:rPr>
                <w:rFonts w:ascii="Arial" w:cs="Arial" w:eastAsia="Arial" w:hAnsi="Arial"/>
                <w:sz w:val="16"/>
                <w:szCs w:val="16"/>
                <w:color w:val="4C4C4C"/>
              </w:rPr>
              <w:t>credits.</w:t>
            </w: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89" w:lineRule="exact"/>
        <w:rPr>
          <w:sz w:val="20"/>
          <w:szCs w:val="20"/>
          <w:color w:val="auto"/>
        </w:rPr>
      </w:pPr>
    </w:p>
    <w:p>
      <w:pPr>
        <w:ind w:left="1660" w:right="4519" w:hanging="171"/>
        <w:spacing w:after="0" w:line="259" w:lineRule="auto"/>
        <w:tabs>
          <w:tab w:leader="none" w:pos="1660" w:val="left"/>
        </w:tabs>
        <w:numPr>
          <w:ilvl w:val="0"/>
          <w:numId w:val="63"/>
        </w:numPr>
        <w:rPr>
          <w:rFonts w:ascii="Arial" w:cs="Arial" w:eastAsia="Arial" w:hAnsi="Arial"/>
          <w:sz w:val="16"/>
          <w:szCs w:val="16"/>
          <w:color w:val="4C4C4C"/>
        </w:rPr>
      </w:pPr>
      <w:r>
        <w:rPr>
          <w:rFonts w:ascii="Arial" w:cs="Arial" w:eastAsia="Arial" w:hAnsi="Arial"/>
          <w:sz w:val="16"/>
          <w:szCs w:val="16"/>
          <w:color w:val="4C4C4C"/>
        </w:rPr>
        <w:t>We obtained approval to assign multiple of our offtake agreements to our planned ATJ-30 project.</w:t>
      </w:r>
    </w:p>
    <w:tbl>
      <w:tblPr>
        <w:tblLayout w:type="fixed"/>
        <w:tblInd w:w="1260" w:type="dxa"/>
        <w:tblCellMar>
          <w:top w:w="0" w:type="dxa"/>
          <w:left w:w="0" w:type="dxa"/>
          <w:bottom w:w="0" w:type="dxa"/>
          <w:right w:w="0" w:type="dxa"/>
        </w:tblCellMar>
      </w:tblPr>
      <w:tr>
        <w:trPr>
          <w:trHeight w:val="209"/>
        </w:trPr>
        <w:tc>
          <w:tcPr>
            <w:tcW w:w="2720" w:type="dxa"/>
            <w:vAlign w:val="bottom"/>
            <w:tcBorders>
              <w:top w:val="single" w:sz="8" w:color="346094"/>
            </w:tcBorders>
          </w:tcPr>
          <w:p>
            <w:pPr>
              <w:ind w:left="40"/>
              <w:spacing w:after="0"/>
              <w:rPr>
                <w:sz w:val="20"/>
                <w:szCs w:val="20"/>
                <w:color w:val="auto"/>
              </w:rPr>
            </w:pPr>
            <w:r>
              <w:rPr>
                <w:rFonts w:ascii="Arial" w:cs="Arial" w:eastAsia="Arial" w:hAnsi="Arial"/>
                <w:sz w:val="16"/>
                <w:szCs w:val="16"/>
                <w:b w:val="1"/>
                <w:bCs w:val="1"/>
                <w:color w:val="4C4C4C"/>
              </w:rPr>
              <w:t>​Total</w:t>
            </w:r>
          </w:p>
        </w:tc>
        <w:tc>
          <w:tcPr>
            <w:tcW w:w="3140" w:type="dxa"/>
            <w:vAlign w:val="bottom"/>
            <w:tcBorders>
              <w:top w:val="single" w:sz="8" w:color="346094"/>
            </w:tcBorders>
          </w:tcPr>
          <w:p>
            <w:pPr>
              <w:ind w:left="2300"/>
              <w:spacing w:after="0"/>
              <w:rPr>
                <w:sz w:val="20"/>
                <w:szCs w:val="20"/>
                <w:color w:val="auto"/>
              </w:rPr>
            </w:pPr>
            <w:r>
              <w:rPr>
                <w:rFonts w:ascii="Arial" w:cs="Arial" w:eastAsia="Arial" w:hAnsi="Arial"/>
                <w:sz w:val="16"/>
                <w:szCs w:val="16"/>
                <w:b w:val="1"/>
                <w:bCs w:val="1"/>
                <w:color w:val="4C4C4C"/>
              </w:rPr>
              <w:t>​100%</w:t>
            </w:r>
          </w:p>
        </w:tc>
        <w:tc>
          <w:tcPr>
            <w:tcW w:w="1160" w:type="dxa"/>
            <w:vAlign w:val="bottom"/>
            <w:tcBorders>
              <w:top w:val="single" w:sz="8" w:color="346094"/>
            </w:tcBorders>
          </w:tcPr>
          <w:p>
            <w:pPr>
              <w:ind w:left="420"/>
              <w:spacing w:after="0"/>
              <w:rPr>
                <w:sz w:val="20"/>
                <w:szCs w:val="20"/>
                <w:color w:val="auto"/>
              </w:rPr>
            </w:pPr>
            <w:r>
              <w:rPr>
                <w:rFonts w:ascii="Arial" w:cs="Arial" w:eastAsia="Arial" w:hAnsi="Arial"/>
                <w:sz w:val="16"/>
                <w:szCs w:val="16"/>
                <w:b w:val="1"/>
                <w:bCs w:val="1"/>
                <w:color w:val="4C4C4C"/>
              </w:rPr>
              <w:t>​</w:t>
            </w:r>
          </w:p>
        </w:tc>
        <w:tc>
          <w:tcPr>
            <w:tcW w:w="1200" w:type="dxa"/>
            <w:vAlign w:val="bottom"/>
            <w:tcBorders>
              <w:top w:val="single" w:sz="8" w:color="346094"/>
            </w:tcBorders>
          </w:tcPr>
          <w:p>
            <w:pPr>
              <w:ind w:left="680"/>
              <w:spacing w:after="0"/>
              <w:rPr>
                <w:sz w:val="20"/>
                <w:szCs w:val="20"/>
                <w:color w:val="auto"/>
              </w:rPr>
            </w:pPr>
            <w:r>
              <w:rPr>
                <w:rFonts w:ascii="Arial" w:cs="Arial" w:eastAsia="Arial" w:hAnsi="Arial"/>
                <w:sz w:val="16"/>
                <w:szCs w:val="16"/>
                <w:b w:val="1"/>
                <w:bCs w:val="1"/>
                <w:color w:val="4C4C4C"/>
              </w:rPr>
              <w:t>​105% ​</w:t>
            </w:r>
          </w:p>
        </w:tc>
      </w:tr>
    </w:tbl>
    <w:p>
      <w:pPr>
        <w:spacing w:after="0" w:line="244"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i w:val="1"/>
          <w:iCs w:val="1"/>
          <w:color w:val="4C4C4C"/>
        </w:rPr>
        <w:t>Equity Incentive Awards</w:t>
      </w:r>
    </w:p>
    <w:p>
      <w:pPr>
        <w:spacing w:after="0" w:line="173" w:lineRule="exact"/>
        <w:rPr>
          <w:sz w:val="20"/>
          <w:szCs w:val="20"/>
          <w:color w:val="auto"/>
        </w:rPr>
      </w:pPr>
    </w:p>
    <w:p>
      <w:pPr>
        <w:ind w:left="1260" w:right="479"/>
        <w:spacing w:after="0"/>
        <w:rPr>
          <w:sz w:val="20"/>
          <w:szCs w:val="20"/>
          <w:color w:val="auto"/>
        </w:rPr>
      </w:pPr>
      <w:r>
        <w:rPr>
          <w:rFonts w:ascii="Arial" w:cs="Arial" w:eastAsia="Arial" w:hAnsi="Arial"/>
          <w:sz w:val="18"/>
          <w:szCs w:val="18"/>
          <w:color w:val="4C4C4C"/>
        </w:rPr>
        <w:t>We believe that our long-term performance is enhanced through equity awards to our named executive officers. Equity awards are designed to reward our named executive officers for maximizing stockholder value over time, retain the services of our named executive officers, ensure focus on long-term value creation, and align the long-term interests of our named executive officers with those of our stockholders. All equity incentive awards granted to our named executive officers are approved by our Compensation Committee. For 2025, equity incentive awards to our named executive officers were made in the form of stock options and time-vesting restricted stock awards, each of which vest in three equal installments on the first three anniversaries of the grant date.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The equity awards granted to our named executive officers in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138430</wp:posOffset>
            </wp:positionV>
            <wp:extent cx="521208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198" w:lineRule="exact"/>
        <w:rPr>
          <w:sz w:val="20"/>
          <w:szCs w:val="20"/>
          <w:color w:val="auto"/>
        </w:rPr>
      </w:pPr>
    </w:p>
    <w:tbl>
      <w:tblPr>
        <w:tblLayout w:type="fixed"/>
        <w:tblInd w:w="1260" w:type="dxa"/>
        <w:tblCellMar>
          <w:top w:w="0" w:type="dxa"/>
          <w:left w:w="0" w:type="dxa"/>
          <w:bottom w:w="0" w:type="dxa"/>
          <w:right w:w="0" w:type="dxa"/>
        </w:tblCellMar>
      </w:tblPr>
      <w:tr>
        <w:trPr>
          <w:trHeight w:val="256"/>
        </w:trPr>
        <w:tc>
          <w:tcPr>
            <w:tcW w:w="3560" w:type="dxa"/>
            <w:vAlign w:val="bottom"/>
          </w:tcPr>
          <w:p>
            <w:pPr>
              <w:ind w:left="60"/>
              <w:spacing w:after="0"/>
              <w:rPr>
                <w:sz w:val="20"/>
                <w:szCs w:val="20"/>
                <w:color w:val="auto"/>
              </w:rPr>
            </w:pPr>
            <w:r>
              <w:rPr>
                <w:rFonts w:ascii="Arial" w:cs="Arial" w:eastAsia="Arial" w:hAnsi="Arial"/>
                <w:sz w:val="16"/>
                <w:szCs w:val="16"/>
                <w:b w:val="1"/>
                <w:bCs w:val="1"/>
                <w:color w:val="FFFFFF"/>
              </w:rPr>
              <w:t>Named Executive Officer</w:t>
            </w:r>
          </w:p>
        </w:tc>
        <w:tc>
          <w:tcPr>
            <w:tcW w:w="2900" w:type="dxa"/>
            <w:vAlign w:val="bottom"/>
            <w:gridSpan w:val="2"/>
          </w:tcPr>
          <w:p>
            <w:pPr>
              <w:ind w:left="1420"/>
              <w:spacing w:after="0"/>
              <w:rPr>
                <w:sz w:val="20"/>
                <w:szCs w:val="20"/>
                <w:color w:val="auto"/>
              </w:rPr>
            </w:pPr>
            <w:r>
              <w:rPr>
                <w:rFonts w:ascii="Arial" w:cs="Arial" w:eastAsia="Arial" w:hAnsi="Arial"/>
                <w:sz w:val="16"/>
                <w:szCs w:val="16"/>
                <w:b w:val="1"/>
                <w:bCs w:val="1"/>
                <w:color w:val="FFFFFF"/>
              </w:rPr>
              <w:t>Stock Options (#)</w:t>
            </w: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FFFFFF"/>
              </w:rPr>
              <w:t>Restricted Stock (#) ​</w:t>
            </w:r>
          </w:p>
        </w:tc>
        <w:tc>
          <w:tcPr>
            <w:tcW w:w="0" w:type="dxa"/>
            <w:vAlign w:val="bottom"/>
          </w:tcPr>
          <w:p>
            <w:pPr>
              <w:spacing w:after="0"/>
              <w:rPr>
                <w:sz w:val="1"/>
                <w:szCs w:val="1"/>
                <w:color w:val="auto"/>
              </w:rPr>
            </w:pPr>
          </w:p>
        </w:tc>
      </w:tr>
      <w:tr>
        <w:trPr>
          <w:trHeight w:val="189"/>
        </w:trPr>
        <w:tc>
          <w:tcPr>
            <w:tcW w:w="3560" w:type="dxa"/>
            <w:vAlign w:val="bottom"/>
          </w:tcPr>
          <w:p>
            <w:pPr>
              <w:ind w:left="60"/>
              <w:spacing w:after="0"/>
              <w:rPr>
                <w:sz w:val="20"/>
                <w:szCs w:val="20"/>
                <w:color w:val="auto"/>
              </w:rPr>
            </w:pPr>
            <w:r>
              <w:rPr>
                <w:rFonts w:ascii="Arial" w:cs="Arial" w:eastAsia="Arial" w:hAnsi="Arial"/>
                <w:sz w:val="16"/>
                <w:szCs w:val="16"/>
                <w:color w:val="4C4C4C"/>
              </w:rPr>
              <w:t>Patrick R. Gruber</w:t>
            </w:r>
          </w:p>
        </w:tc>
        <w:tc>
          <w:tcPr>
            <w:tcW w:w="2900" w:type="dxa"/>
            <w:vAlign w:val="bottom"/>
            <w:gridSpan w:val="2"/>
          </w:tcPr>
          <w:p>
            <w:pPr>
              <w:ind w:left="2060"/>
              <w:spacing w:after="0"/>
              <w:rPr>
                <w:sz w:val="20"/>
                <w:szCs w:val="20"/>
                <w:color w:val="auto"/>
              </w:rPr>
            </w:pPr>
            <w:r>
              <w:rPr>
                <w:rFonts w:ascii="Arial" w:cs="Arial" w:eastAsia="Arial" w:hAnsi="Arial"/>
                <w:sz w:val="16"/>
                <w:szCs w:val="16"/>
                <w:color w:val="4C4C4C"/>
              </w:rPr>
              <w:t>1,409,891</w:t>
            </w:r>
          </w:p>
        </w:tc>
        <w:tc>
          <w:tcPr>
            <w:tcW w:w="1700" w:type="dxa"/>
            <w:vAlign w:val="bottom"/>
          </w:tcPr>
          <w:p>
            <w:pPr>
              <w:jc w:val="right"/>
              <w:spacing w:after="0"/>
              <w:rPr>
                <w:sz w:val="20"/>
                <w:szCs w:val="20"/>
                <w:color w:val="auto"/>
              </w:rPr>
            </w:pPr>
            <w:r>
              <w:rPr>
                <w:rFonts w:ascii="Arial" w:cs="Arial" w:eastAsia="Arial" w:hAnsi="Arial"/>
                <w:sz w:val="16"/>
                <w:szCs w:val="16"/>
                <w:color w:val="4C4C4C"/>
              </w:rPr>
              <w:t>472,698</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3560" w:type="dxa"/>
            <w:vAlign w:val="bottom"/>
          </w:tcPr>
          <w:p>
            <w:pPr>
              <w:spacing w:after="0"/>
              <w:rPr>
                <w:sz w:val="5"/>
                <w:szCs w:val="5"/>
                <w:color w:val="auto"/>
              </w:rPr>
            </w:pPr>
          </w:p>
        </w:tc>
        <w:tc>
          <w:tcPr>
            <w:tcW w:w="2160" w:type="dxa"/>
            <w:vAlign w:val="bottom"/>
          </w:tcPr>
          <w:p>
            <w:pPr>
              <w:ind w:left="2060"/>
              <w:spacing w:after="0" w:line="68" w:lineRule="exact"/>
              <w:rPr>
                <w:sz w:val="20"/>
                <w:szCs w:val="20"/>
                <w:color w:val="auto"/>
              </w:rPr>
            </w:pPr>
            <w:r>
              <w:rPr>
                <w:rFonts w:ascii="Arial" w:cs="Arial" w:eastAsia="Arial" w:hAnsi="Arial"/>
                <w:sz w:val="7"/>
                <w:szCs w:val="7"/>
                <w:color w:val="4C4C4C"/>
              </w:rPr>
              <w:t>​</w:t>
            </w:r>
          </w:p>
        </w:tc>
        <w:tc>
          <w:tcPr>
            <w:tcW w:w="740" w:type="dxa"/>
            <w:vAlign w:val="bottom"/>
          </w:tcPr>
          <w:p>
            <w:pPr>
              <w:spacing w:after="0"/>
              <w:rPr>
                <w:sz w:val="5"/>
                <w:szCs w:val="5"/>
                <w:color w:val="auto"/>
              </w:rPr>
            </w:pPr>
          </w:p>
        </w:tc>
        <w:tc>
          <w:tcPr>
            <w:tcW w:w="1700" w:type="dxa"/>
            <w:vAlign w:val="bottom"/>
          </w:tcPr>
          <w:p>
            <w:pPr>
              <w:jc w:val="right"/>
              <w:ind w:right="485"/>
              <w:spacing w:after="0" w:line="68" w:lineRule="exact"/>
              <w:rPr>
                <w:sz w:val="20"/>
                <w:szCs w:val="20"/>
                <w:color w:val="auto"/>
              </w:rPr>
            </w:pPr>
            <w:r>
              <w:rPr>
                <w:rFonts w:ascii="Arial" w:cs="Arial" w:eastAsia="Arial" w:hAnsi="Arial"/>
                <w:sz w:val="7"/>
                <w:szCs w:val="7"/>
                <w:color w:val="4C4C4C"/>
              </w:rPr>
              <w:t>​</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60" w:type="dxa"/>
            <w:vAlign w:val="bottom"/>
          </w:tcPr>
          <w:p>
            <w:pPr>
              <w:ind w:left="60"/>
              <w:spacing w:after="0"/>
              <w:rPr>
                <w:sz w:val="20"/>
                <w:szCs w:val="20"/>
                <w:color w:val="auto"/>
              </w:rPr>
            </w:pPr>
            <w:r>
              <w:rPr>
                <w:rFonts w:ascii="Arial" w:cs="Arial" w:eastAsia="Arial" w:hAnsi="Arial"/>
                <w:sz w:val="16"/>
                <w:szCs w:val="16"/>
                <w:color w:val="4C4C4C"/>
              </w:rPr>
              <w:t>Oluwagbemileke (Leke) Agiri</w:t>
            </w:r>
          </w:p>
        </w:tc>
        <w:tc>
          <w:tcPr>
            <w:tcW w:w="2160" w:type="dxa"/>
            <w:vAlign w:val="bottom"/>
          </w:tcPr>
          <w:p>
            <w:pPr>
              <w:ind w:left="2060"/>
              <w:spacing w:after="0"/>
              <w:rPr>
                <w:sz w:val="20"/>
                <w:szCs w:val="20"/>
                <w:color w:val="auto"/>
              </w:rPr>
            </w:pPr>
            <w:r>
              <w:rPr>
                <w:rFonts w:ascii="Arial" w:cs="Arial" w:eastAsia="Arial" w:hAnsi="Arial"/>
                <w:sz w:val="16"/>
                <w:szCs w:val="16"/>
                <w:color w:val="4C4C4C"/>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4C4C4C"/>
              </w:rPr>
              <w:t>563,981</w:t>
            </w:r>
          </w:p>
        </w:tc>
        <w:tc>
          <w:tcPr>
            <w:tcW w:w="1760" w:type="dxa"/>
            <w:vAlign w:val="bottom"/>
            <w:gridSpan w:val="2"/>
          </w:tcPr>
          <w:p>
            <w:pPr>
              <w:jc w:val="right"/>
              <w:spacing w:after="0"/>
              <w:rPr>
                <w:sz w:val="20"/>
                <w:szCs w:val="20"/>
                <w:color w:val="auto"/>
              </w:rPr>
            </w:pPr>
            <w:r>
              <w:rPr>
                <w:rFonts w:ascii="Arial" w:cs="Arial" w:eastAsia="Arial" w:hAnsi="Arial"/>
                <w:sz w:val="16"/>
                <w:szCs w:val="16"/>
                <w:color w:val="4C4C4C"/>
              </w:rPr>
              <w:t>​189,084 ​</w:t>
            </w:r>
          </w:p>
        </w:tc>
        <w:tc>
          <w:tcPr>
            <w:tcW w:w="0" w:type="dxa"/>
            <w:vAlign w:val="bottom"/>
          </w:tcPr>
          <w:p>
            <w:pPr>
              <w:spacing w:after="0"/>
              <w:rPr>
                <w:sz w:val="1"/>
                <w:szCs w:val="1"/>
                <w:color w:val="auto"/>
              </w:rPr>
            </w:pPr>
          </w:p>
        </w:tc>
      </w:tr>
      <w:tr>
        <w:trPr>
          <w:trHeight w:val="257"/>
        </w:trPr>
        <w:tc>
          <w:tcPr>
            <w:tcW w:w="3560" w:type="dxa"/>
            <w:vAlign w:val="bottom"/>
          </w:tcPr>
          <w:p>
            <w:pPr>
              <w:ind w:left="60"/>
              <w:spacing w:after="0"/>
              <w:rPr>
                <w:sz w:val="20"/>
                <w:szCs w:val="20"/>
                <w:color w:val="auto"/>
              </w:rPr>
            </w:pPr>
            <w:r>
              <w:rPr>
                <w:rFonts w:ascii="Arial" w:cs="Arial" w:eastAsia="Arial" w:hAnsi="Arial"/>
                <w:sz w:val="16"/>
                <w:szCs w:val="16"/>
                <w:color w:val="4C4C4C"/>
              </w:rPr>
              <w:t>Christopher M. Ryan</w:t>
            </w:r>
          </w:p>
        </w:tc>
        <w:tc>
          <w:tcPr>
            <w:tcW w:w="2160" w:type="dxa"/>
            <w:vAlign w:val="bottom"/>
          </w:tcPr>
          <w:p>
            <w:pPr>
              <w:ind w:left="2060"/>
              <w:spacing w:after="0"/>
              <w:rPr>
                <w:sz w:val="20"/>
                <w:szCs w:val="20"/>
                <w:color w:val="auto"/>
              </w:rPr>
            </w:pPr>
            <w:r>
              <w:rPr>
                <w:rFonts w:ascii="Arial" w:cs="Arial" w:eastAsia="Arial" w:hAnsi="Arial"/>
                <w:sz w:val="16"/>
                <w:szCs w:val="16"/>
                <w:color w:val="4C4C4C"/>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4C4C4C"/>
              </w:rPr>
              <w:t>626,618</w:t>
            </w:r>
          </w:p>
        </w:tc>
        <w:tc>
          <w:tcPr>
            <w:tcW w:w="1760" w:type="dxa"/>
            <w:vAlign w:val="bottom"/>
            <w:gridSpan w:val="2"/>
          </w:tcPr>
          <w:p>
            <w:pPr>
              <w:jc w:val="right"/>
              <w:spacing w:after="0"/>
              <w:rPr>
                <w:sz w:val="20"/>
                <w:szCs w:val="20"/>
                <w:color w:val="auto"/>
              </w:rPr>
            </w:pPr>
            <w:r>
              <w:rPr>
                <w:rFonts w:ascii="Arial" w:cs="Arial" w:eastAsia="Arial" w:hAnsi="Arial"/>
                <w:sz w:val="16"/>
                <w:szCs w:val="16"/>
                <w:color w:val="4C4C4C"/>
              </w:rPr>
              <w:t>​210,084 ​</w:t>
            </w:r>
          </w:p>
        </w:tc>
        <w:tc>
          <w:tcPr>
            <w:tcW w:w="0" w:type="dxa"/>
            <w:vAlign w:val="bottom"/>
          </w:tcPr>
          <w:p>
            <w:pPr>
              <w:spacing w:after="0"/>
              <w:rPr>
                <w:sz w:val="1"/>
                <w:szCs w:val="1"/>
                <w:color w:val="auto"/>
              </w:rPr>
            </w:pPr>
          </w:p>
        </w:tc>
      </w:tr>
      <w:tr>
        <w:trPr>
          <w:trHeight w:val="256"/>
        </w:trPr>
        <w:tc>
          <w:tcPr>
            <w:tcW w:w="3560" w:type="dxa"/>
            <w:vAlign w:val="bottom"/>
          </w:tcPr>
          <w:p>
            <w:pPr>
              <w:ind w:left="60"/>
              <w:spacing w:after="0"/>
              <w:rPr>
                <w:sz w:val="20"/>
                <w:szCs w:val="20"/>
                <w:color w:val="auto"/>
              </w:rPr>
            </w:pPr>
            <w:r>
              <w:rPr>
                <w:rFonts w:ascii="Arial" w:cs="Arial" w:eastAsia="Arial" w:hAnsi="Arial"/>
                <w:sz w:val="16"/>
                <w:szCs w:val="16"/>
                <w:color w:val="4C4C4C"/>
              </w:rPr>
              <w:t>Paul D. Bloom</w:t>
            </w:r>
          </w:p>
        </w:tc>
        <w:tc>
          <w:tcPr>
            <w:tcW w:w="2160" w:type="dxa"/>
            <w:vAlign w:val="bottom"/>
          </w:tcPr>
          <w:p>
            <w:pPr>
              <w:ind w:left="2060"/>
              <w:spacing w:after="0"/>
              <w:rPr>
                <w:sz w:val="20"/>
                <w:szCs w:val="20"/>
                <w:color w:val="auto"/>
              </w:rPr>
            </w:pPr>
            <w:r>
              <w:rPr>
                <w:rFonts w:ascii="Arial" w:cs="Arial" w:eastAsia="Arial" w:hAnsi="Arial"/>
                <w:sz w:val="16"/>
                <w:szCs w:val="16"/>
                <w:color w:val="4C4C4C"/>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4C4C4C"/>
              </w:rPr>
              <w:t>626,618</w:t>
            </w:r>
          </w:p>
        </w:tc>
        <w:tc>
          <w:tcPr>
            <w:tcW w:w="1760" w:type="dxa"/>
            <w:vAlign w:val="bottom"/>
            <w:gridSpan w:val="2"/>
          </w:tcPr>
          <w:p>
            <w:pPr>
              <w:jc w:val="right"/>
              <w:spacing w:after="0"/>
              <w:rPr>
                <w:sz w:val="20"/>
                <w:szCs w:val="20"/>
                <w:color w:val="auto"/>
              </w:rPr>
            </w:pPr>
            <w:r>
              <w:rPr>
                <w:rFonts w:ascii="Arial" w:cs="Arial" w:eastAsia="Arial" w:hAnsi="Arial"/>
                <w:sz w:val="16"/>
                <w:szCs w:val="16"/>
                <w:color w:val="4C4C4C"/>
              </w:rPr>
              <w:t>​210,084 ​</w:t>
            </w:r>
          </w:p>
        </w:tc>
        <w:tc>
          <w:tcPr>
            <w:tcW w:w="0" w:type="dxa"/>
            <w:vAlign w:val="bottom"/>
          </w:tcPr>
          <w:p>
            <w:pPr>
              <w:spacing w:after="0"/>
              <w:rPr>
                <w:sz w:val="1"/>
                <w:szCs w:val="1"/>
                <w:color w:val="auto"/>
              </w:rPr>
            </w:pPr>
          </w:p>
        </w:tc>
      </w:tr>
      <w:tr>
        <w:trPr>
          <w:trHeight w:val="256"/>
        </w:trPr>
        <w:tc>
          <w:tcPr>
            <w:tcW w:w="3560" w:type="dxa"/>
            <w:vAlign w:val="bottom"/>
          </w:tcPr>
          <w:p>
            <w:pPr>
              <w:ind w:left="60"/>
              <w:spacing w:after="0"/>
              <w:rPr>
                <w:sz w:val="20"/>
                <w:szCs w:val="20"/>
                <w:color w:val="auto"/>
              </w:rPr>
            </w:pPr>
            <w:r>
              <w:rPr>
                <w:rFonts w:ascii="Arial" w:cs="Arial" w:eastAsia="Arial" w:hAnsi="Arial"/>
                <w:sz w:val="16"/>
                <w:szCs w:val="16"/>
                <w:color w:val="4C4C4C"/>
              </w:rPr>
              <w:t>Andrew L. Shafer</w:t>
            </w:r>
          </w:p>
        </w:tc>
        <w:tc>
          <w:tcPr>
            <w:tcW w:w="2160" w:type="dxa"/>
            <w:vAlign w:val="bottom"/>
          </w:tcPr>
          <w:p>
            <w:pPr>
              <w:ind w:left="2060"/>
              <w:spacing w:after="0"/>
              <w:rPr>
                <w:sz w:val="20"/>
                <w:szCs w:val="20"/>
                <w:color w:val="auto"/>
              </w:rPr>
            </w:pPr>
            <w:r>
              <w:rPr>
                <w:rFonts w:ascii="Arial" w:cs="Arial" w:eastAsia="Arial" w:hAnsi="Arial"/>
                <w:sz w:val="16"/>
                <w:szCs w:val="16"/>
                <w:color w:val="4C4C4C"/>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4C4C4C"/>
              </w:rPr>
              <w:t>167,184</w:t>
            </w:r>
          </w:p>
        </w:tc>
        <w:tc>
          <w:tcPr>
            <w:tcW w:w="1700" w:type="dxa"/>
            <w:vAlign w:val="bottom"/>
          </w:tcPr>
          <w:p>
            <w:pPr>
              <w:jc w:val="right"/>
              <w:spacing w:after="0"/>
              <w:rPr>
                <w:sz w:val="20"/>
                <w:szCs w:val="20"/>
                <w:color w:val="auto"/>
              </w:rPr>
            </w:pPr>
            <w:r>
              <w:rPr>
                <w:rFonts w:ascii="Arial" w:cs="Arial" w:eastAsia="Arial" w:hAnsi="Arial"/>
                <w:sz w:val="16"/>
                <w:szCs w:val="16"/>
                <w:color w:val="4C4C4C"/>
              </w:rPr>
              <w:t>​ 55,728</w:t>
            </w:r>
          </w:p>
        </w:tc>
        <w:tc>
          <w:tcPr>
            <w:tcW w:w="60" w:type="dxa"/>
            <w:vAlign w:val="bottom"/>
          </w:tcPr>
          <w:p>
            <w:pPr>
              <w:jc w:val="right"/>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256"/>
        </w:trPr>
        <w:tc>
          <w:tcPr>
            <w:tcW w:w="3560" w:type="dxa"/>
            <w:vAlign w:val="bottom"/>
          </w:tcPr>
          <w:p>
            <w:pPr>
              <w:ind w:left="60"/>
              <w:spacing w:after="0"/>
              <w:rPr>
                <w:sz w:val="20"/>
                <w:szCs w:val="20"/>
                <w:color w:val="auto"/>
              </w:rPr>
            </w:pPr>
            <w:r>
              <w:rPr>
                <w:rFonts w:ascii="Arial" w:cs="Arial" w:eastAsia="Arial" w:hAnsi="Arial"/>
                <w:sz w:val="16"/>
                <w:szCs w:val="16"/>
                <w:color w:val="4C4C4C"/>
              </w:rPr>
              <w:t>L. Lynn Smull</w:t>
            </w:r>
          </w:p>
        </w:tc>
        <w:tc>
          <w:tcPr>
            <w:tcW w:w="2160" w:type="dxa"/>
            <w:vAlign w:val="bottom"/>
          </w:tcPr>
          <w:p>
            <w:pPr>
              <w:ind w:left="2060"/>
              <w:spacing w:after="0"/>
              <w:rPr>
                <w:sz w:val="20"/>
                <w:szCs w:val="20"/>
                <w:color w:val="auto"/>
              </w:rPr>
            </w:pPr>
            <w:r>
              <w:rPr>
                <w:rFonts w:ascii="Arial" w:cs="Arial" w:eastAsia="Arial" w:hAnsi="Arial"/>
                <w:sz w:val="16"/>
                <w:szCs w:val="16"/>
                <w:color w:val="4C4C4C"/>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4C4C4C"/>
              </w:rPr>
              <w:t>185,761</w:t>
            </w:r>
          </w:p>
        </w:tc>
        <w:tc>
          <w:tcPr>
            <w:tcW w:w="1700" w:type="dxa"/>
            <w:vAlign w:val="bottom"/>
          </w:tcPr>
          <w:p>
            <w:pPr>
              <w:jc w:val="right"/>
              <w:spacing w:after="0"/>
              <w:rPr>
                <w:sz w:val="20"/>
                <w:szCs w:val="20"/>
                <w:color w:val="auto"/>
              </w:rPr>
            </w:pPr>
            <w:r>
              <w:rPr>
                <w:rFonts w:ascii="Arial" w:cs="Arial" w:eastAsia="Arial" w:hAnsi="Arial"/>
                <w:sz w:val="16"/>
                <w:szCs w:val="16"/>
                <w:color w:val="4C4C4C"/>
              </w:rPr>
              <w:t>​ 62,279</w:t>
            </w:r>
          </w:p>
        </w:tc>
        <w:tc>
          <w:tcPr>
            <w:tcW w:w="60" w:type="dxa"/>
            <w:vAlign w:val="bottom"/>
          </w:tcPr>
          <w:p>
            <w:pPr>
              <w:jc w:val="right"/>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-813435</wp:posOffset>
            </wp:positionV>
            <wp:extent cx="5212080"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-487680</wp:posOffset>
            </wp:positionV>
            <wp:extent cx="5212080"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-161925</wp:posOffset>
            </wp:positionV>
            <wp:extent cx="5212080"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135" w:lineRule="exact"/>
        <w:rPr>
          <w:sz w:val="20"/>
          <w:szCs w:val="20"/>
          <w:color w:val="auto"/>
        </w:rPr>
      </w:pPr>
    </w:p>
    <w:p>
      <w:pPr>
        <w:ind w:left="1260" w:right="619"/>
        <w:spacing w:after="0" w:line="241" w:lineRule="auto"/>
        <w:rPr>
          <w:sz w:val="20"/>
          <w:szCs w:val="20"/>
          <w:color w:val="auto"/>
        </w:rPr>
      </w:pPr>
      <w:r>
        <w:rPr>
          <w:rFonts w:ascii="Arial" w:cs="Arial" w:eastAsia="Arial" w:hAnsi="Arial"/>
          <w:sz w:val="18"/>
          <w:szCs w:val="18"/>
          <w:color w:val="4C4C4C"/>
        </w:rPr>
        <w:t>In June 2025, the Compensation Committee granted our named executive officers an equity mix of 75% stock options and 25% restricted stock that vest in equal installments on the first three anniversaries of the grant date. The Compensation Committee sets targets for annual equity compensation for each of the executive officers. The targets are informed by a survey of our peer group’s pay practices. The Compensation</w:t>
      </w:r>
    </w:p>
    <w:p>
      <w:pPr>
        <w:spacing w:after="0" w:line="395" w:lineRule="exact"/>
        <w:rPr>
          <w:sz w:val="20"/>
          <w:szCs w:val="20"/>
          <w:color w:val="auto"/>
        </w:rPr>
      </w:pPr>
    </w:p>
    <w:p>
      <w:pPr>
        <w:ind w:left="1780" w:hanging="520"/>
        <w:spacing w:after="0"/>
        <w:tabs>
          <w:tab w:leader="none" w:pos="1780" w:val="left"/>
        </w:tabs>
        <w:numPr>
          <w:ilvl w:val="0"/>
          <w:numId w:val="64"/>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6700"/>
        <w:spacing w:after="0"/>
        <w:rPr>
          <w:sz w:val="20"/>
          <w:szCs w:val="20"/>
          <w:color w:val="auto"/>
        </w:rPr>
      </w:pPr>
      <w:r>
        <w:rPr>
          <w:rFonts w:ascii="Arial" w:cs="Arial" w:eastAsia="Arial" w:hAnsi="Arial"/>
          <w:sz w:val="12"/>
          <w:szCs w:val="12"/>
          <w:color w:val="346094"/>
        </w:rPr>
        <w:t>COMPENSATION DISCUSSION AND ANALYSIS</w:t>
      </w:r>
    </w:p>
    <w:p>
      <w:pPr>
        <w:spacing w:after="0" w:line="33"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63" w:lineRule="exact"/>
        <w:rPr>
          <w:sz w:val="20"/>
          <w:szCs w:val="20"/>
          <w:color w:val="auto"/>
        </w:rPr>
      </w:pPr>
    </w:p>
    <w:p>
      <w:pPr>
        <w:ind w:left="1260" w:right="459"/>
        <w:spacing w:after="0" w:line="236" w:lineRule="auto"/>
        <w:rPr>
          <w:sz w:val="20"/>
          <w:szCs w:val="20"/>
          <w:color w:val="auto"/>
        </w:rPr>
      </w:pPr>
      <w:r>
        <w:rPr>
          <w:rFonts w:ascii="Arial" w:cs="Arial" w:eastAsia="Arial" w:hAnsi="Arial"/>
          <w:sz w:val="18"/>
          <w:szCs w:val="18"/>
          <w:color w:val="4C4C4C"/>
        </w:rPr>
        <w:t>Committee generally targets a grant value of around the 50</w:t>
      </w:r>
      <w:r>
        <w:rPr>
          <w:rFonts w:ascii="Trebuchet MS" w:cs="Trebuchet MS" w:eastAsia="Trebuchet MS" w:hAnsi="Trebuchet MS"/>
          <w:sz w:val="26"/>
          <w:szCs w:val="26"/>
          <w:color w:val="4C4C4C"/>
          <w:vertAlign w:val="superscript"/>
        </w:rPr>
        <w:t>th</w:t>
      </w:r>
      <w:r>
        <w:rPr>
          <w:rFonts w:ascii="Arial" w:cs="Arial" w:eastAsia="Arial" w:hAnsi="Arial"/>
          <w:sz w:val="18"/>
          <w:szCs w:val="18"/>
          <w:color w:val="4C4C4C"/>
        </w:rPr>
        <w:t xml:space="preserve"> percentile compared to the peer group for each executive officer, though the Compensation Committee may decide to award more or less than such amount to any individual executive officer based on a variety of factors, such as the individual’s skills, experience and future potential to positively impact the Company’s performance, prior years’ award values, equity ownership level in the Company, as well as the individual’s and Company’s performance in the prior year. The ultimate value of equity grants is dependent on our stock price on the date of exercise for stock options and the date of sale for any shares received upon vesting of restricted stock and exercise of options, which further incentivizes and aligns the long-term interests of our executives with those of our stockholders.</w:t>
      </w:r>
    </w:p>
    <w:p>
      <w:pPr>
        <w:spacing w:after="0" w:line="199"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Other Compensation Policies and Practices</w:t>
      </w:r>
    </w:p>
    <w:p>
      <w:pPr>
        <w:spacing w:after="0" w:line="233"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i w:val="1"/>
          <w:iCs w:val="1"/>
          <w:color w:val="4C4C4C"/>
        </w:rPr>
        <w:t>Other Employee Benefits</w:t>
      </w:r>
    </w:p>
    <w:p>
      <w:pPr>
        <w:spacing w:after="0" w:line="173"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4C4C4C"/>
        </w:rPr>
        <w:t>We maintain broad-based benefits that are provided to all employees, including our 401(k) retirement plan, medical, dental and vision care plans, life insurance, short- and long-term disability policies, paid vacation, paid sick time, and company holidays. Our named executive officers are eligible to participate in each of these programs on the same terms as non-executive employees.</w:t>
      </w:r>
    </w:p>
    <w:p>
      <w:pPr>
        <w:spacing w:after="0" w:line="211"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i w:val="1"/>
          <w:iCs w:val="1"/>
          <w:color w:val="4C4C4C"/>
        </w:rPr>
        <w:t>Corporate Apartment Perquisite</w:t>
      </w:r>
    </w:p>
    <w:p>
      <w:pPr>
        <w:spacing w:after="0" w:line="175" w:lineRule="exact"/>
        <w:rPr>
          <w:sz w:val="20"/>
          <w:szCs w:val="20"/>
          <w:color w:val="auto"/>
        </w:rPr>
      </w:pPr>
    </w:p>
    <w:p>
      <w:pPr>
        <w:ind w:left="1260" w:right="419"/>
        <w:spacing w:after="0" w:line="244" w:lineRule="auto"/>
        <w:rPr>
          <w:sz w:val="20"/>
          <w:szCs w:val="20"/>
          <w:color w:val="auto"/>
        </w:rPr>
      </w:pPr>
      <w:r>
        <w:rPr>
          <w:rFonts w:ascii="Arial" w:cs="Arial" w:eastAsia="Arial" w:hAnsi="Arial"/>
          <w:sz w:val="18"/>
          <w:szCs w:val="18"/>
          <w:color w:val="4C4C4C"/>
        </w:rPr>
        <w:t>Mr. Gruber received reimbursement for the cost of a corporate apartment, grossed up for related payroll taxes. This benefit was negotiated with Mr. Gruber at the time of his initial employment with the Company and was deemed a reasonable expense and necessary inducement to his employment with the Company. The Compensation Committee periodically reviews this benefit and has determined it is a reasonable expense.</w:t>
      </w:r>
    </w:p>
    <w:p>
      <w:pPr>
        <w:spacing w:after="0" w:line="211"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i w:val="1"/>
          <w:iCs w:val="1"/>
          <w:color w:val="4C4C4C"/>
        </w:rPr>
        <w:t>Severance and Change in Control Arrangements</w:t>
      </w:r>
    </w:p>
    <w:p>
      <w:pPr>
        <w:spacing w:after="0" w:line="186"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4C4C4C"/>
        </w:rPr>
        <w:t>We have entered into employment agreements with certain of our named executive officers. Each of these agreements provides the applicable named executive officer with certain severance benefits in connection with certain terminations of the executive’s employment both before and after a change in control.</w:t>
      </w:r>
    </w:p>
    <w:p>
      <w:pPr>
        <w:spacing w:after="0" w:line="161" w:lineRule="exact"/>
        <w:rPr>
          <w:sz w:val="20"/>
          <w:szCs w:val="20"/>
          <w:color w:val="auto"/>
        </w:rPr>
      </w:pPr>
    </w:p>
    <w:p>
      <w:pPr>
        <w:ind w:left="1260" w:right="439"/>
        <w:spacing w:after="0"/>
        <w:rPr>
          <w:sz w:val="20"/>
          <w:szCs w:val="20"/>
          <w:color w:val="auto"/>
        </w:rPr>
      </w:pPr>
      <w:r>
        <w:rPr>
          <w:rFonts w:ascii="Arial" w:cs="Arial" w:eastAsia="Arial" w:hAnsi="Arial"/>
          <w:sz w:val="18"/>
          <w:szCs w:val="18"/>
          <w:color w:val="4C4C4C"/>
        </w:rPr>
        <w:t>We also maintain the Gevo, Inc. Change in Control Severance Plan (the “CIC Plan”) for eligible employees of the Company. The participants in the CIC Plan include certain of the Company’s executive officers that do not have employment agreements with the Company and certain other members of the Company’s senior management. The CIC Plan provides the applicable participant with certain severance benefits in connection with a double-trigger change in control (</w:t>
      </w:r>
      <w:r>
        <w:rPr>
          <w:rFonts w:ascii="Arial" w:cs="Arial" w:eastAsia="Arial" w:hAnsi="Arial"/>
          <w:sz w:val="18"/>
          <w:szCs w:val="18"/>
          <w:i w:val="1"/>
          <w:iCs w:val="1"/>
          <w:color w:val="4C4C4C"/>
        </w:rPr>
        <w:t>i.e.</w:t>
      </w:r>
      <w:r>
        <w:rPr>
          <w:rFonts w:ascii="Arial" w:cs="Arial" w:eastAsia="Arial" w:hAnsi="Arial"/>
          <w:sz w:val="18"/>
          <w:szCs w:val="18"/>
          <w:color w:val="4C4C4C"/>
        </w:rPr>
        <w:t>, termination of the executive’s employment by the Company without Cause (as defined in the CIC Plan) or the executive’s resignation from the Company for Good Reason (as defined in the CIC Plan) within 30 days prior to or 12 months following the Change in Control (as defined in the CIC Plan)). The Compensation Committee believes that reasonable severance and change in control protections for the named executive officers strengthens our competitive compensation package by providing us with a recruitment and retention benefit, aligning the interests of the named executive officers with those of the stockholders and ensuring continued dedication to the Company in change in control situations that may result in personal uncertainties.</w:t>
      </w:r>
    </w:p>
    <w:p>
      <w:pPr>
        <w:spacing w:after="0" w:line="235"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i w:val="1"/>
          <w:iCs w:val="1"/>
          <w:color w:val="4C4C4C"/>
        </w:rPr>
        <w:t>Clawback Policy</w:t>
      </w:r>
    </w:p>
    <w:p>
      <w:pPr>
        <w:spacing w:after="0" w:line="173" w:lineRule="exact"/>
        <w:rPr>
          <w:sz w:val="20"/>
          <w:szCs w:val="20"/>
          <w:color w:val="auto"/>
        </w:rPr>
      </w:pPr>
    </w:p>
    <w:p>
      <w:pPr>
        <w:ind w:left="1260" w:right="479"/>
        <w:spacing w:after="0"/>
        <w:rPr>
          <w:sz w:val="20"/>
          <w:szCs w:val="20"/>
          <w:color w:val="auto"/>
        </w:rPr>
      </w:pPr>
      <w:r>
        <w:rPr>
          <w:rFonts w:ascii="Arial" w:cs="Arial" w:eastAsia="Arial" w:hAnsi="Arial"/>
          <w:sz w:val="18"/>
          <w:szCs w:val="18"/>
          <w:color w:val="4C4C4C"/>
        </w:rPr>
        <w:t>We maintain a Compensation Recovery Policy that is intended to comply with Section 10D-1 of the Exchange Act of 1934 and the related Nasdaq listing standards. Under our Compensation Recovery Policy, in the event of a restatement of the Company’s financial statements due to non-compliance with financial reporting requirements under the securities laws, the Company will seek to recover from executive officers of the Company any incentive-based compensation they received that would have been less had it been calculated based on the restated financial statements. “Incentive-Based Compensation” is defined in the policy to include any compensation that is earned based on the attainment of a financial performance measure.</w:t>
      </w:r>
    </w:p>
    <w:p>
      <w:pPr>
        <w:sectPr>
          <w:pgSz w:w="11900" w:h="16838" w:orient="portrait"/>
          <w:cols w:equalWidth="0" w:num="1">
            <w:col w:w="9879"/>
          </w:cols>
          <w:pgMar w:left="580" w:top="97" w:right="1440" w:bottom="1440" w:gutter="0" w:footer="0" w:header="0"/>
        </w:sectPr>
      </w:pPr>
    </w:p>
    <w:p>
      <w:pPr>
        <w:spacing w:after="0" w:line="400"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COMPENSATION DISCUSSION AND ANALYSIS</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12"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i w:val="1"/>
          <w:iCs w:val="1"/>
          <w:color w:val="4C4C4C"/>
        </w:rPr>
        <w:t>Insider Trading Policy; Anti-Hedging and Anti-Pledging Policy</w:t>
      </w:r>
    </w:p>
    <w:p>
      <w:pPr>
        <w:spacing w:after="0" w:line="173" w:lineRule="exact"/>
        <w:rPr>
          <w:sz w:val="20"/>
          <w:szCs w:val="20"/>
          <w:color w:val="auto"/>
        </w:rPr>
      </w:pPr>
    </w:p>
    <w:p>
      <w:pPr>
        <w:ind w:left="1260" w:right="439"/>
        <w:spacing w:after="0"/>
        <w:rPr>
          <w:sz w:val="20"/>
          <w:szCs w:val="20"/>
          <w:color w:val="auto"/>
        </w:rPr>
      </w:pPr>
      <w:r>
        <w:rPr>
          <w:rFonts w:ascii="Arial" w:cs="Arial" w:eastAsia="Arial" w:hAnsi="Arial"/>
          <w:sz w:val="18"/>
          <w:szCs w:val="18"/>
          <w:color w:val="4C4C4C"/>
        </w:rPr>
        <w:t>The Company maintains an Insider Trading Policy, which is applicable to our directors, officers, and employees, and we have implemented processes for the Company that we believe are reasonably designed to promote compliance with insider trading laws, rules, and regulations, and the Nasdaq listing standards. Our Insider Trading Policy prohibits our employees, officers, directors and related persons and entities from trading in securities of the Company while in possession of material, nonpublic information. Our Insider Trading Policy also prohibits our employees, officers and directors from disclosing material, nonpublic information of the Company to others who may trade on the basis of that information. The Insider Trading Policy requires that certain officers of the Company and other designated employees (collectively, “Insiders”) only transact in the Company’s securities during an open window period, subject to limited exceptions. In addition, Insiders are required to obtain approval in advance of transactions in the Company’s securities. Our executive officers and directors must also comply with additional trading restrictions. The foregoing summary of our insider trading policies and procedures does not purport to be complete and is qualified by reference to our Insider Trading Policy, a copy of which can be found as Exhibit 19.1 to our Annual Report on Form 10-K for the fiscal year ended December 31, 2025. As part of the Company’s Insider Trading Policy, the Company adopted a policy prohibiting all directors, officers and employees of the Company from engaging in any hedging or pledging transactions with respect to shares of the Company’s common stock. Transactions in puts, calls or other derivative securities, on an exchange or in any other organized market, on the Company’s common stock are also prohibited.</w:t>
      </w:r>
    </w:p>
    <w:p>
      <w:pPr>
        <w:spacing w:after="0" w:line="235"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i w:val="1"/>
          <w:iCs w:val="1"/>
          <w:color w:val="4C4C4C"/>
        </w:rPr>
        <w:t>Tax Considerations</w:t>
      </w:r>
    </w:p>
    <w:p>
      <w:pPr>
        <w:spacing w:after="0" w:line="173" w:lineRule="exact"/>
        <w:rPr>
          <w:sz w:val="20"/>
          <w:szCs w:val="20"/>
          <w:color w:val="auto"/>
        </w:rPr>
      </w:pPr>
    </w:p>
    <w:p>
      <w:pPr>
        <w:ind w:left="1260" w:right="759"/>
        <w:spacing w:after="0" w:line="247" w:lineRule="auto"/>
        <w:rPr>
          <w:sz w:val="20"/>
          <w:szCs w:val="20"/>
          <w:color w:val="auto"/>
        </w:rPr>
      </w:pPr>
      <w:r>
        <w:rPr>
          <w:rFonts w:ascii="Arial" w:cs="Arial" w:eastAsia="Arial" w:hAnsi="Arial"/>
          <w:sz w:val="18"/>
          <w:szCs w:val="18"/>
          <w:color w:val="4C4C4C"/>
        </w:rPr>
        <w:t>Our Board and Compensation Committee will consider the tax impacts of our executive compensation program but retain the flexibility to design and administer compensation programs that are in the best interests of the Company and its stockholders.</w:t>
      </w:r>
    </w:p>
    <w:p>
      <w:pPr>
        <w:spacing w:after="0" w:line="157" w:lineRule="exact"/>
        <w:rPr>
          <w:sz w:val="20"/>
          <w:szCs w:val="20"/>
          <w:color w:val="auto"/>
        </w:rPr>
      </w:pPr>
    </w:p>
    <w:p>
      <w:pPr>
        <w:ind w:left="1260" w:right="499"/>
        <w:spacing w:after="0" w:line="244" w:lineRule="auto"/>
        <w:rPr>
          <w:sz w:val="20"/>
          <w:szCs w:val="20"/>
          <w:color w:val="auto"/>
        </w:rPr>
      </w:pPr>
      <w:r>
        <w:rPr>
          <w:rFonts w:ascii="Arial" w:cs="Arial" w:eastAsia="Arial" w:hAnsi="Arial"/>
          <w:sz w:val="18"/>
          <w:szCs w:val="18"/>
          <w:color w:val="4C4C4C"/>
        </w:rPr>
        <w:t>Section 409A of the U.S. Internal Revenue Code of 1986, as amended (the “Code”), applies to plans, agreements and arrangements that provide for the deferral of compensation, and imposes penalty taxes on employees if those plans, agreements and arrangements do not comply with Section 409A. We have sought to structure our executive compensation arrangements to be exempt from, or comply with, Section 409A.</w:t>
      </w:r>
    </w:p>
    <w:p>
      <w:pPr>
        <w:spacing w:after="0" w:line="163" w:lineRule="exact"/>
        <w:rPr>
          <w:sz w:val="20"/>
          <w:szCs w:val="20"/>
          <w:color w:val="auto"/>
        </w:rPr>
      </w:pPr>
    </w:p>
    <w:p>
      <w:pPr>
        <w:ind w:left="1260" w:right="519"/>
        <w:spacing w:after="0" w:line="242" w:lineRule="auto"/>
        <w:rPr>
          <w:sz w:val="20"/>
          <w:szCs w:val="20"/>
          <w:color w:val="auto"/>
        </w:rPr>
      </w:pPr>
      <w:r>
        <w:rPr>
          <w:rFonts w:ascii="Arial" w:cs="Arial" w:eastAsia="Arial" w:hAnsi="Arial"/>
          <w:sz w:val="18"/>
          <w:szCs w:val="18"/>
          <w:color w:val="4C4C4C"/>
        </w:rPr>
        <w:t>Section 162(m) of the Code generally disallows a tax deduction for any publicly held corporation for individual compensation of more than $1.0 million in any taxable year to certain executive officers. Our Compensation Committee and Board, after considering the potential impact of the application of Section 162(m) of the Code, have and may in the future provide compensation to executive officers that may not be tax deductible if it believes that providing that compensation is in the best interests of the Company and its stockholders.</w:t>
      </w:r>
    </w:p>
    <w:p>
      <w:pPr>
        <w:spacing w:after="0" w:line="215"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i w:val="1"/>
          <w:iCs w:val="1"/>
          <w:color w:val="4C4C4C"/>
        </w:rPr>
        <w:t>Accounting Considerations</w:t>
      </w:r>
    </w:p>
    <w:p>
      <w:pPr>
        <w:spacing w:after="0" w:line="186"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4C4C4C"/>
        </w:rPr>
        <w:t>ASC Topic 718, Compensation — Stock Compensation (referred to as ASC Topic 718), requires us to recognize an expense for the fair value of equity-based compensation awards. Grants of stock options and restricted stock under our equity incentive award plans will be accounted for under ASC Topic 718. We will consider the accounting implications of significant compensation decisions, especially in connection with decisions that relate to our equity incentive award plans and programs. As accounting standards change, we may revise certain programs to appropriately align accounting expenses of our equity awards with our overall executive compensation philosophy and objectives.</w:t>
      </w:r>
    </w:p>
    <w:p>
      <w:pPr>
        <w:spacing w:after="0" w:line="215" w:lineRule="exact"/>
        <w:rPr>
          <w:sz w:val="20"/>
          <w:szCs w:val="20"/>
          <w:color w:val="auto"/>
        </w:rPr>
      </w:pPr>
    </w:p>
    <w:p>
      <w:pPr>
        <w:ind w:left="1260"/>
        <w:spacing w:after="0"/>
        <w:rPr>
          <w:sz w:val="20"/>
          <w:szCs w:val="20"/>
          <w:color w:val="auto"/>
        </w:rPr>
      </w:pPr>
      <w:r>
        <w:rPr>
          <w:rFonts w:ascii="Trebuchet MS" w:cs="Trebuchet MS" w:eastAsia="Trebuchet MS" w:hAnsi="Trebuchet MS"/>
          <w:sz w:val="18"/>
          <w:szCs w:val="18"/>
          <w:b w:val="1"/>
          <w:bCs w:val="1"/>
          <w:i w:val="1"/>
          <w:iCs w:val="1"/>
          <w:color w:val="4C4C4C"/>
        </w:rPr>
        <w:t>Equity Grant Timing</w:t>
      </w:r>
    </w:p>
    <w:p>
      <w:pPr>
        <w:spacing w:after="0" w:line="173" w:lineRule="exact"/>
        <w:rPr>
          <w:sz w:val="20"/>
          <w:szCs w:val="20"/>
          <w:color w:val="auto"/>
        </w:rPr>
      </w:pPr>
    </w:p>
    <w:p>
      <w:pPr>
        <w:ind w:left="1260" w:right="639"/>
        <w:spacing w:after="0" w:line="242" w:lineRule="auto"/>
        <w:rPr>
          <w:sz w:val="20"/>
          <w:szCs w:val="20"/>
          <w:color w:val="auto"/>
        </w:rPr>
      </w:pPr>
      <w:r>
        <w:rPr>
          <w:rFonts w:ascii="Arial" w:cs="Arial" w:eastAsia="Arial" w:hAnsi="Arial"/>
          <w:sz w:val="18"/>
          <w:szCs w:val="18"/>
          <w:color w:val="4C4C4C"/>
        </w:rPr>
        <w:t>We grant equity awards on an annual basis and may grant equity awards on a discretionary basis in connection with certain events such as the commencement of employment. As discussed above, currently, we grant stock options and restricted stock awards. We do not have a formal policy regarding the timing of awards of stock options in relation to our disclosure of material nonpublic information; however, our Compensation Committee does not target our grants of stock option awards in anticipation of the</w:t>
      </w:r>
    </w:p>
    <w:p>
      <w:pPr>
        <w:spacing w:after="0" w:line="385" w:lineRule="exact"/>
        <w:rPr>
          <w:sz w:val="20"/>
          <w:szCs w:val="20"/>
          <w:color w:val="auto"/>
        </w:rPr>
      </w:pPr>
    </w:p>
    <w:p>
      <w:pPr>
        <w:ind w:left="1780" w:hanging="520"/>
        <w:spacing w:after="0"/>
        <w:tabs>
          <w:tab w:leader="none" w:pos="1780" w:val="left"/>
        </w:tabs>
        <w:numPr>
          <w:ilvl w:val="0"/>
          <w:numId w:val="65"/>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6700"/>
        <w:spacing w:after="0"/>
        <w:rPr>
          <w:sz w:val="20"/>
          <w:szCs w:val="20"/>
          <w:color w:val="auto"/>
        </w:rPr>
      </w:pPr>
      <w:r>
        <w:rPr>
          <w:rFonts w:ascii="Arial" w:cs="Arial" w:eastAsia="Arial" w:hAnsi="Arial"/>
          <w:sz w:val="14"/>
          <w:szCs w:val="14"/>
          <w:color w:val="346094"/>
        </w:rPr>
        <w:t>COMPENSATION DISCUSSION AND ANALYSIS</w:t>
      </w:r>
    </w:p>
    <w:p>
      <w:pPr>
        <w:spacing w:after="0" w:line="10"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260" w:right="1640"/>
        <w:spacing w:after="0" w:line="259" w:lineRule="auto"/>
        <w:rPr>
          <w:sz w:val="20"/>
          <w:szCs w:val="20"/>
          <w:color w:val="auto"/>
        </w:rPr>
      </w:pPr>
      <w:r>
        <w:rPr>
          <w:rFonts w:ascii="Arial" w:cs="Arial" w:eastAsia="Arial" w:hAnsi="Arial"/>
          <w:sz w:val="18"/>
          <w:szCs w:val="18"/>
          <w:color w:val="4C4C4C"/>
        </w:rPr>
        <w:t>release of material nonpublic information, and we do not time the release of material nonpublic information for the purpose of affecting the value of executive compensation.</w:t>
      </w:r>
    </w:p>
    <w:p>
      <w:pPr>
        <w:spacing w:after="0" w:line="161" w:lineRule="exact"/>
        <w:rPr>
          <w:sz w:val="20"/>
          <w:szCs w:val="20"/>
          <w:color w:val="auto"/>
        </w:rPr>
      </w:pPr>
    </w:p>
    <w:p>
      <w:pPr>
        <w:ind w:left="1260" w:right="1340"/>
        <w:spacing w:after="0" w:line="250" w:lineRule="auto"/>
        <w:rPr>
          <w:sz w:val="20"/>
          <w:szCs w:val="20"/>
          <w:color w:val="auto"/>
        </w:rPr>
      </w:pPr>
      <w:r>
        <w:rPr>
          <w:rFonts w:ascii="Arial" w:cs="Arial" w:eastAsia="Arial" w:hAnsi="Arial"/>
          <w:sz w:val="18"/>
          <w:szCs w:val="18"/>
          <w:color w:val="4C4C4C"/>
        </w:rPr>
        <w:t>Each fiscal year, our Compensation Committee, with input from FW Cook, makes the determinations of whether to grant equity awards and in what amounts. The Compensation Committee reviews and approves annual grants of equity awards to (i) our non-employee directors at one of its regularly scheduled meetings in the spring; and (ii) our employees and officers at one of its regularly scheduled meetings during the late spring or summer. During 2025, the Company did not issue any stock options to our named executive officers during the period beginning four business days before and ending one business day after (i) the filing of the Company’s Annual Report on Form 10-K,</w:t>
      </w:r>
    </w:p>
    <w:p>
      <w:pPr>
        <w:spacing w:after="0" w:line="3" w:lineRule="exact"/>
        <w:rPr>
          <w:sz w:val="20"/>
          <w:szCs w:val="20"/>
          <w:color w:val="auto"/>
        </w:rPr>
      </w:pPr>
    </w:p>
    <w:p>
      <w:pPr>
        <w:ind w:left="1260" w:right="1320"/>
        <w:spacing w:after="0" w:line="259" w:lineRule="auto"/>
        <w:tabs>
          <w:tab w:leader="none" w:pos="1549" w:val="left"/>
        </w:tabs>
        <w:numPr>
          <w:ilvl w:val="0"/>
          <w:numId w:val="66"/>
        </w:numPr>
        <w:rPr>
          <w:rFonts w:ascii="Arial" w:cs="Arial" w:eastAsia="Arial" w:hAnsi="Arial"/>
          <w:sz w:val="18"/>
          <w:szCs w:val="18"/>
          <w:color w:val="4C4C4C"/>
        </w:rPr>
      </w:pPr>
      <w:r>
        <w:rPr>
          <w:rFonts w:ascii="Arial" w:cs="Arial" w:eastAsia="Arial" w:hAnsi="Arial"/>
          <w:sz w:val="18"/>
          <w:szCs w:val="18"/>
          <w:color w:val="4C4C4C"/>
        </w:rPr>
        <w:t>the filing of any of the Company’s Quarterly Reports on Form 10-Q, or (iii) the filing or furnishing of a Current Report on Form 8-K disclosing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20" w:type="dxa"/>
            <w:vAlign w:val="bottom"/>
          </w:tcPr>
          <w:p>
            <w:pPr>
              <w:ind w:left="5880"/>
              <w:spacing w:after="0"/>
              <w:rPr>
                <w:sz w:val="20"/>
                <w:szCs w:val="20"/>
                <w:color w:val="auto"/>
              </w:rPr>
            </w:pPr>
            <w:r>
              <w:rPr>
                <w:rFonts w:ascii="Arial" w:cs="Arial" w:eastAsia="Arial" w:hAnsi="Arial"/>
                <w:sz w:val="18"/>
                <w:szCs w:val="18"/>
                <w:color w:val="346094"/>
                <w:w w:val="93"/>
              </w:rPr>
              <w:t xml:space="preserve">GEVO, INC.  |  </w:t>
            </w:r>
            <w:r>
              <w:rPr>
                <w:rFonts w:ascii="Arial" w:cs="Arial" w:eastAsia="Arial" w:hAnsi="Arial"/>
                <w:sz w:val="18"/>
                <w:szCs w:val="18"/>
                <w:i w:val="1"/>
                <w:iCs w:val="1"/>
                <w:color w:val="4C4C4C"/>
                <w:w w:val="93"/>
              </w:rPr>
              <w:t>2026 PROXY STATEMENT</w:t>
            </w:r>
          </w:p>
        </w:tc>
        <w:tc>
          <w:tcPr>
            <w:tcW w:w="1600" w:type="dxa"/>
            <w:vAlign w:val="bottom"/>
          </w:tcPr>
          <w:p>
            <w:pPr>
              <w:jc w:val="right"/>
              <w:ind w:right="1170"/>
              <w:spacing w:after="0"/>
              <w:rPr>
                <w:sz w:val="20"/>
                <w:szCs w:val="20"/>
                <w:color w:val="auto"/>
              </w:rPr>
            </w:pPr>
            <w:r>
              <w:rPr>
                <w:rFonts w:ascii="Arial" w:cs="Arial" w:eastAsia="Arial" w:hAnsi="Arial"/>
                <w:sz w:val="18"/>
                <w:szCs w:val="18"/>
                <w:color w:val="4C4C4C"/>
              </w:rPr>
              <w:t>41</w:t>
            </w:r>
          </w:p>
        </w:tc>
      </w:tr>
      <w:tr>
        <w:trPr>
          <w:trHeight w:val="395"/>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COMPENSATION DISCUSSION AND ANALYSIS</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69215</wp:posOffset>
            </wp:positionV>
            <wp:extent cx="5212080" cy="274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133" w:lineRule="exact"/>
        <w:rPr>
          <w:sz w:val="20"/>
          <w:szCs w:val="20"/>
          <w:color w:val="auto"/>
        </w:rPr>
      </w:pPr>
    </w:p>
    <w:p>
      <w:pPr>
        <w:ind w:left="2900"/>
        <w:spacing w:after="0"/>
        <w:rPr>
          <w:sz w:val="20"/>
          <w:szCs w:val="20"/>
          <w:color w:val="auto"/>
        </w:rPr>
      </w:pPr>
      <w:r>
        <w:rPr>
          <w:rFonts w:ascii="Trebuchet MS" w:cs="Trebuchet MS" w:eastAsia="Trebuchet MS" w:hAnsi="Trebuchet MS"/>
          <w:sz w:val="29"/>
          <w:szCs w:val="29"/>
          <w:b w:val="1"/>
          <w:bCs w:val="1"/>
          <w:color w:val="FFFFFF"/>
        </w:rPr>
        <w:t>CO</w:t>
      </w:r>
      <w:r>
        <w:rPr>
          <w:rFonts w:ascii="Arial" w:cs="Arial" w:eastAsia="Arial" w:hAnsi="Arial"/>
          <w:sz w:val="27"/>
          <w:szCs w:val="27"/>
          <w:b w:val="1"/>
          <w:bCs w:val="1"/>
          <w:color w:val="FFFFFF"/>
        </w:rPr>
        <w:t>M</w:t>
      </w:r>
      <w:r>
        <w:rPr>
          <w:rFonts w:ascii="Trebuchet MS" w:cs="Trebuchet MS" w:eastAsia="Trebuchet MS" w:hAnsi="Trebuchet MS"/>
          <w:sz w:val="29"/>
          <w:szCs w:val="29"/>
          <w:b w:val="1"/>
          <w:bCs w:val="1"/>
          <w:color w:val="FFFFFF"/>
        </w:rPr>
        <w:t>PENSATION CO</w:t>
      </w:r>
      <w:r>
        <w:rPr>
          <w:rFonts w:ascii="Arial" w:cs="Arial" w:eastAsia="Arial" w:hAnsi="Arial"/>
          <w:sz w:val="27"/>
          <w:szCs w:val="27"/>
          <w:b w:val="1"/>
          <w:bCs w:val="1"/>
          <w:color w:val="FFFFFF"/>
        </w:rPr>
        <w:t>MM</w:t>
      </w:r>
      <w:r>
        <w:rPr>
          <w:rFonts w:ascii="Trebuchet MS" w:cs="Trebuchet MS" w:eastAsia="Trebuchet MS" w:hAnsi="Trebuchet MS"/>
          <w:sz w:val="29"/>
          <w:szCs w:val="29"/>
          <w:b w:val="1"/>
          <w:bCs w:val="1"/>
          <w:color w:val="FFFFFF"/>
        </w:rPr>
        <w:t>ITTEE REPORT</w:t>
      </w:r>
    </w:p>
    <w:p>
      <w:pPr>
        <w:spacing w:after="0" w:line="234" w:lineRule="exact"/>
        <w:rPr>
          <w:sz w:val="20"/>
          <w:szCs w:val="20"/>
          <w:color w:val="auto"/>
        </w:rPr>
      </w:pPr>
    </w:p>
    <w:p>
      <w:pPr>
        <w:ind w:left="1260" w:right="519"/>
        <w:spacing w:after="0" w:line="258" w:lineRule="auto"/>
        <w:rPr>
          <w:sz w:val="20"/>
          <w:szCs w:val="20"/>
          <w:color w:val="auto"/>
        </w:rPr>
      </w:pPr>
      <w:r>
        <w:rPr>
          <w:rFonts w:ascii="Arial" w:cs="Arial" w:eastAsia="Arial" w:hAnsi="Arial"/>
          <w:sz w:val="18"/>
          <w:szCs w:val="18"/>
          <w:color w:val="4C4C4C"/>
        </w:rPr>
        <w:t>The Compensation Committee has reviewed and discussed the foregoing Compensation Discussion and Analysis with management and, based on that review and those discussions, it recommended to the Board of Directors that the foregoing Compensation Discussion and Analysis be included in the Company’s proxy statement relating to the 2026 Annual Meeting of Stockholders.</w:t>
      </w:r>
    </w:p>
    <w:p>
      <w:pPr>
        <w:spacing w:after="0" w:line="176" w:lineRule="exact"/>
        <w:rPr>
          <w:sz w:val="20"/>
          <w:szCs w:val="20"/>
          <w:color w:val="auto"/>
        </w:rPr>
      </w:pPr>
    </w:p>
    <w:p>
      <w:pPr>
        <w:ind w:left="5220"/>
        <w:spacing w:after="0"/>
        <w:rPr>
          <w:sz w:val="20"/>
          <w:szCs w:val="20"/>
          <w:color w:val="auto"/>
        </w:rPr>
      </w:pPr>
      <w:r>
        <w:rPr>
          <w:rFonts w:ascii="Arial" w:cs="Arial" w:eastAsia="Arial" w:hAnsi="Arial"/>
          <w:sz w:val="18"/>
          <w:szCs w:val="18"/>
          <w:color w:val="4C4C4C"/>
        </w:rPr>
        <w:t>Respectfully submitted,</w:t>
      </w:r>
    </w:p>
    <w:p>
      <w:pPr>
        <w:spacing w:after="0" w:line="173" w:lineRule="exact"/>
        <w:rPr>
          <w:sz w:val="20"/>
          <w:szCs w:val="20"/>
          <w:color w:val="auto"/>
        </w:rPr>
      </w:pPr>
    </w:p>
    <w:p>
      <w:pPr>
        <w:ind w:left="5220"/>
        <w:spacing w:after="0"/>
        <w:rPr>
          <w:sz w:val="20"/>
          <w:szCs w:val="20"/>
          <w:color w:val="auto"/>
        </w:rPr>
      </w:pPr>
      <w:r>
        <w:rPr>
          <w:rFonts w:ascii="Trebuchet MS" w:cs="Trebuchet MS" w:eastAsia="Trebuchet MS" w:hAnsi="Trebuchet MS"/>
          <w:sz w:val="18"/>
          <w:szCs w:val="18"/>
          <w:b w:val="1"/>
          <w:bCs w:val="1"/>
          <w:color w:val="4C4C4C"/>
        </w:rPr>
        <w:t>CO</w:t>
      </w:r>
      <w:r>
        <w:rPr>
          <w:rFonts w:ascii="Arial" w:cs="Arial" w:eastAsia="Arial" w:hAnsi="Arial"/>
          <w:sz w:val="18"/>
          <w:szCs w:val="18"/>
          <w:b w:val="1"/>
          <w:bCs w:val="1"/>
          <w:color w:val="4C4C4C"/>
        </w:rPr>
        <w:t>M</w:t>
      </w:r>
      <w:r>
        <w:rPr>
          <w:rFonts w:ascii="Trebuchet MS" w:cs="Trebuchet MS" w:eastAsia="Trebuchet MS" w:hAnsi="Trebuchet MS"/>
          <w:sz w:val="18"/>
          <w:szCs w:val="18"/>
          <w:b w:val="1"/>
          <w:bCs w:val="1"/>
          <w:color w:val="4C4C4C"/>
        </w:rPr>
        <w:t>PENSATION CO</w:t>
      </w:r>
      <w:r>
        <w:rPr>
          <w:rFonts w:ascii="Arial" w:cs="Arial" w:eastAsia="Arial" w:hAnsi="Arial"/>
          <w:sz w:val="18"/>
          <w:szCs w:val="18"/>
          <w:b w:val="1"/>
          <w:bCs w:val="1"/>
          <w:color w:val="4C4C4C"/>
        </w:rPr>
        <w:t>MM</w:t>
      </w:r>
      <w:r>
        <w:rPr>
          <w:rFonts w:ascii="Trebuchet MS" w:cs="Trebuchet MS" w:eastAsia="Trebuchet MS" w:hAnsi="Trebuchet MS"/>
          <w:sz w:val="18"/>
          <w:szCs w:val="18"/>
          <w:b w:val="1"/>
          <w:bCs w:val="1"/>
          <w:color w:val="4C4C4C"/>
        </w:rPr>
        <w:t>ITTEE</w:t>
      </w:r>
    </w:p>
    <w:p>
      <w:pPr>
        <w:spacing w:after="0" w:line="196" w:lineRule="exact"/>
        <w:rPr>
          <w:sz w:val="20"/>
          <w:szCs w:val="20"/>
          <w:color w:val="auto"/>
        </w:rPr>
      </w:pPr>
    </w:p>
    <w:p>
      <w:pPr>
        <w:ind w:left="5220"/>
        <w:spacing w:after="0"/>
        <w:rPr>
          <w:sz w:val="20"/>
          <w:szCs w:val="20"/>
          <w:color w:val="auto"/>
        </w:rPr>
      </w:pPr>
      <w:r>
        <w:rPr>
          <w:rFonts w:ascii="Arial" w:cs="Arial" w:eastAsia="Arial" w:hAnsi="Arial"/>
          <w:sz w:val="18"/>
          <w:szCs w:val="18"/>
          <w:color w:val="4C4C4C"/>
        </w:rPr>
        <w:t>Andrew J. Marsh, Chair</w:t>
      </w:r>
    </w:p>
    <w:p>
      <w:pPr>
        <w:spacing w:after="0" w:line="34" w:lineRule="exact"/>
        <w:rPr>
          <w:sz w:val="20"/>
          <w:szCs w:val="20"/>
          <w:color w:val="auto"/>
        </w:rPr>
      </w:pPr>
    </w:p>
    <w:p>
      <w:pPr>
        <w:ind w:left="5220"/>
        <w:spacing w:after="0"/>
        <w:rPr>
          <w:sz w:val="20"/>
          <w:szCs w:val="20"/>
          <w:color w:val="auto"/>
        </w:rPr>
      </w:pPr>
      <w:r>
        <w:rPr>
          <w:rFonts w:ascii="Arial" w:cs="Arial" w:eastAsia="Arial" w:hAnsi="Arial"/>
          <w:sz w:val="18"/>
          <w:szCs w:val="18"/>
          <w:color w:val="4C4C4C"/>
        </w:rPr>
        <w:t>Angelo Amorelli</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4C4C4C"/>
        </w:rPr>
        <w:t>Carol J. Battershell</w:t>
      </w:r>
    </w:p>
    <w:p>
      <w:pPr>
        <w:spacing w:after="0" w:line="198" w:lineRule="exact"/>
        <w:rPr>
          <w:sz w:val="20"/>
          <w:szCs w:val="20"/>
          <w:color w:val="auto"/>
        </w:rPr>
      </w:pPr>
    </w:p>
    <w:p>
      <w:pPr>
        <w:ind w:left="1260" w:right="559"/>
        <w:spacing w:after="0" w:line="252" w:lineRule="auto"/>
        <w:rPr>
          <w:sz w:val="20"/>
          <w:szCs w:val="20"/>
          <w:color w:val="auto"/>
        </w:rPr>
      </w:pPr>
      <w:r>
        <w:rPr>
          <w:rFonts w:ascii="Arial" w:cs="Arial" w:eastAsia="Arial" w:hAnsi="Arial"/>
          <w:sz w:val="18"/>
          <w:szCs w:val="18"/>
          <w:i w:val="1"/>
          <w:iCs w:val="1"/>
          <w:color w:val="4C4C4C"/>
        </w:rPr>
        <w:t>The foregoing Compensation Committee Report does not constitute soliciting material and should not be deemed filed or incorporated by reference into any other filing of the Company under the Securities Act of 1933, as amended, or the Securities Exchange Act of 1934, as amended, except to the extent that the Company specifically incorporates the Compensation Committee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780" w:hanging="520"/>
        <w:spacing w:after="0"/>
        <w:tabs>
          <w:tab w:leader="none" w:pos="1780" w:val="left"/>
        </w:tabs>
        <w:numPr>
          <w:ilvl w:val="0"/>
          <w:numId w:val="67"/>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274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540"/>
        <w:spacing w:after="0"/>
        <w:rPr>
          <w:sz w:val="20"/>
          <w:szCs w:val="20"/>
          <w:color w:val="auto"/>
        </w:rPr>
      </w:pPr>
      <w:r>
        <w:rPr>
          <w:rFonts w:ascii="Trebuchet MS" w:cs="Trebuchet MS" w:eastAsia="Trebuchet MS" w:hAnsi="Trebuchet MS"/>
          <w:sz w:val="29"/>
          <w:szCs w:val="29"/>
          <w:b w:val="1"/>
          <w:bCs w:val="1"/>
          <w:color w:val="FFFFFF"/>
        </w:rPr>
        <w:t>EXECUTIVE CO</w:t>
      </w:r>
      <w:r>
        <w:rPr>
          <w:rFonts w:ascii="Arial" w:cs="Arial" w:eastAsia="Arial" w:hAnsi="Arial"/>
          <w:sz w:val="27"/>
          <w:szCs w:val="27"/>
          <w:b w:val="1"/>
          <w:bCs w:val="1"/>
          <w:color w:val="FFFFFF"/>
        </w:rPr>
        <w:t>M</w:t>
      </w:r>
      <w:r>
        <w:rPr>
          <w:rFonts w:ascii="Trebuchet MS" w:cs="Trebuchet MS" w:eastAsia="Trebuchet MS" w:hAnsi="Trebuchet MS"/>
          <w:sz w:val="29"/>
          <w:szCs w:val="29"/>
          <w:b w:val="1"/>
          <w:bCs w:val="1"/>
          <w:color w:val="FFFFFF"/>
        </w:rPr>
        <w:t>PENSATION</w:t>
      </w:r>
    </w:p>
    <w:p>
      <w:pPr>
        <w:spacing w:after="0" w:line="246"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2025 Summary Compensation Table</w:t>
      </w:r>
    </w:p>
    <w:p>
      <w:pPr>
        <w:spacing w:after="0" w:line="205" w:lineRule="exact"/>
        <w:rPr>
          <w:sz w:val="20"/>
          <w:szCs w:val="20"/>
          <w:color w:val="auto"/>
        </w:rPr>
      </w:pPr>
    </w:p>
    <w:p>
      <w:pPr>
        <w:ind w:left="1260" w:right="1560"/>
        <w:spacing w:after="0" w:line="259" w:lineRule="auto"/>
        <w:rPr>
          <w:sz w:val="20"/>
          <w:szCs w:val="20"/>
          <w:color w:val="auto"/>
        </w:rPr>
      </w:pPr>
      <w:r>
        <w:rPr>
          <w:rFonts w:ascii="Arial" w:cs="Arial" w:eastAsia="Arial" w:hAnsi="Arial"/>
          <w:sz w:val="18"/>
          <w:szCs w:val="18"/>
          <w:color w:val="4C4C4C"/>
        </w:rPr>
        <w:t>The following table summarizes the compensation earned by our named executive officers during the years ended December 31, 2025, 2024 and 2023:</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279"/>
        </w:trPr>
        <w:tc>
          <w:tcPr>
            <w:tcW w:w="2260" w:type="dxa"/>
            <w:vAlign w:val="bottom"/>
            <w:shd w:val="clear" w:color="auto" w:fill="346094"/>
          </w:tcPr>
          <w:p>
            <w:pPr>
              <w:spacing w:after="0"/>
              <w:rPr>
                <w:sz w:val="24"/>
                <w:szCs w:val="24"/>
                <w:color w:val="auto"/>
              </w:rPr>
            </w:pPr>
          </w:p>
        </w:tc>
        <w:tc>
          <w:tcPr>
            <w:tcW w:w="280" w:type="dxa"/>
            <w:vAlign w:val="bottom"/>
            <w:shd w:val="clear" w:color="auto" w:fill="346094"/>
          </w:tcPr>
          <w:p>
            <w:pPr>
              <w:spacing w:after="0"/>
              <w:rPr>
                <w:sz w:val="24"/>
                <w:szCs w:val="24"/>
                <w:color w:val="auto"/>
              </w:rPr>
            </w:pPr>
          </w:p>
        </w:tc>
        <w:tc>
          <w:tcPr>
            <w:tcW w:w="480" w:type="dxa"/>
            <w:vAlign w:val="bottom"/>
            <w:shd w:val="clear" w:color="auto" w:fill="346094"/>
          </w:tcPr>
          <w:p>
            <w:pPr>
              <w:spacing w:after="0"/>
              <w:rPr>
                <w:sz w:val="24"/>
                <w:szCs w:val="24"/>
                <w:color w:val="auto"/>
              </w:rPr>
            </w:pPr>
          </w:p>
        </w:tc>
        <w:tc>
          <w:tcPr>
            <w:tcW w:w="700" w:type="dxa"/>
            <w:vAlign w:val="bottom"/>
            <w:shd w:val="clear" w:color="auto" w:fill="346094"/>
          </w:tcPr>
          <w:p>
            <w:pPr>
              <w:spacing w:after="0"/>
              <w:rPr>
                <w:sz w:val="24"/>
                <w:szCs w:val="24"/>
                <w:color w:val="auto"/>
              </w:rPr>
            </w:pPr>
          </w:p>
        </w:tc>
        <w:tc>
          <w:tcPr>
            <w:tcW w:w="740" w:type="dxa"/>
            <w:vAlign w:val="bottom"/>
            <w:shd w:val="clear" w:color="auto" w:fill="346094"/>
          </w:tcPr>
          <w:p>
            <w:pPr>
              <w:spacing w:after="0"/>
              <w:rPr>
                <w:sz w:val="24"/>
                <w:szCs w:val="24"/>
                <w:color w:val="auto"/>
              </w:rPr>
            </w:pPr>
          </w:p>
        </w:tc>
        <w:tc>
          <w:tcPr>
            <w:tcW w:w="880" w:type="dxa"/>
            <w:vAlign w:val="bottom"/>
            <w:shd w:val="clear" w:color="auto" w:fill="346094"/>
          </w:tcPr>
          <w:p>
            <w:pPr>
              <w:jc w:val="right"/>
              <w:ind w:right="162"/>
              <w:spacing w:after="0"/>
              <w:rPr>
                <w:sz w:val="20"/>
                <w:szCs w:val="20"/>
                <w:color w:val="auto"/>
              </w:rPr>
            </w:pPr>
            <w:r>
              <w:rPr>
                <w:rFonts w:ascii="Trebuchet MS" w:cs="Trebuchet MS" w:eastAsia="Trebuchet MS" w:hAnsi="Trebuchet MS"/>
                <w:sz w:val="14"/>
                <w:szCs w:val="14"/>
                <w:b w:val="1"/>
                <w:bCs w:val="1"/>
                <w:color w:val="FFFFFF"/>
              </w:rPr>
              <w:t>Stock</w:t>
            </w:r>
          </w:p>
        </w:tc>
        <w:tc>
          <w:tcPr>
            <w:tcW w:w="860" w:type="dxa"/>
            <w:vAlign w:val="bottom"/>
            <w:shd w:val="clear" w:color="auto" w:fill="346094"/>
          </w:tcPr>
          <w:p>
            <w:pPr>
              <w:jc w:val="right"/>
              <w:ind w:right="142"/>
              <w:spacing w:after="0"/>
              <w:rPr>
                <w:sz w:val="20"/>
                <w:szCs w:val="20"/>
                <w:color w:val="auto"/>
              </w:rPr>
            </w:pPr>
            <w:r>
              <w:rPr>
                <w:rFonts w:ascii="Trebuchet MS" w:cs="Trebuchet MS" w:eastAsia="Trebuchet MS" w:hAnsi="Trebuchet MS"/>
                <w:sz w:val="14"/>
                <w:szCs w:val="14"/>
                <w:b w:val="1"/>
                <w:bCs w:val="1"/>
                <w:color w:val="FFFFFF"/>
              </w:rPr>
              <w:t>Option</w:t>
            </w:r>
          </w:p>
        </w:tc>
        <w:tc>
          <w:tcPr>
            <w:tcW w:w="1140" w:type="dxa"/>
            <w:vAlign w:val="bottom"/>
            <w:shd w:val="clear" w:color="auto" w:fill="346094"/>
          </w:tcPr>
          <w:p>
            <w:pPr>
              <w:jc w:val="center"/>
              <w:spacing w:after="0"/>
              <w:rPr>
                <w:sz w:val="20"/>
                <w:szCs w:val="20"/>
                <w:color w:val="auto"/>
              </w:rPr>
            </w:pPr>
            <w:r>
              <w:rPr>
                <w:rFonts w:ascii="Trebuchet MS" w:cs="Trebuchet MS" w:eastAsia="Trebuchet MS" w:hAnsi="Trebuchet MS"/>
                <w:sz w:val="14"/>
                <w:szCs w:val="14"/>
                <w:b w:val="1"/>
                <w:bCs w:val="1"/>
                <w:color w:val="FFFFFF"/>
              </w:rPr>
              <w:t>All Other</w:t>
            </w:r>
          </w:p>
        </w:tc>
        <w:tc>
          <w:tcPr>
            <w:tcW w:w="860" w:type="dxa"/>
            <w:vAlign w:val="bottom"/>
            <w:shd w:val="clear" w:color="auto" w:fill="346094"/>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260" w:type="dxa"/>
            <w:vAlign w:val="bottom"/>
            <w:shd w:val="clear" w:color="auto" w:fill="346094"/>
          </w:tcPr>
          <w:p>
            <w:pPr>
              <w:spacing w:after="0"/>
              <w:rPr>
                <w:sz w:val="12"/>
                <w:szCs w:val="12"/>
                <w:color w:val="auto"/>
              </w:rPr>
            </w:pPr>
          </w:p>
        </w:tc>
        <w:tc>
          <w:tcPr>
            <w:tcW w:w="280" w:type="dxa"/>
            <w:vAlign w:val="bottom"/>
            <w:shd w:val="clear" w:color="auto" w:fill="346094"/>
          </w:tcPr>
          <w:p>
            <w:pPr>
              <w:spacing w:after="0"/>
              <w:rPr>
                <w:sz w:val="12"/>
                <w:szCs w:val="12"/>
                <w:color w:val="auto"/>
              </w:rPr>
            </w:pPr>
          </w:p>
        </w:tc>
        <w:tc>
          <w:tcPr>
            <w:tcW w:w="480" w:type="dxa"/>
            <w:vAlign w:val="bottom"/>
            <w:shd w:val="clear" w:color="auto" w:fill="346094"/>
          </w:tcPr>
          <w:p>
            <w:pPr>
              <w:spacing w:after="0"/>
              <w:rPr>
                <w:sz w:val="12"/>
                <w:szCs w:val="12"/>
                <w:color w:val="auto"/>
              </w:rPr>
            </w:pPr>
          </w:p>
        </w:tc>
        <w:tc>
          <w:tcPr>
            <w:tcW w:w="700" w:type="dxa"/>
            <w:vAlign w:val="bottom"/>
            <w:shd w:val="clear" w:color="auto" w:fill="346094"/>
          </w:tcPr>
          <w:p>
            <w:pPr>
              <w:jc w:val="center"/>
              <w:spacing w:after="0" w:line="139" w:lineRule="exact"/>
              <w:rPr>
                <w:sz w:val="20"/>
                <w:szCs w:val="20"/>
                <w:color w:val="auto"/>
              </w:rPr>
            </w:pPr>
            <w:r>
              <w:rPr>
                <w:rFonts w:ascii="Trebuchet MS" w:cs="Trebuchet MS" w:eastAsia="Trebuchet MS" w:hAnsi="Trebuchet MS"/>
                <w:sz w:val="14"/>
                <w:szCs w:val="14"/>
                <w:b w:val="1"/>
                <w:bCs w:val="1"/>
                <w:color w:val="FFFFFF"/>
              </w:rPr>
              <w:t>Salary</w:t>
            </w:r>
          </w:p>
        </w:tc>
        <w:tc>
          <w:tcPr>
            <w:tcW w:w="740" w:type="dxa"/>
            <w:vAlign w:val="bottom"/>
            <w:shd w:val="clear" w:color="auto" w:fill="346094"/>
          </w:tcPr>
          <w:p>
            <w:pPr>
              <w:jc w:val="center"/>
              <w:spacing w:after="0" w:line="139" w:lineRule="exact"/>
              <w:rPr>
                <w:sz w:val="20"/>
                <w:szCs w:val="20"/>
                <w:color w:val="auto"/>
              </w:rPr>
            </w:pPr>
            <w:r>
              <w:rPr>
                <w:rFonts w:ascii="Trebuchet MS" w:cs="Trebuchet MS" w:eastAsia="Trebuchet MS" w:hAnsi="Trebuchet MS"/>
                <w:sz w:val="14"/>
                <w:szCs w:val="14"/>
                <w:b w:val="1"/>
                <w:bCs w:val="1"/>
                <w:color w:val="FFFFFF"/>
              </w:rPr>
              <w:t>Bonus</w:t>
            </w:r>
          </w:p>
        </w:tc>
        <w:tc>
          <w:tcPr>
            <w:tcW w:w="880" w:type="dxa"/>
            <w:vAlign w:val="bottom"/>
            <w:shd w:val="clear" w:color="auto" w:fill="346094"/>
          </w:tcPr>
          <w:p>
            <w:pPr>
              <w:jc w:val="right"/>
              <w:ind w:right="102"/>
              <w:spacing w:after="0" w:line="139" w:lineRule="exact"/>
              <w:rPr>
                <w:sz w:val="20"/>
                <w:szCs w:val="20"/>
                <w:color w:val="auto"/>
              </w:rPr>
            </w:pPr>
            <w:r>
              <w:rPr>
                <w:rFonts w:ascii="Trebuchet MS" w:cs="Trebuchet MS" w:eastAsia="Trebuchet MS" w:hAnsi="Trebuchet MS"/>
                <w:sz w:val="14"/>
                <w:szCs w:val="14"/>
                <w:b w:val="1"/>
                <w:bCs w:val="1"/>
                <w:color w:val="FFFFFF"/>
              </w:rPr>
              <w:t>Awards</w:t>
            </w:r>
          </w:p>
        </w:tc>
        <w:tc>
          <w:tcPr>
            <w:tcW w:w="860" w:type="dxa"/>
            <w:vAlign w:val="bottom"/>
            <w:shd w:val="clear" w:color="auto" w:fill="346094"/>
          </w:tcPr>
          <w:p>
            <w:pPr>
              <w:jc w:val="right"/>
              <w:ind w:right="122"/>
              <w:spacing w:after="0" w:line="139" w:lineRule="exact"/>
              <w:rPr>
                <w:sz w:val="20"/>
                <w:szCs w:val="20"/>
                <w:color w:val="auto"/>
              </w:rPr>
            </w:pPr>
            <w:r>
              <w:rPr>
                <w:rFonts w:ascii="Trebuchet MS" w:cs="Trebuchet MS" w:eastAsia="Trebuchet MS" w:hAnsi="Trebuchet MS"/>
                <w:sz w:val="14"/>
                <w:szCs w:val="14"/>
                <w:b w:val="1"/>
                <w:bCs w:val="1"/>
                <w:color w:val="FFFFFF"/>
              </w:rPr>
              <w:t>Awards</w:t>
            </w:r>
          </w:p>
        </w:tc>
        <w:tc>
          <w:tcPr>
            <w:tcW w:w="1140" w:type="dxa"/>
            <w:vAlign w:val="bottom"/>
            <w:shd w:val="clear" w:color="auto" w:fill="346094"/>
          </w:tcPr>
          <w:p>
            <w:pPr>
              <w:jc w:val="center"/>
              <w:spacing w:after="0" w:line="139" w:lineRule="exact"/>
              <w:rPr>
                <w:sz w:val="20"/>
                <w:szCs w:val="20"/>
                <w:color w:val="auto"/>
              </w:rPr>
            </w:pPr>
            <w:r>
              <w:rPr>
                <w:rFonts w:ascii="Trebuchet MS" w:cs="Trebuchet MS" w:eastAsia="Trebuchet MS" w:hAnsi="Trebuchet MS"/>
                <w:sz w:val="14"/>
                <w:szCs w:val="14"/>
                <w:b w:val="1"/>
                <w:bCs w:val="1"/>
                <w:color w:val="FFFFFF"/>
              </w:rPr>
              <w:t>Compensation</w:t>
            </w:r>
          </w:p>
        </w:tc>
        <w:tc>
          <w:tcPr>
            <w:tcW w:w="860" w:type="dxa"/>
            <w:vAlign w:val="bottom"/>
            <w:shd w:val="clear" w:color="auto" w:fill="346094"/>
          </w:tcPr>
          <w:p>
            <w:pPr>
              <w:jc w:val="right"/>
              <w:ind w:right="200"/>
              <w:spacing w:after="0" w:line="139" w:lineRule="exact"/>
              <w:rPr>
                <w:sz w:val="20"/>
                <w:szCs w:val="20"/>
                <w:color w:val="auto"/>
              </w:rPr>
            </w:pPr>
            <w:r>
              <w:rPr>
                <w:rFonts w:ascii="Trebuchet MS" w:cs="Trebuchet MS" w:eastAsia="Trebuchet MS" w:hAnsi="Trebuchet MS"/>
                <w:sz w:val="14"/>
                <w:szCs w:val="14"/>
                <w:b w:val="1"/>
                <w:bCs w:val="1"/>
                <w:color w:val="FFFFFF"/>
              </w:rPr>
              <w:t>Total</w:t>
            </w:r>
          </w:p>
        </w:tc>
        <w:tc>
          <w:tcPr>
            <w:tcW w:w="0" w:type="dxa"/>
            <w:vAlign w:val="bottom"/>
          </w:tcPr>
          <w:p>
            <w:pPr>
              <w:spacing w:after="0"/>
              <w:rPr>
                <w:sz w:val="1"/>
                <w:szCs w:val="1"/>
                <w:color w:val="auto"/>
              </w:rPr>
            </w:pPr>
          </w:p>
        </w:tc>
      </w:tr>
      <w:tr>
        <w:trPr>
          <w:trHeight w:val="189"/>
        </w:trPr>
        <w:tc>
          <w:tcPr>
            <w:tcW w:w="2540" w:type="dxa"/>
            <w:vAlign w:val="bottom"/>
            <w:gridSpan w:val="2"/>
            <w:shd w:val="clear" w:color="auto" w:fill="346094"/>
          </w:tcPr>
          <w:p>
            <w:pPr>
              <w:ind w:left="20"/>
              <w:spacing w:after="0"/>
              <w:rPr>
                <w:sz w:val="20"/>
                <w:szCs w:val="20"/>
                <w:color w:val="auto"/>
              </w:rPr>
            </w:pPr>
            <w:r>
              <w:rPr>
                <w:rFonts w:ascii="Trebuchet MS" w:cs="Trebuchet MS" w:eastAsia="Trebuchet MS" w:hAnsi="Trebuchet MS"/>
                <w:sz w:val="14"/>
                <w:szCs w:val="14"/>
                <w:b w:val="1"/>
                <w:bCs w:val="1"/>
                <w:color w:val="FFFFFF"/>
              </w:rPr>
              <w:t>Name and Principal Position</w:t>
            </w:r>
          </w:p>
        </w:tc>
        <w:tc>
          <w:tcPr>
            <w:tcW w:w="480" w:type="dxa"/>
            <w:vAlign w:val="bottom"/>
            <w:shd w:val="clear" w:color="auto" w:fill="346094"/>
          </w:tcPr>
          <w:p>
            <w:pPr>
              <w:ind w:left="80"/>
              <w:spacing w:after="0"/>
              <w:rPr>
                <w:sz w:val="20"/>
                <w:szCs w:val="20"/>
                <w:color w:val="auto"/>
              </w:rPr>
            </w:pPr>
            <w:r>
              <w:rPr>
                <w:rFonts w:ascii="Trebuchet MS" w:cs="Trebuchet MS" w:eastAsia="Trebuchet MS" w:hAnsi="Trebuchet MS"/>
                <w:sz w:val="14"/>
                <w:szCs w:val="14"/>
                <w:b w:val="1"/>
                <w:bCs w:val="1"/>
                <w:color w:val="FFFFFF"/>
              </w:rPr>
              <w:t>Year</w:t>
            </w:r>
          </w:p>
        </w:tc>
        <w:tc>
          <w:tcPr>
            <w:tcW w:w="700" w:type="dxa"/>
            <w:vAlign w:val="bottom"/>
            <w:shd w:val="clear" w:color="auto" w:fill="346094"/>
          </w:tcPr>
          <w:p>
            <w:pPr>
              <w:jc w:val="center"/>
              <w:spacing w:after="0"/>
              <w:rPr>
                <w:sz w:val="20"/>
                <w:szCs w:val="20"/>
                <w:color w:val="auto"/>
              </w:rPr>
            </w:pPr>
            <w:r>
              <w:rPr>
                <w:rFonts w:ascii="Trebuchet MS" w:cs="Trebuchet MS" w:eastAsia="Trebuchet MS" w:hAnsi="Trebuchet MS"/>
                <w:sz w:val="14"/>
                <w:szCs w:val="14"/>
                <w:b w:val="1"/>
                <w:bCs w:val="1"/>
                <w:color w:val="FFFFFF"/>
              </w:rPr>
              <w:t>($)</w:t>
            </w:r>
          </w:p>
        </w:tc>
        <w:tc>
          <w:tcPr>
            <w:tcW w:w="740" w:type="dxa"/>
            <w:vAlign w:val="bottom"/>
            <w:shd w:val="clear" w:color="auto" w:fill="346094"/>
          </w:tcPr>
          <w:p>
            <w:pPr>
              <w:jc w:val="center"/>
              <w:spacing w:after="0" w:line="189" w:lineRule="exact"/>
              <w:rPr>
                <w:sz w:val="20"/>
                <w:szCs w:val="20"/>
                <w:color w:val="auto"/>
              </w:rPr>
            </w:pPr>
            <w:r>
              <w:rPr>
                <w:rFonts w:ascii="Trebuchet MS" w:cs="Trebuchet MS" w:eastAsia="Trebuchet MS" w:hAnsi="Trebuchet MS"/>
                <w:sz w:val="14"/>
                <w:szCs w:val="14"/>
                <w:b w:val="1"/>
                <w:bCs w:val="1"/>
                <w:color w:val="FFFFFF"/>
                <w:w w:val="86"/>
              </w:rPr>
              <w:t>($)</w:t>
            </w:r>
            <w:r>
              <w:rPr>
                <w:rFonts w:ascii="Trebuchet MS" w:cs="Trebuchet MS" w:eastAsia="Trebuchet MS" w:hAnsi="Trebuchet MS"/>
                <w:sz w:val="21"/>
                <w:szCs w:val="21"/>
                <w:b w:val="1"/>
                <w:bCs w:val="1"/>
                <w:color w:val="FFFFFF"/>
                <w:w w:val="86"/>
                <w:vertAlign w:val="superscript"/>
              </w:rPr>
              <w:t>(1)</w:t>
            </w:r>
          </w:p>
        </w:tc>
        <w:tc>
          <w:tcPr>
            <w:tcW w:w="880" w:type="dxa"/>
            <w:vAlign w:val="bottom"/>
            <w:shd w:val="clear" w:color="auto" w:fill="346094"/>
          </w:tcPr>
          <w:p>
            <w:pPr>
              <w:jc w:val="right"/>
              <w:ind w:right="102"/>
              <w:spacing w:after="0" w:line="189" w:lineRule="exact"/>
              <w:rPr>
                <w:sz w:val="20"/>
                <w:szCs w:val="20"/>
                <w:color w:val="auto"/>
              </w:rPr>
            </w:pPr>
            <w:r>
              <w:rPr>
                <w:rFonts w:ascii="Trebuchet MS" w:cs="Trebuchet MS" w:eastAsia="Trebuchet MS" w:hAnsi="Trebuchet MS"/>
                <w:sz w:val="21"/>
                <w:szCs w:val="21"/>
                <w:b w:val="1"/>
                <w:bCs w:val="1"/>
                <w:color w:val="FFFFFF"/>
                <w:vertAlign w:val="subscript"/>
              </w:rPr>
              <w:t>($)</w:t>
            </w:r>
            <w:r>
              <w:rPr>
                <w:rFonts w:ascii="Trebuchet MS" w:cs="Trebuchet MS" w:eastAsia="Trebuchet MS" w:hAnsi="Trebuchet MS"/>
                <w:sz w:val="9"/>
                <w:szCs w:val="9"/>
                <w:b w:val="1"/>
                <w:bCs w:val="1"/>
                <w:color w:val="FFFFFF"/>
              </w:rPr>
              <w:t>(2)(3)</w:t>
            </w:r>
          </w:p>
        </w:tc>
        <w:tc>
          <w:tcPr>
            <w:tcW w:w="860" w:type="dxa"/>
            <w:vAlign w:val="bottom"/>
            <w:shd w:val="clear" w:color="auto" w:fill="346094"/>
          </w:tcPr>
          <w:p>
            <w:pPr>
              <w:jc w:val="right"/>
              <w:ind w:right="142"/>
              <w:spacing w:after="0" w:line="189" w:lineRule="exact"/>
              <w:rPr>
                <w:sz w:val="20"/>
                <w:szCs w:val="20"/>
                <w:color w:val="auto"/>
              </w:rPr>
            </w:pPr>
            <w:r>
              <w:rPr>
                <w:rFonts w:ascii="Trebuchet MS" w:cs="Trebuchet MS" w:eastAsia="Trebuchet MS" w:hAnsi="Trebuchet MS"/>
                <w:sz w:val="21"/>
                <w:szCs w:val="21"/>
                <w:b w:val="1"/>
                <w:bCs w:val="1"/>
                <w:color w:val="FFFFFF"/>
                <w:vertAlign w:val="subscript"/>
              </w:rPr>
              <w:t>($)</w:t>
            </w:r>
            <w:r>
              <w:rPr>
                <w:rFonts w:ascii="Trebuchet MS" w:cs="Trebuchet MS" w:eastAsia="Trebuchet MS" w:hAnsi="Trebuchet MS"/>
                <w:sz w:val="9"/>
                <w:szCs w:val="9"/>
                <w:b w:val="1"/>
                <w:bCs w:val="1"/>
                <w:color w:val="FFFFFF"/>
              </w:rPr>
              <w:t>(2)(3)</w:t>
            </w:r>
          </w:p>
        </w:tc>
        <w:tc>
          <w:tcPr>
            <w:tcW w:w="1140" w:type="dxa"/>
            <w:vAlign w:val="bottom"/>
            <w:shd w:val="clear" w:color="auto" w:fill="346094"/>
          </w:tcPr>
          <w:p>
            <w:pPr>
              <w:jc w:val="center"/>
              <w:spacing w:after="0" w:line="189" w:lineRule="exact"/>
              <w:rPr>
                <w:sz w:val="20"/>
                <w:szCs w:val="20"/>
                <w:color w:val="auto"/>
              </w:rPr>
            </w:pPr>
            <w:r>
              <w:rPr>
                <w:rFonts w:ascii="Trebuchet MS" w:cs="Trebuchet MS" w:eastAsia="Trebuchet MS" w:hAnsi="Trebuchet MS"/>
                <w:sz w:val="14"/>
                <w:szCs w:val="14"/>
                <w:b w:val="1"/>
                <w:bCs w:val="1"/>
                <w:color w:val="FFFFFF"/>
                <w:w w:val="91"/>
              </w:rPr>
              <w:t>($)</w:t>
            </w:r>
            <w:r>
              <w:rPr>
                <w:rFonts w:ascii="Trebuchet MS" w:cs="Trebuchet MS" w:eastAsia="Trebuchet MS" w:hAnsi="Trebuchet MS"/>
                <w:sz w:val="21"/>
                <w:szCs w:val="21"/>
                <w:b w:val="1"/>
                <w:bCs w:val="1"/>
                <w:color w:val="FFFFFF"/>
                <w:w w:val="91"/>
                <w:vertAlign w:val="superscript"/>
              </w:rPr>
              <w:t>(4)</w:t>
            </w:r>
          </w:p>
        </w:tc>
        <w:tc>
          <w:tcPr>
            <w:tcW w:w="860" w:type="dxa"/>
            <w:vAlign w:val="bottom"/>
            <w:shd w:val="clear" w:color="auto" w:fill="346094"/>
          </w:tcPr>
          <w:p>
            <w:pPr>
              <w:jc w:val="right"/>
              <w:ind w:right="280"/>
              <w:spacing w:after="0"/>
              <w:rPr>
                <w:sz w:val="20"/>
                <w:szCs w:val="20"/>
                <w:color w:val="auto"/>
              </w:rPr>
            </w:pPr>
            <w:r>
              <w:rPr>
                <w:rFonts w:ascii="Trebuchet MS" w:cs="Trebuchet MS" w:eastAsia="Trebuchet MS" w:hAnsi="Trebuchet MS"/>
                <w:sz w:val="14"/>
                <w:szCs w:val="14"/>
                <w:b w:val="1"/>
                <w:bCs w:val="1"/>
                <w:color w:val="FFFFFF"/>
              </w:rPr>
              <w:t>($)</w:t>
            </w:r>
          </w:p>
        </w:tc>
        <w:tc>
          <w:tcPr>
            <w:tcW w:w="0" w:type="dxa"/>
            <w:vAlign w:val="bottom"/>
          </w:tcPr>
          <w:p>
            <w:pPr>
              <w:spacing w:after="0"/>
              <w:rPr>
                <w:sz w:val="1"/>
                <w:szCs w:val="1"/>
                <w:color w:val="auto"/>
              </w:rPr>
            </w:pPr>
          </w:p>
        </w:tc>
      </w:tr>
      <w:tr>
        <w:trPr>
          <w:trHeight w:val="199"/>
        </w:trPr>
        <w:tc>
          <w:tcPr>
            <w:tcW w:w="2540" w:type="dxa"/>
            <w:vAlign w:val="bottom"/>
            <w:gridSpan w:val="2"/>
          </w:tcPr>
          <w:p>
            <w:pPr>
              <w:ind w:left="20"/>
              <w:spacing w:after="0"/>
              <w:rPr>
                <w:sz w:val="20"/>
                <w:szCs w:val="20"/>
                <w:color w:val="auto"/>
              </w:rPr>
            </w:pPr>
            <w:r>
              <w:rPr>
                <w:rFonts w:ascii="Trebuchet MS" w:cs="Trebuchet MS" w:eastAsia="Trebuchet MS" w:hAnsi="Trebuchet MS"/>
                <w:sz w:val="16"/>
                <w:szCs w:val="16"/>
                <w:b w:val="1"/>
                <w:bCs w:val="1"/>
                <w:color w:val="4C4C4C"/>
              </w:rPr>
              <w:t>Patrick R. Gruber</w:t>
            </w:r>
          </w:p>
        </w:tc>
        <w:tc>
          <w:tcPr>
            <w:tcW w:w="480" w:type="dxa"/>
            <w:vAlign w:val="bottom"/>
          </w:tcPr>
          <w:p>
            <w:pPr>
              <w:ind w:left="80"/>
              <w:spacing w:after="0"/>
              <w:rPr>
                <w:sz w:val="20"/>
                <w:szCs w:val="20"/>
                <w:color w:val="auto"/>
              </w:rPr>
            </w:pPr>
            <w:r>
              <w:rPr>
                <w:rFonts w:ascii="Arial" w:cs="Arial" w:eastAsia="Arial" w:hAnsi="Arial"/>
                <w:sz w:val="16"/>
                <w:szCs w:val="16"/>
                <w:color w:val="4C4C4C"/>
              </w:rPr>
              <w:t>2025</w:t>
            </w:r>
          </w:p>
        </w:tc>
        <w:tc>
          <w:tcPr>
            <w:tcW w:w="700" w:type="dxa"/>
            <w:vAlign w:val="bottom"/>
          </w:tcPr>
          <w:p>
            <w:pPr>
              <w:jc w:val="center"/>
              <w:spacing w:after="0"/>
              <w:rPr>
                <w:sz w:val="20"/>
                <w:szCs w:val="20"/>
                <w:color w:val="auto"/>
              </w:rPr>
            </w:pPr>
            <w:r>
              <w:rPr>
                <w:rFonts w:ascii="Arial" w:cs="Arial" w:eastAsia="Arial" w:hAnsi="Arial"/>
                <w:sz w:val="16"/>
                <w:szCs w:val="16"/>
                <w:color w:val="4C4C4C"/>
              </w:rPr>
              <w:t>687,570</w:t>
            </w:r>
          </w:p>
        </w:tc>
        <w:tc>
          <w:tcPr>
            <w:tcW w:w="740" w:type="dxa"/>
            <w:vAlign w:val="bottom"/>
          </w:tcPr>
          <w:p>
            <w:pPr>
              <w:jc w:val="center"/>
              <w:spacing w:after="0"/>
              <w:rPr>
                <w:sz w:val="20"/>
                <w:szCs w:val="20"/>
                <w:color w:val="auto"/>
              </w:rPr>
            </w:pPr>
            <w:r>
              <w:rPr>
                <w:rFonts w:ascii="Arial" w:cs="Arial" w:eastAsia="Arial" w:hAnsi="Arial"/>
                <w:sz w:val="16"/>
                <w:szCs w:val="16"/>
                <w:color w:val="4C4C4C"/>
                <w:w w:val="96"/>
              </w:rPr>
              <w:t>721,949</w:t>
            </w:r>
          </w:p>
        </w:tc>
        <w:tc>
          <w:tcPr>
            <w:tcW w:w="880" w:type="dxa"/>
            <w:vAlign w:val="bottom"/>
          </w:tcPr>
          <w:p>
            <w:pPr>
              <w:jc w:val="right"/>
              <w:spacing w:after="0"/>
              <w:rPr>
                <w:sz w:val="20"/>
                <w:szCs w:val="20"/>
                <w:color w:val="auto"/>
              </w:rPr>
            </w:pPr>
            <w:r>
              <w:rPr>
                <w:rFonts w:ascii="Arial" w:cs="Arial" w:eastAsia="Arial" w:hAnsi="Arial"/>
                <w:sz w:val="16"/>
                <w:szCs w:val="16"/>
                <w:color w:val="4C4C4C"/>
              </w:rPr>
              <w:t>557,773</w:t>
            </w:r>
          </w:p>
        </w:tc>
        <w:tc>
          <w:tcPr>
            <w:tcW w:w="860" w:type="dxa"/>
            <w:vAlign w:val="bottom"/>
          </w:tcPr>
          <w:p>
            <w:pPr>
              <w:jc w:val="right"/>
              <w:ind w:right="2"/>
              <w:spacing w:after="0"/>
              <w:rPr>
                <w:sz w:val="20"/>
                <w:szCs w:val="20"/>
                <w:color w:val="auto"/>
              </w:rPr>
            </w:pPr>
            <w:r>
              <w:rPr>
                <w:rFonts w:ascii="Arial" w:cs="Arial" w:eastAsia="Arial" w:hAnsi="Arial"/>
                <w:sz w:val="16"/>
                <w:szCs w:val="16"/>
                <w:color w:val="4C4C4C"/>
              </w:rPr>
              <w:t>1,443,728</w:t>
            </w:r>
          </w:p>
        </w:tc>
        <w:tc>
          <w:tcPr>
            <w:tcW w:w="1140" w:type="dxa"/>
            <w:vAlign w:val="bottom"/>
          </w:tcPr>
          <w:p>
            <w:pPr>
              <w:jc w:val="right"/>
              <w:spacing w:after="0"/>
              <w:rPr>
                <w:sz w:val="20"/>
                <w:szCs w:val="20"/>
                <w:color w:val="auto"/>
              </w:rPr>
            </w:pPr>
            <w:r>
              <w:rPr>
                <w:rFonts w:ascii="Arial" w:cs="Arial" w:eastAsia="Arial" w:hAnsi="Arial"/>
                <w:sz w:val="16"/>
                <w:szCs w:val="16"/>
                <w:color w:val="4C4C4C"/>
              </w:rPr>
              <w:t>60,888</w:t>
            </w:r>
          </w:p>
        </w:tc>
        <w:tc>
          <w:tcPr>
            <w:tcW w:w="860" w:type="dxa"/>
            <w:vAlign w:val="bottom"/>
          </w:tcPr>
          <w:p>
            <w:pPr>
              <w:jc w:val="right"/>
              <w:spacing w:after="0"/>
              <w:rPr>
                <w:sz w:val="20"/>
                <w:szCs w:val="20"/>
                <w:color w:val="auto"/>
              </w:rPr>
            </w:pPr>
            <w:r>
              <w:rPr>
                <w:rFonts w:ascii="Arial" w:cs="Arial" w:eastAsia="Arial" w:hAnsi="Arial"/>
                <w:sz w:val="16"/>
                <w:szCs w:val="16"/>
                <w:color w:val="4C4C4C"/>
              </w:rPr>
              <w:t>3,471,908</w:t>
            </w:r>
          </w:p>
        </w:tc>
        <w:tc>
          <w:tcPr>
            <w:tcW w:w="0" w:type="dxa"/>
            <w:vAlign w:val="bottom"/>
          </w:tcPr>
          <w:p>
            <w:pPr>
              <w:spacing w:after="0"/>
              <w:rPr>
                <w:sz w:val="1"/>
                <w:szCs w:val="1"/>
                <w:color w:val="auto"/>
              </w:rPr>
            </w:pPr>
          </w:p>
        </w:tc>
      </w:tr>
      <w:tr>
        <w:trPr>
          <w:trHeight w:val="166"/>
        </w:trPr>
        <w:tc>
          <w:tcPr>
            <w:tcW w:w="2540" w:type="dxa"/>
            <w:vAlign w:val="bottom"/>
            <w:gridSpan w:val="2"/>
          </w:tcPr>
          <w:p>
            <w:pPr>
              <w:ind w:left="180"/>
              <w:spacing w:after="0" w:line="166" w:lineRule="exact"/>
              <w:rPr>
                <w:sz w:val="20"/>
                <w:szCs w:val="20"/>
                <w:color w:val="auto"/>
              </w:rPr>
            </w:pPr>
            <w:r>
              <w:rPr>
                <w:rFonts w:ascii="Arial" w:cs="Arial" w:eastAsia="Arial" w:hAnsi="Arial"/>
                <w:sz w:val="16"/>
                <w:szCs w:val="16"/>
                <w:color w:val="4C4C4C"/>
              </w:rPr>
              <w:t>Former Chief Executive</w:t>
            </w:r>
          </w:p>
        </w:tc>
        <w:tc>
          <w:tcPr>
            <w:tcW w:w="480" w:type="dxa"/>
            <w:vAlign w:val="bottom"/>
          </w:tcPr>
          <w:p>
            <w:pPr>
              <w:ind w:left="80"/>
              <w:spacing w:after="0" w:line="166" w:lineRule="exact"/>
              <w:rPr>
                <w:sz w:val="20"/>
                <w:szCs w:val="20"/>
                <w:color w:val="auto"/>
              </w:rPr>
            </w:pPr>
            <w:r>
              <w:rPr>
                <w:rFonts w:ascii="Arial" w:cs="Arial" w:eastAsia="Arial" w:hAnsi="Arial"/>
                <w:sz w:val="16"/>
                <w:szCs w:val="16"/>
                <w:color w:val="4C4C4C"/>
              </w:rPr>
              <w:t>2024</w:t>
            </w:r>
          </w:p>
        </w:tc>
        <w:tc>
          <w:tcPr>
            <w:tcW w:w="700" w:type="dxa"/>
            <w:vAlign w:val="bottom"/>
          </w:tcPr>
          <w:p>
            <w:pPr>
              <w:jc w:val="center"/>
              <w:spacing w:after="0" w:line="166" w:lineRule="exact"/>
              <w:rPr>
                <w:sz w:val="20"/>
                <w:szCs w:val="20"/>
                <w:color w:val="auto"/>
              </w:rPr>
            </w:pPr>
            <w:r>
              <w:rPr>
                <w:rFonts w:ascii="Arial" w:cs="Arial" w:eastAsia="Arial" w:hAnsi="Arial"/>
                <w:sz w:val="16"/>
                <w:szCs w:val="16"/>
                <w:color w:val="4C4C4C"/>
              </w:rPr>
              <w:t>670,800</w:t>
            </w:r>
          </w:p>
        </w:tc>
        <w:tc>
          <w:tcPr>
            <w:tcW w:w="740" w:type="dxa"/>
            <w:vAlign w:val="bottom"/>
          </w:tcPr>
          <w:p>
            <w:pPr>
              <w:jc w:val="center"/>
              <w:spacing w:after="0" w:line="166" w:lineRule="exact"/>
              <w:rPr>
                <w:sz w:val="20"/>
                <w:szCs w:val="20"/>
                <w:color w:val="auto"/>
              </w:rPr>
            </w:pPr>
            <w:r>
              <w:rPr>
                <w:rFonts w:ascii="Arial" w:cs="Arial" w:eastAsia="Arial" w:hAnsi="Arial"/>
                <w:sz w:val="16"/>
                <w:szCs w:val="16"/>
                <w:color w:val="4C4C4C"/>
                <w:w w:val="96"/>
              </w:rPr>
              <w:t>808,314</w:t>
            </w:r>
          </w:p>
        </w:tc>
        <w:tc>
          <w:tcPr>
            <w:tcW w:w="880" w:type="dxa"/>
            <w:vAlign w:val="bottom"/>
          </w:tcPr>
          <w:p>
            <w:pPr>
              <w:jc w:val="right"/>
              <w:spacing w:after="0" w:line="166" w:lineRule="exact"/>
              <w:rPr>
                <w:sz w:val="20"/>
                <w:szCs w:val="20"/>
                <w:color w:val="auto"/>
              </w:rPr>
            </w:pPr>
            <w:r>
              <w:rPr>
                <w:rFonts w:ascii="Arial" w:cs="Arial" w:eastAsia="Arial" w:hAnsi="Arial"/>
                <w:sz w:val="16"/>
                <w:szCs w:val="16"/>
                <w:color w:val="4C4C4C"/>
              </w:rPr>
              <w:t>856,350</w:t>
            </w:r>
          </w:p>
        </w:tc>
        <w:tc>
          <w:tcPr>
            <w:tcW w:w="860" w:type="dxa"/>
            <w:vAlign w:val="bottom"/>
          </w:tcPr>
          <w:p>
            <w:pPr>
              <w:jc w:val="right"/>
              <w:ind w:right="2"/>
              <w:spacing w:after="0" w:line="166" w:lineRule="exact"/>
              <w:rPr>
                <w:sz w:val="20"/>
                <w:szCs w:val="20"/>
                <w:color w:val="auto"/>
              </w:rPr>
            </w:pPr>
            <w:r>
              <w:rPr>
                <w:rFonts w:ascii="Arial" w:cs="Arial" w:eastAsia="Arial" w:hAnsi="Arial"/>
                <w:sz w:val="16"/>
                <w:szCs w:val="16"/>
                <w:color w:val="4C4C4C"/>
              </w:rPr>
              <w:t>768,385</w:t>
            </w:r>
          </w:p>
        </w:tc>
        <w:tc>
          <w:tcPr>
            <w:tcW w:w="1140" w:type="dxa"/>
            <w:vAlign w:val="bottom"/>
          </w:tcPr>
          <w:p>
            <w:pPr>
              <w:jc w:val="right"/>
              <w:spacing w:after="0" w:line="166" w:lineRule="exact"/>
              <w:rPr>
                <w:sz w:val="20"/>
                <w:szCs w:val="20"/>
                <w:color w:val="auto"/>
              </w:rPr>
            </w:pPr>
            <w:r>
              <w:rPr>
                <w:rFonts w:ascii="Arial" w:cs="Arial" w:eastAsia="Arial" w:hAnsi="Arial"/>
                <w:sz w:val="16"/>
                <w:szCs w:val="16"/>
                <w:color w:val="4C4C4C"/>
              </w:rPr>
              <w:t>60,589</w:t>
            </w:r>
          </w:p>
        </w:tc>
        <w:tc>
          <w:tcPr>
            <w:tcW w:w="860" w:type="dxa"/>
            <w:vAlign w:val="bottom"/>
          </w:tcPr>
          <w:p>
            <w:pPr>
              <w:jc w:val="right"/>
              <w:spacing w:after="0" w:line="166" w:lineRule="exact"/>
              <w:rPr>
                <w:sz w:val="20"/>
                <w:szCs w:val="20"/>
                <w:color w:val="auto"/>
              </w:rPr>
            </w:pPr>
            <w:r>
              <w:rPr>
                <w:rFonts w:ascii="Arial" w:cs="Arial" w:eastAsia="Arial" w:hAnsi="Arial"/>
                <w:sz w:val="16"/>
                <w:szCs w:val="16"/>
                <w:color w:val="4C4C4C"/>
              </w:rPr>
              <w:t>3,103,849</w:t>
            </w:r>
          </w:p>
        </w:tc>
        <w:tc>
          <w:tcPr>
            <w:tcW w:w="0" w:type="dxa"/>
            <w:vAlign w:val="bottom"/>
          </w:tcPr>
          <w:p>
            <w:pPr>
              <w:spacing w:after="0"/>
              <w:rPr>
                <w:sz w:val="1"/>
                <w:szCs w:val="1"/>
                <w:color w:val="auto"/>
              </w:rPr>
            </w:pPr>
          </w:p>
        </w:tc>
      </w:tr>
      <w:tr>
        <w:trPr>
          <w:trHeight w:val="243"/>
        </w:trPr>
        <w:tc>
          <w:tcPr>
            <w:tcW w:w="2540" w:type="dxa"/>
            <w:vAlign w:val="bottom"/>
            <w:gridSpan w:val="2"/>
          </w:tcPr>
          <w:p>
            <w:pPr>
              <w:ind w:left="180"/>
              <w:spacing w:after="0" w:line="242" w:lineRule="exact"/>
              <w:rPr>
                <w:sz w:val="20"/>
                <w:szCs w:val="20"/>
                <w:color w:val="auto"/>
              </w:rPr>
            </w:pPr>
            <w:r>
              <w:rPr>
                <w:rFonts w:ascii="Arial" w:cs="Arial" w:eastAsia="Arial" w:hAnsi="Arial"/>
                <w:sz w:val="16"/>
                <w:szCs w:val="16"/>
                <w:color w:val="4C4C4C"/>
              </w:rPr>
              <w:t>Officer</w:t>
            </w:r>
            <w:r>
              <w:rPr>
                <w:rFonts w:ascii="Trebuchet MS" w:cs="Trebuchet MS" w:eastAsia="Trebuchet MS" w:hAnsi="Trebuchet MS"/>
                <w:sz w:val="25"/>
                <w:szCs w:val="25"/>
                <w:color w:val="4C4C4C"/>
                <w:vertAlign w:val="superscript"/>
              </w:rPr>
              <w:t>(5)</w:t>
            </w:r>
          </w:p>
        </w:tc>
        <w:tc>
          <w:tcPr>
            <w:tcW w:w="480" w:type="dxa"/>
            <w:vAlign w:val="bottom"/>
          </w:tcPr>
          <w:p>
            <w:pPr>
              <w:ind w:left="80"/>
              <w:spacing w:after="0"/>
              <w:rPr>
                <w:sz w:val="20"/>
                <w:szCs w:val="20"/>
                <w:color w:val="auto"/>
              </w:rPr>
            </w:pPr>
            <w:r>
              <w:rPr>
                <w:rFonts w:ascii="Arial" w:cs="Arial" w:eastAsia="Arial" w:hAnsi="Arial"/>
                <w:sz w:val="16"/>
                <w:szCs w:val="16"/>
                <w:color w:val="4C4C4C"/>
              </w:rPr>
              <w:t>2023</w:t>
            </w:r>
          </w:p>
        </w:tc>
        <w:tc>
          <w:tcPr>
            <w:tcW w:w="700" w:type="dxa"/>
            <w:vAlign w:val="bottom"/>
          </w:tcPr>
          <w:p>
            <w:pPr>
              <w:jc w:val="center"/>
              <w:spacing w:after="0"/>
              <w:rPr>
                <w:sz w:val="20"/>
                <w:szCs w:val="20"/>
                <w:color w:val="auto"/>
              </w:rPr>
            </w:pPr>
            <w:r>
              <w:rPr>
                <w:rFonts w:ascii="Arial" w:cs="Arial" w:eastAsia="Arial" w:hAnsi="Arial"/>
                <w:sz w:val="16"/>
                <w:szCs w:val="16"/>
                <w:color w:val="4C4C4C"/>
              </w:rPr>
              <w:t>634,808</w:t>
            </w:r>
          </w:p>
        </w:tc>
        <w:tc>
          <w:tcPr>
            <w:tcW w:w="740" w:type="dxa"/>
            <w:vAlign w:val="bottom"/>
          </w:tcPr>
          <w:p>
            <w:pPr>
              <w:jc w:val="center"/>
              <w:spacing w:after="0"/>
              <w:rPr>
                <w:sz w:val="20"/>
                <w:szCs w:val="20"/>
                <w:color w:val="auto"/>
              </w:rPr>
            </w:pPr>
            <w:r>
              <w:rPr>
                <w:rFonts w:ascii="Arial" w:cs="Arial" w:eastAsia="Arial" w:hAnsi="Arial"/>
                <w:sz w:val="16"/>
                <w:szCs w:val="16"/>
                <w:color w:val="4C4C4C"/>
                <w:w w:val="96"/>
              </w:rPr>
              <w:t>806,250</w:t>
            </w:r>
          </w:p>
        </w:tc>
        <w:tc>
          <w:tcPr>
            <w:tcW w:w="880" w:type="dxa"/>
            <w:vAlign w:val="bottom"/>
          </w:tcPr>
          <w:p>
            <w:pPr>
              <w:jc w:val="right"/>
              <w:spacing w:after="0"/>
              <w:rPr>
                <w:sz w:val="20"/>
                <w:szCs w:val="20"/>
                <w:color w:val="auto"/>
              </w:rPr>
            </w:pPr>
            <w:r>
              <w:rPr>
                <w:rFonts w:ascii="Arial" w:cs="Arial" w:eastAsia="Arial" w:hAnsi="Arial"/>
                <w:sz w:val="16"/>
                <w:szCs w:val="16"/>
                <w:color w:val="4C4C4C"/>
              </w:rPr>
              <w:t>1,181,249</w:t>
            </w:r>
          </w:p>
        </w:tc>
        <w:tc>
          <w:tcPr>
            <w:tcW w:w="860" w:type="dxa"/>
            <w:vAlign w:val="bottom"/>
          </w:tcPr>
          <w:p>
            <w:pPr>
              <w:jc w:val="right"/>
              <w:ind w:right="2"/>
              <w:spacing w:after="0"/>
              <w:rPr>
                <w:sz w:val="20"/>
                <w:szCs w:val="20"/>
                <w:color w:val="auto"/>
              </w:rPr>
            </w:pPr>
            <w:r>
              <w:rPr>
                <w:rFonts w:ascii="Arial" w:cs="Arial" w:eastAsia="Arial" w:hAnsi="Arial"/>
                <w:sz w:val="16"/>
                <w:szCs w:val="16"/>
                <w:color w:val="4C4C4C"/>
              </w:rPr>
              <w:t>1,062,381</w:t>
            </w:r>
          </w:p>
        </w:tc>
        <w:tc>
          <w:tcPr>
            <w:tcW w:w="1140" w:type="dxa"/>
            <w:vAlign w:val="bottom"/>
          </w:tcPr>
          <w:p>
            <w:pPr>
              <w:jc w:val="right"/>
              <w:spacing w:after="0"/>
              <w:rPr>
                <w:sz w:val="20"/>
                <w:szCs w:val="20"/>
                <w:color w:val="auto"/>
              </w:rPr>
            </w:pPr>
            <w:r>
              <w:rPr>
                <w:rFonts w:ascii="Arial" w:cs="Arial" w:eastAsia="Arial" w:hAnsi="Arial"/>
                <w:sz w:val="16"/>
                <w:szCs w:val="16"/>
                <w:color w:val="4C4C4C"/>
              </w:rPr>
              <w:t>61,470</w:t>
            </w:r>
          </w:p>
        </w:tc>
        <w:tc>
          <w:tcPr>
            <w:tcW w:w="860" w:type="dxa"/>
            <w:vAlign w:val="bottom"/>
          </w:tcPr>
          <w:p>
            <w:pPr>
              <w:jc w:val="right"/>
              <w:spacing w:after="0"/>
              <w:rPr>
                <w:sz w:val="20"/>
                <w:szCs w:val="20"/>
                <w:color w:val="auto"/>
              </w:rPr>
            </w:pPr>
            <w:r>
              <w:rPr>
                <w:rFonts w:ascii="Arial" w:cs="Arial" w:eastAsia="Arial" w:hAnsi="Arial"/>
                <w:sz w:val="16"/>
                <w:szCs w:val="16"/>
                <w:color w:val="4C4C4C"/>
              </w:rPr>
              <w:t>3,746,158</w:t>
            </w:r>
          </w:p>
        </w:tc>
        <w:tc>
          <w:tcPr>
            <w:tcW w:w="0" w:type="dxa"/>
            <w:vAlign w:val="bottom"/>
          </w:tcPr>
          <w:p>
            <w:pPr>
              <w:spacing w:after="0"/>
              <w:rPr>
                <w:sz w:val="1"/>
                <w:szCs w:val="1"/>
                <w:color w:val="auto"/>
              </w:rPr>
            </w:pPr>
          </w:p>
        </w:tc>
      </w:tr>
      <w:tr>
        <w:trPr>
          <w:trHeight w:val="165"/>
        </w:trPr>
        <w:tc>
          <w:tcPr>
            <w:tcW w:w="2540" w:type="dxa"/>
            <w:vAlign w:val="bottom"/>
            <w:gridSpan w:val="2"/>
            <w:shd w:val="clear" w:color="auto" w:fill="E1E7EF"/>
          </w:tcPr>
          <w:p>
            <w:pPr>
              <w:ind w:left="20"/>
              <w:spacing w:after="0" w:line="165" w:lineRule="exact"/>
              <w:rPr>
                <w:sz w:val="20"/>
                <w:szCs w:val="20"/>
                <w:color w:val="auto"/>
              </w:rPr>
            </w:pPr>
            <w:r>
              <w:rPr>
                <w:rFonts w:ascii="Trebuchet MS" w:cs="Trebuchet MS" w:eastAsia="Trebuchet MS" w:hAnsi="Trebuchet MS"/>
                <w:sz w:val="16"/>
                <w:szCs w:val="16"/>
                <w:b w:val="1"/>
                <w:bCs w:val="1"/>
                <w:color w:val="4C4C4C"/>
              </w:rPr>
              <w:t>Oluwagbemileke (Leke) Agiri</w:t>
            </w:r>
          </w:p>
        </w:tc>
        <w:tc>
          <w:tcPr>
            <w:tcW w:w="480" w:type="dxa"/>
            <w:vAlign w:val="bottom"/>
            <w:shd w:val="clear" w:color="auto" w:fill="E1E7EF"/>
          </w:tcPr>
          <w:p>
            <w:pPr>
              <w:spacing w:after="0"/>
              <w:rPr>
                <w:sz w:val="14"/>
                <w:szCs w:val="14"/>
                <w:color w:val="auto"/>
              </w:rPr>
            </w:pPr>
          </w:p>
        </w:tc>
        <w:tc>
          <w:tcPr>
            <w:tcW w:w="700" w:type="dxa"/>
            <w:vAlign w:val="bottom"/>
            <w:shd w:val="clear" w:color="auto" w:fill="E1E7EF"/>
          </w:tcPr>
          <w:p>
            <w:pPr>
              <w:spacing w:after="0"/>
              <w:rPr>
                <w:sz w:val="14"/>
                <w:szCs w:val="14"/>
                <w:color w:val="auto"/>
              </w:rPr>
            </w:pPr>
          </w:p>
        </w:tc>
        <w:tc>
          <w:tcPr>
            <w:tcW w:w="740" w:type="dxa"/>
            <w:vAlign w:val="bottom"/>
            <w:shd w:val="clear" w:color="auto" w:fill="E1E7EF"/>
          </w:tcPr>
          <w:p>
            <w:pPr>
              <w:spacing w:after="0"/>
              <w:rPr>
                <w:sz w:val="14"/>
                <w:szCs w:val="14"/>
                <w:color w:val="auto"/>
              </w:rPr>
            </w:pPr>
          </w:p>
        </w:tc>
        <w:tc>
          <w:tcPr>
            <w:tcW w:w="880" w:type="dxa"/>
            <w:vAlign w:val="bottom"/>
            <w:shd w:val="clear" w:color="auto" w:fill="E1E7EF"/>
          </w:tcPr>
          <w:p>
            <w:pPr>
              <w:spacing w:after="0"/>
              <w:rPr>
                <w:sz w:val="14"/>
                <w:szCs w:val="14"/>
                <w:color w:val="auto"/>
              </w:rPr>
            </w:pPr>
          </w:p>
        </w:tc>
        <w:tc>
          <w:tcPr>
            <w:tcW w:w="860" w:type="dxa"/>
            <w:vAlign w:val="bottom"/>
            <w:shd w:val="clear" w:color="auto" w:fill="E1E7EF"/>
          </w:tcPr>
          <w:p>
            <w:pPr>
              <w:spacing w:after="0"/>
              <w:rPr>
                <w:sz w:val="14"/>
                <w:szCs w:val="14"/>
                <w:color w:val="auto"/>
              </w:rPr>
            </w:pPr>
          </w:p>
        </w:tc>
        <w:tc>
          <w:tcPr>
            <w:tcW w:w="1140" w:type="dxa"/>
            <w:vAlign w:val="bottom"/>
            <w:shd w:val="clear" w:color="auto" w:fill="E1E7EF"/>
          </w:tcPr>
          <w:p>
            <w:pPr>
              <w:spacing w:after="0"/>
              <w:rPr>
                <w:sz w:val="14"/>
                <w:szCs w:val="14"/>
                <w:color w:val="auto"/>
              </w:rPr>
            </w:pPr>
          </w:p>
        </w:tc>
        <w:tc>
          <w:tcPr>
            <w:tcW w:w="860" w:type="dxa"/>
            <w:vAlign w:val="bottom"/>
            <w:shd w:val="clear" w:color="auto" w:fill="E1E7EF"/>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540" w:type="dxa"/>
            <w:vAlign w:val="bottom"/>
            <w:gridSpan w:val="2"/>
            <w:shd w:val="clear" w:color="auto" w:fill="E1E7EF"/>
          </w:tcPr>
          <w:p>
            <w:pPr>
              <w:ind w:left="180"/>
              <w:spacing w:after="0" w:line="253" w:lineRule="exact"/>
              <w:rPr>
                <w:sz w:val="20"/>
                <w:szCs w:val="20"/>
                <w:color w:val="auto"/>
              </w:rPr>
            </w:pPr>
            <w:r>
              <w:rPr>
                <w:rFonts w:ascii="Arial" w:cs="Arial" w:eastAsia="Arial" w:hAnsi="Arial"/>
                <w:sz w:val="16"/>
                <w:szCs w:val="16"/>
                <w:color w:val="4C4C4C"/>
              </w:rPr>
              <w:t>Chief Financial Officer</w:t>
            </w:r>
            <w:r>
              <w:rPr>
                <w:rFonts w:ascii="Trebuchet MS" w:cs="Trebuchet MS" w:eastAsia="Trebuchet MS" w:hAnsi="Trebuchet MS"/>
                <w:sz w:val="25"/>
                <w:szCs w:val="25"/>
                <w:color w:val="4C4C4C"/>
                <w:vertAlign w:val="superscript"/>
              </w:rPr>
              <w:t>(6)</w:t>
            </w:r>
            <w:r>
              <w:rPr>
                <w:rFonts w:ascii="Arial" w:cs="Arial" w:eastAsia="Arial" w:hAnsi="Arial"/>
                <w:sz w:val="16"/>
                <w:szCs w:val="16"/>
                <w:color w:val="4C4C4C"/>
              </w:rPr>
              <w:t>​</w:t>
            </w:r>
          </w:p>
        </w:tc>
        <w:tc>
          <w:tcPr>
            <w:tcW w:w="480" w:type="dxa"/>
            <w:vAlign w:val="bottom"/>
            <w:shd w:val="clear" w:color="auto" w:fill="E1E7EF"/>
          </w:tcPr>
          <w:p>
            <w:pPr>
              <w:ind w:left="80"/>
              <w:spacing w:after="0"/>
              <w:rPr>
                <w:sz w:val="20"/>
                <w:szCs w:val="20"/>
                <w:color w:val="auto"/>
              </w:rPr>
            </w:pPr>
            <w:r>
              <w:rPr>
                <w:rFonts w:ascii="Arial" w:cs="Arial" w:eastAsia="Arial" w:hAnsi="Arial"/>
                <w:sz w:val="16"/>
                <w:szCs w:val="16"/>
                <w:color w:val="4C4C4C"/>
              </w:rPr>
              <w:t>2025</w:t>
            </w:r>
          </w:p>
        </w:tc>
        <w:tc>
          <w:tcPr>
            <w:tcW w:w="700" w:type="dxa"/>
            <w:vAlign w:val="bottom"/>
            <w:shd w:val="clear" w:color="auto" w:fill="E1E7EF"/>
          </w:tcPr>
          <w:p>
            <w:pPr>
              <w:jc w:val="center"/>
              <w:spacing w:after="0"/>
              <w:rPr>
                <w:sz w:val="20"/>
                <w:szCs w:val="20"/>
                <w:color w:val="auto"/>
              </w:rPr>
            </w:pPr>
            <w:r>
              <w:rPr>
                <w:rFonts w:ascii="Arial" w:cs="Arial" w:eastAsia="Arial" w:hAnsi="Arial"/>
                <w:sz w:val="16"/>
                <w:szCs w:val="16"/>
                <w:color w:val="4C4C4C"/>
              </w:rPr>
              <w:t>380,000</w:t>
            </w:r>
          </w:p>
        </w:tc>
        <w:tc>
          <w:tcPr>
            <w:tcW w:w="740" w:type="dxa"/>
            <w:vAlign w:val="bottom"/>
            <w:shd w:val="clear" w:color="auto" w:fill="E1E7EF"/>
          </w:tcPr>
          <w:p>
            <w:pPr>
              <w:jc w:val="center"/>
              <w:spacing w:after="0"/>
              <w:rPr>
                <w:sz w:val="20"/>
                <w:szCs w:val="20"/>
                <w:color w:val="auto"/>
              </w:rPr>
            </w:pPr>
            <w:r>
              <w:rPr>
                <w:rFonts w:ascii="Arial" w:cs="Arial" w:eastAsia="Arial" w:hAnsi="Arial"/>
                <w:sz w:val="16"/>
                <w:szCs w:val="16"/>
                <w:color w:val="4C4C4C"/>
                <w:w w:val="96"/>
              </w:rPr>
              <w:t>258,400</w:t>
            </w:r>
          </w:p>
        </w:tc>
        <w:tc>
          <w:tcPr>
            <w:tcW w:w="88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223,119</w:t>
            </w:r>
          </w:p>
        </w:tc>
        <w:tc>
          <w:tcPr>
            <w:tcW w:w="860" w:type="dxa"/>
            <w:vAlign w:val="bottom"/>
            <w:shd w:val="clear" w:color="auto" w:fill="E1E7EF"/>
          </w:tcPr>
          <w:p>
            <w:pPr>
              <w:jc w:val="right"/>
              <w:ind w:right="2"/>
              <w:spacing w:after="0"/>
              <w:rPr>
                <w:sz w:val="20"/>
                <w:szCs w:val="20"/>
                <w:color w:val="auto"/>
              </w:rPr>
            </w:pPr>
            <w:r>
              <w:rPr>
                <w:rFonts w:ascii="Arial" w:cs="Arial" w:eastAsia="Arial" w:hAnsi="Arial"/>
                <w:sz w:val="16"/>
                <w:szCs w:val="16"/>
                <w:color w:val="4C4C4C"/>
              </w:rPr>
              <w:t>577,517</w:t>
            </w:r>
          </w:p>
        </w:tc>
        <w:tc>
          <w:tcPr>
            <w:tcW w:w="114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86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1,439,036</w:t>
            </w:r>
          </w:p>
        </w:tc>
        <w:tc>
          <w:tcPr>
            <w:tcW w:w="0" w:type="dxa"/>
            <w:vAlign w:val="bottom"/>
          </w:tcPr>
          <w:p>
            <w:pPr>
              <w:spacing w:after="0"/>
              <w:rPr>
                <w:sz w:val="1"/>
                <w:szCs w:val="1"/>
                <w:color w:val="auto"/>
              </w:rPr>
            </w:pPr>
          </w:p>
        </w:tc>
      </w:tr>
      <w:tr>
        <w:trPr>
          <w:trHeight w:val="185"/>
        </w:trPr>
        <w:tc>
          <w:tcPr>
            <w:tcW w:w="2540" w:type="dxa"/>
            <w:vAlign w:val="bottom"/>
            <w:gridSpan w:val="2"/>
          </w:tcPr>
          <w:p>
            <w:pPr>
              <w:ind w:left="20"/>
              <w:spacing w:after="0"/>
              <w:rPr>
                <w:sz w:val="20"/>
                <w:szCs w:val="20"/>
                <w:color w:val="auto"/>
              </w:rPr>
            </w:pPr>
            <w:r>
              <w:rPr>
                <w:rFonts w:ascii="Trebuchet MS" w:cs="Trebuchet MS" w:eastAsia="Trebuchet MS" w:hAnsi="Trebuchet MS"/>
                <w:sz w:val="16"/>
                <w:szCs w:val="16"/>
                <w:b w:val="1"/>
                <w:bCs w:val="1"/>
                <w:color w:val="4C4C4C"/>
              </w:rPr>
              <w:t xml:space="preserve">Christopher </w:t>
            </w:r>
            <w:r>
              <w:rPr>
                <w:rFonts w:ascii="Arial" w:cs="Arial" w:eastAsia="Arial" w:hAnsi="Arial"/>
                <w:sz w:val="16"/>
                <w:szCs w:val="16"/>
                <w:b w:val="1"/>
                <w:bCs w:val="1"/>
                <w:color w:val="4C4C4C"/>
              </w:rPr>
              <w:t>M</w:t>
            </w:r>
            <w:r>
              <w:rPr>
                <w:rFonts w:ascii="Trebuchet MS" w:cs="Trebuchet MS" w:eastAsia="Trebuchet MS" w:hAnsi="Trebuchet MS"/>
                <w:sz w:val="16"/>
                <w:szCs w:val="16"/>
                <w:b w:val="1"/>
                <w:bCs w:val="1"/>
                <w:color w:val="4C4C4C"/>
              </w:rPr>
              <w:t>. Ryan</w:t>
            </w:r>
          </w:p>
        </w:tc>
        <w:tc>
          <w:tcPr>
            <w:tcW w:w="480" w:type="dxa"/>
            <w:vAlign w:val="bottom"/>
          </w:tcPr>
          <w:p>
            <w:pPr>
              <w:ind w:left="80"/>
              <w:spacing w:after="0"/>
              <w:rPr>
                <w:sz w:val="20"/>
                <w:szCs w:val="20"/>
                <w:color w:val="auto"/>
              </w:rPr>
            </w:pPr>
            <w:r>
              <w:rPr>
                <w:rFonts w:ascii="Arial" w:cs="Arial" w:eastAsia="Arial" w:hAnsi="Arial"/>
                <w:sz w:val="16"/>
                <w:szCs w:val="16"/>
                <w:color w:val="4C4C4C"/>
              </w:rPr>
              <w:t>2025</w:t>
            </w:r>
          </w:p>
        </w:tc>
        <w:tc>
          <w:tcPr>
            <w:tcW w:w="700" w:type="dxa"/>
            <w:vAlign w:val="bottom"/>
          </w:tcPr>
          <w:p>
            <w:pPr>
              <w:jc w:val="center"/>
              <w:spacing w:after="0"/>
              <w:rPr>
                <w:sz w:val="20"/>
                <w:szCs w:val="20"/>
                <w:color w:val="auto"/>
              </w:rPr>
            </w:pPr>
            <w:r>
              <w:rPr>
                <w:rFonts w:ascii="Arial" w:cs="Arial" w:eastAsia="Arial" w:hAnsi="Arial"/>
                <w:sz w:val="16"/>
                <w:szCs w:val="16"/>
                <w:color w:val="4C4C4C"/>
              </w:rPr>
              <w:t>456,546</w:t>
            </w:r>
          </w:p>
        </w:tc>
        <w:tc>
          <w:tcPr>
            <w:tcW w:w="740" w:type="dxa"/>
            <w:vAlign w:val="bottom"/>
          </w:tcPr>
          <w:p>
            <w:pPr>
              <w:jc w:val="center"/>
              <w:spacing w:after="0"/>
              <w:rPr>
                <w:sz w:val="20"/>
                <w:szCs w:val="20"/>
                <w:color w:val="auto"/>
              </w:rPr>
            </w:pPr>
            <w:r>
              <w:rPr>
                <w:rFonts w:ascii="Arial" w:cs="Arial" w:eastAsia="Arial" w:hAnsi="Arial"/>
                <w:sz w:val="16"/>
                <w:szCs w:val="16"/>
                <w:color w:val="4C4C4C"/>
                <w:w w:val="96"/>
              </w:rPr>
              <w:t>383,499</w:t>
            </w:r>
          </w:p>
        </w:tc>
        <w:tc>
          <w:tcPr>
            <w:tcW w:w="880" w:type="dxa"/>
            <w:vAlign w:val="bottom"/>
          </w:tcPr>
          <w:p>
            <w:pPr>
              <w:jc w:val="right"/>
              <w:spacing w:after="0"/>
              <w:rPr>
                <w:sz w:val="20"/>
                <w:szCs w:val="20"/>
                <w:color w:val="auto"/>
              </w:rPr>
            </w:pPr>
            <w:r>
              <w:rPr>
                <w:rFonts w:ascii="Arial" w:cs="Arial" w:eastAsia="Arial" w:hAnsi="Arial"/>
                <w:sz w:val="16"/>
                <w:szCs w:val="16"/>
                <w:color w:val="4C4C4C"/>
              </w:rPr>
              <w:t>247,899</w:t>
            </w:r>
          </w:p>
        </w:tc>
        <w:tc>
          <w:tcPr>
            <w:tcW w:w="860" w:type="dxa"/>
            <w:vAlign w:val="bottom"/>
          </w:tcPr>
          <w:p>
            <w:pPr>
              <w:jc w:val="right"/>
              <w:ind w:right="2"/>
              <w:spacing w:after="0"/>
              <w:rPr>
                <w:sz w:val="20"/>
                <w:szCs w:val="20"/>
                <w:color w:val="auto"/>
              </w:rPr>
            </w:pPr>
            <w:r>
              <w:rPr>
                <w:rFonts w:ascii="Arial" w:cs="Arial" w:eastAsia="Arial" w:hAnsi="Arial"/>
                <w:sz w:val="16"/>
                <w:szCs w:val="16"/>
                <w:color w:val="4C4C4C"/>
              </w:rPr>
              <w:t>641,657</w:t>
            </w:r>
          </w:p>
        </w:tc>
        <w:tc>
          <w:tcPr>
            <w:tcW w:w="1140" w:type="dxa"/>
            <w:vAlign w:val="bottom"/>
          </w:tcPr>
          <w:p>
            <w:pPr>
              <w:jc w:val="right"/>
              <w:spacing w:after="0"/>
              <w:rPr>
                <w:sz w:val="20"/>
                <w:szCs w:val="20"/>
                <w:color w:val="auto"/>
              </w:rPr>
            </w:pPr>
            <w:r>
              <w:rPr>
                <w:rFonts w:ascii="Arial" w:cs="Arial" w:eastAsia="Arial" w:hAnsi="Arial"/>
                <w:sz w:val="16"/>
                <w:szCs w:val="16"/>
                <w:color w:val="4C4C4C"/>
              </w:rPr>
              <w:t>—</w:t>
            </w:r>
          </w:p>
        </w:tc>
        <w:tc>
          <w:tcPr>
            <w:tcW w:w="860" w:type="dxa"/>
            <w:vAlign w:val="bottom"/>
          </w:tcPr>
          <w:p>
            <w:pPr>
              <w:jc w:val="right"/>
              <w:spacing w:after="0"/>
              <w:rPr>
                <w:sz w:val="20"/>
                <w:szCs w:val="20"/>
                <w:color w:val="auto"/>
              </w:rPr>
            </w:pPr>
            <w:r>
              <w:rPr>
                <w:rFonts w:ascii="Arial" w:cs="Arial" w:eastAsia="Arial" w:hAnsi="Arial"/>
                <w:sz w:val="16"/>
                <w:szCs w:val="16"/>
                <w:color w:val="4C4C4C"/>
              </w:rPr>
              <w:t>1,729,601</w:t>
            </w:r>
          </w:p>
        </w:tc>
        <w:tc>
          <w:tcPr>
            <w:tcW w:w="0" w:type="dxa"/>
            <w:vAlign w:val="bottom"/>
          </w:tcPr>
          <w:p>
            <w:pPr>
              <w:spacing w:after="0"/>
              <w:rPr>
                <w:sz w:val="1"/>
                <w:szCs w:val="1"/>
                <w:color w:val="auto"/>
              </w:rPr>
            </w:pPr>
          </w:p>
        </w:tc>
      </w:tr>
      <w:tr>
        <w:trPr>
          <w:trHeight w:val="189"/>
        </w:trPr>
        <w:tc>
          <w:tcPr>
            <w:tcW w:w="2540" w:type="dxa"/>
            <w:vAlign w:val="bottom"/>
            <w:gridSpan w:val="2"/>
          </w:tcPr>
          <w:p>
            <w:pPr>
              <w:ind w:left="180"/>
              <w:spacing w:after="0"/>
              <w:rPr>
                <w:sz w:val="20"/>
                <w:szCs w:val="20"/>
                <w:color w:val="auto"/>
              </w:rPr>
            </w:pPr>
            <w:r>
              <w:rPr>
                <w:rFonts w:ascii="Arial" w:cs="Arial" w:eastAsia="Arial" w:hAnsi="Arial"/>
                <w:sz w:val="16"/>
                <w:szCs w:val="16"/>
                <w:color w:val="4C4C4C"/>
              </w:rPr>
              <w:t>President and Chief</w:t>
            </w:r>
          </w:p>
        </w:tc>
        <w:tc>
          <w:tcPr>
            <w:tcW w:w="480" w:type="dxa"/>
            <w:vAlign w:val="bottom"/>
          </w:tcPr>
          <w:p>
            <w:pPr>
              <w:ind w:left="80"/>
              <w:spacing w:after="0"/>
              <w:rPr>
                <w:sz w:val="20"/>
                <w:szCs w:val="20"/>
                <w:color w:val="auto"/>
              </w:rPr>
            </w:pPr>
            <w:r>
              <w:rPr>
                <w:rFonts w:ascii="Arial" w:cs="Arial" w:eastAsia="Arial" w:hAnsi="Arial"/>
                <w:sz w:val="16"/>
                <w:szCs w:val="16"/>
                <w:color w:val="4C4C4C"/>
              </w:rPr>
              <w:t>2024</w:t>
            </w:r>
          </w:p>
        </w:tc>
        <w:tc>
          <w:tcPr>
            <w:tcW w:w="700" w:type="dxa"/>
            <w:vAlign w:val="bottom"/>
          </w:tcPr>
          <w:p>
            <w:pPr>
              <w:jc w:val="center"/>
              <w:spacing w:after="0"/>
              <w:rPr>
                <w:sz w:val="20"/>
                <w:szCs w:val="20"/>
                <w:color w:val="auto"/>
              </w:rPr>
            </w:pPr>
            <w:r>
              <w:rPr>
                <w:rFonts w:ascii="Arial" w:cs="Arial" w:eastAsia="Arial" w:hAnsi="Arial"/>
                <w:sz w:val="16"/>
                <w:szCs w:val="16"/>
                <w:color w:val="4C4C4C"/>
              </w:rPr>
              <w:t>445,411</w:t>
            </w:r>
          </w:p>
        </w:tc>
        <w:tc>
          <w:tcPr>
            <w:tcW w:w="740" w:type="dxa"/>
            <w:vAlign w:val="bottom"/>
          </w:tcPr>
          <w:p>
            <w:pPr>
              <w:jc w:val="center"/>
              <w:spacing w:after="0"/>
              <w:rPr>
                <w:sz w:val="20"/>
                <w:szCs w:val="20"/>
                <w:color w:val="auto"/>
              </w:rPr>
            </w:pPr>
            <w:r>
              <w:rPr>
                <w:rFonts w:ascii="Arial" w:cs="Arial" w:eastAsia="Arial" w:hAnsi="Arial"/>
                <w:sz w:val="16"/>
                <w:szCs w:val="16"/>
                <w:color w:val="4C4C4C"/>
                <w:w w:val="96"/>
              </w:rPr>
              <w:t>429,376</w:t>
            </w:r>
          </w:p>
        </w:tc>
        <w:tc>
          <w:tcPr>
            <w:tcW w:w="880" w:type="dxa"/>
            <w:vAlign w:val="bottom"/>
          </w:tcPr>
          <w:p>
            <w:pPr>
              <w:jc w:val="right"/>
              <w:spacing w:after="0"/>
              <w:rPr>
                <w:sz w:val="20"/>
                <w:szCs w:val="20"/>
                <w:color w:val="auto"/>
              </w:rPr>
            </w:pPr>
            <w:r>
              <w:rPr>
                <w:rFonts w:ascii="Arial" w:cs="Arial" w:eastAsia="Arial" w:hAnsi="Arial"/>
                <w:sz w:val="16"/>
                <w:szCs w:val="16"/>
                <w:color w:val="4C4C4C"/>
              </w:rPr>
              <w:t>398,400</w:t>
            </w:r>
          </w:p>
        </w:tc>
        <w:tc>
          <w:tcPr>
            <w:tcW w:w="860" w:type="dxa"/>
            <w:vAlign w:val="bottom"/>
          </w:tcPr>
          <w:p>
            <w:pPr>
              <w:jc w:val="right"/>
              <w:ind w:right="2"/>
              <w:spacing w:after="0"/>
              <w:rPr>
                <w:sz w:val="20"/>
                <w:szCs w:val="20"/>
                <w:color w:val="auto"/>
              </w:rPr>
            </w:pPr>
            <w:r>
              <w:rPr>
                <w:rFonts w:ascii="Arial" w:cs="Arial" w:eastAsia="Arial" w:hAnsi="Arial"/>
                <w:sz w:val="16"/>
                <w:szCs w:val="16"/>
                <w:color w:val="4C4C4C"/>
              </w:rPr>
              <w:t>353,650</w:t>
            </w:r>
          </w:p>
        </w:tc>
        <w:tc>
          <w:tcPr>
            <w:tcW w:w="1140" w:type="dxa"/>
            <w:vAlign w:val="bottom"/>
          </w:tcPr>
          <w:p>
            <w:pPr>
              <w:jc w:val="right"/>
              <w:spacing w:after="0"/>
              <w:rPr>
                <w:sz w:val="20"/>
                <w:szCs w:val="20"/>
                <w:color w:val="auto"/>
              </w:rPr>
            </w:pPr>
            <w:r>
              <w:rPr>
                <w:rFonts w:ascii="Arial" w:cs="Arial" w:eastAsia="Arial" w:hAnsi="Arial"/>
                <w:sz w:val="16"/>
                <w:szCs w:val="16"/>
                <w:color w:val="4C4C4C"/>
              </w:rPr>
              <w:t>—</w:t>
            </w:r>
          </w:p>
        </w:tc>
        <w:tc>
          <w:tcPr>
            <w:tcW w:w="860" w:type="dxa"/>
            <w:vAlign w:val="bottom"/>
          </w:tcPr>
          <w:p>
            <w:pPr>
              <w:jc w:val="right"/>
              <w:spacing w:after="0"/>
              <w:rPr>
                <w:sz w:val="20"/>
                <w:szCs w:val="20"/>
                <w:color w:val="auto"/>
              </w:rPr>
            </w:pPr>
            <w:r>
              <w:rPr>
                <w:rFonts w:ascii="Arial" w:cs="Arial" w:eastAsia="Arial" w:hAnsi="Arial"/>
                <w:sz w:val="16"/>
                <w:szCs w:val="16"/>
                <w:color w:val="4C4C4C"/>
              </w:rPr>
              <w:t>1,626,837</w:t>
            </w:r>
          </w:p>
        </w:tc>
        <w:tc>
          <w:tcPr>
            <w:tcW w:w="0" w:type="dxa"/>
            <w:vAlign w:val="bottom"/>
          </w:tcPr>
          <w:p>
            <w:pPr>
              <w:spacing w:after="0"/>
              <w:rPr>
                <w:sz w:val="1"/>
                <w:szCs w:val="1"/>
                <w:color w:val="auto"/>
              </w:rPr>
            </w:pPr>
          </w:p>
        </w:tc>
      </w:tr>
      <w:tr>
        <w:trPr>
          <w:trHeight w:val="220"/>
        </w:trPr>
        <w:tc>
          <w:tcPr>
            <w:tcW w:w="2540" w:type="dxa"/>
            <w:vAlign w:val="bottom"/>
            <w:gridSpan w:val="2"/>
          </w:tcPr>
          <w:p>
            <w:pPr>
              <w:ind w:left="180"/>
              <w:spacing w:after="0"/>
              <w:rPr>
                <w:sz w:val="20"/>
                <w:szCs w:val="20"/>
                <w:color w:val="auto"/>
              </w:rPr>
            </w:pPr>
            <w:r>
              <w:rPr>
                <w:rFonts w:ascii="Arial" w:cs="Arial" w:eastAsia="Arial" w:hAnsi="Arial"/>
                <w:sz w:val="16"/>
                <w:szCs w:val="16"/>
                <w:color w:val="4C4C4C"/>
              </w:rPr>
              <w:t>Operating Officer</w:t>
            </w:r>
          </w:p>
        </w:tc>
        <w:tc>
          <w:tcPr>
            <w:tcW w:w="480" w:type="dxa"/>
            <w:vAlign w:val="bottom"/>
          </w:tcPr>
          <w:p>
            <w:pPr>
              <w:ind w:left="80"/>
              <w:spacing w:after="0"/>
              <w:rPr>
                <w:sz w:val="20"/>
                <w:szCs w:val="20"/>
                <w:color w:val="auto"/>
              </w:rPr>
            </w:pPr>
            <w:r>
              <w:rPr>
                <w:rFonts w:ascii="Arial" w:cs="Arial" w:eastAsia="Arial" w:hAnsi="Arial"/>
                <w:sz w:val="16"/>
                <w:szCs w:val="16"/>
                <w:color w:val="4C4C4C"/>
              </w:rPr>
              <w:t>2023</w:t>
            </w:r>
          </w:p>
        </w:tc>
        <w:tc>
          <w:tcPr>
            <w:tcW w:w="700" w:type="dxa"/>
            <w:vAlign w:val="bottom"/>
          </w:tcPr>
          <w:p>
            <w:pPr>
              <w:jc w:val="center"/>
              <w:spacing w:after="0"/>
              <w:rPr>
                <w:sz w:val="20"/>
                <w:szCs w:val="20"/>
                <w:color w:val="auto"/>
              </w:rPr>
            </w:pPr>
            <w:r>
              <w:rPr>
                <w:rFonts w:ascii="Arial" w:cs="Arial" w:eastAsia="Arial" w:hAnsi="Arial"/>
                <w:sz w:val="16"/>
                <w:szCs w:val="16"/>
                <w:color w:val="4C4C4C"/>
              </w:rPr>
              <w:t>421,512</w:t>
            </w:r>
          </w:p>
        </w:tc>
        <w:tc>
          <w:tcPr>
            <w:tcW w:w="740" w:type="dxa"/>
            <w:vAlign w:val="bottom"/>
          </w:tcPr>
          <w:p>
            <w:pPr>
              <w:jc w:val="center"/>
              <w:spacing w:after="0"/>
              <w:rPr>
                <w:sz w:val="20"/>
                <w:szCs w:val="20"/>
                <w:color w:val="auto"/>
              </w:rPr>
            </w:pPr>
            <w:r>
              <w:rPr>
                <w:rFonts w:ascii="Arial" w:cs="Arial" w:eastAsia="Arial" w:hAnsi="Arial"/>
                <w:sz w:val="16"/>
                <w:szCs w:val="16"/>
                <w:color w:val="4C4C4C"/>
                <w:w w:val="96"/>
              </w:rPr>
              <w:t>423,093</w:t>
            </w:r>
          </w:p>
        </w:tc>
        <w:tc>
          <w:tcPr>
            <w:tcW w:w="880" w:type="dxa"/>
            <w:vAlign w:val="bottom"/>
          </w:tcPr>
          <w:p>
            <w:pPr>
              <w:jc w:val="right"/>
              <w:spacing w:after="0"/>
              <w:rPr>
                <w:sz w:val="20"/>
                <w:szCs w:val="20"/>
                <w:color w:val="auto"/>
              </w:rPr>
            </w:pPr>
            <w:r>
              <w:rPr>
                <w:rFonts w:ascii="Arial" w:cs="Arial" w:eastAsia="Arial" w:hAnsi="Arial"/>
                <w:sz w:val="16"/>
                <w:szCs w:val="16"/>
                <w:color w:val="4C4C4C"/>
              </w:rPr>
              <w:t>423,290</w:t>
            </w:r>
          </w:p>
        </w:tc>
        <w:tc>
          <w:tcPr>
            <w:tcW w:w="860" w:type="dxa"/>
            <w:vAlign w:val="bottom"/>
          </w:tcPr>
          <w:p>
            <w:pPr>
              <w:jc w:val="right"/>
              <w:ind w:right="2"/>
              <w:spacing w:after="0"/>
              <w:rPr>
                <w:sz w:val="20"/>
                <w:szCs w:val="20"/>
                <w:color w:val="auto"/>
              </w:rPr>
            </w:pPr>
            <w:r>
              <w:rPr>
                <w:rFonts w:ascii="Arial" w:cs="Arial" w:eastAsia="Arial" w:hAnsi="Arial"/>
                <w:sz w:val="16"/>
                <w:szCs w:val="16"/>
                <w:color w:val="4C4C4C"/>
              </w:rPr>
              <w:t>380,695</w:t>
            </w:r>
          </w:p>
        </w:tc>
        <w:tc>
          <w:tcPr>
            <w:tcW w:w="1140" w:type="dxa"/>
            <w:vAlign w:val="bottom"/>
          </w:tcPr>
          <w:p>
            <w:pPr>
              <w:jc w:val="right"/>
              <w:spacing w:after="0"/>
              <w:rPr>
                <w:sz w:val="20"/>
                <w:szCs w:val="20"/>
                <w:color w:val="auto"/>
              </w:rPr>
            </w:pPr>
            <w:r>
              <w:rPr>
                <w:rFonts w:ascii="Arial" w:cs="Arial" w:eastAsia="Arial" w:hAnsi="Arial"/>
                <w:sz w:val="16"/>
                <w:szCs w:val="16"/>
                <w:color w:val="4C4C4C"/>
              </w:rPr>
              <w:t>—</w:t>
            </w:r>
          </w:p>
        </w:tc>
        <w:tc>
          <w:tcPr>
            <w:tcW w:w="860" w:type="dxa"/>
            <w:vAlign w:val="bottom"/>
          </w:tcPr>
          <w:p>
            <w:pPr>
              <w:jc w:val="right"/>
              <w:spacing w:after="0"/>
              <w:rPr>
                <w:sz w:val="20"/>
                <w:szCs w:val="20"/>
                <w:color w:val="auto"/>
              </w:rPr>
            </w:pPr>
            <w:r>
              <w:rPr>
                <w:rFonts w:ascii="Arial" w:cs="Arial" w:eastAsia="Arial" w:hAnsi="Arial"/>
                <w:sz w:val="16"/>
                <w:szCs w:val="16"/>
                <w:color w:val="4C4C4C"/>
              </w:rPr>
              <w:t>1,648,590</w:t>
            </w:r>
          </w:p>
        </w:tc>
        <w:tc>
          <w:tcPr>
            <w:tcW w:w="0" w:type="dxa"/>
            <w:vAlign w:val="bottom"/>
          </w:tcPr>
          <w:p>
            <w:pPr>
              <w:spacing w:after="0"/>
              <w:rPr>
                <w:sz w:val="1"/>
                <w:szCs w:val="1"/>
                <w:color w:val="auto"/>
              </w:rPr>
            </w:pPr>
          </w:p>
        </w:tc>
      </w:tr>
      <w:tr>
        <w:trPr>
          <w:trHeight w:val="152"/>
        </w:trPr>
        <w:tc>
          <w:tcPr>
            <w:tcW w:w="2540" w:type="dxa"/>
            <w:vAlign w:val="bottom"/>
            <w:gridSpan w:val="2"/>
            <w:shd w:val="clear" w:color="auto" w:fill="E1E7EF"/>
          </w:tcPr>
          <w:p>
            <w:pPr>
              <w:ind w:left="20"/>
              <w:spacing w:after="0" w:line="152" w:lineRule="exact"/>
              <w:rPr>
                <w:sz w:val="20"/>
                <w:szCs w:val="20"/>
                <w:color w:val="auto"/>
              </w:rPr>
            </w:pPr>
            <w:r>
              <w:rPr>
                <w:rFonts w:ascii="Trebuchet MS" w:cs="Trebuchet MS" w:eastAsia="Trebuchet MS" w:hAnsi="Trebuchet MS"/>
                <w:sz w:val="16"/>
                <w:szCs w:val="16"/>
                <w:b w:val="1"/>
                <w:bCs w:val="1"/>
                <w:color w:val="4C4C4C"/>
              </w:rPr>
              <w:t>Paul D. Bloom</w:t>
            </w:r>
          </w:p>
        </w:tc>
        <w:tc>
          <w:tcPr>
            <w:tcW w:w="480" w:type="dxa"/>
            <w:vAlign w:val="bottom"/>
            <w:shd w:val="clear" w:color="auto" w:fill="E1E7EF"/>
          </w:tcPr>
          <w:p>
            <w:pPr>
              <w:ind w:left="80"/>
              <w:spacing w:after="0" w:line="152" w:lineRule="exact"/>
              <w:rPr>
                <w:sz w:val="20"/>
                <w:szCs w:val="20"/>
                <w:color w:val="auto"/>
              </w:rPr>
            </w:pPr>
            <w:r>
              <w:rPr>
                <w:rFonts w:ascii="Arial" w:cs="Arial" w:eastAsia="Arial" w:hAnsi="Arial"/>
                <w:sz w:val="16"/>
                <w:szCs w:val="16"/>
                <w:color w:val="4C4C4C"/>
              </w:rPr>
              <w:t>2025</w:t>
            </w:r>
          </w:p>
        </w:tc>
        <w:tc>
          <w:tcPr>
            <w:tcW w:w="700" w:type="dxa"/>
            <w:vAlign w:val="bottom"/>
            <w:shd w:val="clear" w:color="auto" w:fill="E1E7EF"/>
          </w:tcPr>
          <w:p>
            <w:pPr>
              <w:jc w:val="center"/>
              <w:spacing w:after="0" w:line="152" w:lineRule="exact"/>
              <w:rPr>
                <w:sz w:val="20"/>
                <w:szCs w:val="20"/>
                <w:color w:val="auto"/>
              </w:rPr>
            </w:pPr>
            <w:r>
              <w:rPr>
                <w:rFonts w:ascii="Arial" w:cs="Arial" w:eastAsia="Arial" w:hAnsi="Arial"/>
                <w:sz w:val="16"/>
                <w:szCs w:val="16"/>
                <w:color w:val="4C4C4C"/>
              </w:rPr>
              <w:t>550,000</w:t>
            </w:r>
          </w:p>
        </w:tc>
        <w:tc>
          <w:tcPr>
            <w:tcW w:w="740" w:type="dxa"/>
            <w:vAlign w:val="bottom"/>
            <w:shd w:val="clear" w:color="auto" w:fill="E1E7EF"/>
          </w:tcPr>
          <w:p>
            <w:pPr>
              <w:jc w:val="center"/>
              <w:spacing w:after="0" w:line="152" w:lineRule="exact"/>
              <w:rPr>
                <w:sz w:val="20"/>
                <w:szCs w:val="20"/>
                <w:color w:val="auto"/>
              </w:rPr>
            </w:pPr>
            <w:r>
              <w:rPr>
                <w:rFonts w:ascii="Arial" w:cs="Arial" w:eastAsia="Arial" w:hAnsi="Arial"/>
                <w:sz w:val="16"/>
                <w:szCs w:val="16"/>
                <w:color w:val="4C4C4C"/>
                <w:w w:val="96"/>
              </w:rPr>
              <w:t>577,500</w:t>
            </w:r>
          </w:p>
        </w:tc>
        <w:tc>
          <w:tcPr>
            <w:tcW w:w="880" w:type="dxa"/>
            <w:vAlign w:val="bottom"/>
            <w:shd w:val="clear" w:color="auto" w:fill="E1E7EF"/>
          </w:tcPr>
          <w:p>
            <w:pPr>
              <w:jc w:val="right"/>
              <w:spacing w:after="0" w:line="152" w:lineRule="exact"/>
              <w:rPr>
                <w:sz w:val="20"/>
                <w:szCs w:val="20"/>
                <w:color w:val="auto"/>
              </w:rPr>
            </w:pPr>
            <w:r>
              <w:rPr>
                <w:rFonts w:ascii="Arial" w:cs="Arial" w:eastAsia="Arial" w:hAnsi="Arial"/>
                <w:sz w:val="16"/>
                <w:szCs w:val="16"/>
                <w:color w:val="4C4C4C"/>
              </w:rPr>
              <w:t>247,899</w:t>
            </w:r>
          </w:p>
        </w:tc>
        <w:tc>
          <w:tcPr>
            <w:tcW w:w="860" w:type="dxa"/>
            <w:vAlign w:val="bottom"/>
            <w:shd w:val="clear" w:color="auto" w:fill="E1E7EF"/>
          </w:tcPr>
          <w:p>
            <w:pPr>
              <w:jc w:val="right"/>
              <w:ind w:right="2"/>
              <w:spacing w:after="0" w:line="152" w:lineRule="exact"/>
              <w:rPr>
                <w:sz w:val="20"/>
                <w:szCs w:val="20"/>
                <w:color w:val="auto"/>
              </w:rPr>
            </w:pPr>
            <w:r>
              <w:rPr>
                <w:rFonts w:ascii="Arial" w:cs="Arial" w:eastAsia="Arial" w:hAnsi="Arial"/>
                <w:sz w:val="16"/>
                <w:szCs w:val="16"/>
                <w:color w:val="4C4C4C"/>
              </w:rPr>
              <w:t>641,657</w:t>
            </w:r>
          </w:p>
        </w:tc>
        <w:tc>
          <w:tcPr>
            <w:tcW w:w="1140" w:type="dxa"/>
            <w:vAlign w:val="bottom"/>
            <w:shd w:val="clear" w:color="auto" w:fill="E1E7EF"/>
          </w:tcPr>
          <w:p>
            <w:pPr>
              <w:jc w:val="right"/>
              <w:spacing w:after="0" w:line="152" w:lineRule="exact"/>
              <w:rPr>
                <w:sz w:val="20"/>
                <w:szCs w:val="20"/>
                <w:color w:val="auto"/>
              </w:rPr>
            </w:pPr>
            <w:r>
              <w:rPr>
                <w:rFonts w:ascii="Arial" w:cs="Arial" w:eastAsia="Arial" w:hAnsi="Arial"/>
                <w:sz w:val="16"/>
                <w:szCs w:val="16"/>
                <w:color w:val="4C4C4C"/>
              </w:rPr>
              <w:t>—</w:t>
            </w:r>
          </w:p>
        </w:tc>
        <w:tc>
          <w:tcPr>
            <w:tcW w:w="860" w:type="dxa"/>
            <w:vAlign w:val="bottom"/>
            <w:shd w:val="clear" w:color="auto" w:fill="E1E7EF"/>
          </w:tcPr>
          <w:p>
            <w:pPr>
              <w:jc w:val="right"/>
              <w:spacing w:after="0" w:line="152" w:lineRule="exact"/>
              <w:rPr>
                <w:sz w:val="20"/>
                <w:szCs w:val="20"/>
                <w:color w:val="auto"/>
              </w:rPr>
            </w:pPr>
            <w:r>
              <w:rPr>
                <w:rFonts w:ascii="Arial" w:cs="Arial" w:eastAsia="Arial" w:hAnsi="Arial"/>
                <w:sz w:val="16"/>
                <w:szCs w:val="16"/>
                <w:color w:val="4C4C4C"/>
              </w:rPr>
              <w:t>2,017,056</w:t>
            </w:r>
          </w:p>
        </w:tc>
        <w:tc>
          <w:tcPr>
            <w:tcW w:w="0" w:type="dxa"/>
            <w:vAlign w:val="bottom"/>
          </w:tcPr>
          <w:p>
            <w:pPr>
              <w:spacing w:after="0"/>
              <w:rPr>
                <w:sz w:val="1"/>
                <w:szCs w:val="1"/>
                <w:color w:val="auto"/>
              </w:rPr>
            </w:pPr>
          </w:p>
        </w:tc>
      </w:tr>
      <w:tr>
        <w:trPr>
          <w:trHeight w:val="240"/>
        </w:trPr>
        <w:tc>
          <w:tcPr>
            <w:tcW w:w="2540" w:type="dxa"/>
            <w:vAlign w:val="bottom"/>
            <w:gridSpan w:val="2"/>
            <w:shd w:val="clear" w:color="auto" w:fill="E1E7EF"/>
          </w:tcPr>
          <w:p>
            <w:pPr>
              <w:ind w:left="180"/>
              <w:spacing w:after="0" w:line="240" w:lineRule="exact"/>
              <w:rPr>
                <w:sz w:val="20"/>
                <w:szCs w:val="20"/>
                <w:color w:val="auto"/>
              </w:rPr>
            </w:pPr>
            <w:r>
              <w:rPr>
                <w:rFonts w:ascii="Arial" w:cs="Arial" w:eastAsia="Arial" w:hAnsi="Arial"/>
                <w:sz w:val="16"/>
                <w:szCs w:val="16"/>
                <w:color w:val="4C4C4C"/>
              </w:rPr>
              <w:t>Chief Executive Officer</w:t>
            </w:r>
            <w:r>
              <w:rPr>
                <w:rFonts w:ascii="Trebuchet MS" w:cs="Trebuchet MS" w:eastAsia="Trebuchet MS" w:hAnsi="Trebuchet MS"/>
                <w:sz w:val="25"/>
                <w:szCs w:val="25"/>
                <w:color w:val="4C4C4C"/>
                <w:vertAlign w:val="superscript"/>
              </w:rPr>
              <w:t>(5)</w:t>
            </w:r>
          </w:p>
        </w:tc>
        <w:tc>
          <w:tcPr>
            <w:tcW w:w="480" w:type="dxa"/>
            <w:vAlign w:val="bottom"/>
            <w:shd w:val="clear" w:color="auto" w:fill="E1E7EF"/>
          </w:tcPr>
          <w:p>
            <w:pPr>
              <w:ind w:left="80"/>
              <w:spacing w:after="0"/>
              <w:rPr>
                <w:sz w:val="20"/>
                <w:szCs w:val="20"/>
                <w:color w:val="auto"/>
              </w:rPr>
            </w:pPr>
            <w:r>
              <w:rPr>
                <w:rFonts w:ascii="Arial" w:cs="Arial" w:eastAsia="Arial" w:hAnsi="Arial"/>
                <w:sz w:val="16"/>
                <w:szCs w:val="16"/>
                <w:color w:val="4C4C4C"/>
              </w:rPr>
              <w:t>2024</w:t>
            </w:r>
          </w:p>
        </w:tc>
        <w:tc>
          <w:tcPr>
            <w:tcW w:w="700" w:type="dxa"/>
            <w:vAlign w:val="bottom"/>
            <w:shd w:val="clear" w:color="auto" w:fill="E1E7EF"/>
          </w:tcPr>
          <w:p>
            <w:pPr>
              <w:jc w:val="center"/>
              <w:spacing w:after="0"/>
              <w:rPr>
                <w:sz w:val="20"/>
                <w:szCs w:val="20"/>
                <w:color w:val="auto"/>
              </w:rPr>
            </w:pPr>
            <w:r>
              <w:rPr>
                <w:rFonts w:ascii="Arial" w:cs="Arial" w:eastAsia="Arial" w:hAnsi="Arial"/>
                <w:sz w:val="16"/>
                <w:szCs w:val="16"/>
                <w:color w:val="4C4C4C"/>
              </w:rPr>
              <w:t>420,024</w:t>
            </w:r>
          </w:p>
        </w:tc>
        <w:tc>
          <w:tcPr>
            <w:tcW w:w="740" w:type="dxa"/>
            <w:vAlign w:val="bottom"/>
            <w:shd w:val="clear" w:color="auto" w:fill="E1E7EF"/>
          </w:tcPr>
          <w:p>
            <w:pPr>
              <w:jc w:val="center"/>
              <w:spacing w:after="0"/>
              <w:rPr>
                <w:sz w:val="20"/>
                <w:szCs w:val="20"/>
                <w:color w:val="auto"/>
              </w:rPr>
            </w:pPr>
            <w:r>
              <w:rPr>
                <w:rFonts w:ascii="Arial" w:cs="Arial" w:eastAsia="Arial" w:hAnsi="Arial"/>
                <w:sz w:val="16"/>
                <w:szCs w:val="16"/>
                <w:color w:val="4C4C4C"/>
                <w:w w:val="96"/>
              </w:rPr>
              <w:t>404,903</w:t>
            </w:r>
          </w:p>
        </w:tc>
        <w:tc>
          <w:tcPr>
            <w:tcW w:w="88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345,150</w:t>
            </w:r>
          </w:p>
        </w:tc>
        <w:tc>
          <w:tcPr>
            <w:tcW w:w="860" w:type="dxa"/>
            <w:vAlign w:val="bottom"/>
            <w:shd w:val="clear" w:color="auto" w:fill="E1E7EF"/>
          </w:tcPr>
          <w:p>
            <w:pPr>
              <w:jc w:val="right"/>
              <w:ind w:right="2"/>
              <w:spacing w:after="0"/>
              <w:rPr>
                <w:sz w:val="20"/>
                <w:szCs w:val="20"/>
                <w:color w:val="auto"/>
              </w:rPr>
            </w:pPr>
            <w:r>
              <w:rPr>
                <w:rFonts w:ascii="Arial" w:cs="Arial" w:eastAsia="Arial" w:hAnsi="Arial"/>
                <w:sz w:val="16"/>
                <w:szCs w:val="16"/>
                <w:color w:val="4C4C4C"/>
              </w:rPr>
              <w:t>305,425</w:t>
            </w:r>
          </w:p>
        </w:tc>
        <w:tc>
          <w:tcPr>
            <w:tcW w:w="114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86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1,475,502</w:t>
            </w:r>
          </w:p>
        </w:tc>
        <w:tc>
          <w:tcPr>
            <w:tcW w:w="0" w:type="dxa"/>
            <w:vAlign w:val="bottom"/>
          </w:tcPr>
          <w:p>
            <w:pPr>
              <w:spacing w:after="0"/>
              <w:rPr>
                <w:sz w:val="1"/>
                <w:szCs w:val="1"/>
                <w:color w:val="auto"/>
              </w:rPr>
            </w:pPr>
          </w:p>
        </w:tc>
      </w:tr>
      <w:tr>
        <w:trPr>
          <w:trHeight w:val="203"/>
        </w:trPr>
        <w:tc>
          <w:tcPr>
            <w:tcW w:w="2260" w:type="dxa"/>
            <w:vAlign w:val="bottom"/>
            <w:shd w:val="clear" w:color="auto" w:fill="E1E7EF"/>
          </w:tcPr>
          <w:p>
            <w:pPr>
              <w:spacing w:after="0"/>
              <w:rPr>
                <w:sz w:val="17"/>
                <w:szCs w:val="17"/>
                <w:color w:val="auto"/>
              </w:rPr>
            </w:pPr>
          </w:p>
        </w:tc>
        <w:tc>
          <w:tcPr>
            <w:tcW w:w="280" w:type="dxa"/>
            <w:vAlign w:val="bottom"/>
            <w:shd w:val="clear" w:color="auto" w:fill="E1E7EF"/>
          </w:tcPr>
          <w:p>
            <w:pPr>
              <w:spacing w:after="0"/>
              <w:rPr>
                <w:sz w:val="17"/>
                <w:szCs w:val="17"/>
                <w:color w:val="auto"/>
              </w:rPr>
            </w:pPr>
          </w:p>
        </w:tc>
        <w:tc>
          <w:tcPr>
            <w:tcW w:w="480" w:type="dxa"/>
            <w:vAlign w:val="bottom"/>
            <w:shd w:val="clear" w:color="auto" w:fill="E1E7EF"/>
          </w:tcPr>
          <w:p>
            <w:pPr>
              <w:ind w:left="80"/>
              <w:spacing w:after="0"/>
              <w:rPr>
                <w:sz w:val="20"/>
                <w:szCs w:val="20"/>
                <w:color w:val="auto"/>
              </w:rPr>
            </w:pPr>
            <w:r>
              <w:rPr>
                <w:rFonts w:ascii="Arial" w:cs="Arial" w:eastAsia="Arial" w:hAnsi="Arial"/>
                <w:sz w:val="16"/>
                <w:szCs w:val="16"/>
                <w:color w:val="4C4C4C"/>
              </w:rPr>
              <w:t>2023</w:t>
            </w:r>
          </w:p>
        </w:tc>
        <w:tc>
          <w:tcPr>
            <w:tcW w:w="700" w:type="dxa"/>
            <w:vAlign w:val="bottom"/>
            <w:shd w:val="clear" w:color="auto" w:fill="E1E7EF"/>
          </w:tcPr>
          <w:p>
            <w:pPr>
              <w:jc w:val="center"/>
              <w:spacing w:after="0"/>
              <w:rPr>
                <w:sz w:val="20"/>
                <w:szCs w:val="20"/>
                <w:color w:val="auto"/>
              </w:rPr>
            </w:pPr>
            <w:r>
              <w:rPr>
                <w:rFonts w:ascii="Arial" w:cs="Arial" w:eastAsia="Arial" w:hAnsi="Arial"/>
                <w:sz w:val="16"/>
                <w:szCs w:val="16"/>
                <w:color w:val="4C4C4C"/>
              </w:rPr>
              <w:t>382,777</w:t>
            </w:r>
          </w:p>
        </w:tc>
        <w:tc>
          <w:tcPr>
            <w:tcW w:w="740" w:type="dxa"/>
            <w:vAlign w:val="bottom"/>
            <w:shd w:val="clear" w:color="auto" w:fill="E1E7EF"/>
          </w:tcPr>
          <w:p>
            <w:pPr>
              <w:jc w:val="center"/>
              <w:spacing w:after="0"/>
              <w:rPr>
                <w:sz w:val="20"/>
                <w:szCs w:val="20"/>
                <w:color w:val="auto"/>
              </w:rPr>
            </w:pPr>
            <w:r>
              <w:rPr>
                <w:rFonts w:ascii="Arial" w:cs="Arial" w:eastAsia="Arial" w:hAnsi="Arial"/>
                <w:sz w:val="16"/>
                <w:szCs w:val="16"/>
                <w:color w:val="4C4C4C"/>
                <w:w w:val="96"/>
              </w:rPr>
              <w:t>361,600</w:t>
            </w:r>
          </w:p>
        </w:tc>
        <w:tc>
          <w:tcPr>
            <w:tcW w:w="88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329,483</w:t>
            </w:r>
          </w:p>
        </w:tc>
        <w:tc>
          <w:tcPr>
            <w:tcW w:w="860" w:type="dxa"/>
            <w:vAlign w:val="bottom"/>
            <w:shd w:val="clear" w:color="auto" w:fill="E1E7EF"/>
          </w:tcPr>
          <w:p>
            <w:pPr>
              <w:jc w:val="right"/>
              <w:ind w:right="2"/>
              <w:spacing w:after="0"/>
              <w:rPr>
                <w:sz w:val="20"/>
                <w:szCs w:val="20"/>
                <w:color w:val="auto"/>
              </w:rPr>
            </w:pPr>
            <w:r>
              <w:rPr>
                <w:rFonts w:ascii="Arial" w:cs="Arial" w:eastAsia="Arial" w:hAnsi="Arial"/>
                <w:sz w:val="16"/>
                <w:szCs w:val="16"/>
                <w:color w:val="4C4C4C"/>
              </w:rPr>
              <w:t>296,327</w:t>
            </w:r>
          </w:p>
        </w:tc>
        <w:tc>
          <w:tcPr>
            <w:tcW w:w="114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86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1,370,187</w:t>
            </w:r>
          </w:p>
        </w:tc>
        <w:tc>
          <w:tcPr>
            <w:tcW w:w="0" w:type="dxa"/>
            <w:vAlign w:val="bottom"/>
          </w:tcPr>
          <w:p>
            <w:pPr>
              <w:spacing w:after="0"/>
              <w:rPr>
                <w:sz w:val="1"/>
                <w:szCs w:val="1"/>
                <w:color w:val="auto"/>
              </w:rPr>
            </w:pPr>
          </w:p>
        </w:tc>
      </w:tr>
      <w:tr>
        <w:trPr>
          <w:trHeight w:val="175"/>
        </w:trPr>
        <w:tc>
          <w:tcPr>
            <w:tcW w:w="2540" w:type="dxa"/>
            <w:vAlign w:val="bottom"/>
            <w:gridSpan w:val="2"/>
          </w:tcPr>
          <w:p>
            <w:pPr>
              <w:ind w:left="20"/>
              <w:spacing w:after="0" w:line="175" w:lineRule="exact"/>
              <w:rPr>
                <w:sz w:val="20"/>
                <w:szCs w:val="20"/>
                <w:color w:val="auto"/>
              </w:rPr>
            </w:pPr>
            <w:r>
              <w:rPr>
                <w:rFonts w:ascii="Trebuchet MS" w:cs="Trebuchet MS" w:eastAsia="Trebuchet MS" w:hAnsi="Trebuchet MS"/>
                <w:sz w:val="16"/>
                <w:szCs w:val="16"/>
                <w:b w:val="1"/>
                <w:bCs w:val="1"/>
                <w:color w:val="4C4C4C"/>
              </w:rPr>
              <w:t>Andrew L. Shafer</w:t>
            </w:r>
          </w:p>
        </w:tc>
        <w:tc>
          <w:tcPr>
            <w:tcW w:w="480" w:type="dxa"/>
            <w:vAlign w:val="bottom"/>
            <w:vMerge w:val="restart"/>
          </w:tcPr>
          <w:p>
            <w:pPr>
              <w:ind w:left="80"/>
              <w:spacing w:after="0"/>
              <w:rPr>
                <w:sz w:val="20"/>
                <w:szCs w:val="20"/>
                <w:color w:val="auto"/>
              </w:rPr>
            </w:pPr>
            <w:r>
              <w:rPr>
                <w:rFonts w:ascii="Arial" w:cs="Arial" w:eastAsia="Arial" w:hAnsi="Arial"/>
                <w:sz w:val="16"/>
                <w:szCs w:val="16"/>
                <w:color w:val="4C4C4C"/>
              </w:rPr>
              <w:t>2025</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4C4C4C"/>
              </w:rPr>
              <w:t>418,303</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4C4C4C"/>
                <w:w w:val="96"/>
              </w:rPr>
              <w:t>284,446</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4C4C4C"/>
              </w:rPr>
              <w:t>65,759</w:t>
            </w: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4C4C4C"/>
              </w:rPr>
              <w:t>171,196</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4C4C4C"/>
              </w:rPr>
              <w:t>939,704</w:t>
            </w:r>
          </w:p>
        </w:tc>
        <w:tc>
          <w:tcPr>
            <w:tcW w:w="0" w:type="dxa"/>
            <w:vAlign w:val="bottom"/>
          </w:tcPr>
          <w:p>
            <w:pPr>
              <w:spacing w:after="0"/>
              <w:rPr>
                <w:sz w:val="1"/>
                <w:szCs w:val="1"/>
                <w:color w:val="auto"/>
              </w:rPr>
            </w:pPr>
          </w:p>
        </w:tc>
      </w:tr>
      <w:tr>
        <w:trPr>
          <w:trHeight w:val="166"/>
        </w:trPr>
        <w:tc>
          <w:tcPr>
            <w:tcW w:w="2540" w:type="dxa"/>
            <w:vAlign w:val="bottom"/>
            <w:gridSpan w:val="2"/>
          </w:tcPr>
          <w:p>
            <w:pPr>
              <w:ind w:left="180"/>
              <w:spacing w:after="0" w:line="166" w:lineRule="exact"/>
              <w:rPr>
                <w:sz w:val="20"/>
                <w:szCs w:val="20"/>
                <w:color w:val="auto"/>
              </w:rPr>
            </w:pPr>
            <w:r>
              <w:rPr>
                <w:rFonts w:ascii="Arial" w:cs="Arial" w:eastAsia="Arial" w:hAnsi="Arial"/>
                <w:sz w:val="16"/>
                <w:szCs w:val="16"/>
                <w:color w:val="4C4C4C"/>
              </w:rPr>
              <w:t>Chief Customer, Marketing and</w:t>
            </w:r>
          </w:p>
        </w:tc>
        <w:tc>
          <w:tcPr>
            <w:tcW w:w="4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540" w:type="dxa"/>
            <w:vAlign w:val="bottom"/>
            <w:gridSpan w:val="2"/>
          </w:tcPr>
          <w:p>
            <w:pPr>
              <w:ind w:left="180"/>
              <w:spacing w:after="0" w:line="227" w:lineRule="exact"/>
              <w:rPr>
                <w:sz w:val="20"/>
                <w:szCs w:val="20"/>
                <w:color w:val="auto"/>
              </w:rPr>
            </w:pPr>
            <w:r>
              <w:rPr>
                <w:rFonts w:ascii="Arial" w:cs="Arial" w:eastAsia="Arial" w:hAnsi="Arial"/>
                <w:sz w:val="16"/>
                <w:szCs w:val="16"/>
                <w:color w:val="4C4C4C"/>
              </w:rPr>
              <w:t>Brand Officer</w:t>
            </w:r>
            <w:r>
              <w:rPr>
                <w:rFonts w:ascii="Trebuchet MS" w:cs="Trebuchet MS" w:eastAsia="Trebuchet MS" w:hAnsi="Trebuchet MS"/>
                <w:sz w:val="25"/>
                <w:szCs w:val="25"/>
                <w:color w:val="4C4C4C"/>
                <w:vertAlign w:val="superscript"/>
              </w:rPr>
              <w:t>(7)</w:t>
            </w:r>
          </w:p>
        </w:tc>
        <w:tc>
          <w:tcPr>
            <w:tcW w:w="480" w:type="dxa"/>
            <w:vAlign w:val="bottom"/>
          </w:tcPr>
          <w:p>
            <w:pPr>
              <w:ind w:left="80"/>
              <w:spacing w:after="0"/>
              <w:rPr>
                <w:sz w:val="20"/>
                <w:szCs w:val="20"/>
                <w:color w:val="auto"/>
              </w:rPr>
            </w:pPr>
            <w:r>
              <w:rPr>
                <w:rFonts w:ascii="Arial" w:cs="Arial" w:eastAsia="Arial" w:hAnsi="Arial"/>
                <w:sz w:val="16"/>
                <w:szCs w:val="16"/>
                <w:color w:val="4C4C4C"/>
              </w:rPr>
              <w:t>2024</w:t>
            </w:r>
          </w:p>
        </w:tc>
        <w:tc>
          <w:tcPr>
            <w:tcW w:w="700" w:type="dxa"/>
            <w:vAlign w:val="bottom"/>
          </w:tcPr>
          <w:p>
            <w:pPr>
              <w:jc w:val="center"/>
              <w:spacing w:after="0"/>
              <w:rPr>
                <w:sz w:val="20"/>
                <w:szCs w:val="20"/>
                <w:color w:val="auto"/>
              </w:rPr>
            </w:pPr>
            <w:r>
              <w:rPr>
                <w:rFonts w:ascii="Arial" w:cs="Arial" w:eastAsia="Arial" w:hAnsi="Arial"/>
                <w:sz w:val="16"/>
                <w:szCs w:val="16"/>
                <w:color w:val="4C4C4C"/>
              </w:rPr>
              <w:t>408,101</w:t>
            </w:r>
          </w:p>
        </w:tc>
        <w:tc>
          <w:tcPr>
            <w:tcW w:w="740" w:type="dxa"/>
            <w:vAlign w:val="bottom"/>
          </w:tcPr>
          <w:p>
            <w:pPr>
              <w:jc w:val="center"/>
              <w:spacing w:after="0"/>
              <w:rPr>
                <w:sz w:val="20"/>
                <w:szCs w:val="20"/>
                <w:color w:val="auto"/>
              </w:rPr>
            </w:pPr>
            <w:r>
              <w:rPr>
                <w:rFonts w:ascii="Arial" w:cs="Arial" w:eastAsia="Arial" w:hAnsi="Arial"/>
                <w:sz w:val="16"/>
                <w:szCs w:val="16"/>
                <w:color w:val="4C4C4C"/>
                <w:w w:val="96"/>
              </w:rPr>
              <w:t>319,645</w:t>
            </w:r>
          </w:p>
        </w:tc>
        <w:tc>
          <w:tcPr>
            <w:tcW w:w="880" w:type="dxa"/>
            <w:vAlign w:val="bottom"/>
          </w:tcPr>
          <w:p>
            <w:pPr>
              <w:jc w:val="right"/>
              <w:spacing w:after="0"/>
              <w:rPr>
                <w:sz w:val="20"/>
                <w:szCs w:val="20"/>
                <w:color w:val="auto"/>
              </w:rPr>
            </w:pPr>
            <w:r>
              <w:rPr>
                <w:rFonts w:ascii="Arial" w:cs="Arial" w:eastAsia="Arial" w:hAnsi="Arial"/>
                <w:sz w:val="16"/>
                <w:szCs w:val="16"/>
                <w:color w:val="4C4C4C"/>
              </w:rPr>
              <w:t>143,775</w:t>
            </w:r>
          </w:p>
        </w:tc>
        <w:tc>
          <w:tcPr>
            <w:tcW w:w="860" w:type="dxa"/>
            <w:vAlign w:val="bottom"/>
          </w:tcPr>
          <w:p>
            <w:pPr>
              <w:jc w:val="right"/>
              <w:ind w:right="2"/>
              <w:spacing w:after="0"/>
              <w:rPr>
                <w:sz w:val="20"/>
                <w:szCs w:val="20"/>
                <w:color w:val="auto"/>
              </w:rPr>
            </w:pPr>
            <w:r>
              <w:rPr>
                <w:rFonts w:ascii="Arial" w:cs="Arial" w:eastAsia="Arial" w:hAnsi="Arial"/>
                <w:sz w:val="16"/>
                <w:szCs w:val="16"/>
                <w:color w:val="4C4C4C"/>
              </w:rPr>
              <w:t>130,208</w:t>
            </w:r>
          </w:p>
        </w:tc>
        <w:tc>
          <w:tcPr>
            <w:tcW w:w="1140" w:type="dxa"/>
            <w:vAlign w:val="bottom"/>
          </w:tcPr>
          <w:p>
            <w:pPr>
              <w:jc w:val="right"/>
              <w:spacing w:after="0"/>
              <w:rPr>
                <w:sz w:val="20"/>
                <w:szCs w:val="20"/>
                <w:color w:val="auto"/>
              </w:rPr>
            </w:pPr>
            <w:r>
              <w:rPr>
                <w:rFonts w:ascii="Arial" w:cs="Arial" w:eastAsia="Arial" w:hAnsi="Arial"/>
                <w:sz w:val="16"/>
                <w:szCs w:val="16"/>
                <w:color w:val="4C4C4C"/>
              </w:rPr>
              <w:t>—</w:t>
            </w:r>
          </w:p>
        </w:tc>
        <w:tc>
          <w:tcPr>
            <w:tcW w:w="860" w:type="dxa"/>
            <w:vAlign w:val="bottom"/>
          </w:tcPr>
          <w:p>
            <w:pPr>
              <w:jc w:val="right"/>
              <w:spacing w:after="0"/>
              <w:rPr>
                <w:sz w:val="20"/>
                <w:szCs w:val="20"/>
                <w:color w:val="auto"/>
              </w:rPr>
            </w:pPr>
            <w:r>
              <w:rPr>
                <w:rFonts w:ascii="Arial" w:cs="Arial" w:eastAsia="Arial" w:hAnsi="Arial"/>
                <w:sz w:val="16"/>
                <w:szCs w:val="16"/>
                <w:color w:val="4C4C4C"/>
              </w:rPr>
              <w:t>1,001,728</w:t>
            </w:r>
          </w:p>
        </w:tc>
        <w:tc>
          <w:tcPr>
            <w:tcW w:w="0" w:type="dxa"/>
            <w:vAlign w:val="bottom"/>
          </w:tcPr>
          <w:p>
            <w:pPr>
              <w:spacing w:after="0"/>
              <w:rPr>
                <w:sz w:val="1"/>
                <w:szCs w:val="1"/>
                <w:color w:val="auto"/>
              </w:rPr>
            </w:pPr>
          </w:p>
        </w:tc>
      </w:tr>
      <w:tr>
        <w:trPr>
          <w:trHeight w:val="185"/>
        </w:trPr>
        <w:tc>
          <w:tcPr>
            <w:tcW w:w="2540" w:type="dxa"/>
            <w:vAlign w:val="bottom"/>
            <w:gridSpan w:val="2"/>
            <w:shd w:val="clear" w:color="auto" w:fill="E1E7EF"/>
          </w:tcPr>
          <w:p>
            <w:pPr>
              <w:ind w:left="20"/>
              <w:spacing w:after="0"/>
              <w:rPr>
                <w:sz w:val="20"/>
                <w:szCs w:val="20"/>
                <w:color w:val="auto"/>
              </w:rPr>
            </w:pPr>
            <w:r>
              <w:rPr>
                <w:rFonts w:ascii="Trebuchet MS" w:cs="Trebuchet MS" w:eastAsia="Trebuchet MS" w:hAnsi="Trebuchet MS"/>
                <w:sz w:val="16"/>
                <w:szCs w:val="16"/>
                <w:b w:val="1"/>
                <w:bCs w:val="1"/>
                <w:color w:val="4C4C4C"/>
              </w:rPr>
              <w:t>L. Lynn Smull</w:t>
            </w:r>
          </w:p>
        </w:tc>
        <w:tc>
          <w:tcPr>
            <w:tcW w:w="480" w:type="dxa"/>
            <w:vAlign w:val="bottom"/>
            <w:shd w:val="clear" w:color="auto" w:fill="E1E7EF"/>
          </w:tcPr>
          <w:p>
            <w:pPr>
              <w:ind w:left="80"/>
              <w:spacing w:after="0"/>
              <w:rPr>
                <w:sz w:val="20"/>
                <w:szCs w:val="20"/>
                <w:color w:val="auto"/>
              </w:rPr>
            </w:pPr>
            <w:r>
              <w:rPr>
                <w:rFonts w:ascii="Arial" w:cs="Arial" w:eastAsia="Arial" w:hAnsi="Arial"/>
                <w:sz w:val="16"/>
                <w:szCs w:val="16"/>
                <w:color w:val="4C4C4C"/>
              </w:rPr>
              <w:t>2025</w:t>
            </w:r>
          </w:p>
        </w:tc>
        <w:tc>
          <w:tcPr>
            <w:tcW w:w="700" w:type="dxa"/>
            <w:vAlign w:val="bottom"/>
            <w:shd w:val="clear" w:color="auto" w:fill="E1E7EF"/>
          </w:tcPr>
          <w:p>
            <w:pPr>
              <w:jc w:val="center"/>
              <w:spacing w:after="0"/>
              <w:rPr>
                <w:sz w:val="20"/>
                <w:szCs w:val="20"/>
                <w:color w:val="auto"/>
              </w:rPr>
            </w:pPr>
            <w:r>
              <w:rPr>
                <w:rFonts w:ascii="Arial" w:cs="Arial" w:eastAsia="Arial" w:hAnsi="Arial"/>
                <w:sz w:val="16"/>
                <w:szCs w:val="16"/>
                <w:color w:val="4C4C4C"/>
              </w:rPr>
              <w:t>427,248</w:t>
            </w:r>
          </w:p>
        </w:tc>
        <w:tc>
          <w:tcPr>
            <w:tcW w:w="740" w:type="dxa"/>
            <w:vAlign w:val="bottom"/>
            <w:shd w:val="clear" w:color="auto" w:fill="E1E7EF"/>
          </w:tcPr>
          <w:p>
            <w:pPr>
              <w:jc w:val="center"/>
              <w:spacing w:after="0"/>
              <w:rPr>
                <w:sz w:val="20"/>
                <w:szCs w:val="20"/>
                <w:color w:val="auto"/>
              </w:rPr>
            </w:pPr>
            <w:r>
              <w:rPr>
                <w:rFonts w:ascii="Arial" w:cs="Arial" w:eastAsia="Arial" w:hAnsi="Arial"/>
                <w:sz w:val="16"/>
                <w:szCs w:val="16"/>
                <w:color w:val="4C4C4C"/>
                <w:w w:val="96"/>
              </w:rPr>
              <w:t>290,529</w:t>
            </w:r>
          </w:p>
        </w:tc>
        <w:tc>
          <w:tcPr>
            <w:tcW w:w="88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73,489</w:t>
            </w:r>
          </w:p>
        </w:tc>
        <w:tc>
          <w:tcPr>
            <w:tcW w:w="860" w:type="dxa"/>
            <w:vAlign w:val="bottom"/>
            <w:shd w:val="clear" w:color="auto" w:fill="E1E7EF"/>
          </w:tcPr>
          <w:p>
            <w:pPr>
              <w:jc w:val="right"/>
              <w:ind w:right="2"/>
              <w:spacing w:after="0"/>
              <w:rPr>
                <w:sz w:val="20"/>
                <w:szCs w:val="20"/>
                <w:color w:val="auto"/>
              </w:rPr>
            </w:pPr>
            <w:r>
              <w:rPr>
                <w:rFonts w:ascii="Arial" w:cs="Arial" w:eastAsia="Arial" w:hAnsi="Arial"/>
                <w:sz w:val="16"/>
                <w:szCs w:val="16"/>
                <w:color w:val="4C4C4C"/>
              </w:rPr>
              <w:t>190,219</w:t>
            </w:r>
          </w:p>
        </w:tc>
        <w:tc>
          <w:tcPr>
            <w:tcW w:w="114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86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981,485</w:t>
            </w:r>
          </w:p>
        </w:tc>
        <w:tc>
          <w:tcPr>
            <w:tcW w:w="0" w:type="dxa"/>
            <w:vAlign w:val="bottom"/>
          </w:tcPr>
          <w:p>
            <w:pPr>
              <w:spacing w:after="0"/>
              <w:rPr>
                <w:sz w:val="1"/>
                <w:szCs w:val="1"/>
                <w:color w:val="auto"/>
              </w:rPr>
            </w:pPr>
          </w:p>
        </w:tc>
      </w:tr>
      <w:tr>
        <w:trPr>
          <w:trHeight w:val="206"/>
        </w:trPr>
        <w:tc>
          <w:tcPr>
            <w:tcW w:w="2540" w:type="dxa"/>
            <w:vAlign w:val="bottom"/>
            <w:gridSpan w:val="2"/>
            <w:shd w:val="clear" w:color="auto" w:fill="E1E7EF"/>
          </w:tcPr>
          <w:p>
            <w:pPr>
              <w:ind w:left="180"/>
              <w:spacing w:after="0"/>
              <w:rPr>
                <w:sz w:val="20"/>
                <w:szCs w:val="20"/>
                <w:color w:val="auto"/>
              </w:rPr>
            </w:pPr>
            <w:r>
              <w:rPr>
                <w:rFonts w:ascii="Arial" w:cs="Arial" w:eastAsia="Arial" w:hAnsi="Arial"/>
                <w:sz w:val="16"/>
                <w:szCs w:val="16"/>
                <w:color w:val="4C4C4C"/>
              </w:rPr>
              <w:t>Former Chief Financial Officer</w:t>
            </w:r>
          </w:p>
        </w:tc>
        <w:tc>
          <w:tcPr>
            <w:tcW w:w="480" w:type="dxa"/>
            <w:vAlign w:val="bottom"/>
            <w:shd w:val="clear" w:color="auto" w:fill="E1E7EF"/>
          </w:tcPr>
          <w:p>
            <w:pPr>
              <w:ind w:left="80"/>
              <w:spacing w:after="0"/>
              <w:rPr>
                <w:sz w:val="20"/>
                <w:szCs w:val="20"/>
                <w:color w:val="auto"/>
              </w:rPr>
            </w:pPr>
            <w:r>
              <w:rPr>
                <w:rFonts w:ascii="Arial" w:cs="Arial" w:eastAsia="Arial" w:hAnsi="Arial"/>
                <w:sz w:val="16"/>
                <w:szCs w:val="16"/>
                <w:color w:val="4C4C4C"/>
              </w:rPr>
              <w:t>2024</w:t>
            </w:r>
          </w:p>
        </w:tc>
        <w:tc>
          <w:tcPr>
            <w:tcW w:w="700" w:type="dxa"/>
            <w:vAlign w:val="bottom"/>
            <w:shd w:val="clear" w:color="auto" w:fill="E1E7EF"/>
          </w:tcPr>
          <w:p>
            <w:pPr>
              <w:jc w:val="center"/>
              <w:spacing w:after="0"/>
              <w:rPr>
                <w:sz w:val="20"/>
                <w:szCs w:val="20"/>
                <w:color w:val="auto"/>
              </w:rPr>
            </w:pPr>
            <w:r>
              <w:rPr>
                <w:rFonts w:ascii="Arial" w:cs="Arial" w:eastAsia="Arial" w:hAnsi="Arial"/>
                <w:sz w:val="16"/>
                <w:szCs w:val="16"/>
                <w:color w:val="4C4C4C"/>
              </w:rPr>
              <w:t>427,248</w:t>
            </w:r>
          </w:p>
        </w:tc>
        <w:tc>
          <w:tcPr>
            <w:tcW w:w="740" w:type="dxa"/>
            <w:vAlign w:val="bottom"/>
            <w:shd w:val="clear" w:color="auto" w:fill="E1E7EF"/>
          </w:tcPr>
          <w:p>
            <w:pPr>
              <w:jc w:val="center"/>
              <w:spacing w:after="0"/>
              <w:rPr>
                <w:sz w:val="20"/>
                <w:szCs w:val="20"/>
                <w:color w:val="auto"/>
              </w:rPr>
            </w:pPr>
            <w:r>
              <w:rPr>
                <w:rFonts w:ascii="Arial" w:cs="Arial" w:eastAsia="Arial" w:hAnsi="Arial"/>
                <w:sz w:val="16"/>
                <w:szCs w:val="16"/>
                <w:color w:val="4C4C4C"/>
                <w:w w:val="96"/>
              </w:rPr>
              <w:t>334,642</w:t>
            </w:r>
          </w:p>
        </w:tc>
        <w:tc>
          <w:tcPr>
            <w:tcW w:w="88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287,905</w:t>
            </w:r>
          </w:p>
        </w:tc>
        <w:tc>
          <w:tcPr>
            <w:tcW w:w="860" w:type="dxa"/>
            <w:vAlign w:val="bottom"/>
            <w:shd w:val="clear" w:color="auto" w:fill="E1E7EF"/>
          </w:tcPr>
          <w:p>
            <w:pPr>
              <w:jc w:val="right"/>
              <w:ind w:right="2"/>
              <w:spacing w:after="0"/>
              <w:rPr>
                <w:sz w:val="20"/>
                <w:szCs w:val="20"/>
                <w:color w:val="auto"/>
              </w:rPr>
            </w:pPr>
            <w:r>
              <w:rPr>
                <w:rFonts w:ascii="Arial" w:cs="Arial" w:eastAsia="Arial" w:hAnsi="Arial"/>
                <w:sz w:val="16"/>
                <w:szCs w:val="16"/>
                <w:color w:val="4C4C4C"/>
              </w:rPr>
              <w:t>260,737</w:t>
            </w:r>
          </w:p>
        </w:tc>
        <w:tc>
          <w:tcPr>
            <w:tcW w:w="114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86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1,310,532</w:t>
            </w:r>
          </w:p>
        </w:tc>
        <w:tc>
          <w:tcPr>
            <w:tcW w:w="0" w:type="dxa"/>
            <w:vAlign w:val="bottom"/>
          </w:tcPr>
          <w:p>
            <w:pPr>
              <w:spacing w:after="0"/>
              <w:rPr>
                <w:sz w:val="1"/>
                <w:szCs w:val="1"/>
                <w:color w:val="auto"/>
              </w:rPr>
            </w:pPr>
          </w:p>
        </w:tc>
      </w:tr>
      <w:tr>
        <w:trPr>
          <w:trHeight w:val="230"/>
        </w:trPr>
        <w:tc>
          <w:tcPr>
            <w:tcW w:w="2260" w:type="dxa"/>
            <w:vAlign w:val="bottom"/>
            <w:shd w:val="clear" w:color="auto" w:fill="E1E7EF"/>
          </w:tcPr>
          <w:p>
            <w:pPr>
              <w:spacing w:after="0"/>
              <w:rPr>
                <w:sz w:val="19"/>
                <w:szCs w:val="19"/>
                <w:color w:val="auto"/>
              </w:rPr>
            </w:pPr>
          </w:p>
        </w:tc>
        <w:tc>
          <w:tcPr>
            <w:tcW w:w="280" w:type="dxa"/>
            <w:vAlign w:val="bottom"/>
            <w:shd w:val="clear" w:color="auto" w:fill="E1E7EF"/>
          </w:tcPr>
          <w:p>
            <w:pPr>
              <w:spacing w:after="0"/>
              <w:rPr>
                <w:sz w:val="19"/>
                <w:szCs w:val="19"/>
                <w:color w:val="auto"/>
              </w:rPr>
            </w:pPr>
          </w:p>
        </w:tc>
        <w:tc>
          <w:tcPr>
            <w:tcW w:w="480" w:type="dxa"/>
            <w:vAlign w:val="bottom"/>
            <w:shd w:val="clear" w:color="auto" w:fill="E1E7EF"/>
          </w:tcPr>
          <w:p>
            <w:pPr>
              <w:ind w:left="80"/>
              <w:spacing w:after="0"/>
              <w:rPr>
                <w:sz w:val="20"/>
                <w:szCs w:val="20"/>
                <w:color w:val="auto"/>
              </w:rPr>
            </w:pPr>
            <w:r>
              <w:rPr>
                <w:rFonts w:ascii="Arial" w:cs="Arial" w:eastAsia="Arial" w:hAnsi="Arial"/>
                <w:sz w:val="16"/>
                <w:szCs w:val="16"/>
                <w:color w:val="4C4C4C"/>
              </w:rPr>
              <w:t>2023</w:t>
            </w:r>
          </w:p>
        </w:tc>
        <w:tc>
          <w:tcPr>
            <w:tcW w:w="700" w:type="dxa"/>
            <w:vAlign w:val="bottom"/>
            <w:shd w:val="clear" w:color="auto" w:fill="E1E7EF"/>
          </w:tcPr>
          <w:p>
            <w:pPr>
              <w:jc w:val="center"/>
              <w:spacing w:after="0"/>
              <w:rPr>
                <w:sz w:val="20"/>
                <w:szCs w:val="20"/>
                <w:color w:val="auto"/>
              </w:rPr>
            </w:pPr>
            <w:r>
              <w:rPr>
                <w:rFonts w:ascii="Arial" w:cs="Arial" w:eastAsia="Arial" w:hAnsi="Arial"/>
                <w:sz w:val="16"/>
                <w:szCs w:val="16"/>
                <w:color w:val="4C4C4C"/>
              </w:rPr>
              <w:t>381,185</w:t>
            </w:r>
          </w:p>
        </w:tc>
        <w:tc>
          <w:tcPr>
            <w:tcW w:w="740" w:type="dxa"/>
            <w:vAlign w:val="bottom"/>
            <w:shd w:val="clear" w:color="auto" w:fill="E1E7EF"/>
          </w:tcPr>
          <w:p>
            <w:pPr>
              <w:jc w:val="center"/>
              <w:spacing w:after="0"/>
              <w:rPr>
                <w:sz w:val="20"/>
                <w:szCs w:val="20"/>
                <w:color w:val="auto"/>
              </w:rPr>
            </w:pPr>
            <w:r>
              <w:rPr>
                <w:rFonts w:ascii="Arial" w:cs="Arial" w:eastAsia="Arial" w:hAnsi="Arial"/>
                <w:sz w:val="16"/>
                <w:szCs w:val="16"/>
                <w:color w:val="4C4C4C"/>
                <w:w w:val="96"/>
              </w:rPr>
              <w:t>327,600</w:t>
            </w:r>
          </w:p>
        </w:tc>
        <w:tc>
          <w:tcPr>
            <w:tcW w:w="88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329,483</w:t>
            </w:r>
          </w:p>
        </w:tc>
        <w:tc>
          <w:tcPr>
            <w:tcW w:w="860" w:type="dxa"/>
            <w:vAlign w:val="bottom"/>
            <w:shd w:val="clear" w:color="auto" w:fill="E1E7EF"/>
          </w:tcPr>
          <w:p>
            <w:pPr>
              <w:jc w:val="right"/>
              <w:ind w:right="2"/>
              <w:spacing w:after="0"/>
              <w:rPr>
                <w:sz w:val="20"/>
                <w:szCs w:val="20"/>
                <w:color w:val="auto"/>
              </w:rPr>
            </w:pPr>
            <w:r>
              <w:rPr>
                <w:rFonts w:ascii="Arial" w:cs="Arial" w:eastAsia="Arial" w:hAnsi="Arial"/>
                <w:sz w:val="16"/>
                <w:szCs w:val="16"/>
                <w:color w:val="4C4C4C"/>
              </w:rPr>
              <w:t>296,327</w:t>
            </w:r>
          </w:p>
        </w:tc>
        <w:tc>
          <w:tcPr>
            <w:tcW w:w="114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86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1,334,595</w:t>
            </w:r>
          </w:p>
        </w:tc>
        <w:tc>
          <w:tcPr>
            <w:tcW w:w="0" w:type="dxa"/>
            <w:vAlign w:val="bottom"/>
          </w:tcPr>
          <w:p>
            <w:pPr>
              <w:spacing w:after="0"/>
              <w:rPr>
                <w:sz w:val="1"/>
                <w:szCs w:val="1"/>
                <w:color w:val="auto"/>
              </w:rPr>
            </w:pPr>
          </w:p>
        </w:tc>
      </w:tr>
      <w:tr>
        <w:trPr>
          <w:trHeight w:val="162"/>
        </w:trPr>
        <w:tc>
          <w:tcPr>
            <w:tcW w:w="2260" w:type="dxa"/>
            <w:vAlign w:val="bottom"/>
            <w:tcBorders>
              <w:bottom w:val="single" w:sz="8" w:color="4C4C4C"/>
            </w:tcBorders>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620" w:right="1440" w:hanging="360"/>
        <w:spacing w:after="0" w:line="221" w:lineRule="auto"/>
        <w:tabs>
          <w:tab w:leader="none" w:pos="1620" w:val="left"/>
        </w:tabs>
        <w:numPr>
          <w:ilvl w:val="0"/>
          <w:numId w:val="68"/>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The “Bonus” column represents discretionary bonuses earned pursuant to our annual incentive bonus program. Under the terms of their respective employment agreements, each executive with an employment agreement is eligible to receive a bonus based on the achievement of certain business goals set by our Board on an annual basis.</w:t>
      </w:r>
    </w:p>
    <w:p>
      <w:pPr>
        <w:spacing w:after="0" w:line="84" w:lineRule="exact"/>
        <w:rPr>
          <w:rFonts w:ascii="Trebuchet MS" w:cs="Trebuchet MS" w:eastAsia="Trebuchet MS" w:hAnsi="Trebuchet MS"/>
          <w:sz w:val="27"/>
          <w:szCs w:val="27"/>
          <w:color w:val="4C4C4C"/>
          <w:vertAlign w:val="superscript"/>
        </w:rPr>
      </w:pPr>
    </w:p>
    <w:p>
      <w:pPr>
        <w:ind w:left="1620" w:right="1280" w:hanging="360"/>
        <w:spacing w:after="0" w:line="221" w:lineRule="auto"/>
        <w:tabs>
          <w:tab w:leader="none" w:pos="1620" w:val="left"/>
        </w:tabs>
        <w:numPr>
          <w:ilvl w:val="0"/>
          <w:numId w:val="68"/>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Represents the grant date fair value of restricted stock and option awards computed in accordance with FASB ASC Topic 718, excluding the effect of estimated forfeitures. For information regarding assumptions underlying the valuation of equity awards, see Note 19 to our consolidated financial statements included in our 2025 Annual Report.</w:t>
      </w:r>
    </w:p>
    <w:p>
      <w:pPr>
        <w:spacing w:after="0" w:line="71" w:lineRule="exact"/>
        <w:rPr>
          <w:rFonts w:ascii="Trebuchet MS" w:cs="Trebuchet MS" w:eastAsia="Trebuchet MS" w:hAnsi="Trebuchet MS"/>
          <w:sz w:val="27"/>
          <w:szCs w:val="27"/>
          <w:color w:val="4C4C4C"/>
          <w:vertAlign w:val="superscript"/>
        </w:rPr>
      </w:pPr>
    </w:p>
    <w:p>
      <w:pPr>
        <w:ind w:left="1620" w:right="1420" w:hanging="360"/>
        <w:spacing w:after="0" w:line="221" w:lineRule="auto"/>
        <w:tabs>
          <w:tab w:leader="none" w:pos="1620" w:val="left"/>
        </w:tabs>
        <w:numPr>
          <w:ilvl w:val="0"/>
          <w:numId w:val="68"/>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The option awards and restricted stock awards typically are scheduled to vest in three equal installments on the first three anniversaries of the grant date, subject to the named executive officer’s continued service on the vesting date. Refer to the “Outstanding Equity Awards at Fiscal Year-End” table below for additional information on vesting periods.</w:t>
      </w:r>
    </w:p>
    <w:p>
      <w:pPr>
        <w:spacing w:after="0" w:line="59" w:lineRule="exact"/>
        <w:rPr>
          <w:rFonts w:ascii="Trebuchet MS" w:cs="Trebuchet MS" w:eastAsia="Trebuchet MS" w:hAnsi="Trebuchet MS"/>
          <w:sz w:val="27"/>
          <w:szCs w:val="27"/>
          <w:color w:val="4C4C4C"/>
          <w:vertAlign w:val="superscript"/>
        </w:rPr>
      </w:pPr>
    </w:p>
    <w:p>
      <w:pPr>
        <w:ind w:left="1620" w:right="1300" w:hanging="360"/>
        <w:spacing w:after="0" w:line="210" w:lineRule="auto"/>
        <w:tabs>
          <w:tab w:leader="none" w:pos="1620" w:val="left"/>
        </w:tabs>
        <w:numPr>
          <w:ilvl w:val="0"/>
          <w:numId w:val="68"/>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For Mr. Gruber, represents $34,250 for payments to maintain a corporate apartment in 2025 and $26,638 for related tax gross-up assistance in 2025.</w:t>
      </w:r>
    </w:p>
    <w:p>
      <w:pPr>
        <w:spacing w:after="0" w:line="71" w:lineRule="exact"/>
        <w:rPr>
          <w:rFonts w:ascii="Trebuchet MS" w:cs="Trebuchet MS" w:eastAsia="Trebuchet MS" w:hAnsi="Trebuchet MS"/>
          <w:sz w:val="27"/>
          <w:szCs w:val="27"/>
          <w:color w:val="4C4C4C"/>
          <w:vertAlign w:val="superscript"/>
        </w:rPr>
      </w:pPr>
    </w:p>
    <w:p>
      <w:pPr>
        <w:ind w:left="1620" w:right="1280" w:hanging="360"/>
        <w:spacing w:after="0" w:line="226" w:lineRule="auto"/>
        <w:tabs>
          <w:tab w:leader="none" w:pos="1620" w:val="left"/>
        </w:tabs>
        <w:numPr>
          <w:ilvl w:val="0"/>
          <w:numId w:val="68"/>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On December 9, 2025, Mr. Gruber announced his intention to retire as Chief Executive Officer of the Company, effective on April 1, 2026. On April 1, 2026, Mr. Bloom officially commenced this role as Chief Executive Officer of the Company.</w:t>
      </w:r>
    </w:p>
    <w:p>
      <w:pPr>
        <w:ind w:left="1620" w:hanging="360"/>
        <w:spacing w:after="0" w:line="226" w:lineRule="auto"/>
        <w:tabs>
          <w:tab w:leader="none" w:pos="1620" w:val="left"/>
        </w:tabs>
        <w:numPr>
          <w:ilvl w:val="0"/>
          <w:numId w:val="68"/>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Mr. Agiri was appointed as Chief Financial Officer of the Company in May 2025.</w:t>
      </w:r>
      <w:r>
        <w:rPr>
          <w:rFonts w:ascii="Times New Roman" w:cs="Times New Roman" w:eastAsia="Times New Roman" w:hAnsi="Times New Roman"/>
          <w:sz w:val="18"/>
          <w:szCs w:val="18"/>
          <w:color w:val="4C4C4C"/>
        </w:rPr>
        <w:t>​</w:t>
      </w:r>
    </w:p>
    <w:p>
      <w:pPr>
        <w:spacing w:after="0" w:line="58" w:lineRule="exact"/>
        <w:rPr>
          <w:rFonts w:ascii="Trebuchet MS" w:cs="Trebuchet MS" w:eastAsia="Trebuchet MS" w:hAnsi="Trebuchet MS"/>
          <w:sz w:val="27"/>
          <w:szCs w:val="27"/>
          <w:color w:val="4C4C4C"/>
          <w:vertAlign w:val="superscript"/>
        </w:rPr>
      </w:pPr>
    </w:p>
    <w:p>
      <w:pPr>
        <w:ind w:left="1620" w:right="1320" w:hanging="360"/>
        <w:spacing w:after="0" w:line="210" w:lineRule="auto"/>
        <w:tabs>
          <w:tab w:leader="none" w:pos="1620" w:val="left"/>
        </w:tabs>
        <w:numPr>
          <w:ilvl w:val="0"/>
          <w:numId w:val="68"/>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Mr. Shafer joined the Company in November 2023, but he was a named executive officer for the first time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20" w:type="dxa"/>
            <w:vAlign w:val="bottom"/>
          </w:tcPr>
          <w:p>
            <w:pPr>
              <w:ind w:left="5880"/>
              <w:spacing w:after="0"/>
              <w:rPr>
                <w:sz w:val="20"/>
                <w:szCs w:val="20"/>
                <w:color w:val="auto"/>
              </w:rPr>
            </w:pPr>
            <w:r>
              <w:rPr>
                <w:rFonts w:ascii="Arial" w:cs="Arial" w:eastAsia="Arial" w:hAnsi="Arial"/>
                <w:sz w:val="18"/>
                <w:szCs w:val="18"/>
                <w:color w:val="346094"/>
                <w:w w:val="93"/>
              </w:rPr>
              <w:t xml:space="preserve">GEVO, INC.  |  </w:t>
            </w:r>
            <w:r>
              <w:rPr>
                <w:rFonts w:ascii="Arial" w:cs="Arial" w:eastAsia="Arial" w:hAnsi="Arial"/>
                <w:sz w:val="18"/>
                <w:szCs w:val="18"/>
                <w:i w:val="1"/>
                <w:iCs w:val="1"/>
                <w:color w:val="4C4C4C"/>
                <w:w w:val="93"/>
              </w:rPr>
              <w:t>2026 PROXY STATEMENT</w:t>
            </w:r>
          </w:p>
        </w:tc>
        <w:tc>
          <w:tcPr>
            <w:tcW w:w="1600" w:type="dxa"/>
            <w:vAlign w:val="bottom"/>
          </w:tcPr>
          <w:p>
            <w:pPr>
              <w:jc w:val="right"/>
              <w:ind w:right="1170"/>
              <w:spacing w:after="0"/>
              <w:rPr>
                <w:sz w:val="20"/>
                <w:szCs w:val="20"/>
                <w:color w:val="auto"/>
              </w:rPr>
            </w:pPr>
            <w:r>
              <w:rPr>
                <w:rFonts w:ascii="Arial" w:cs="Arial" w:eastAsia="Arial" w:hAnsi="Arial"/>
                <w:sz w:val="18"/>
                <w:szCs w:val="18"/>
                <w:color w:val="4C4C4C"/>
              </w:rPr>
              <w:t>43</w:t>
            </w:r>
          </w:p>
        </w:tc>
      </w:tr>
      <w:tr>
        <w:trPr>
          <w:trHeight w:val="395"/>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COMPENSATION TABLES</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87"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Grants of Plan-Based Awards Table for 2025</w:t>
      </w:r>
    </w:p>
    <w:p>
      <w:pPr>
        <w:spacing w:after="0" w:line="205"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4C4C4C"/>
        </w:rPr>
        <w:t>The following table summarizes certain information regarding grants made to each of the Named Officers during 2025 under the 2010 Plan:</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198"/>
        </w:trPr>
        <w:tc>
          <w:tcPr>
            <w:tcW w:w="140" w:type="dxa"/>
            <w:vAlign w:val="bottom"/>
            <w:shd w:val="clear" w:color="auto" w:fill="346094"/>
          </w:tcPr>
          <w:p>
            <w:pPr>
              <w:spacing w:after="0"/>
              <w:rPr>
                <w:sz w:val="17"/>
                <w:szCs w:val="17"/>
                <w:color w:val="auto"/>
              </w:rPr>
            </w:pPr>
          </w:p>
        </w:tc>
        <w:tc>
          <w:tcPr>
            <w:tcW w:w="1360" w:type="dxa"/>
            <w:vAlign w:val="bottom"/>
            <w:shd w:val="clear" w:color="auto" w:fill="346094"/>
          </w:tcPr>
          <w:p>
            <w:pPr>
              <w:spacing w:after="0"/>
              <w:rPr>
                <w:sz w:val="17"/>
                <w:szCs w:val="17"/>
                <w:color w:val="auto"/>
              </w:rPr>
            </w:pPr>
          </w:p>
        </w:tc>
        <w:tc>
          <w:tcPr>
            <w:tcW w:w="140" w:type="dxa"/>
            <w:vAlign w:val="bottom"/>
            <w:shd w:val="clear" w:color="auto" w:fill="346094"/>
          </w:tcPr>
          <w:p>
            <w:pPr>
              <w:spacing w:after="0"/>
              <w:rPr>
                <w:sz w:val="17"/>
                <w:szCs w:val="17"/>
                <w:color w:val="auto"/>
              </w:rPr>
            </w:pPr>
          </w:p>
        </w:tc>
        <w:tc>
          <w:tcPr>
            <w:tcW w:w="120" w:type="dxa"/>
            <w:vAlign w:val="bottom"/>
            <w:shd w:val="clear" w:color="auto" w:fill="346094"/>
          </w:tcPr>
          <w:p>
            <w:pPr>
              <w:spacing w:after="0"/>
              <w:rPr>
                <w:sz w:val="17"/>
                <w:szCs w:val="17"/>
                <w:color w:val="auto"/>
              </w:rPr>
            </w:pPr>
          </w:p>
        </w:tc>
        <w:tc>
          <w:tcPr>
            <w:tcW w:w="1120" w:type="dxa"/>
            <w:vAlign w:val="bottom"/>
            <w:shd w:val="clear" w:color="auto" w:fill="346094"/>
          </w:tcPr>
          <w:p>
            <w:pPr>
              <w:spacing w:after="0"/>
              <w:rPr>
                <w:sz w:val="17"/>
                <w:szCs w:val="17"/>
                <w:color w:val="auto"/>
              </w:rPr>
            </w:pPr>
          </w:p>
        </w:tc>
        <w:tc>
          <w:tcPr>
            <w:tcW w:w="780" w:type="dxa"/>
            <w:vAlign w:val="bottom"/>
            <w:shd w:val="clear" w:color="auto" w:fill="346094"/>
          </w:tcPr>
          <w:p>
            <w:pPr>
              <w:spacing w:after="0"/>
              <w:rPr>
                <w:sz w:val="17"/>
                <w:szCs w:val="17"/>
                <w:color w:val="auto"/>
              </w:rPr>
            </w:pPr>
          </w:p>
        </w:tc>
        <w:tc>
          <w:tcPr>
            <w:tcW w:w="160" w:type="dxa"/>
            <w:vAlign w:val="bottom"/>
            <w:shd w:val="clear" w:color="auto" w:fill="346094"/>
          </w:tcPr>
          <w:p>
            <w:pPr>
              <w:spacing w:after="0"/>
              <w:rPr>
                <w:sz w:val="17"/>
                <w:szCs w:val="17"/>
                <w:color w:val="auto"/>
              </w:rPr>
            </w:pPr>
          </w:p>
        </w:tc>
        <w:tc>
          <w:tcPr>
            <w:tcW w:w="500" w:type="dxa"/>
            <w:vAlign w:val="bottom"/>
            <w:shd w:val="clear" w:color="auto" w:fill="346094"/>
          </w:tcPr>
          <w:p>
            <w:pPr>
              <w:spacing w:after="0"/>
              <w:rPr>
                <w:sz w:val="17"/>
                <w:szCs w:val="17"/>
                <w:color w:val="auto"/>
              </w:rPr>
            </w:pPr>
          </w:p>
        </w:tc>
        <w:tc>
          <w:tcPr>
            <w:tcW w:w="360" w:type="dxa"/>
            <w:vAlign w:val="bottom"/>
            <w:shd w:val="clear" w:color="auto" w:fill="346094"/>
          </w:tcPr>
          <w:p>
            <w:pPr>
              <w:spacing w:after="0"/>
              <w:rPr>
                <w:sz w:val="17"/>
                <w:szCs w:val="17"/>
                <w:color w:val="auto"/>
              </w:rPr>
            </w:pPr>
          </w:p>
        </w:tc>
        <w:tc>
          <w:tcPr>
            <w:tcW w:w="140" w:type="dxa"/>
            <w:vAlign w:val="bottom"/>
            <w:shd w:val="clear" w:color="auto" w:fill="346094"/>
          </w:tcPr>
          <w:p>
            <w:pPr>
              <w:spacing w:after="0"/>
              <w:rPr>
                <w:sz w:val="17"/>
                <w:szCs w:val="17"/>
                <w:color w:val="auto"/>
              </w:rPr>
            </w:pPr>
          </w:p>
        </w:tc>
        <w:tc>
          <w:tcPr>
            <w:tcW w:w="120" w:type="dxa"/>
            <w:vAlign w:val="bottom"/>
            <w:shd w:val="clear" w:color="auto" w:fill="346094"/>
          </w:tcPr>
          <w:p>
            <w:pPr>
              <w:spacing w:after="0"/>
              <w:rPr>
                <w:sz w:val="17"/>
                <w:szCs w:val="17"/>
                <w:color w:val="auto"/>
              </w:rPr>
            </w:pPr>
          </w:p>
        </w:tc>
        <w:tc>
          <w:tcPr>
            <w:tcW w:w="108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rPr>
              <w:t>All other</w:t>
            </w:r>
          </w:p>
        </w:tc>
        <w:tc>
          <w:tcPr>
            <w:tcW w:w="100" w:type="dxa"/>
            <w:vAlign w:val="bottom"/>
            <w:shd w:val="clear" w:color="auto" w:fill="346094"/>
          </w:tcPr>
          <w:p>
            <w:pPr>
              <w:spacing w:after="0"/>
              <w:rPr>
                <w:sz w:val="17"/>
                <w:szCs w:val="17"/>
                <w:color w:val="auto"/>
              </w:rPr>
            </w:pPr>
          </w:p>
        </w:tc>
        <w:tc>
          <w:tcPr>
            <w:tcW w:w="640" w:type="dxa"/>
            <w:vAlign w:val="bottom"/>
            <w:shd w:val="clear" w:color="auto" w:fill="346094"/>
          </w:tcPr>
          <w:p>
            <w:pPr>
              <w:spacing w:after="0"/>
              <w:rPr>
                <w:sz w:val="17"/>
                <w:szCs w:val="17"/>
                <w:color w:val="auto"/>
              </w:rPr>
            </w:pPr>
          </w:p>
        </w:tc>
        <w:tc>
          <w:tcPr>
            <w:tcW w:w="140" w:type="dxa"/>
            <w:vAlign w:val="bottom"/>
            <w:shd w:val="clear" w:color="auto" w:fill="346094"/>
          </w:tcPr>
          <w:p>
            <w:pPr>
              <w:spacing w:after="0"/>
              <w:rPr>
                <w:sz w:val="17"/>
                <w:szCs w:val="17"/>
                <w:color w:val="auto"/>
              </w:rPr>
            </w:pPr>
          </w:p>
        </w:tc>
        <w:tc>
          <w:tcPr>
            <w:tcW w:w="100" w:type="dxa"/>
            <w:vAlign w:val="bottom"/>
            <w:shd w:val="clear" w:color="auto" w:fill="346094"/>
          </w:tcPr>
          <w:p>
            <w:pPr>
              <w:spacing w:after="0"/>
              <w:rPr>
                <w:sz w:val="17"/>
                <w:szCs w:val="17"/>
                <w:color w:val="auto"/>
              </w:rPr>
            </w:pPr>
          </w:p>
        </w:tc>
        <w:tc>
          <w:tcPr>
            <w:tcW w:w="420" w:type="dxa"/>
            <w:vAlign w:val="bottom"/>
            <w:shd w:val="clear" w:color="auto" w:fill="346094"/>
          </w:tcPr>
          <w:p>
            <w:pPr>
              <w:spacing w:after="0"/>
              <w:rPr>
                <w:sz w:val="17"/>
                <w:szCs w:val="17"/>
                <w:color w:val="auto"/>
              </w:rPr>
            </w:pPr>
          </w:p>
        </w:tc>
        <w:tc>
          <w:tcPr>
            <w:tcW w:w="680" w:type="dxa"/>
            <w:vAlign w:val="bottom"/>
            <w:shd w:val="clear" w:color="auto" w:fill="346094"/>
          </w:tcPr>
          <w:p>
            <w:pPr>
              <w:spacing w:after="0"/>
              <w:rPr>
                <w:sz w:val="17"/>
                <w:szCs w:val="17"/>
                <w:color w:val="auto"/>
              </w:rPr>
            </w:pPr>
          </w:p>
        </w:tc>
        <w:tc>
          <w:tcPr>
            <w:tcW w:w="100" w:type="dxa"/>
            <w:vAlign w:val="bottom"/>
            <w:shd w:val="clear" w:color="auto" w:fill="346094"/>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346094"/>
          </w:tcPr>
          <w:p>
            <w:pPr>
              <w:spacing w:after="0"/>
              <w:rPr>
                <w:sz w:val="14"/>
                <w:szCs w:val="14"/>
                <w:color w:val="auto"/>
              </w:rPr>
            </w:pPr>
          </w:p>
        </w:tc>
        <w:tc>
          <w:tcPr>
            <w:tcW w:w="1360" w:type="dxa"/>
            <w:vAlign w:val="bottom"/>
            <w:shd w:val="clear" w:color="auto" w:fill="346094"/>
          </w:tcPr>
          <w:p>
            <w:pPr>
              <w:spacing w:after="0"/>
              <w:rPr>
                <w:sz w:val="14"/>
                <w:szCs w:val="14"/>
                <w:color w:val="auto"/>
              </w:rPr>
            </w:pPr>
          </w:p>
        </w:tc>
        <w:tc>
          <w:tcPr>
            <w:tcW w:w="140" w:type="dxa"/>
            <w:vAlign w:val="bottom"/>
            <w:shd w:val="clear" w:color="auto" w:fill="346094"/>
          </w:tcPr>
          <w:p>
            <w:pPr>
              <w:spacing w:after="0"/>
              <w:rPr>
                <w:sz w:val="14"/>
                <w:szCs w:val="14"/>
                <w:color w:val="auto"/>
              </w:rPr>
            </w:pPr>
          </w:p>
        </w:tc>
        <w:tc>
          <w:tcPr>
            <w:tcW w:w="120" w:type="dxa"/>
            <w:vAlign w:val="bottom"/>
            <w:shd w:val="clear" w:color="auto" w:fill="346094"/>
          </w:tcPr>
          <w:p>
            <w:pPr>
              <w:spacing w:after="0"/>
              <w:rPr>
                <w:sz w:val="14"/>
                <w:szCs w:val="14"/>
                <w:color w:val="auto"/>
              </w:rPr>
            </w:pPr>
          </w:p>
        </w:tc>
        <w:tc>
          <w:tcPr>
            <w:tcW w:w="1120" w:type="dxa"/>
            <w:vAlign w:val="bottom"/>
            <w:shd w:val="clear" w:color="auto" w:fill="346094"/>
          </w:tcPr>
          <w:p>
            <w:pPr>
              <w:spacing w:after="0"/>
              <w:rPr>
                <w:sz w:val="14"/>
                <w:szCs w:val="14"/>
                <w:color w:val="auto"/>
              </w:rPr>
            </w:pPr>
          </w:p>
        </w:tc>
        <w:tc>
          <w:tcPr>
            <w:tcW w:w="780" w:type="dxa"/>
            <w:vAlign w:val="bottom"/>
            <w:shd w:val="clear" w:color="auto" w:fill="346094"/>
          </w:tcPr>
          <w:p>
            <w:pPr>
              <w:spacing w:after="0"/>
              <w:rPr>
                <w:sz w:val="14"/>
                <w:szCs w:val="14"/>
                <w:color w:val="auto"/>
              </w:rPr>
            </w:pPr>
          </w:p>
        </w:tc>
        <w:tc>
          <w:tcPr>
            <w:tcW w:w="160" w:type="dxa"/>
            <w:vAlign w:val="bottom"/>
            <w:shd w:val="clear" w:color="auto" w:fill="346094"/>
          </w:tcPr>
          <w:p>
            <w:pPr>
              <w:spacing w:after="0"/>
              <w:rPr>
                <w:sz w:val="14"/>
                <w:szCs w:val="14"/>
                <w:color w:val="auto"/>
              </w:rPr>
            </w:pPr>
          </w:p>
        </w:tc>
        <w:tc>
          <w:tcPr>
            <w:tcW w:w="860" w:type="dxa"/>
            <w:vAlign w:val="bottom"/>
            <w:gridSpan w:val="2"/>
            <w:shd w:val="clear" w:color="auto" w:fill="346094"/>
          </w:tcPr>
          <w:p>
            <w:pPr>
              <w:jc w:val="center"/>
              <w:ind w:left="52"/>
              <w:spacing w:after="0"/>
              <w:rPr>
                <w:sz w:val="20"/>
                <w:szCs w:val="20"/>
                <w:color w:val="auto"/>
              </w:rPr>
            </w:pPr>
            <w:r>
              <w:rPr>
                <w:rFonts w:ascii="Arial" w:cs="Arial" w:eastAsia="Arial" w:hAnsi="Arial"/>
                <w:sz w:val="14"/>
                <w:szCs w:val="14"/>
                <w:b w:val="1"/>
                <w:bCs w:val="1"/>
                <w:color w:val="FFFFFF"/>
              </w:rPr>
              <w:t>All other</w:t>
            </w:r>
          </w:p>
        </w:tc>
        <w:tc>
          <w:tcPr>
            <w:tcW w:w="140" w:type="dxa"/>
            <w:vAlign w:val="bottom"/>
            <w:shd w:val="clear" w:color="auto" w:fill="346094"/>
          </w:tcPr>
          <w:p>
            <w:pPr>
              <w:spacing w:after="0"/>
              <w:rPr>
                <w:sz w:val="14"/>
                <w:szCs w:val="14"/>
                <w:color w:val="auto"/>
              </w:rPr>
            </w:pPr>
          </w:p>
        </w:tc>
        <w:tc>
          <w:tcPr>
            <w:tcW w:w="120" w:type="dxa"/>
            <w:vAlign w:val="bottom"/>
            <w:shd w:val="clear" w:color="auto" w:fill="346094"/>
          </w:tcPr>
          <w:p>
            <w:pPr>
              <w:spacing w:after="0"/>
              <w:rPr>
                <w:sz w:val="14"/>
                <w:szCs w:val="14"/>
                <w:color w:val="auto"/>
              </w:rPr>
            </w:pPr>
          </w:p>
        </w:tc>
        <w:tc>
          <w:tcPr>
            <w:tcW w:w="108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rPr>
              <w:t>option awards:</w:t>
            </w:r>
          </w:p>
        </w:tc>
        <w:tc>
          <w:tcPr>
            <w:tcW w:w="100" w:type="dxa"/>
            <w:vAlign w:val="bottom"/>
            <w:shd w:val="clear" w:color="auto" w:fill="346094"/>
          </w:tcPr>
          <w:p>
            <w:pPr>
              <w:spacing w:after="0"/>
              <w:rPr>
                <w:sz w:val="14"/>
                <w:szCs w:val="14"/>
                <w:color w:val="auto"/>
              </w:rPr>
            </w:pPr>
          </w:p>
        </w:tc>
        <w:tc>
          <w:tcPr>
            <w:tcW w:w="640" w:type="dxa"/>
            <w:vAlign w:val="bottom"/>
            <w:shd w:val="clear" w:color="auto" w:fill="346094"/>
          </w:tcPr>
          <w:p>
            <w:pPr>
              <w:spacing w:after="0"/>
              <w:rPr>
                <w:sz w:val="14"/>
                <w:szCs w:val="14"/>
                <w:color w:val="auto"/>
              </w:rPr>
            </w:pPr>
          </w:p>
        </w:tc>
        <w:tc>
          <w:tcPr>
            <w:tcW w:w="140" w:type="dxa"/>
            <w:vAlign w:val="bottom"/>
            <w:shd w:val="clear" w:color="auto" w:fill="346094"/>
          </w:tcPr>
          <w:p>
            <w:pPr>
              <w:spacing w:after="0"/>
              <w:rPr>
                <w:sz w:val="14"/>
                <w:szCs w:val="14"/>
                <w:color w:val="auto"/>
              </w:rPr>
            </w:pPr>
          </w:p>
        </w:tc>
        <w:tc>
          <w:tcPr>
            <w:tcW w:w="100" w:type="dxa"/>
            <w:vAlign w:val="bottom"/>
            <w:shd w:val="clear" w:color="auto" w:fill="346094"/>
          </w:tcPr>
          <w:p>
            <w:pPr>
              <w:spacing w:after="0"/>
              <w:rPr>
                <w:sz w:val="14"/>
                <w:szCs w:val="14"/>
                <w:color w:val="auto"/>
              </w:rPr>
            </w:pPr>
          </w:p>
        </w:tc>
        <w:tc>
          <w:tcPr>
            <w:tcW w:w="420" w:type="dxa"/>
            <w:vAlign w:val="bottom"/>
            <w:shd w:val="clear" w:color="auto" w:fill="346094"/>
          </w:tcPr>
          <w:p>
            <w:pPr>
              <w:spacing w:after="0"/>
              <w:rPr>
                <w:sz w:val="14"/>
                <w:szCs w:val="14"/>
                <w:color w:val="auto"/>
              </w:rPr>
            </w:pPr>
          </w:p>
        </w:tc>
        <w:tc>
          <w:tcPr>
            <w:tcW w:w="680" w:type="dxa"/>
            <w:vAlign w:val="bottom"/>
            <w:shd w:val="clear" w:color="auto" w:fill="346094"/>
          </w:tcPr>
          <w:p>
            <w:pPr>
              <w:spacing w:after="0"/>
              <w:rPr>
                <w:sz w:val="14"/>
                <w:szCs w:val="14"/>
                <w:color w:val="auto"/>
              </w:rPr>
            </w:pPr>
          </w:p>
        </w:tc>
        <w:tc>
          <w:tcPr>
            <w:tcW w:w="100" w:type="dxa"/>
            <w:vAlign w:val="bottom"/>
            <w:shd w:val="clear" w:color="auto" w:fill="34609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346094"/>
          </w:tcPr>
          <w:p>
            <w:pPr>
              <w:spacing w:after="0"/>
              <w:rPr>
                <w:sz w:val="14"/>
                <w:szCs w:val="14"/>
                <w:color w:val="auto"/>
              </w:rPr>
            </w:pPr>
          </w:p>
        </w:tc>
        <w:tc>
          <w:tcPr>
            <w:tcW w:w="1360" w:type="dxa"/>
            <w:vAlign w:val="bottom"/>
            <w:shd w:val="clear" w:color="auto" w:fill="346094"/>
          </w:tcPr>
          <w:p>
            <w:pPr>
              <w:spacing w:after="0"/>
              <w:rPr>
                <w:sz w:val="14"/>
                <w:szCs w:val="14"/>
                <w:color w:val="auto"/>
              </w:rPr>
            </w:pPr>
          </w:p>
        </w:tc>
        <w:tc>
          <w:tcPr>
            <w:tcW w:w="140" w:type="dxa"/>
            <w:vAlign w:val="bottom"/>
            <w:shd w:val="clear" w:color="auto" w:fill="346094"/>
          </w:tcPr>
          <w:p>
            <w:pPr>
              <w:spacing w:after="0"/>
              <w:rPr>
                <w:sz w:val="14"/>
                <w:szCs w:val="14"/>
                <w:color w:val="auto"/>
              </w:rPr>
            </w:pPr>
          </w:p>
        </w:tc>
        <w:tc>
          <w:tcPr>
            <w:tcW w:w="120" w:type="dxa"/>
            <w:vAlign w:val="bottom"/>
            <w:shd w:val="clear" w:color="auto" w:fill="346094"/>
          </w:tcPr>
          <w:p>
            <w:pPr>
              <w:spacing w:after="0"/>
              <w:rPr>
                <w:sz w:val="14"/>
                <w:szCs w:val="14"/>
                <w:color w:val="auto"/>
              </w:rPr>
            </w:pPr>
          </w:p>
        </w:tc>
        <w:tc>
          <w:tcPr>
            <w:tcW w:w="1120" w:type="dxa"/>
            <w:vAlign w:val="bottom"/>
            <w:shd w:val="clear" w:color="auto" w:fill="346094"/>
          </w:tcPr>
          <w:p>
            <w:pPr>
              <w:spacing w:after="0"/>
              <w:rPr>
                <w:sz w:val="14"/>
                <w:szCs w:val="14"/>
                <w:color w:val="auto"/>
              </w:rPr>
            </w:pPr>
          </w:p>
        </w:tc>
        <w:tc>
          <w:tcPr>
            <w:tcW w:w="780" w:type="dxa"/>
            <w:vAlign w:val="bottom"/>
            <w:shd w:val="clear" w:color="auto" w:fill="346094"/>
          </w:tcPr>
          <w:p>
            <w:pPr>
              <w:spacing w:after="0"/>
              <w:rPr>
                <w:sz w:val="14"/>
                <w:szCs w:val="14"/>
                <w:color w:val="auto"/>
              </w:rPr>
            </w:pPr>
          </w:p>
        </w:tc>
        <w:tc>
          <w:tcPr>
            <w:tcW w:w="160" w:type="dxa"/>
            <w:vAlign w:val="bottom"/>
            <w:shd w:val="clear" w:color="auto" w:fill="346094"/>
          </w:tcPr>
          <w:p>
            <w:pPr>
              <w:spacing w:after="0"/>
              <w:rPr>
                <w:sz w:val="14"/>
                <w:szCs w:val="14"/>
                <w:color w:val="auto"/>
              </w:rPr>
            </w:pPr>
          </w:p>
        </w:tc>
        <w:tc>
          <w:tcPr>
            <w:tcW w:w="1000" w:type="dxa"/>
            <w:vAlign w:val="bottom"/>
            <w:gridSpan w:val="3"/>
            <w:shd w:val="clear" w:color="auto" w:fill="346094"/>
          </w:tcPr>
          <w:p>
            <w:pPr>
              <w:jc w:val="center"/>
              <w:spacing w:after="0"/>
              <w:rPr>
                <w:sz w:val="20"/>
                <w:szCs w:val="20"/>
                <w:color w:val="auto"/>
              </w:rPr>
            </w:pPr>
            <w:r>
              <w:rPr>
                <w:rFonts w:ascii="Arial" w:cs="Arial" w:eastAsia="Arial" w:hAnsi="Arial"/>
                <w:sz w:val="14"/>
                <w:szCs w:val="14"/>
                <w:b w:val="1"/>
                <w:bCs w:val="1"/>
                <w:color w:val="FFFFFF"/>
                <w:w w:val="98"/>
              </w:rPr>
              <w:t>stock awards:</w:t>
            </w:r>
          </w:p>
        </w:tc>
        <w:tc>
          <w:tcPr>
            <w:tcW w:w="120" w:type="dxa"/>
            <w:vAlign w:val="bottom"/>
            <w:shd w:val="clear" w:color="auto" w:fill="346094"/>
          </w:tcPr>
          <w:p>
            <w:pPr>
              <w:spacing w:after="0"/>
              <w:rPr>
                <w:sz w:val="14"/>
                <w:szCs w:val="14"/>
                <w:color w:val="auto"/>
              </w:rPr>
            </w:pPr>
          </w:p>
        </w:tc>
        <w:tc>
          <w:tcPr>
            <w:tcW w:w="108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00" w:type="dxa"/>
            <w:vAlign w:val="bottom"/>
            <w:shd w:val="clear" w:color="auto" w:fill="346094"/>
          </w:tcPr>
          <w:p>
            <w:pPr>
              <w:spacing w:after="0"/>
              <w:rPr>
                <w:sz w:val="14"/>
                <w:szCs w:val="14"/>
                <w:color w:val="auto"/>
              </w:rPr>
            </w:pPr>
          </w:p>
        </w:tc>
        <w:tc>
          <w:tcPr>
            <w:tcW w:w="78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rPr>
              <w:t>Exercise or</w:t>
            </w:r>
          </w:p>
        </w:tc>
        <w:tc>
          <w:tcPr>
            <w:tcW w:w="100" w:type="dxa"/>
            <w:vAlign w:val="bottom"/>
            <w:shd w:val="clear" w:color="auto" w:fill="346094"/>
          </w:tcPr>
          <w:p>
            <w:pPr>
              <w:spacing w:after="0"/>
              <w:rPr>
                <w:sz w:val="14"/>
                <w:szCs w:val="14"/>
                <w:color w:val="auto"/>
              </w:rPr>
            </w:pPr>
          </w:p>
        </w:tc>
        <w:tc>
          <w:tcPr>
            <w:tcW w:w="110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rPr>
              <w:t>Grant date</w:t>
            </w:r>
          </w:p>
        </w:tc>
        <w:tc>
          <w:tcPr>
            <w:tcW w:w="100" w:type="dxa"/>
            <w:vAlign w:val="bottom"/>
            <w:shd w:val="clear" w:color="auto" w:fill="34609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346094"/>
          </w:tcPr>
          <w:p>
            <w:pPr>
              <w:spacing w:after="0"/>
              <w:rPr>
                <w:sz w:val="14"/>
                <w:szCs w:val="14"/>
                <w:color w:val="auto"/>
              </w:rPr>
            </w:pPr>
          </w:p>
        </w:tc>
        <w:tc>
          <w:tcPr>
            <w:tcW w:w="1360" w:type="dxa"/>
            <w:vAlign w:val="bottom"/>
            <w:shd w:val="clear" w:color="auto" w:fill="346094"/>
          </w:tcPr>
          <w:p>
            <w:pPr>
              <w:spacing w:after="0"/>
              <w:rPr>
                <w:sz w:val="14"/>
                <w:szCs w:val="14"/>
                <w:color w:val="auto"/>
              </w:rPr>
            </w:pPr>
          </w:p>
        </w:tc>
        <w:tc>
          <w:tcPr>
            <w:tcW w:w="140" w:type="dxa"/>
            <w:vAlign w:val="bottom"/>
            <w:shd w:val="clear" w:color="auto" w:fill="346094"/>
          </w:tcPr>
          <w:p>
            <w:pPr>
              <w:spacing w:after="0"/>
              <w:rPr>
                <w:sz w:val="14"/>
                <w:szCs w:val="14"/>
                <w:color w:val="auto"/>
              </w:rPr>
            </w:pPr>
          </w:p>
        </w:tc>
        <w:tc>
          <w:tcPr>
            <w:tcW w:w="120" w:type="dxa"/>
            <w:vAlign w:val="bottom"/>
            <w:shd w:val="clear" w:color="auto" w:fill="346094"/>
          </w:tcPr>
          <w:p>
            <w:pPr>
              <w:spacing w:after="0"/>
              <w:rPr>
                <w:sz w:val="14"/>
                <w:szCs w:val="14"/>
                <w:color w:val="auto"/>
              </w:rPr>
            </w:pPr>
          </w:p>
        </w:tc>
        <w:tc>
          <w:tcPr>
            <w:tcW w:w="1120" w:type="dxa"/>
            <w:vAlign w:val="bottom"/>
            <w:shd w:val="clear" w:color="auto" w:fill="346094"/>
          </w:tcPr>
          <w:p>
            <w:pPr>
              <w:spacing w:after="0"/>
              <w:rPr>
                <w:sz w:val="14"/>
                <w:szCs w:val="14"/>
                <w:color w:val="auto"/>
              </w:rPr>
            </w:pPr>
          </w:p>
        </w:tc>
        <w:tc>
          <w:tcPr>
            <w:tcW w:w="780" w:type="dxa"/>
            <w:vAlign w:val="bottom"/>
            <w:shd w:val="clear" w:color="auto" w:fill="346094"/>
          </w:tcPr>
          <w:p>
            <w:pPr>
              <w:spacing w:after="0"/>
              <w:rPr>
                <w:sz w:val="14"/>
                <w:szCs w:val="14"/>
                <w:color w:val="auto"/>
              </w:rPr>
            </w:pPr>
          </w:p>
        </w:tc>
        <w:tc>
          <w:tcPr>
            <w:tcW w:w="160" w:type="dxa"/>
            <w:vAlign w:val="bottom"/>
            <w:shd w:val="clear" w:color="auto" w:fill="346094"/>
          </w:tcPr>
          <w:p>
            <w:pPr>
              <w:spacing w:after="0"/>
              <w:rPr>
                <w:sz w:val="14"/>
                <w:szCs w:val="14"/>
                <w:color w:val="auto"/>
              </w:rPr>
            </w:pPr>
          </w:p>
        </w:tc>
        <w:tc>
          <w:tcPr>
            <w:tcW w:w="860" w:type="dxa"/>
            <w:vAlign w:val="bottom"/>
            <w:gridSpan w:val="2"/>
            <w:shd w:val="clear" w:color="auto" w:fill="346094"/>
          </w:tcPr>
          <w:p>
            <w:pPr>
              <w:jc w:val="center"/>
              <w:ind w:left="52"/>
              <w:spacing w:after="0"/>
              <w:rPr>
                <w:sz w:val="20"/>
                <w:szCs w:val="20"/>
                <w:color w:val="auto"/>
              </w:rPr>
            </w:pPr>
            <w:r>
              <w:rPr>
                <w:rFonts w:ascii="Arial" w:cs="Arial" w:eastAsia="Arial" w:hAnsi="Arial"/>
                <w:sz w:val="14"/>
                <w:szCs w:val="14"/>
                <w:b w:val="1"/>
                <w:bCs w:val="1"/>
                <w:color w:val="FFFFFF"/>
                <w:w w:val="99"/>
              </w:rPr>
              <w:t>Number of</w:t>
            </w:r>
          </w:p>
        </w:tc>
        <w:tc>
          <w:tcPr>
            <w:tcW w:w="140" w:type="dxa"/>
            <w:vAlign w:val="bottom"/>
            <w:shd w:val="clear" w:color="auto" w:fill="346094"/>
          </w:tcPr>
          <w:p>
            <w:pPr>
              <w:spacing w:after="0"/>
              <w:rPr>
                <w:sz w:val="14"/>
                <w:szCs w:val="14"/>
                <w:color w:val="auto"/>
              </w:rPr>
            </w:pPr>
          </w:p>
        </w:tc>
        <w:tc>
          <w:tcPr>
            <w:tcW w:w="120" w:type="dxa"/>
            <w:vAlign w:val="bottom"/>
            <w:shd w:val="clear" w:color="auto" w:fill="346094"/>
          </w:tcPr>
          <w:p>
            <w:pPr>
              <w:spacing w:after="0"/>
              <w:rPr>
                <w:sz w:val="14"/>
                <w:szCs w:val="14"/>
                <w:color w:val="auto"/>
              </w:rPr>
            </w:pPr>
          </w:p>
        </w:tc>
        <w:tc>
          <w:tcPr>
            <w:tcW w:w="108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rPr>
              <w:t>securities</w:t>
            </w:r>
          </w:p>
        </w:tc>
        <w:tc>
          <w:tcPr>
            <w:tcW w:w="100" w:type="dxa"/>
            <w:vAlign w:val="bottom"/>
            <w:shd w:val="clear" w:color="auto" w:fill="346094"/>
          </w:tcPr>
          <w:p>
            <w:pPr>
              <w:spacing w:after="0"/>
              <w:rPr>
                <w:sz w:val="14"/>
                <w:szCs w:val="14"/>
                <w:color w:val="auto"/>
              </w:rPr>
            </w:pPr>
          </w:p>
        </w:tc>
        <w:tc>
          <w:tcPr>
            <w:tcW w:w="78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rPr>
              <w:t>base price</w:t>
            </w:r>
          </w:p>
        </w:tc>
        <w:tc>
          <w:tcPr>
            <w:tcW w:w="100" w:type="dxa"/>
            <w:vAlign w:val="bottom"/>
            <w:shd w:val="clear" w:color="auto" w:fill="346094"/>
          </w:tcPr>
          <w:p>
            <w:pPr>
              <w:spacing w:after="0"/>
              <w:rPr>
                <w:sz w:val="14"/>
                <w:szCs w:val="14"/>
                <w:color w:val="auto"/>
              </w:rPr>
            </w:pPr>
          </w:p>
        </w:tc>
        <w:tc>
          <w:tcPr>
            <w:tcW w:w="110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rPr>
              <w:t>fair value of</w:t>
            </w:r>
          </w:p>
        </w:tc>
        <w:tc>
          <w:tcPr>
            <w:tcW w:w="100" w:type="dxa"/>
            <w:vAlign w:val="bottom"/>
            <w:shd w:val="clear" w:color="auto" w:fill="34609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346094"/>
          </w:tcPr>
          <w:p>
            <w:pPr>
              <w:spacing w:after="0"/>
              <w:rPr>
                <w:sz w:val="14"/>
                <w:szCs w:val="14"/>
                <w:color w:val="auto"/>
              </w:rPr>
            </w:pPr>
          </w:p>
        </w:tc>
        <w:tc>
          <w:tcPr>
            <w:tcW w:w="1360" w:type="dxa"/>
            <w:vAlign w:val="bottom"/>
            <w:shd w:val="clear" w:color="auto" w:fill="346094"/>
          </w:tcPr>
          <w:p>
            <w:pPr>
              <w:spacing w:after="0"/>
              <w:rPr>
                <w:sz w:val="14"/>
                <w:szCs w:val="14"/>
                <w:color w:val="auto"/>
              </w:rPr>
            </w:pPr>
          </w:p>
        </w:tc>
        <w:tc>
          <w:tcPr>
            <w:tcW w:w="140" w:type="dxa"/>
            <w:vAlign w:val="bottom"/>
            <w:shd w:val="clear" w:color="auto" w:fill="346094"/>
          </w:tcPr>
          <w:p>
            <w:pPr>
              <w:spacing w:after="0"/>
              <w:rPr>
                <w:sz w:val="14"/>
                <w:szCs w:val="14"/>
                <w:color w:val="auto"/>
              </w:rPr>
            </w:pPr>
          </w:p>
        </w:tc>
        <w:tc>
          <w:tcPr>
            <w:tcW w:w="120" w:type="dxa"/>
            <w:vAlign w:val="bottom"/>
            <w:shd w:val="clear" w:color="auto" w:fill="346094"/>
          </w:tcPr>
          <w:p>
            <w:pPr>
              <w:spacing w:after="0"/>
              <w:rPr>
                <w:sz w:val="14"/>
                <w:szCs w:val="14"/>
                <w:color w:val="auto"/>
              </w:rPr>
            </w:pPr>
          </w:p>
        </w:tc>
        <w:tc>
          <w:tcPr>
            <w:tcW w:w="1120" w:type="dxa"/>
            <w:vAlign w:val="bottom"/>
            <w:shd w:val="clear" w:color="auto" w:fill="346094"/>
          </w:tcPr>
          <w:p>
            <w:pPr>
              <w:spacing w:after="0"/>
              <w:rPr>
                <w:sz w:val="14"/>
                <w:szCs w:val="14"/>
                <w:color w:val="auto"/>
              </w:rPr>
            </w:pPr>
          </w:p>
        </w:tc>
        <w:tc>
          <w:tcPr>
            <w:tcW w:w="780" w:type="dxa"/>
            <w:vAlign w:val="bottom"/>
            <w:shd w:val="clear" w:color="auto" w:fill="346094"/>
          </w:tcPr>
          <w:p>
            <w:pPr>
              <w:spacing w:after="0"/>
              <w:rPr>
                <w:sz w:val="14"/>
                <w:szCs w:val="14"/>
                <w:color w:val="auto"/>
              </w:rPr>
            </w:pPr>
          </w:p>
        </w:tc>
        <w:tc>
          <w:tcPr>
            <w:tcW w:w="160" w:type="dxa"/>
            <w:vAlign w:val="bottom"/>
            <w:shd w:val="clear" w:color="auto" w:fill="346094"/>
          </w:tcPr>
          <w:p>
            <w:pPr>
              <w:spacing w:after="0"/>
              <w:rPr>
                <w:sz w:val="14"/>
                <w:szCs w:val="14"/>
                <w:color w:val="auto"/>
              </w:rPr>
            </w:pPr>
          </w:p>
        </w:tc>
        <w:tc>
          <w:tcPr>
            <w:tcW w:w="860" w:type="dxa"/>
            <w:vAlign w:val="bottom"/>
            <w:gridSpan w:val="2"/>
            <w:shd w:val="clear" w:color="auto" w:fill="346094"/>
          </w:tcPr>
          <w:p>
            <w:pPr>
              <w:jc w:val="center"/>
              <w:ind w:left="52"/>
              <w:spacing w:after="0"/>
              <w:rPr>
                <w:sz w:val="20"/>
                <w:szCs w:val="20"/>
                <w:color w:val="auto"/>
              </w:rPr>
            </w:pPr>
            <w:r>
              <w:rPr>
                <w:rFonts w:ascii="Arial" w:cs="Arial" w:eastAsia="Arial" w:hAnsi="Arial"/>
                <w:sz w:val="14"/>
                <w:szCs w:val="14"/>
                <w:b w:val="1"/>
                <w:bCs w:val="1"/>
                <w:color w:val="FFFFFF"/>
                <w:w w:val="99"/>
              </w:rPr>
              <w:t>shares of</w:t>
            </w:r>
          </w:p>
        </w:tc>
        <w:tc>
          <w:tcPr>
            <w:tcW w:w="140" w:type="dxa"/>
            <w:vAlign w:val="bottom"/>
            <w:shd w:val="clear" w:color="auto" w:fill="346094"/>
          </w:tcPr>
          <w:p>
            <w:pPr>
              <w:spacing w:after="0"/>
              <w:rPr>
                <w:sz w:val="14"/>
                <w:szCs w:val="14"/>
                <w:color w:val="auto"/>
              </w:rPr>
            </w:pPr>
          </w:p>
        </w:tc>
        <w:tc>
          <w:tcPr>
            <w:tcW w:w="120" w:type="dxa"/>
            <w:vAlign w:val="bottom"/>
            <w:shd w:val="clear" w:color="auto" w:fill="346094"/>
          </w:tcPr>
          <w:p>
            <w:pPr>
              <w:spacing w:after="0"/>
              <w:rPr>
                <w:sz w:val="14"/>
                <w:szCs w:val="14"/>
                <w:color w:val="auto"/>
              </w:rPr>
            </w:pPr>
          </w:p>
        </w:tc>
        <w:tc>
          <w:tcPr>
            <w:tcW w:w="108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rPr>
              <w:t>underlying</w:t>
            </w:r>
          </w:p>
        </w:tc>
        <w:tc>
          <w:tcPr>
            <w:tcW w:w="100" w:type="dxa"/>
            <w:vAlign w:val="bottom"/>
            <w:shd w:val="clear" w:color="auto" w:fill="346094"/>
          </w:tcPr>
          <w:p>
            <w:pPr>
              <w:spacing w:after="0"/>
              <w:rPr>
                <w:sz w:val="14"/>
                <w:szCs w:val="14"/>
                <w:color w:val="auto"/>
              </w:rPr>
            </w:pPr>
          </w:p>
        </w:tc>
        <w:tc>
          <w:tcPr>
            <w:tcW w:w="78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rPr>
              <w:t>of option</w:t>
            </w:r>
          </w:p>
        </w:tc>
        <w:tc>
          <w:tcPr>
            <w:tcW w:w="100" w:type="dxa"/>
            <w:vAlign w:val="bottom"/>
            <w:shd w:val="clear" w:color="auto" w:fill="346094"/>
          </w:tcPr>
          <w:p>
            <w:pPr>
              <w:spacing w:after="0"/>
              <w:rPr>
                <w:sz w:val="14"/>
                <w:szCs w:val="14"/>
                <w:color w:val="auto"/>
              </w:rPr>
            </w:pPr>
          </w:p>
        </w:tc>
        <w:tc>
          <w:tcPr>
            <w:tcW w:w="110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w w:val="97"/>
              </w:rPr>
              <w:t>stock and</w:t>
            </w:r>
          </w:p>
        </w:tc>
        <w:tc>
          <w:tcPr>
            <w:tcW w:w="100" w:type="dxa"/>
            <w:vAlign w:val="bottom"/>
            <w:shd w:val="clear" w:color="auto" w:fill="34609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346094"/>
          </w:tcPr>
          <w:p>
            <w:pPr>
              <w:spacing w:after="0"/>
              <w:rPr>
                <w:sz w:val="14"/>
                <w:szCs w:val="14"/>
                <w:color w:val="auto"/>
              </w:rPr>
            </w:pPr>
          </w:p>
        </w:tc>
        <w:tc>
          <w:tcPr>
            <w:tcW w:w="1360" w:type="dxa"/>
            <w:vAlign w:val="bottom"/>
            <w:shd w:val="clear" w:color="auto" w:fill="346094"/>
          </w:tcPr>
          <w:p>
            <w:pPr>
              <w:spacing w:after="0"/>
              <w:rPr>
                <w:sz w:val="14"/>
                <w:szCs w:val="14"/>
                <w:color w:val="auto"/>
              </w:rPr>
            </w:pPr>
          </w:p>
        </w:tc>
        <w:tc>
          <w:tcPr>
            <w:tcW w:w="140" w:type="dxa"/>
            <w:vAlign w:val="bottom"/>
            <w:shd w:val="clear" w:color="auto" w:fill="346094"/>
          </w:tcPr>
          <w:p>
            <w:pPr>
              <w:spacing w:after="0"/>
              <w:rPr>
                <w:sz w:val="14"/>
                <w:szCs w:val="14"/>
                <w:color w:val="auto"/>
              </w:rPr>
            </w:pPr>
          </w:p>
        </w:tc>
        <w:tc>
          <w:tcPr>
            <w:tcW w:w="120" w:type="dxa"/>
            <w:vAlign w:val="bottom"/>
            <w:shd w:val="clear" w:color="auto" w:fill="346094"/>
          </w:tcPr>
          <w:p>
            <w:pPr>
              <w:spacing w:after="0"/>
              <w:rPr>
                <w:sz w:val="14"/>
                <w:szCs w:val="14"/>
                <w:color w:val="auto"/>
              </w:rPr>
            </w:pPr>
          </w:p>
        </w:tc>
        <w:tc>
          <w:tcPr>
            <w:tcW w:w="1120" w:type="dxa"/>
            <w:vAlign w:val="bottom"/>
            <w:shd w:val="clear" w:color="auto" w:fill="346094"/>
          </w:tcPr>
          <w:p>
            <w:pPr>
              <w:jc w:val="center"/>
              <w:spacing w:after="0"/>
              <w:rPr>
                <w:sz w:val="20"/>
                <w:szCs w:val="20"/>
                <w:color w:val="auto"/>
              </w:rPr>
            </w:pPr>
            <w:r>
              <w:rPr>
                <w:rFonts w:ascii="Arial" w:cs="Arial" w:eastAsia="Arial" w:hAnsi="Arial"/>
                <w:sz w:val="14"/>
                <w:szCs w:val="14"/>
                <w:b w:val="1"/>
                <w:bCs w:val="1"/>
                <w:color w:val="FFFFFF"/>
              </w:rPr>
              <w:t>Type of</w:t>
            </w:r>
          </w:p>
        </w:tc>
        <w:tc>
          <w:tcPr>
            <w:tcW w:w="780" w:type="dxa"/>
            <w:vAlign w:val="bottom"/>
            <w:shd w:val="clear" w:color="auto" w:fill="346094"/>
          </w:tcPr>
          <w:p>
            <w:pPr>
              <w:ind w:left="240"/>
              <w:spacing w:after="0"/>
              <w:rPr>
                <w:sz w:val="20"/>
                <w:szCs w:val="20"/>
                <w:color w:val="auto"/>
              </w:rPr>
            </w:pPr>
            <w:r>
              <w:rPr>
                <w:rFonts w:ascii="Arial" w:cs="Arial" w:eastAsia="Arial" w:hAnsi="Arial"/>
                <w:sz w:val="14"/>
                <w:szCs w:val="14"/>
                <w:b w:val="1"/>
                <w:bCs w:val="1"/>
                <w:color w:val="FFFFFF"/>
              </w:rPr>
              <w:t>Grant</w:t>
            </w:r>
          </w:p>
        </w:tc>
        <w:tc>
          <w:tcPr>
            <w:tcW w:w="160" w:type="dxa"/>
            <w:vAlign w:val="bottom"/>
            <w:shd w:val="clear" w:color="auto" w:fill="346094"/>
          </w:tcPr>
          <w:p>
            <w:pPr>
              <w:spacing w:after="0"/>
              <w:rPr>
                <w:sz w:val="14"/>
                <w:szCs w:val="14"/>
                <w:color w:val="auto"/>
              </w:rPr>
            </w:pPr>
          </w:p>
        </w:tc>
        <w:tc>
          <w:tcPr>
            <w:tcW w:w="1000" w:type="dxa"/>
            <w:vAlign w:val="bottom"/>
            <w:gridSpan w:val="3"/>
            <w:shd w:val="clear" w:color="auto" w:fill="346094"/>
          </w:tcPr>
          <w:p>
            <w:pPr>
              <w:jc w:val="center"/>
              <w:spacing w:after="0"/>
              <w:rPr>
                <w:sz w:val="20"/>
                <w:szCs w:val="20"/>
                <w:color w:val="auto"/>
              </w:rPr>
            </w:pPr>
            <w:r>
              <w:rPr>
                <w:rFonts w:ascii="Arial" w:cs="Arial" w:eastAsia="Arial" w:hAnsi="Arial"/>
                <w:sz w:val="14"/>
                <w:szCs w:val="14"/>
                <w:b w:val="1"/>
                <w:bCs w:val="1"/>
                <w:color w:val="FFFFFF"/>
              </w:rPr>
              <w:t>stock or units</w:t>
            </w:r>
          </w:p>
        </w:tc>
        <w:tc>
          <w:tcPr>
            <w:tcW w:w="120" w:type="dxa"/>
            <w:vAlign w:val="bottom"/>
            <w:shd w:val="clear" w:color="auto" w:fill="346094"/>
          </w:tcPr>
          <w:p>
            <w:pPr>
              <w:spacing w:after="0"/>
              <w:rPr>
                <w:sz w:val="14"/>
                <w:szCs w:val="14"/>
                <w:color w:val="auto"/>
              </w:rPr>
            </w:pPr>
          </w:p>
        </w:tc>
        <w:tc>
          <w:tcPr>
            <w:tcW w:w="108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w w:val="98"/>
              </w:rPr>
              <w:t>options</w:t>
            </w:r>
          </w:p>
        </w:tc>
        <w:tc>
          <w:tcPr>
            <w:tcW w:w="100" w:type="dxa"/>
            <w:vAlign w:val="bottom"/>
            <w:shd w:val="clear" w:color="auto" w:fill="346094"/>
          </w:tcPr>
          <w:p>
            <w:pPr>
              <w:spacing w:after="0"/>
              <w:rPr>
                <w:sz w:val="14"/>
                <w:szCs w:val="14"/>
                <w:color w:val="auto"/>
              </w:rPr>
            </w:pPr>
          </w:p>
        </w:tc>
        <w:tc>
          <w:tcPr>
            <w:tcW w:w="640" w:type="dxa"/>
            <w:vAlign w:val="bottom"/>
            <w:shd w:val="clear" w:color="auto" w:fill="346094"/>
          </w:tcPr>
          <w:p>
            <w:pPr>
              <w:jc w:val="center"/>
              <w:ind w:left="51"/>
              <w:spacing w:after="0"/>
              <w:rPr>
                <w:sz w:val="20"/>
                <w:szCs w:val="20"/>
                <w:color w:val="auto"/>
              </w:rPr>
            </w:pPr>
            <w:r>
              <w:rPr>
                <w:rFonts w:ascii="Arial" w:cs="Arial" w:eastAsia="Arial" w:hAnsi="Arial"/>
                <w:sz w:val="14"/>
                <w:szCs w:val="14"/>
                <w:b w:val="1"/>
                <w:bCs w:val="1"/>
                <w:color w:val="FFFFFF"/>
                <w:w w:val="99"/>
              </w:rPr>
              <w:t>awards</w:t>
            </w:r>
          </w:p>
        </w:tc>
        <w:tc>
          <w:tcPr>
            <w:tcW w:w="140" w:type="dxa"/>
            <w:vAlign w:val="bottom"/>
            <w:shd w:val="clear" w:color="auto" w:fill="346094"/>
          </w:tcPr>
          <w:p>
            <w:pPr>
              <w:spacing w:after="0"/>
              <w:rPr>
                <w:sz w:val="14"/>
                <w:szCs w:val="14"/>
                <w:color w:val="auto"/>
              </w:rPr>
            </w:pPr>
          </w:p>
        </w:tc>
        <w:tc>
          <w:tcPr>
            <w:tcW w:w="100" w:type="dxa"/>
            <w:vAlign w:val="bottom"/>
            <w:shd w:val="clear" w:color="auto" w:fill="346094"/>
          </w:tcPr>
          <w:p>
            <w:pPr>
              <w:spacing w:after="0"/>
              <w:rPr>
                <w:sz w:val="14"/>
                <w:szCs w:val="14"/>
                <w:color w:val="auto"/>
              </w:rPr>
            </w:pPr>
          </w:p>
        </w:tc>
        <w:tc>
          <w:tcPr>
            <w:tcW w:w="110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w w:val="98"/>
              </w:rPr>
              <w:t>option awards</w:t>
            </w:r>
          </w:p>
        </w:tc>
        <w:tc>
          <w:tcPr>
            <w:tcW w:w="100" w:type="dxa"/>
            <w:vAlign w:val="bottom"/>
            <w:shd w:val="clear" w:color="auto" w:fill="346094"/>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00" w:type="dxa"/>
            <w:vAlign w:val="bottom"/>
            <w:gridSpan w:val="2"/>
            <w:shd w:val="clear" w:color="auto" w:fill="346094"/>
          </w:tcPr>
          <w:p>
            <w:pPr>
              <w:ind w:left="20"/>
              <w:spacing w:after="0"/>
              <w:rPr>
                <w:sz w:val="20"/>
                <w:szCs w:val="20"/>
                <w:color w:val="auto"/>
              </w:rPr>
            </w:pPr>
            <w:r>
              <w:rPr>
                <w:rFonts w:ascii="Arial" w:cs="Arial" w:eastAsia="Arial" w:hAnsi="Arial"/>
                <w:sz w:val="14"/>
                <w:szCs w:val="14"/>
                <w:b w:val="1"/>
                <w:bCs w:val="1"/>
                <w:color w:val="FFFFFF"/>
              </w:rPr>
              <w:t>​Name</w:t>
            </w:r>
          </w:p>
        </w:tc>
        <w:tc>
          <w:tcPr>
            <w:tcW w:w="260" w:type="dxa"/>
            <w:vAlign w:val="bottom"/>
            <w:gridSpan w:val="2"/>
            <w:shd w:val="clear" w:color="auto" w:fill="346094"/>
          </w:tcPr>
          <w:p>
            <w:pPr>
              <w:jc w:val="right"/>
              <w:spacing w:after="0"/>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346094"/>
          </w:tcPr>
          <w:p>
            <w:pPr>
              <w:jc w:val="center"/>
              <w:spacing w:after="0"/>
              <w:rPr>
                <w:sz w:val="20"/>
                <w:szCs w:val="20"/>
                <w:color w:val="auto"/>
              </w:rPr>
            </w:pPr>
            <w:r>
              <w:rPr>
                <w:rFonts w:ascii="Arial" w:cs="Arial" w:eastAsia="Arial" w:hAnsi="Arial"/>
                <w:sz w:val="14"/>
                <w:szCs w:val="14"/>
                <w:b w:val="1"/>
                <w:bCs w:val="1"/>
                <w:color w:val="FFFFFF"/>
                <w:w w:val="98"/>
              </w:rPr>
              <w:t>Award</w:t>
            </w:r>
          </w:p>
        </w:tc>
        <w:tc>
          <w:tcPr>
            <w:tcW w:w="780" w:type="dxa"/>
            <w:vAlign w:val="bottom"/>
            <w:shd w:val="clear" w:color="auto" w:fill="346094"/>
          </w:tcPr>
          <w:p>
            <w:pPr>
              <w:ind w:left="20"/>
              <w:spacing w:after="0"/>
              <w:rPr>
                <w:sz w:val="20"/>
                <w:szCs w:val="20"/>
                <w:color w:val="auto"/>
              </w:rPr>
            </w:pPr>
            <w:r>
              <w:rPr>
                <w:rFonts w:ascii="Arial" w:cs="Arial" w:eastAsia="Arial" w:hAnsi="Arial"/>
                <w:sz w:val="14"/>
                <w:szCs w:val="14"/>
                <w:b w:val="1"/>
                <w:bCs w:val="1"/>
                <w:color w:val="FFFFFF"/>
              </w:rPr>
              <w:t>​​  Date</w:t>
            </w:r>
          </w:p>
        </w:tc>
        <w:tc>
          <w:tcPr>
            <w:tcW w:w="160" w:type="dxa"/>
            <w:vAlign w:val="bottom"/>
            <w:shd w:val="clear" w:color="auto" w:fill="346094"/>
          </w:tcPr>
          <w:p>
            <w:pPr>
              <w:jc w:val="right"/>
              <w:spacing w:after="0"/>
              <w:rPr>
                <w:sz w:val="20"/>
                <w:szCs w:val="20"/>
                <w:color w:val="auto"/>
              </w:rPr>
            </w:pPr>
            <w:r>
              <w:rPr>
                <w:rFonts w:ascii="Arial" w:cs="Arial" w:eastAsia="Arial" w:hAnsi="Arial"/>
                <w:sz w:val="14"/>
                <w:szCs w:val="14"/>
                <w:b w:val="1"/>
                <w:bCs w:val="1"/>
                <w:color w:val="FFFFFF"/>
              </w:rPr>
              <w:t>​ ​</w:t>
            </w:r>
          </w:p>
        </w:tc>
        <w:tc>
          <w:tcPr>
            <w:tcW w:w="860" w:type="dxa"/>
            <w:vAlign w:val="bottom"/>
            <w:gridSpan w:val="2"/>
            <w:shd w:val="clear" w:color="auto" w:fill="346094"/>
          </w:tcPr>
          <w:p>
            <w:pPr>
              <w:jc w:val="center"/>
              <w:ind w:left="52"/>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346094"/>
          </w:tcPr>
          <w:p>
            <w:pPr>
              <w:spacing w:after="0"/>
              <w:rPr>
                <w:sz w:val="15"/>
                <w:szCs w:val="15"/>
                <w:color w:val="auto"/>
              </w:rPr>
            </w:pPr>
          </w:p>
        </w:tc>
        <w:tc>
          <w:tcPr>
            <w:tcW w:w="120" w:type="dxa"/>
            <w:vAlign w:val="bottom"/>
            <w:shd w:val="clear" w:color="auto" w:fill="346094"/>
          </w:tcPr>
          <w:p>
            <w:pPr>
              <w:jc w:val="right"/>
              <w:spacing w:after="0"/>
              <w:rPr>
                <w:sz w:val="20"/>
                <w:szCs w:val="20"/>
                <w:color w:val="auto"/>
              </w:rPr>
            </w:pPr>
            <w:r>
              <w:rPr>
                <w:rFonts w:ascii="Arial" w:cs="Arial" w:eastAsia="Arial" w:hAnsi="Arial"/>
                <w:sz w:val="14"/>
                <w:szCs w:val="14"/>
                <w:b w:val="1"/>
                <w:bCs w:val="1"/>
                <w:color w:val="FFFFFF"/>
              </w:rPr>
              <w:t>​​</w:t>
            </w:r>
          </w:p>
        </w:tc>
        <w:tc>
          <w:tcPr>
            <w:tcW w:w="400" w:type="dxa"/>
            <w:vAlign w:val="bottom"/>
            <w:shd w:val="clear" w:color="auto" w:fill="346094"/>
          </w:tcPr>
          <w:p>
            <w:pPr>
              <w:spacing w:after="0"/>
              <w:rPr>
                <w:sz w:val="15"/>
                <w:szCs w:val="15"/>
                <w:color w:val="auto"/>
              </w:rPr>
            </w:pPr>
          </w:p>
        </w:tc>
        <w:tc>
          <w:tcPr>
            <w:tcW w:w="680" w:type="dxa"/>
            <w:vAlign w:val="bottom"/>
            <w:shd w:val="clear" w:color="auto" w:fill="346094"/>
          </w:tcPr>
          <w:p>
            <w:pPr>
              <w:jc w:val="center"/>
              <w:ind w:right="384"/>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346094"/>
          </w:tcPr>
          <w:p>
            <w:pPr>
              <w:jc w:val="right"/>
              <w:spacing w:after="0"/>
              <w:rPr>
                <w:sz w:val="20"/>
                <w:szCs w:val="20"/>
                <w:color w:val="auto"/>
              </w:rPr>
            </w:pPr>
            <w:r>
              <w:rPr>
                <w:rFonts w:ascii="Arial" w:cs="Arial" w:eastAsia="Arial" w:hAnsi="Arial"/>
                <w:sz w:val="14"/>
                <w:szCs w:val="14"/>
                <w:b w:val="1"/>
                <w:bCs w:val="1"/>
                <w:color w:val="FFFFFF"/>
              </w:rPr>
              <w:t>​​</w:t>
            </w:r>
          </w:p>
        </w:tc>
        <w:tc>
          <w:tcPr>
            <w:tcW w:w="640" w:type="dxa"/>
            <w:vAlign w:val="bottom"/>
            <w:shd w:val="clear" w:color="auto" w:fill="346094"/>
          </w:tcPr>
          <w:p>
            <w:pPr>
              <w:jc w:val="center"/>
              <w:ind w:left="51"/>
              <w:spacing w:after="0"/>
              <w:rPr>
                <w:sz w:val="20"/>
                <w:szCs w:val="20"/>
                <w:color w:val="auto"/>
              </w:rPr>
            </w:pPr>
            <w:r>
              <w:rPr>
                <w:rFonts w:ascii="Arial" w:cs="Arial" w:eastAsia="Arial" w:hAnsi="Arial"/>
                <w:sz w:val="14"/>
                <w:szCs w:val="14"/>
                <w:b w:val="1"/>
                <w:bCs w:val="1"/>
                <w:color w:val="FFFFFF"/>
              </w:rPr>
              <w:t>($/Sh)</w:t>
            </w:r>
          </w:p>
        </w:tc>
        <w:tc>
          <w:tcPr>
            <w:tcW w:w="140" w:type="dxa"/>
            <w:vAlign w:val="bottom"/>
            <w:shd w:val="clear" w:color="auto" w:fill="346094"/>
          </w:tcPr>
          <w:p>
            <w:pPr>
              <w:spacing w:after="0"/>
              <w:rPr>
                <w:sz w:val="15"/>
                <w:szCs w:val="15"/>
                <w:color w:val="auto"/>
              </w:rPr>
            </w:pPr>
          </w:p>
        </w:tc>
        <w:tc>
          <w:tcPr>
            <w:tcW w:w="100" w:type="dxa"/>
            <w:vAlign w:val="bottom"/>
            <w:shd w:val="clear" w:color="auto" w:fill="346094"/>
          </w:tcPr>
          <w:p>
            <w:pPr>
              <w:jc w:val="right"/>
              <w:spacing w:after="0"/>
              <w:rPr>
                <w:sz w:val="20"/>
                <w:szCs w:val="20"/>
                <w:color w:val="auto"/>
              </w:rPr>
            </w:pPr>
            <w:r>
              <w:rPr>
                <w:rFonts w:ascii="Arial" w:cs="Arial" w:eastAsia="Arial" w:hAnsi="Arial"/>
                <w:sz w:val="14"/>
                <w:szCs w:val="14"/>
                <w:b w:val="1"/>
                <w:bCs w:val="1"/>
                <w:color w:val="FFFFFF"/>
              </w:rPr>
              <w:t>​</w:t>
            </w:r>
          </w:p>
        </w:tc>
        <w:tc>
          <w:tcPr>
            <w:tcW w:w="420" w:type="dxa"/>
            <w:vAlign w:val="bottom"/>
            <w:shd w:val="clear" w:color="auto" w:fill="346094"/>
          </w:tcPr>
          <w:p>
            <w:pPr>
              <w:spacing w:after="0"/>
              <w:rPr>
                <w:sz w:val="15"/>
                <w:szCs w:val="15"/>
                <w:color w:val="auto"/>
              </w:rPr>
            </w:pPr>
          </w:p>
        </w:tc>
        <w:tc>
          <w:tcPr>
            <w:tcW w:w="680" w:type="dxa"/>
            <w:vAlign w:val="bottom"/>
            <w:shd w:val="clear" w:color="auto" w:fill="346094"/>
          </w:tcPr>
          <w:p>
            <w:pPr>
              <w:jc w:val="center"/>
              <w:ind w:right="384"/>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346094"/>
          </w:tcPr>
          <w:p>
            <w:pPr>
              <w:ind w:left="4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3"/>
        </w:trPr>
        <w:tc>
          <w:tcPr>
            <w:tcW w:w="1500" w:type="dxa"/>
            <w:vAlign w:val="bottom"/>
            <w:gridSpan w:val="2"/>
          </w:tcPr>
          <w:p>
            <w:pPr>
              <w:ind w:left="40"/>
              <w:spacing w:after="0"/>
              <w:rPr>
                <w:sz w:val="20"/>
                <w:szCs w:val="20"/>
                <w:color w:val="auto"/>
              </w:rPr>
            </w:pPr>
            <w:r>
              <w:rPr>
                <w:rFonts w:ascii="Trebuchet MS" w:cs="Trebuchet MS" w:eastAsia="Trebuchet MS" w:hAnsi="Trebuchet MS"/>
                <w:sz w:val="16"/>
                <w:szCs w:val="16"/>
                <w:b w:val="1"/>
                <w:bCs w:val="1"/>
                <w:color w:val="4C4C4C"/>
              </w:rPr>
              <w:t>Patrick R. Gruber</w:t>
            </w:r>
          </w:p>
        </w:tc>
        <w:tc>
          <w:tcPr>
            <w:tcW w:w="140" w:type="dxa"/>
            <w:vAlign w:val="bottom"/>
          </w:tcPr>
          <w:p>
            <w:pPr>
              <w:spacing w:after="0"/>
              <w:rPr>
                <w:sz w:val="21"/>
                <w:szCs w:val="2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1120" w:type="dxa"/>
            <w:vAlign w:val="bottom"/>
          </w:tcPr>
          <w:p>
            <w:pPr>
              <w:jc w:val="center"/>
              <w:ind w:right="1"/>
              <w:spacing w:after="0"/>
              <w:rPr>
                <w:sz w:val="20"/>
                <w:szCs w:val="20"/>
                <w:color w:val="auto"/>
              </w:rPr>
            </w:pPr>
            <w:r>
              <w:rPr>
                <w:rFonts w:ascii="Arial" w:cs="Arial" w:eastAsia="Arial" w:hAnsi="Arial"/>
                <w:sz w:val="16"/>
                <w:szCs w:val="16"/>
                <w:color w:val="4C4C4C"/>
              </w:rPr>
              <w:t>Stock Option</w:t>
            </w:r>
          </w:p>
        </w:tc>
        <w:tc>
          <w:tcPr>
            <w:tcW w:w="940" w:type="dxa"/>
            <w:vAlign w:val="bottom"/>
            <w:gridSpan w:val="2"/>
          </w:tcPr>
          <w:p>
            <w:pPr>
              <w:jc w:val="right"/>
              <w:spacing w:after="0"/>
              <w:rPr>
                <w:sz w:val="20"/>
                <w:szCs w:val="20"/>
                <w:color w:val="auto"/>
              </w:rPr>
            </w:pPr>
            <w:r>
              <w:rPr>
                <w:rFonts w:ascii="Arial" w:cs="Arial" w:eastAsia="Arial" w:hAnsi="Arial"/>
                <w:sz w:val="16"/>
                <w:szCs w:val="16"/>
                <w:color w:val="4C4C4C"/>
              </w:rPr>
              <w:t>6/9/2025</w:t>
            </w:r>
            <w:r>
              <w:rPr>
                <w:rFonts w:ascii="Trebuchet MS" w:cs="Trebuchet MS" w:eastAsia="Trebuchet MS" w:hAnsi="Trebuchet MS"/>
                <w:sz w:val="19"/>
                <w:szCs w:val="19"/>
                <w:color w:val="4C4C4C"/>
                <w:vertAlign w:val="superscript"/>
              </w:rPr>
              <w:t>(1)</w:t>
            </w:r>
          </w:p>
        </w:tc>
        <w:tc>
          <w:tcPr>
            <w:tcW w:w="500" w:type="dxa"/>
            <w:vAlign w:val="bottom"/>
            <w:vMerge w:val="restart"/>
          </w:tcPr>
          <w:p>
            <w:pPr>
              <w:ind w:left="420"/>
              <w:spacing w:after="0"/>
              <w:rPr>
                <w:sz w:val="20"/>
                <w:szCs w:val="20"/>
                <w:color w:val="auto"/>
              </w:rPr>
            </w:pPr>
            <w:r>
              <w:rPr>
                <w:rFonts w:ascii="Arial" w:cs="Arial" w:eastAsia="Arial" w:hAnsi="Arial"/>
                <w:sz w:val="16"/>
                <w:szCs w:val="16"/>
                <w:color w:val="4C4C4C"/>
              </w:rPr>
              <w:t>​</w:t>
            </w:r>
          </w:p>
        </w:tc>
        <w:tc>
          <w:tcPr>
            <w:tcW w:w="3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4C4C4C"/>
                <w:w w:val="74"/>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1080" w:type="dxa"/>
            <w:vAlign w:val="bottom"/>
            <w:gridSpan w:val="2"/>
          </w:tcPr>
          <w:p>
            <w:pPr>
              <w:ind w:left="360"/>
              <w:spacing w:after="0"/>
              <w:rPr>
                <w:sz w:val="20"/>
                <w:szCs w:val="20"/>
                <w:color w:val="auto"/>
              </w:rPr>
            </w:pPr>
            <w:r>
              <w:rPr>
                <w:rFonts w:ascii="Arial" w:cs="Arial" w:eastAsia="Arial" w:hAnsi="Arial"/>
                <w:sz w:val="16"/>
                <w:szCs w:val="16"/>
                <w:color w:val="4C4C4C"/>
                <w:w w:val="98"/>
              </w:rPr>
              <w:t>1,409,891</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4C4C4C"/>
              </w:rPr>
              <w:t>1.18</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1100" w:type="dxa"/>
            <w:vAlign w:val="bottom"/>
            <w:gridSpan w:val="2"/>
          </w:tcPr>
          <w:p>
            <w:pPr>
              <w:ind w:left="340"/>
              <w:spacing w:after="0"/>
              <w:rPr>
                <w:sz w:val="20"/>
                <w:szCs w:val="20"/>
                <w:color w:val="auto"/>
              </w:rPr>
            </w:pPr>
            <w:r>
              <w:rPr>
                <w:rFonts w:ascii="Arial" w:cs="Arial" w:eastAsia="Arial" w:hAnsi="Arial"/>
                <w:sz w:val="16"/>
                <w:szCs w:val="16"/>
                <w:color w:val="4C4C4C"/>
              </w:rPr>
              <w:t>1,443,728</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104"/>
        </w:trPr>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ind w:left="20"/>
              <w:spacing w:after="0" w:line="105" w:lineRule="exact"/>
              <w:rPr>
                <w:sz w:val="20"/>
                <w:szCs w:val="20"/>
                <w:color w:val="auto"/>
              </w:rPr>
            </w:pPr>
            <w:r>
              <w:rPr>
                <w:rFonts w:ascii="Arial" w:cs="Arial" w:eastAsia="Arial" w:hAnsi="Arial"/>
                <w:sz w:val="12"/>
                <w:szCs w:val="12"/>
                <w:color w:val="4C4C4C"/>
              </w:rPr>
              <w:t>​​​</w:t>
            </w:r>
          </w:p>
        </w:tc>
        <w:tc>
          <w:tcPr>
            <w:tcW w:w="160" w:type="dxa"/>
            <w:vAlign w:val="bottom"/>
          </w:tcPr>
          <w:p>
            <w:pPr>
              <w:jc w:val="right"/>
              <w:spacing w:after="0" w:line="105" w:lineRule="exact"/>
              <w:rPr>
                <w:sz w:val="20"/>
                <w:szCs w:val="20"/>
                <w:color w:val="auto"/>
              </w:rPr>
            </w:pPr>
            <w:r>
              <w:rPr>
                <w:rFonts w:ascii="Arial" w:cs="Arial" w:eastAsia="Arial" w:hAnsi="Arial"/>
                <w:sz w:val="12"/>
                <w:szCs w:val="12"/>
                <w:color w:val="4C4C4C"/>
              </w:rPr>
              <w:t>​​</w:t>
            </w:r>
          </w:p>
        </w:tc>
        <w:tc>
          <w:tcPr>
            <w:tcW w:w="5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400" w:type="dxa"/>
            <w:vAlign w:val="bottom"/>
          </w:tcPr>
          <w:p>
            <w:pPr>
              <w:ind w:left="340"/>
              <w:spacing w:after="0" w:line="105" w:lineRule="exact"/>
              <w:rPr>
                <w:sz w:val="20"/>
                <w:szCs w:val="20"/>
                <w:color w:val="auto"/>
              </w:rPr>
            </w:pPr>
            <w:r>
              <w:rPr>
                <w:rFonts w:ascii="Arial" w:cs="Arial" w:eastAsia="Arial" w:hAnsi="Arial"/>
                <w:sz w:val="12"/>
                <w:szCs w:val="12"/>
                <w:color w:val="4C4C4C"/>
              </w:rPr>
              <w:t>​</w:t>
            </w:r>
          </w:p>
        </w:tc>
        <w:tc>
          <w:tcPr>
            <w:tcW w:w="6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640" w:type="dxa"/>
            <w:vAlign w:val="bottom"/>
          </w:tcPr>
          <w:p>
            <w:pPr>
              <w:ind w:left="460"/>
              <w:spacing w:after="0" w:line="105" w:lineRule="exact"/>
              <w:rPr>
                <w:sz w:val="20"/>
                <w:szCs w:val="20"/>
                <w:color w:val="auto"/>
              </w:rPr>
            </w:pPr>
            <w:r>
              <w:rPr>
                <w:rFonts w:ascii="Arial" w:cs="Arial" w:eastAsia="Arial" w:hAnsi="Arial"/>
                <w:sz w:val="12"/>
                <w:szCs w:val="12"/>
                <w:color w:val="4C4C4C"/>
              </w:rPr>
              <w:t>​</w:t>
            </w:r>
          </w:p>
        </w:tc>
        <w:tc>
          <w:tcPr>
            <w:tcW w:w="14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420" w:type="dxa"/>
            <w:vAlign w:val="bottom"/>
          </w:tcPr>
          <w:p>
            <w:pPr>
              <w:ind w:left="340"/>
              <w:spacing w:after="0" w:line="105" w:lineRule="exact"/>
              <w:rPr>
                <w:sz w:val="20"/>
                <w:szCs w:val="20"/>
                <w:color w:val="auto"/>
              </w:rPr>
            </w:pPr>
            <w:r>
              <w:rPr>
                <w:rFonts w:ascii="Arial" w:cs="Arial" w:eastAsia="Arial" w:hAnsi="Arial"/>
                <w:sz w:val="12"/>
                <w:szCs w:val="12"/>
                <w:color w:val="4C4C4C"/>
              </w:rPr>
              <w:t>​</w:t>
            </w:r>
          </w:p>
        </w:tc>
        <w:tc>
          <w:tcPr>
            <w:tcW w:w="6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40" w:type="dxa"/>
            <w:vAlign w:val="bottom"/>
            <w:vMerge w:val="restart"/>
          </w:tcPr>
          <w:p>
            <w:pPr>
              <w:ind w:left="20"/>
              <w:spacing w:after="0"/>
              <w:rPr>
                <w:sz w:val="20"/>
                <w:szCs w:val="20"/>
                <w:color w:val="auto"/>
              </w:rPr>
            </w:pPr>
            <w:r>
              <w:rPr>
                <w:rFonts w:ascii="Arial" w:cs="Arial" w:eastAsia="Arial" w:hAnsi="Arial"/>
                <w:sz w:val="16"/>
                <w:szCs w:val="16"/>
                <w:color w:val="4C4C4C"/>
              </w:rPr>
              <w:t>​</w:t>
            </w: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spacing w:after="0" w:line="152" w:lineRule="exact"/>
              <w:rPr>
                <w:sz w:val="20"/>
                <w:szCs w:val="20"/>
                <w:color w:val="auto"/>
              </w:rPr>
            </w:pPr>
            <w:r>
              <w:rPr>
                <w:rFonts w:ascii="Arial" w:cs="Arial" w:eastAsia="Arial" w:hAnsi="Arial"/>
                <w:sz w:val="16"/>
                <w:szCs w:val="16"/>
                <w:color w:val="4C4C4C"/>
              </w:rPr>
              <w:t>Restricted Stock</w:t>
            </w:r>
          </w:p>
        </w:tc>
        <w:tc>
          <w:tcPr>
            <w:tcW w:w="940" w:type="dxa"/>
            <w:vAlign w:val="bottom"/>
            <w:gridSpan w:val="2"/>
          </w:tcPr>
          <w:p>
            <w:pPr>
              <w:jc w:val="right"/>
              <w:spacing w:after="0" w:line="152" w:lineRule="exact"/>
              <w:rPr>
                <w:sz w:val="20"/>
                <w:szCs w:val="20"/>
                <w:color w:val="auto"/>
              </w:rPr>
            </w:pPr>
            <w:r>
              <w:rPr>
                <w:rFonts w:ascii="Arial" w:cs="Arial" w:eastAsia="Arial" w:hAnsi="Arial"/>
                <w:sz w:val="16"/>
                <w:szCs w:val="16"/>
                <w:color w:val="4C4C4C"/>
              </w:rPr>
              <w:t>6/9/2025</w:t>
            </w:r>
            <w:r>
              <w:rPr>
                <w:rFonts w:ascii="Trebuchet MS" w:cs="Trebuchet MS" w:eastAsia="Trebuchet MS" w:hAnsi="Trebuchet MS"/>
                <w:sz w:val="9"/>
                <w:szCs w:val="9"/>
                <w:color w:val="4C4C4C"/>
              </w:rPr>
              <w:t>(1)</w:t>
            </w:r>
          </w:p>
        </w:tc>
        <w:tc>
          <w:tcPr>
            <w:tcW w:w="1000" w:type="dxa"/>
            <w:vAlign w:val="bottom"/>
            <w:gridSpan w:val="3"/>
          </w:tcPr>
          <w:p>
            <w:pPr>
              <w:jc w:val="right"/>
              <w:spacing w:after="0" w:line="152" w:lineRule="exact"/>
              <w:rPr>
                <w:sz w:val="20"/>
                <w:szCs w:val="20"/>
                <w:color w:val="auto"/>
              </w:rPr>
            </w:pPr>
            <w:r>
              <w:rPr>
                <w:rFonts w:ascii="Arial" w:cs="Arial" w:eastAsia="Arial" w:hAnsi="Arial"/>
                <w:sz w:val="16"/>
                <w:szCs w:val="16"/>
                <w:color w:val="4C4C4C"/>
              </w:rPr>
              <w:t>472,689</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400" w:type="dxa"/>
            <w:vAlign w:val="bottom"/>
            <w:vMerge w:val="restart"/>
          </w:tcPr>
          <w:p>
            <w:pPr>
              <w:ind w:left="34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line="152" w:lineRule="exact"/>
              <w:rPr>
                <w:sz w:val="20"/>
                <w:szCs w:val="20"/>
                <w:color w:val="auto"/>
              </w:rPr>
            </w:pPr>
            <w:r>
              <w:rPr>
                <w:rFonts w:ascii="Arial" w:cs="Arial" w:eastAsia="Arial" w:hAnsi="Arial"/>
                <w:sz w:val="16"/>
                <w:szCs w:val="16"/>
                <w:color w:val="4C4C4C"/>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640" w:type="dxa"/>
            <w:vAlign w:val="bottom"/>
            <w:vMerge w:val="restart"/>
          </w:tcPr>
          <w:p>
            <w:pPr>
              <w:ind w:left="460"/>
              <w:spacing w:after="0"/>
              <w:rPr>
                <w:sz w:val="20"/>
                <w:szCs w:val="20"/>
                <w:color w:val="auto"/>
              </w:rPr>
            </w:pPr>
            <w:r>
              <w:rPr>
                <w:rFonts w:ascii="Arial" w:cs="Arial" w:eastAsia="Arial" w:hAnsi="Arial"/>
                <w:sz w:val="16"/>
                <w:szCs w:val="16"/>
                <w:color w:val="4C4C4C"/>
              </w:rPr>
              <w:t>​</w:t>
            </w:r>
          </w:p>
        </w:tc>
        <w:tc>
          <w:tcPr>
            <w:tcW w:w="140" w:type="dxa"/>
            <w:vAlign w:val="bottom"/>
          </w:tcPr>
          <w:p>
            <w:pPr>
              <w:jc w:val="right"/>
              <w:spacing w:after="0" w:line="152" w:lineRule="exact"/>
              <w:rPr>
                <w:sz w:val="20"/>
                <w:szCs w:val="20"/>
                <w:color w:val="auto"/>
              </w:rPr>
            </w:pPr>
            <w:r>
              <w:rPr>
                <w:rFonts w:ascii="Arial" w:cs="Arial" w:eastAsia="Arial" w:hAnsi="Arial"/>
                <w:sz w:val="16"/>
                <w:szCs w:val="16"/>
                <w:color w:val="4C4C4C"/>
                <w:w w:val="74"/>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420" w:type="dxa"/>
            <w:vAlign w:val="bottom"/>
            <w:vMerge w:val="restart"/>
          </w:tcPr>
          <w:p>
            <w:pPr>
              <w:ind w:left="34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line="152" w:lineRule="exact"/>
              <w:rPr>
                <w:sz w:val="20"/>
                <w:szCs w:val="20"/>
                <w:color w:val="auto"/>
              </w:rPr>
            </w:pPr>
            <w:r>
              <w:rPr>
                <w:rFonts w:ascii="Arial" w:cs="Arial" w:eastAsia="Arial" w:hAnsi="Arial"/>
                <w:sz w:val="16"/>
                <w:szCs w:val="16"/>
                <w:color w:val="4C4C4C"/>
              </w:rPr>
              <w:t>577,773</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260" w:type="dxa"/>
            <w:vAlign w:val="bottom"/>
            <w:gridSpan w:val="2"/>
          </w:tcPr>
          <w:p>
            <w:pPr>
              <w:jc w:val="right"/>
              <w:spacing w:after="0" w:line="68" w:lineRule="exact"/>
              <w:rPr>
                <w:sz w:val="20"/>
                <w:szCs w:val="20"/>
                <w:color w:val="auto"/>
              </w:rPr>
            </w:pPr>
            <w:r>
              <w:rPr>
                <w:rFonts w:ascii="Arial" w:cs="Arial" w:eastAsia="Arial" w:hAnsi="Arial"/>
                <w:sz w:val="7"/>
                <w:szCs w:val="7"/>
                <w:color w:val="4C4C4C"/>
              </w:rPr>
              <w:t>​​</w:t>
            </w:r>
          </w:p>
        </w:tc>
        <w:tc>
          <w:tcPr>
            <w:tcW w:w="1120" w:type="dxa"/>
            <w:vAlign w:val="bottom"/>
          </w:tcPr>
          <w:p>
            <w:pPr>
              <w:spacing w:after="0"/>
              <w:rPr>
                <w:sz w:val="5"/>
                <w:szCs w:val="5"/>
                <w:color w:val="auto"/>
              </w:rPr>
            </w:pPr>
          </w:p>
        </w:tc>
        <w:tc>
          <w:tcPr>
            <w:tcW w:w="780" w:type="dxa"/>
            <w:vAlign w:val="bottom"/>
          </w:tcPr>
          <w:p>
            <w:pPr>
              <w:ind w:left="20"/>
              <w:spacing w:after="0" w:line="68" w:lineRule="exact"/>
              <w:rPr>
                <w:sz w:val="20"/>
                <w:szCs w:val="20"/>
                <w:color w:val="auto"/>
              </w:rPr>
            </w:pPr>
            <w:r>
              <w:rPr>
                <w:rFonts w:ascii="Arial" w:cs="Arial" w:eastAsia="Arial" w:hAnsi="Arial"/>
                <w:sz w:val="7"/>
                <w:szCs w:val="7"/>
                <w:color w:val="4C4C4C"/>
              </w:rPr>
              <w:t>​​​</w:t>
            </w:r>
          </w:p>
        </w:tc>
        <w:tc>
          <w:tcPr>
            <w:tcW w:w="160" w:type="dxa"/>
            <w:vAlign w:val="bottom"/>
          </w:tcPr>
          <w:p>
            <w:pPr>
              <w:jc w:val="right"/>
              <w:spacing w:after="0" w:line="68" w:lineRule="exact"/>
              <w:rPr>
                <w:sz w:val="20"/>
                <w:szCs w:val="20"/>
                <w:color w:val="auto"/>
              </w:rPr>
            </w:pPr>
            <w:r>
              <w:rPr>
                <w:rFonts w:ascii="Arial" w:cs="Arial" w:eastAsia="Arial" w:hAnsi="Arial"/>
                <w:sz w:val="7"/>
                <w:szCs w:val="7"/>
                <w:color w:val="4C4C4C"/>
              </w:rPr>
              <w:t>​​</w:t>
            </w:r>
          </w:p>
        </w:tc>
        <w:tc>
          <w:tcPr>
            <w:tcW w:w="500" w:type="dxa"/>
            <w:vAlign w:val="bottom"/>
          </w:tcPr>
          <w:p>
            <w:pPr>
              <w:ind w:left="420"/>
              <w:spacing w:after="0" w:line="68" w:lineRule="exact"/>
              <w:rPr>
                <w:sz w:val="20"/>
                <w:szCs w:val="20"/>
                <w:color w:val="auto"/>
              </w:rPr>
            </w:pPr>
            <w:r>
              <w:rPr>
                <w:rFonts w:ascii="Arial" w:cs="Arial" w:eastAsia="Arial" w:hAnsi="Arial"/>
                <w:sz w:val="7"/>
                <w:szCs w:val="7"/>
                <w:color w:val="4C4C4C"/>
              </w:rPr>
              <w:t>​</w:t>
            </w: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ind w:left="40"/>
              <w:spacing w:after="0"/>
              <w:rPr>
                <w:sz w:val="20"/>
                <w:szCs w:val="20"/>
                <w:color w:val="auto"/>
              </w:rPr>
            </w:pPr>
            <w:r>
              <w:rPr>
                <w:rFonts w:ascii="Trebuchet MS" w:cs="Trebuchet MS" w:eastAsia="Trebuchet MS" w:hAnsi="Trebuchet MS"/>
                <w:sz w:val="16"/>
                <w:szCs w:val="16"/>
                <w:b w:val="1"/>
                <w:bCs w:val="1"/>
                <w:color w:val="4C4C4C"/>
              </w:rPr>
              <w:t>Oluwagbemileke</w:t>
            </w:r>
          </w:p>
        </w:tc>
        <w:tc>
          <w:tcPr>
            <w:tcW w:w="140" w:type="dxa"/>
            <w:vAlign w:val="bottom"/>
          </w:tcPr>
          <w:p>
            <w:pPr>
              <w:spacing w:after="0"/>
              <w:rPr>
                <w:sz w:val="17"/>
                <w:szCs w:val="17"/>
                <w:color w:val="auto"/>
              </w:rPr>
            </w:pPr>
          </w:p>
        </w:tc>
        <w:tc>
          <w:tcPr>
            <w:tcW w:w="120" w:type="dxa"/>
            <w:vAlign w:val="bottom"/>
            <w:vMerge w:val="restart"/>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1120" w:type="dxa"/>
            <w:vAlign w:val="bottom"/>
            <w:shd w:val="clear" w:color="auto" w:fill="E1E7EF"/>
          </w:tcPr>
          <w:p>
            <w:pPr>
              <w:jc w:val="center"/>
              <w:ind w:right="1"/>
              <w:spacing w:after="0"/>
              <w:rPr>
                <w:sz w:val="20"/>
                <w:szCs w:val="20"/>
                <w:color w:val="auto"/>
              </w:rPr>
            </w:pPr>
            <w:r>
              <w:rPr>
                <w:rFonts w:ascii="Arial" w:cs="Arial" w:eastAsia="Arial" w:hAnsi="Arial"/>
                <w:sz w:val="16"/>
                <w:szCs w:val="16"/>
                <w:color w:val="4C4C4C"/>
              </w:rPr>
              <w:t>Stock Option</w:t>
            </w:r>
          </w:p>
        </w:tc>
        <w:tc>
          <w:tcPr>
            <w:tcW w:w="940" w:type="dxa"/>
            <w:vAlign w:val="bottom"/>
            <w:gridSpan w:val="2"/>
            <w:shd w:val="clear" w:color="auto" w:fill="E1E7EF"/>
          </w:tcPr>
          <w:p>
            <w:pPr>
              <w:jc w:val="right"/>
              <w:spacing w:after="0" w:line="203" w:lineRule="exact"/>
              <w:rPr>
                <w:sz w:val="20"/>
                <w:szCs w:val="20"/>
                <w:color w:val="auto"/>
              </w:rPr>
            </w:pPr>
            <w:r>
              <w:rPr>
                <w:rFonts w:ascii="Arial" w:cs="Arial" w:eastAsia="Arial" w:hAnsi="Arial"/>
                <w:sz w:val="16"/>
                <w:szCs w:val="16"/>
                <w:color w:val="4C4C4C"/>
              </w:rPr>
              <w:t>6/9/2025</w:t>
            </w:r>
            <w:r>
              <w:rPr>
                <w:rFonts w:ascii="Trebuchet MS" w:cs="Trebuchet MS" w:eastAsia="Trebuchet MS" w:hAnsi="Trebuchet MS"/>
                <w:sz w:val="19"/>
                <w:szCs w:val="19"/>
                <w:color w:val="4C4C4C"/>
                <w:vertAlign w:val="superscript"/>
              </w:rPr>
              <w:t>(1)</w:t>
            </w:r>
          </w:p>
        </w:tc>
        <w:tc>
          <w:tcPr>
            <w:tcW w:w="500" w:type="dxa"/>
            <w:vAlign w:val="bottom"/>
            <w:vMerge w:val="restart"/>
            <w:shd w:val="clear" w:color="auto" w:fill="E1E7EF"/>
          </w:tcPr>
          <w:p>
            <w:pPr>
              <w:ind w:left="420"/>
              <w:spacing w:after="0"/>
              <w:rPr>
                <w:sz w:val="20"/>
                <w:szCs w:val="20"/>
                <w:color w:val="auto"/>
              </w:rPr>
            </w:pPr>
            <w:r>
              <w:rPr>
                <w:rFonts w:ascii="Arial" w:cs="Arial" w:eastAsia="Arial" w:hAnsi="Arial"/>
                <w:sz w:val="16"/>
                <w:szCs w:val="16"/>
                <w:color w:val="4C4C4C"/>
              </w:rPr>
              <w:t>​</w:t>
            </w:r>
          </w:p>
        </w:tc>
        <w:tc>
          <w:tcPr>
            <w:tcW w:w="360" w:type="dxa"/>
            <w:vAlign w:val="bottom"/>
            <w:shd w:val="clear" w:color="auto" w:fill="E1E7EF"/>
          </w:tcPr>
          <w:p>
            <w:pPr>
              <w:spacing w:after="0"/>
              <w:rPr>
                <w:sz w:val="17"/>
                <w:szCs w:val="17"/>
                <w:color w:val="auto"/>
              </w:rPr>
            </w:pPr>
          </w:p>
        </w:tc>
        <w:tc>
          <w:tcPr>
            <w:tcW w:w="140" w:type="dxa"/>
            <w:vAlign w:val="bottom"/>
            <w:shd w:val="clear" w:color="auto" w:fill="E1E7EF"/>
          </w:tcPr>
          <w:p>
            <w:pPr>
              <w:jc w:val="right"/>
              <w:spacing w:after="0"/>
              <w:rPr>
                <w:sz w:val="20"/>
                <w:szCs w:val="20"/>
                <w:color w:val="auto"/>
              </w:rPr>
            </w:pPr>
            <w:r>
              <w:rPr>
                <w:rFonts w:ascii="Arial" w:cs="Arial" w:eastAsia="Arial" w:hAnsi="Arial"/>
                <w:sz w:val="16"/>
                <w:szCs w:val="16"/>
                <w:color w:val="4C4C4C"/>
                <w:w w:val="74"/>
              </w:rPr>
              <w:t>—</w:t>
            </w:r>
          </w:p>
        </w:tc>
        <w:tc>
          <w:tcPr>
            <w:tcW w:w="120" w:type="dxa"/>
            <w:vAlign w:val="bottom"/>
            <w:vMerge w:val="restart"/>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400" w:type="dxa"/>
            <w:vAlign w:val="bottom"/>
            <w:vMerge w:val="restart"/>
            <w:shd w:val="clear" w:color="auto" w:fill="E1E7EF"/>
          </w:tcPr>
          <w:p>
            <w:pPr>
              <w:ind w:left="340"/>
              <w:spacing w:after="0"/>
              <w:rPr>
                <w:sz w:val="20"/>
                <w:szCs w:val="20"/>
                <w:color w:val="auto"/>
              </w:rPr>
            </w:pPr>
            <w:r>
              <w:rPr>
                <w:rFonts w:ascii="Arial" w:cs="Arial" w:eastAsia="Arial" w:hAnsi="Arial"/>
                <w:sz w:val="16"/>
                <w:szCs w:val="16"/>
                <w:color w:val="4C4C4C"/>
              </w:rPr>
              <w:t>​</w:t>
            </w:r>
          </w:p>
        </w:tc>
        <w:tc>
          <w:tcPr>
            <w:tcW w:w="68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563,981</w:t>
            </w:r>
          </w:p>
        </w:tc>
        <w:tc>
          <w:tcPr>
            <w:tcW w:w="100" w:type="dxa"/>
            <w:vAlign w:val="bottom"/>
            <w:vMerge w:val="restart"/>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780" w:type="dxa"/>
            <w:vAlign w:val="bottom"/>
            <w:gridSpan w:val="2"/>
            <w:shd w:val="clear" w:color="auto" w:fill="E1E7EF"/>
          </w:tcPr>
          <w:p>
            <w:pPr>
              <w:jc w:val="right"/>
              <w:spacing w:after="0"/>
              <w:rPr>
                <w:sz w:val="20"/>
                <w:szCs w:val="20"/>
                <w:color w:val="auto"/>
              </w:rPr>
            </w:pPr>
            <w:r>
              <w:rPr>
                <w:rFonts w:ascii="Arial" w:cs="Arial" w:eastAsia="Arial" w:hAnsi="Arial"/>
                <w:sz w:val="16"/>
                <w:szCs w:val="16"/>
                <w:color w:val="4C4C4C"/>
              </w:rPr>
              <w:t>1.18</w:t>
            </w:r>
          </w:p>
        </w:tc>
        <w:tc>
          <w:tcPr>
            <w:tcW w:w="100" w:type="dxa"/>
            <w:vAlign w:val="bottom"/>
            <w:vMerge w:val="restart"/>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420" w:type="dxa"/>
            <w:vAlign w:val="bottom"/>
            <w:vMerge w:val="restart"/>
            <w:shd w:val="clear" w:color="auto" w:fill="E1E7EF"/>
          </w:tcPr>
          <w:p>
            <w:pPr>
              <w:ind w:left="340"/>
              <w:spacing w:after="0"/>
              <w:rPr>
                <w:sz w:val="20"/>
                <w:szCs w:val="20"/>
                <w:color w:val="auto"/>
              </w:rPr>
            </w:pPr>
            <w:r>
              <w:rPr>
                <w:rFonts w:ascii="Arial" w:cs="Arial" w:eastAsia="Arial" w:hAnsi="Arial"/>
                <w:sz w:val="16"/>
                <w:szCs w:val="16"/>
                <w:color w:val="4C4C4C"/>
              </w:rPr>
              <w:t>​</w:t>
            </w:r>
          </w:p>
        </w:tc>
        <w:tc>
          <w:tcPr>
            <w:tcW w:w="68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577,517</w:t>
            </w:r>
          </w:p>
        </w:tc>
        <w:tc>
          <w:tcPr>
            <w:tcW w:w="100" w:type="dxa"/>
            <w:vAlign w:val="bottom"/>
            <w:vMerge w:val="restart"/>
            <w:shd w:val="clear" w:color="auto" w:fill="E1E7EF"/>
          </w:tcPr>
          <w:p>
            <w:pPr>
              <w:ind w:left="4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360" w:type="dxa"/>
            <w:vAlign w:val="bottom"/>
            <w:vMerge w:val="restart"/>
          </w:tcPr>
          <w:p>
            <w:pPr>
              <w:ind w:left="60"/>
              <w:spacing w:after="0"/>
              <w:rPr>
                <w:sz w:val="20"/>
                <w:szCs w:val="20"/>
                <w:color w:val="auto"/>
              </w:rPr>
            </w:pPr>
            <w:r>
              <w:rPr>
                <w:rFonts w:ascii="Trebuchet MS" w:cs="Trebuchet MS" w:eastAsia="Trebuchet MS" w:hAnsi="Trebuchet MS"/>
                <w:sz w:val="16"/>
                <w:szCs w:val="16"/>
                <w:b w:val="1"/>
                <w:bCs w:val="1"/>
                <w:color w:val="4C4C4C"/>
              </w:rPr>
              <w:t>(Leke) Agiri</w:t>
            </w:r>
          </w:p>
        </w:tc>
        <w:tc>
          <w:tcPr>
            <w:tcW w:w="140" w:type="dxa"/>
            <w:vAlign w:val="bottom"/>
          </w:tcPr>
          <w:p>
            <w:pPr>
              <w:spacing w:after="0"/>
              <w:rPr>
                <w:sz w:val="5"/>
                <w:szCs w:val="5"/>
                <w:color w:val="auto"/>
              </w:rPr>
            </w:pPr>
          </w:p>
        </w:tc>
        <w:tc>
          <w:tcPr>
            <w:tcW w:w="120" w:type="dxa"/>
            <w:vAlign w:val="bottom"/>
            <w:vMerge w:val="continue"/>
            <w:shd w:val="clear" w:color="auto" w:fill="E1E7EF"/>
          </w:tcPr>
          <w:p>
            <w:pPr>
              <w:spacing w:after="0"/>
              <w:rPr>
                <w:sz w:val="5"/>
                <w:szCs w:val="5"/>
                <w:color w:val="auto"/>
              </w:rPr>
            </w:pPr>
          </w:p>
        </w:tc>
        <w:tc>
          <w:tcPr>
            <w:tcW w:w="1120" w:type="dxa"/>
            <w:vAlign w:val="bottom"/>
            <w:shd w:val="clear" w:color="auto" w:fill="E1E7EF"/>
          </w:tcPr>
          <w:p>
            <w:pPr>
              <w:spacing w:after="0"/>
              <w:rPr>
                <w:sz w:val="5"/>
                <w:szCs w:val="5"/>
                <w:color w:val="auto"/>
              </w:rPr>
            </w:pPr>
          </w:p>
        </w:tc>
        <w:tc>
          <w:tcPr>
            <w:tcW w:w="780" w:type="dxa"/>
            <w:vAlign w:val="bottom"/>
            <w:shd w:val="clear" w:color="auto" w:fill="E1E7EF"/>
          </w:tcPr>
          <w:p>
            <w:pPr>
              <w:ind w:left="20"/>
              <w:spacing w:after="0" w:line="68" w:lineRule="exact"/>
              <w:rPr>
                <w:sz w:val="20"/>
                <w:szCs w:val="20"/>
                <w:color w:val="auto"/>
              </w:rPr>
            </w:pPr>
            <w:r>
              <w:rPr>
                <w:rFonts w:ascii="Arial" w:cs="Arial" w:eastAsia="Arial" w:hAnsi="Arial"/>
                <w:sz w:val="7"/>
                <w:szCs w:val="7"/>
                <w:color w:val="4C4C4C"/>
              </w:rPr>
              <w:t>​​​</w:t>
            </w:r>
          </w:p>
        </w:tc>
        <w:tc>
          <w:tcPr>
            <w:tcW w:w="160" w:type="dxa"/>
            <w:vAlign w:val="bottom"/>
            <w:shd w:val="clear" w:color="auto" w:fill="E1E7EF"/>
          </w:tcPr>
          <w:p>
            <w:pPr>
              <w:jc w:val="right"/>
              <w:spacing w:after="0" w:line="68" w:lineRule="exact"/>
              <w:rPr>
                <w:sz w:val="20"/>
                <w:szCs w:val="20"/>
                <w:color w:val="auto"/>
              </w:rPr>
            </w:pPr>
            <w:r>
              <w:rPr>
                <w:rFonts w:ascii="Arial" w:cs="Arial" w:eastAsia="Arial" w:hAnsi="Arial"/>
                <w:sz w:val="7"/>
                <w:szCs w:val="7"/>
                <w:color w:val="4C4C4C"/>
              </w:rPr>
              <w:t>​​</w:t>
            </w:r>
          </w:p>
        </w:tc>
        <w:tc>
          <w:tcPr>
            <w:tcW w:w="500" w:type="dxa"/>
            <w:vAlign w:val="bottom"/>
            <w:vMerge w:val="continue"/>
            <w:shd w:val="clear" w:color="auto" w:fill="E1E7EF"/>
          </w:tcPr>
          <w:p>
            <w:pPr>
              <w:spacing w:after="0"/>
              <w:rPr>
                <w:sz w:val="5"/>
                <w:szCs w:val="5"/>
                <w:color w:val="auto"/>
              </w:rPr>
            </w:pPr>
          </w:p>
        </w:tc>
        <w:tc>
          <w:tcPr>
            <w:tcW w:w="360" w:type="dxa"/>
            <w:vAlign w:val="bottom"/>
            <w:shd w:val="clear" w:color="auto" w:fill="E1E7EF"/>
          </w:tcPr>
          <w:p>
            <w:pPr>
              <w:spacing w:after="0"/>
              <w:rPr>
                <w:sz w:val="5"/>
                <w:szCs w:val="5"/>
                <w:color w:val="auto"/>
              </w:rPr>
            </w:pPr>
          </w:p>
        </w:tc>
        <w:tc>
          <w:tcPr>
            <w:tcW w:w="140" w:type="dxa"/>
            <w:vAlign w:val="bottom"/>
            <w:shd w:val="clear" w:color="auto" w:fill="E1E7EF"/>
          </w:tcPr>
          <w:p>
            <w:pPr>
              <w:spacing w:after="0"/>
              <w:rPr>
                <w:sz w:val="5"/>
                <w:szCs w:val="5"/>
                <w:color w:val="auto"/>
              </w:rPr>
            </w:pPr>
          </w:p>
        </w:tc>
        <w:tc>
          <w:tcPr>
            <w:tcW w:w="120" w:type="dxa"/>
            <w:vAlign w:val="bottom"/>
            <w:vMerge w:val="continue"/>
            <w:shd w:val="clear" w:color="auto" w:fill="E1E7EF"/>
          </w:tcPr>
          <w:p>
            <w:pPr>
              <w:spacing w:after="0"/>
              <w:rPr>
                <w:sz w:val="5"/>
                <w:szCs w:val="5"/>
                <w:color w:val="auto"/>
              </w:rPr>
            </w:pPr>
          </w:p>
        </w:tc>
        <w:tc>
          <w:tcPr>
            <w:tcW w:w="400" w:type="dxa"/>
            <w:vAlign w:val="bottom"/>
            <w:vMerge w:val="continue"/>
            <w:shd w:val="clear" w:color="auto" w:fill="E1E7EF"/>
          </w:tcPr>
          <w:p>
            <w:pPr>
              <w:spacing w:after="0"/>
              <w:rPr>
                <w:sz w:val="5"/>
                <w:szCs w:val="5"/>
                <w:color w:val="auto"/>
              </w:rPr>
            </w:pPr>
          </w:p>
        </w:tc>
        <w:tc>
          <w:tcPr>
            <w:tcW w:w="680" w:type="dxa"/>
            <w:vAlign w:val="bottom"/>
            <w:shd w:val="clear" w:color="auto" w:fill="E1E7EF"/>
          </w:tcPr>
          <w:p>
            <w:pPr>
              <w:spacing w:after="0"/>
              <w:rPr>
                <w:sz w:val="5"/>
                <w:szCs w:val="5"/>
                <w:color w:val="auto"/>
              </w:rPr>
            </w:pPr>
          </w:p>
        </w:tc>
        <w:tc>
          <w:tcPr>
            <w:tcW w:w="100" w:type="dxa"/>
            <w:vAlign w:val="bottom"/>
            <w:vMerge w:val="continue"/>
            <w:shd w:val="clear" w:color="auto" w:fill="E1E7EF"/>
          </w:tcPr>
          <w:p>
            <w:pPr>
              <w:spacing w:after="0"/>
              <w:rPr>
                <w:sz w:val="5"/>
                <w:szCs w:val="5"/>
                <w:color w:val="auto"/>
              </w:rPr>
            </w:pPr>
          </w:p>
        </w:tc>
        <w:tc>
          <w:tcPr>
            <w:tcW w:w="640" w:type="dxa"/>
            <w:vAlign w:val="bottom"/>
            <w:shd w:val="clear" w:color="auto" w:fill="E1E7EF"/>
          </w:tcPr>
          <w:p>
            <w:pPr>
              <w:ind w:left="460"/>
              <w:spacing w:after="0" w:line="68" w:lineRule="exact"/>
              <w:rPr>
                <w:sz w:val="20"/>
                <w:szCs w:val="20"/>
                <w:color w:val="auto"/>
              </w:rPr>
            </w:pPr>
            <w:r>
              <w:rPr>
                <w:rFonts w:ascii="Arial" w:cs="Arial" w:eastAsia="Arial" w:hAnsi="Arial"/>
                <w:sz w:val="7"/>
                <w:szCs w:val="7"/>
                <w:color w:val="4C4C4C"/>
              </w:rPr>
              <w:t>​</w:t>
            </w:r>
          </w:p>
        </w:tc>
        <w:tc>
          <w:tcPr>
            <w:tcW w:w="140" w:type="dxa"/>
            <w:vAlign w:val="bottom"/>
            <w:shd w:val="clear" w:color="auto" w:fill="E1E7EF"/>
          </w:tcPr>
          <w:p>
            <w:pPr>
              <w:spacing w:after="0"/>
              <w:rPr>
                <w:sz w:val="5"/>
                <w:szCs w:val="5"/>
                <w:color w:val="auto"/>
              </w:rPr>
            </w:pPr>
          </w:p>
        </w:tc>
        <w:tc>
          <w:tcPr>
            <w:tcW w:w="100" w:type="dxa"/>
            <w:vAlign w:val="bottom"/>
            <w:vMerge w:val="continue"/>
            <w:shd w:val="clear" w:color="auto" w:fill="E1E7EF"/>
          </w:tcPr>
          <w:p>
            <w:pPr>
              <w:spacing w:after="0"/>
              <w:rPr>
                <w:sz w:val="5"/>
                <w:szCs w:val="5"/>
                <w:color w:val="auto"/>
              </w:rPr>
            </w:pPr>
          </w:p>
        </w:tc>
        <w:tc>
          <w:tcPr>
            <w:tcW w:w="420" w:type="dxa"/>
            <w:vAlign w:val="bottom"/>
            <w:vMerge w:val="continue"/>
            <w:shd w:val="clear" w:color="auto" w:fill="E1E7EF"/>
          </w:tcPr>
          <w:p>
            <w:pPr>
              <w:spacing w:after="0"/>
              <w:rPr>
                <w:sz w:val="5"/>
                <w:szCs w:val="5"/>
                <w:color w:val="auto"/>
              </w:rPr>
            </w:pPr>
          </w:p>
        </w:tc>
        <w:tc>
          <w:tcPr>
            <w:tcW w:w="680" w:type="dxa"/>
            <w:vAlign w:val="bottom"/>
            <w:shd w:val="clear" w:color="auto" w:fill="E1E7EF"/>
          </w:tcPr>
          <w:p>
            <w:pPr>
              <w:spacing w:after="0"/>
              <w:rPr>
                <w:sz w:val="5"/>
                <w:szCs w:val="5"/>
                <w:color w:val="auto"/>
              </w:rPr>
            </w:pPr>
          </w:p>
        </w:tc>
        <w:tc>
          <w:tcPr>
            <w:tcW w:w="100" w:type="dxa"/>
            <w:vAlign w:val="bottom"/>
            <w:vMerge w:val="continue"/>
            <w:shd w:val="clear" w:color="auto" w:fill="E1E7E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40" w:type="dxa"/>
            <w:vAlign w:val="bottom"/>
            <w:vMerge w:val="restart"/>
          </w:tcPr>
          <w:p>
            <w:pPr>
              <w:ind w:left="20"/>
              <w:spacing w:after="0"/>
              <w:rPr>
                <w:sz w:val="20"/>
                <w:szCs w:val="20"/>
                <w:color w:val="auto"/>
              </w:rPr>
            </w:pPr>
            <w:r>
              <w:rPr>
                <w:rFonts w:ascii="Arial" w:cs="Arial" w:eastAsia="Arial" w:hAnsi="Arial"/>
                <w:sz w:val="16"/>
                <w:szCs w:val="16"/>
                <w:color w:val="4C4C4C"/>
              </w:rPr>
              <w:t>​</w:t>
            </w:r>
          </w:p>
        </w:tc>
        <w:tc>
          <w:tcPr>
            <w:tcW w:w="1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color w:val="4C4C4C"/>
              </w:rPr>
              <w:t>Restricted Stock</w:t>
            </w:r>
          </w:p>
        </w:tc>
        <w:tc>
          <w:tcPr>
            <w:tcW w:w="940" w:type="dxa"/>
            <w:vAlign w:val="bottom"/>
            <w:gridSpan w:val="2"/>
          </w:tcPr>
          <w:p>
            <w:pPr>
              <w:jc w:val="right"/>
              <w:spacing w:after="0"/>
              <w:rPr>
                <w:sz w:val="20"/>
                <w:szCs w:val="20"/>
                <w:color w:val="auto"/>
              </w:rPr>
            </w:pPr>
            <w:r>
              <w:rPr>
                <w:rFonts w:ascii="Arial" w:cs="Arial" w:eastAsia="Arial" w:hAnsi="Arial"/>
                <w:sz w:val="16"/>
                <w:szCs w:val="16"/>
                <w:color w:val="4C4C4C"/>
              </w:rPr>
              <w:t>6/9/2025</w:t>
            </w:r>
            <w:r>
              <w:rPr>
                <w:rFonts w:ascii="Trebuchet MS" w:cs="Trebuchet MS" w:eastAsia="Trebuchet MS" w:hAnsi="Trebuchet MS"/>
                <w:sz w:val="9"/>
                <w:szCs w:val="9"/>
                <w:color w:val="4C4C4C"/>
              </w:rPr>
              <w:t>(1)</w:t>
            </w:r>
          </w:p>
        </w:tc>
        <w:tc>
          <w:tcPr>
            <w:tcW w:w="1000" w:type="dxa"/>
            <w:vAlign w:val="bottom"/>
            <w:gridSpan w:val="3"/>
          </w:tcPr>
          <w:p>
            <w:pPr>
              <w:jc w:val="right"/>
              <w:spacing w:after="0"/>
              <w:rPr>
                <w:sz w:val="20"/>
                <w:szCs w:val="20"/>
                <w:color w:val="auto"/>
              </w:rPr>
            </w:pPr>
            <w:r>
              <w:rPr>
                <w:rFonts w:ascii="Arial" w:cs="Arial" w:eastAsia="Arial" w:hAnsi="Arial"/>
                <w:sz w:val="16"/>
                <w:szCs w:val="16"/>
                <w:color w:val="4C4C4C"/>
              </w:rPr>
              <w:t>189,084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400" w:type="dxa"/>
            <w:vAlign w:val="bottom"/>
            <w:vMerge w:val="restart"/>
          </w:tcPr>
          <w:p>
            <w:pPr>
              <w:ind w:left="34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rPr>
                <w:sz w:val="20"/>
                <w:szCs w:val="20"/>
                <w:color w:val="auto"/>
              </w:rPr>
            </w:pPr>
            <w:r>
              <w:rPr>
                <w:rFonts w:ascii="Arial" w:cs="Arial" w:eastAsia="Arial" w:hAnsi="Arial"/>
                <w:sz w:val="16"/>
                <w:szCs w:val="16"/>
                <w:color w:val="4C4C4C"/>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640" w:type="dxa"/>
            <w:vAlign w:val="bottom"/>
            <w:vMerge w:val="restart"/>
          </w:tcPr>
          <w:p>
            <w:pPr>
              <w:ind w:left="460"/>
              <w:spacing w:after="0"/>
              <w:rPr>
                <w:sz w:val="20"/>
                <w:szCs w:val="20"/>
                <w:color w:val="auto"/>
              </w:rPr>
            </w:pPr>
            <w:r>
              <w:rPr>
                <w:rFonts w:ascii="Arial" w:cs="Arial" w:eastAsia="Arial" w:hAnsi="Arial"/>
                <w:sz w:val="16"/>
                <w:szCs w:val="16"/>
                <w:color w:val="4C4C4C"/>
              </w:rPr>
              <w:t>​</w:t>
            </w:r>
          </w:p>
        </w:tc>
        <w:tc>
          <w:tcPr>
            <w:tcW w:w="140" w:type="dxa"/>
            <w:vAlign w:val="bottom"/>
          </w:tcPr>
          <w:p>
            <w:pPr>
              <w:jc w:val="right"/>
              <w:spacing w:after="0"/>
              <w:rPr>
                <w:sz w:val="20"/>
                <w:szCs w:val="20"/>
                <w:color w:val="auto"/>
              </w:rPr>
            </w:pPr>
            <w:r>
              <w:rPr>
                <w:rFonts w:ascii="Arial" w:cs="Arial" w:eastAsia="Arial" w:hAnsi="Arial"/>
                <w:sz w:val="16"/>
                <w:szCs w:val="16"/>
                <w:color w:val="4C4C4C"/>
                <w:w w:val="74"/>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420" w:type="dxa"/>
            <w:vAlign w:val="bottom"/>
            <w:vMerge w:val="restart"/>
          </w:tcPr>
          <w:p>
            <w:pPr>
              <w:ind w:left="34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rPr>
                <w:sz w:val="20"/>
                <w:szCs w:val="20"/>
                <w:color w:val="auto"/>
              </w:rPr>
            </w:pPr>
            <w:r>
              <w:rPr>
                <w:rFonts w:ascii="Arial" w:cs="Arial" w:eastAsia="Arial" w:hAnsi="Arial"/>
                <w:sz w:val="16"/>
                <w:szCs w:val="16"/>
                <w:color w:val="4C4C4C"/>
              </w:rPr>
              <w:t>223,119</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260" w:type="dxa"/>
            <w:vAlign w:val="bottom"/>
            <w:gridSpan w:val="2"/>
          </w:tcPr>
          <w:p>
            <w:pPr>
              <w:jc w:val="right"/>
              <w:spacing w:after="0" w:line="68" w:lineRule="exact"/>
              <w:rPr>
                <w:sz w:val="20"/>
                <w:szCs w:val="20"/>
                <w:color w:val="auto"/>
              </w:rPr>
            </w:pPr>
            <w:r>
              <w:rPr>
                <w:rFonts w:ascii="Arial" w:cs="Arial" w:eastAsia="Arial" w:hAnsi="Arial"/>
                <w:sz w:val="7"/>
                <w:szCs w:val="7"/>
                <w:color w:val="4C4C4C"/>
              </w:rPr>
              <w:t>​​</w:t>
            </w:r>
          </w:p>
        </w:tc>
        <w:tc>
          <w:tcPr>
            <w:tcW w:w="1120" w:type="dxa"/>
            <w:vAlign w:val="bottom"/>
          </w:tcPr>
          <w:p>
            <w:pPr>
              <w:spacing w:after="0"/>
              <w:rPr>
                <w:sz w:val="5"/>
                <w:szCs w:val="5"/>
                <w:color w:val="auto"/>
              </w:rPr>
            </w:pPr>
          </w:p>
        </w:tc>
        <w:tc>
          <w:tcPr>
            <w:tcW w:w="780" w:type="dxa"/>
            <w:vAlign w:val="bottom"/>
          </w:tcPr>
          <w:p>
            <w:pPr>
              <w:ind w:left="20"/>
              <w:spacing w:after="0" w:line="68" w:lineRule="exact"/>
              <w:rPr>
                <w:sz w:val="20"/>
                <w:szCs w:val="20"/>
                <w:color w:val="auto"/>
              </w:rPr>
            </w:pPr>
            <w:r>
              <w:rPr>
                <w:rFonts w:ascii="Arial" w:cs="Arial" w:eastAsia="Arial" w:hAnsi="Arial"/>
                <w:sz w:val="7"/>
                <w:szCs w:val="7"/>
                <w:color w:val="4C4C4C"/>
              </w:rPr>
              <w:t>​​​</w:t>
            </w:r>
          </w:p>
        </w:tc>
        <w:tc>
          <w:tcPr>
            <w:tcW w:w="160" w:type="dxa"/>
            <w:vAlign w:val="bottom"/>
          </w:tcPr>
          <w:p>
            <w:pPr>
              <w:jc w:val="right"/>
              <w:spacing w:after="0" w:line="68" w:lineRule="exact"/>
              <w:rPr>
                <w:sz w:val="20"/>
                <w:szCs w:val="20"/>
                <w:color w:val="auto"/>
              </w:rPr>
            </w:pPr>
            <w:r>
              <w:rPr>
                <w:rFonts w:ascii="Arial" w:cs="Arial" w:eastAsia="Arial" w:hAnsi="Arial"/>
                <w:sz w:val="7"/>
                <w:szCs w:val="7"/>
                <w:color w:val="4C4C4C"/>
              </w:rPr>
              <w:t>​​</w:t>
            </w:r>
          </w:p>
        </w:tc>
        <w:tc>
          <w:tcPr>
            <w:tcW w:w="500" w:type="dxa"/>
            <w:vAlign w:val="bottom"/>
          </w:tcPr>
          <w:p>
            <w:pPr>
              <w:ind w:left="420"/>
              <w:spacing w:after="0" w:line="68" w:lineRule="exact"/>
              <w:rPr>
                <w:sz w:val="20"/>
                <w:szCs w:val="20"/>
                <w:color w:val="auto"/>
              </w:rPr>
            </w:pPr>
            <w:r>
              <w:rPr>
                <w:rFonts w:ascii="Arial" w:cs="Arial" w:eastAsia="Arial" w:hAnsi="Arial"/>
                <w:sz w:val="7"/>
                <w:szCs w:val="7"/>
                <w:color w:val="4C4C4C"/>
              </w:rPr>
              <w:t>​</w:t>
            </w: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500" w:type="dxa"/>
            <w:vAlign w:val="bottom"/>
            <w:gridSpan w:val="2"/>
            <w:vMerge w:val="restart"/>
          </w:tcPr>
          <w:p>
            <w:pPr>
              <w:ind w:left="40"/>
              <w:spacing w:after="0"/>
              <w:rPr>
                <w:sz w:val="20"/>
                <w:szCs w:val="20"/>
                <w:color w:val="auto"/>
              </w:rPr>
            </w:pPr>
            <w:r>
              <w:rPr>
                <w:rFonts w:ascii="Trebuchet MS" w:cs="Trebuchet MS" w:eastAsia="Trebuchet MS" w:hAnsi="Trebuchet MS"/>
                <w:sz w:val="16"/>
                <w:szCs w:val="16"/>
                <w:b w:val="1"/>
                <w:bCs w:val="1"/>
                <w:color w:val="4C4C4C"/>
              </w:rPr>
              <w:t xml:space="preserve">Christopher </w:t>
            </w:r>
            <w:r>
              <w:rPr>
                <w:rFonts w:ascii="Arial" w:cs="Arial" w:eastAsia="Arial" w:hAnsi="Arial"/>
                <w:sz w:val="16"/>
                <w:szCs w:val="16"/>
                <w:b w:val="1"/>
                <w:bCs w:val="1"/>
                <w:color w:val="4C4C4C"/>
              </w:rPr>
              <w:t>M</w:t>
            </w:r>
            <w:r>
              <w:rPr>
                <w:rFonts w:ascii="Trebuchet MS" w:cs="Trebuchet MS" w:eastAsia="Trebuchet MS" w:hAnsi="Trebuchet MS"/>
                <w:sz w:val="16"/>
                <w:szCs w:val="16"/>
                <w:b w:val="1"/>
                <w:bCs w:val="1"/>
                <w:color w:val="4C4C4C"/>
              </w:rPr>
              <w:t>.</w:t>
            </w:r>
          </w:p>
        </w:tc>
        <w:tc>
          <w:tcPr>
            <w:tcW w:w="1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1120" w:type="dxa"/>
            <w:vAlign w:val="bottom"/>
            <w:vMerge w:val="restart"/>
          </w:tcPr>
          <w:p>
            <w:pPr>
              <w:jc w:val="center"/>
              <w:ind w:right="1"/>
              <w:spacing w:after="0"/>
              <w:rPr>
                <w:sz w:val="20"/>
                <w:szCs w:val="20"/>
                <w:color w:val="auto"/>
              </w:rPr>
            </w:pPr>
            <w:r>
              <w:rPr>
                <w:rFonts w:ascii="Arial" w:cs="Arial" w:eastAsia="Arial" w:hAnsi="Arial"/>
                <w:sz w:val="16"/>
                <w:szCs w:val="16"/>
                <w:color w:val="4C4C4C"/>
              </w:rPr>
              <w:t>Stock Option</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4C4C4C"/>
              </w:rPr>
              <w:t>​​​6/9/2025</w:t>
            </w:r>
          </w:p>
        </w:tc>
        <w:tc>
          <w:tcPr>
            <w:tcW w:w="160" w:type="dxa"/>
            <w:vAlign w:val="bottom"/>
          </w:tcPr>
          <w:p>
            <w:pPr>
              <w:jc w:val="right"/>
              <w:spacing w:after="0"/>
              <w:rPr>
                <w:sz w:val="20"/>
                <w:szCs w:val="20"/>
                <w:color w:val="auto"/>
              </w:rPr>
            </w:pPr>
            <w:r>
              <w:rPr>
                <w:rFonts w:ascii="Trebuchet MS" w:cs="Trebuchet MS" w:eastAsia="Trebuchet MS" w:hAnsi="Trebuchet MS"/>
                <w:sz w:val="10"/>
                <w:szCs w:val="10"/>
                <w:color w:val="4C4C4C"/>
                <w:w w:val="79"/>
              </w:rPr>
              <w:t>(1)</w:t>
            </w:r>
          </w:p>
        </w:tc>
        <w:tc>
          <w:tcPr>
            <w:tcW w:w="500" w:type="dxa"/>
            <w:vAlign w:val="bottom"/>
            <w:vMerge w:val="restart"/>
          </w:tcPr>
          <w:p>
            <w:pPr>
              <w:ind w:left="420"/>
              <w:spacing w:after="0"/>
              <w:rPr>
                <w:sz w:val="20"/>
                <w:szCs w:val="20"/>
                <w:color w:val="auto"/>
              </w:rPr>
            </w:pPr>
            <w:r>
              <w:rPr>
                <w:rFonts w:ascii="Arial" w:cs="Arial" w:eastAsia="Arial" w:hAnsi="Arial"/>
                <w:sz w:val="16"/>
                <w:szCs w:val="16"/>
                <w:color w:val="4C4C4C"/>
              </w:rPr>
              <w:t>​</w:t>
            </w:r>
          </w:p>
        </w:tc>
        <w:tc>
          <w:tcPr>
            <w:tcW w:w="360" w:type="dxa"/>
            <w:vAlign w:val="bottom"/>
          </w:tcPr>
          <w:p>
            <w:pPr>
              <w:spacing w:after="0"/>
              <w:rPr>
                <w:sz w:val="11"/>
                <w:szCs w:val="1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4C4C4C"/>
              </w:rPr>
              <w:t>— ​​</w:t>
            </w:r>
          </w:p>
        </w:tc>
        <w:tc>
          <w:tcPr>
            <w:tcW w:w="400" w:type="dxa"/>
            <w:vAlign w:val="bottom"/>
            <w:vMerge w:val="restart"/>
          </w:tcPr>
          <w:p>
            <w:pPr>
              <w:ind w:left="340"/>
              <w:spacing w:after="0"/>
              <w:rPr>
                <w:sz w:val="20"/>
                <w:szCs w:val="20"/>
                <w:color w:val="auto"/>
              </w:rPr>
            </w:pPr>
            <w:r>
              <w:rPr>
                <w:rFonts w:ascii="Arial" w:cs="Arial" w:eastAsia="Arial" w:hAnsi="Arial"/>
                <w:sz w:val="16"/>
                <w:szCs w:val="16"/>
                <w:color w:val="4C4C4C"/>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4C4C4C"/>
              </w:rPr>
              <w:t>626,618</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880" w:type="dxa"/>
            <w:vAlign w:val="bottom"/>
            <w:gridSpan w:val="3"/>
            <w:vMerge w:val="restart"/>
          </w:tcPr>
          <w:p>
            <w:pPr>
              <w:jc w:val="right"/>
              <w:spacing w:after="0"/>
              <w:rPr>
                <w:sz w:val="20"/>
                <w:szCs w:val="20"/>
                <w:color w:val="auto"/>
              </w:rPr>
            </w:pPr>
            <w:r>
              <w:rPr>
                <w:rFonts w:ascii="Arial" w:cs="Arial" w:eastAsia="Arial" w:hAnsi="Arial"/>
                <w:sz w:val="16"/>
                <w:szCs w:val="16"/>
                <w:color w:val="4C4C4C"/>
              </w:rPr>
              <w:t>​1.18 ​</w:t>
            </w:r>
          </w:p>
        </w:tc>
        <w:tc>
          <w:tcPr>
            <w:tcW w:w="420" w:type="dxa"/>
            <w:vAlign w:val="bottom"/>
            <w:vMerge w:val="restart"/>
          </w:tcPr>
          <w:p>
            <w:pPr>
              <w:ind w:left="340"/>
              <w:spacing w:after="0"/>
              <w:rPr>
                <w:sz w:val="20"/>
                <w:szCs w:val="20"/>
                <w:color w:val="auto"/>
              </w:rPr>
            </w:pPr>
            <w:r>
              <w:rPr>
                <w:rFonts w:ascii="Arial" w:cs="Arial" w:eastAsia="Arial" w:hAnsi="Arial"/>
                <w:sz w:val="16"/>
                <w:szCs w:val="16"/>
                <w:color w:val="4C4C4C"/>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4C4C4C"/>
              </w:rPr>
              <w:t>641,657</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98"/>
        </w:trPr>
        <w:tc>
          <w:tcPr>
            <w:tcW w:w="15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60" w:type="dxa"/>
            <w:vAlign w:val="bottom"/>
          </w:tcPr>
          <w:p>
            <w:pPr>
              <w:jc w:val="right"/>
              <w:spacing w:after="0" w:line="99" w:lineRule="exact"/>
              <w:rPr>
                <w:sz w:val="20"/>
                <w:szCs w:val="20"/>
                <w:color w:val="auto"/>
              </w:rPr>
            </w:pPr>
            <w:r>
              <w:rPr>
                <w:rFonts w:ascii="Arial" w:cs="Arial" w:eastAsia="Arial" w:hAnsi="Arial"/>
                <w:sz w:val="11"/>
                <w:szCs w:val="11"/>
                <w:color w:val="4C4C4C"/>
              </w:rPr>
              <w:t>​​</w:t>
            </w:r>
          </w:p>
        </w:tc>
        <w:tc>
          <w:tcPr>
            <w:tcW w:w="5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40" w:type="dxa"/>
            <w:vAlign w:val="bottom"/>
            <w:vMerge w:val="restart"/>
          </w:tcPr>
          <w:p>
            <w:pPr>
              <w:ind w:left="20"/>
              <w:spacing w:after="0"/>
              <w:rPr>
                <w:sz w:val="20"/>
                <w:szCs w:val="20"/>
                <w:color w:val="auto"/>
              </w:rPr>
            </w:pPr>
            <w:r>
              <w:rPr>
                <w:rFonts w:ascii="Arial" w:cs="Arial" w:eastAsia="Arial" w:hAnsi="Arial"/>
                <w:sz w:val="16"/>
                <w:szCs w:val="16"/>
                <w:color w:val="4C4C4C"/>
              </w:rPr>
              <w:t>​</w:t>
            </w:r>
          </w:p>
        </w:tc>
        <w:tc>
          <w:tcPr>
            <w:tcW w:w="1360" w:type="dxa"/>
            <w:vAlign w:val="bottom"/>
          </w:tcPr>
          <w:p>
            <w:pPr>
              <w:ind w:left="60"/>
              <w:spacing w:after="0"/>
              <w:rPr>
                <w:sz w:val="20"/>
                <w:szCs w:val="20"/>
                <w:color w:val="auto"/>
              </w:rPr>
            </w:pPr>
            <w:r>
              <w:rPr>
                <w:rFonts w:ascii="Trebuchet MS" w:cs="Trebuchet MS" w:eastAsia="Trebuchet MS" w:hAnsi="Trebuchet MS"/>
                <w:sz w:val="16"/>
                <w:szCs w:val="16"/>
                <w:b w:val="1"/>
                <w:bCs w:val="1"/>
                <w:color w:val="4C4C4C"/>
              </w:rPr>
              <w:t>Ryan</w:t>
            </w:r>
          </w:p>
        </w:tc>
        <w:tc>
          <w:tcPr>
            <w:tcW w:w="14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color w:val="4C4C4C"/>
              </w:rPr>
              <w:t>Restricted Stock</w:t>
            </w:r>
          </w:p>
        </w:tc>
        <w:tc>
          <w:tcPr>
            <w:tcW w:w="940" w:type="dxa"/>
            <w:vAlign w:val="bottom"/>
            <w:gridSpan w:val="2"/>
          </w:tcPr>
          <w:p>
            <w:pPr>
              <w:jc w:val="right"/>
              <w:spacing w:after="0"/>
              <w:rPr>
                <w:sz w:val="20"/>
                <w:szCs w:val="20"/>
                <w:color w:val="auto"/>
              </w:rPr>
            </w:pPr>
            <w:r>
              <w:rPr>
                <w:rFonts w:ascii="Arial" w:cs="Arial" w:eastAsia="Arial" w:hAnsi="Arial"/>
                <w:sz w:val="16"/>
                <w:szCs w:val="16"/>
                <w:color w:val="4C4C4C"/>
              </w:rPr>
              <w:t>6/9/2025</w:t>
            </w:r>
            <w:r>
              <w:rPr>
                <w:rFonts w:ascii="Trebuchet MS" w:cs="Trebuchet MS" w:eastAsia="Trebuchet MS" w:hAnsi="Trebuchet MS"/>
                <w:sz w:val="9"/>
                <w:szCs w:val="9"/>
                <w:color w:val="4C4C4C"/>
              </w:rPr>
              <w:t>(1)</w:t>
            </w:r>
          </w:p>
        </w:tc>
        <w:tc>
          <w:tcPr>
            <w:tcW w:w="1000" w:type="dxa"/>
            <w:vAlign w:val="bottom"/>
            <w:gridSpan w:val="3"/>
          </w:tcPr>
          <w:p>
            <w:pPr>
              <w:jc w:val="right"/>
              <w:spacing w:after="0"/>
              <w:rPr>
                <w:sz w:val="20"/>
                <w:szCs w:val="20"/>
                <w:color w:val="auto"/>
              </w:rPr>
            </w:pPr>
            <w:r>
              <w:rPr>
                <w:rFonts w:ascii="Arial" w:cs="Arial" w:eastAsia="Arial" w:hAnsi="Arial"/>
                <w:sz w:val="16"/>
                <w:szCs w:val="16"/>
                <w:color w:val="4C4C4C"/>
              </w:rPr>
              <w:t>210,084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400" w:type="dxa"/>
            <w:vAlign w:val="bottom"/>
            <w:vMerge w:val="restart"/>
          </w:tcPr>
          <w:p>
            <w:pPr>
              <w:ind w:left="34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rPr>
                <w:sz w:val="20"/>
                <w:szCs w:val="20"/>
                <w:color w:val="auto"/>
              </w:rPr>
            </w:pPr>
            <w:r>
              <w:rPr>
                <w:rFonts w:ascii="Arial" w:cs="Arial" w:eastAsia="Arial" w:hAnsi="Arial"/>
                <w:sz w:val="16"/>
                <w:szCs w:val="16"/>
                <w:color w:val="4C4C4C"/>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640" w:type="dxa"/>
            <w:vAlign w:val="bottom"/>
            <w:vMerge w:val="restart"/>
          </w:tcPr>
          <w:p>
            <w:pPr>
              <w:ind w:left="460"/>
              <w:spacing w:after="0"/>
              <w:rPr>
                <w:sz w:val="20"/>
                <w:szCs w:val="20"/>
                <w:color w:val="auto"/>
              </w:rPr>
            </w:pPr>
            <w:r>
              <w:rPr>
                <w:rFonts w:ascii="Arial" w:cs="Arial" w:eastAsia="Arial" w:hAnsi="Arial"/>
                <w:sz w:val="16"/>
                <w:szCs w:val="16"/>
                <w:color w:val="4C4C4C"/>
              </w:rPr>
              <w:t>​</w:t>
            </w:r>
          </w:p>
        </w:tc>
        <w:tc>
          <w:tcPr>
            <w:tcW w:w="140" w:type="dxa"/>
            <w:vAlign w:val="bottom"/>
          </w:tcPr>
          <w:p>
            <w:pPr>
              <w:jc w:val="right"/>
              <w:spacing w:after="0"/>
              <w:rPr>
                <w:sz w:val="20"/>
                <w:szCs w:val="20"/>
                <w:color w:val="auto"/>
              </w:rPr>
            </w:pPr>
            <w:r>
              <w:rPr>
                <w:rFonts w:ascii="Arial" w:cs="Arial" w:eastAsia="Arial" w:hAnsi="Arial"/>
                <w:sz w:val="16"/>
                <w:szCs w:val="16"/>
                <w:color w:val="4C4C4C"/>
                <w:w w:val="74"/>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420" w:type="dxa"/>
            <w:vAlign w:val="bottom"/>
            <w:vMerge w:val="restart"/>
          </w:tcPr>
          <w:p>
            <w:pPr>
              <w:ind w:left="34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rPr>
                <w:sz w:val="20"/>
                <w:szCs w:val="20"/>
                <w:color w:val="auto"/>
              </w:rPr>
            </w:pPr>
            <w:r>
              <w:rPr>
                <w:rFonts w:ascii="Arial" w:cs="Arial" w:eastAsia="Arial" w:hAnsi="Arial"/>
                <w:sz w:val="16"/>
                <w:szCs w:val="16"/>
                <w:color w:val="4C4C4C"/>
              </w:rPr>
              <w:t>247,899</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260" w:type="dxa"/>
            <w:vAlign w:val="bottom"/>
            <w:gridSpan w:val="2"/>
          </w:tcPr>
          <w:p>
            <w:pPr>
              <w:jc w:val="right"/>
              <w:spacing w:after="0" w:line="68" w:lineRule="exact"/>
              <w:rPr>
                <w:sz w:val="20"/>
                <w:szCs w:val="20"/>
                <w:color w:val="auto"/>
              </w:rPr>
            </w:pPr>
            <w:r>
              <w:rPr>
                <w:rFonts w:ascii="Arial" w:cs="Arial" w:eastAsia="Arial" w:hAnsi="Arial"/>
                <w:sz w:val="7"/>
                <w:szCs w:val="7"/>
                <w:color w:val="4C4C4C"/>
              </w:rPr>
              <w:t>​​</w:t>
            </w:r>
          </w:p>
        </w:tc>
        <w:tc>
          <w:tcPr>
            <w:tcW w:w="1120" w:type="dxa"/>
            <w:vAlign w:val="bottom"/>
          </w:tcPr>
          <w:p>
            <w:pPr>
              <w:spacing w:after="0"/>
              <w:rPr>
                <w:sz w:val="5"/>
                <w:szCs w:val="5"/>
                <w:color w:val="auto"/>
              </w:rPr>
            </w:pPr>
          </w:p>
        </w:tc>
        <w:tc>
          <w:tcPr>
            <w:tcW w:w="780" w:type="dxa"/>
            <w:vAlign w:val="bottom"/>
          </w:tcPr>
          <w:p>
            <w:pPr>
              <w:ind w:left="20"/>
              <w:spacing w:after="0" w:line="68" w:lineRule="exact"/>
              <w:rPr>
                <w:sz w:val="20"/>
                <w:szCs w:val="20"/>
                <w:color w:val="auto"/>
              </w:rPr>
            </w:pPr>
            <w:r>
              <w:rPr>
                <w:rFonts w:ascii="Arial" w:cs="Arial" w:eastAsia="Arial" w:hAnsi="Arial"/>
                <w:sz w:val="7"/>
                <w:szCs w:val="7"/>
                <w:color w:val="4C4C4C"/>
              </w:rPr>
              <w:t>​​​</w:t>
            </w:r>
          </w:p>
        </w:tc>
        <w:tc>
          <w:tcPr>
            <w:tcW w:w="160" w:type="dxa"/>
            <w:vAlign w:val="bottom"/>
          </w:tcPr>
          <w:p>
            <w:pPr>
              <w:jc w:val="right"/>
              <w:spacing w:after="0" w:line="68" w:lineRule="exact"/>
              <w:rPr>
                <w:sz w:val="20"/>
                <w:szCs w:val="20"/>
                <w:color w:val="auto"/>
              </w:rPr>
            </w:pPr>
            <w:r>
              <w:rPr>
                <w:rFonts w:ascii="Arial" w:cs="Arial" w:eastAsia="Arial" w:hAnsi="Arial"/>
                <w:sz w:val="7"/>
                <w:szCs w:val="7"/>
                <w:color w:val="4C4C4C"/>
              </w:rPr>
              <w:t>​​</w:t>
            </w:r>
          </w:p>
        </w:tc>
        <w:tc>
          <w:tcPr>
            <w:tcW w:w="500" w:type="dxa"/>
            <w:vAlign w:val="bottom"/>
          </w:tcPr>
          <w:p>
            <w:pPr>
              <w:ind w:left="420"/>
              <w:spacing w:after="0" w:line="68" w:lineRule="exact"/>
              <w:rPr>
                <w:sz w:val="20"/>
                <w:szCs w:val="20"/>
                <w:color w:val="auto"/>
              </w:rPr>
            </w:pPr>
            <w:r>
              <w:rPr>
                <w:rFonts w:ascii="Arial" w:cs="Arial" w:eastAsia="Arial" w:hAnsi="Arial"/>
                <w:sz w:val="7"/>
                <w:szCs w:val="7"/>
                <w:color w:val="4C4C4C"/>
              </w:rPr>
              <w:t>​</w:t>
            </w: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ind w:left="40"/>
              <w:spacing w:after="0"/>
              <w:rPr>
                <w:sz w:val="20"/>
                <w:szCs w:val="20"/>
                <w:color w:val="auto"/>
              </w:rPr>
            </w:pPr>
            <w:r>
              <w:rPr>
                <w:rFonts w:ascii="Trebuchet MS" w:cs="Trebuchet MS" w:eastAsia="Trebuchet MS" w:hAnsi="Trebuchet MS"/>
                <w:sz w:val="16"/>
                <w:szCs w:val="16"/>
                <w:b w:val="1"/>
                <w:bCs w:val="1"/>
                <w:color w:val="4C4C4C"/>
              </w:rPr>
              <w:t>Paul D. Bloom</w:t>
            </w:r>
          </w:p>
        </w:tc>
        <w:tc>
          <w:tcPr>
            <w:tcW w:w="140" w:type="dxa"/>
            <w:vAlign w:val="bottom"/>
          </w:tcPr>
          <w:p>
            <w:pPr>
              <w:spacing w:after="0"/>
              <w:rPr>
                <w:sz w:val="17"/>
                <w:szCs w:val="17"/>
                <w:color w:val="auto"/>
              </w:rPr>
            </w:pPr>
          </w:p>
        </w:tc>
        <w:tc>
          <w:tcPr>
            <w:tcW w:w="120" w:type="dxa"/>
            <w:vAlign w:val="bottom"/>
            <w:vMerge w:val="restart"/>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1120" w:type="dxa"/>
            <w:vAlign w:val="bottom"/>
            <w:shd w:val="clear" w:color="auto" w:fill="E1E7EF"/>
          </w:tcPr>
          <w:p>
            <w:pPr>
              <w:jc w:val="center"/>
              <w:ind w:right="1"/>
              <w:spacing w:after="0"/>
              <w:rPr>
                <w:sz w:val="20"/>
                <w:szCs w:val="20"/>
                <w:color w:val="auto"/>
              </w:rPr>
            </w:pPr>
            <w:r>
              <w:rPr>
                <w:rFonts w:ascii="Arial" w:cs="Arial" w:eastAsia="Arial" w:hAnsi="Arial"/>
                <w:sz w:val="16"/>
                <w:szCs w:val="16"/>
                <w:color w:val="4C4C4C"/>
              </w:rPr>
              <w:t>Stock Option</w:t>
            </w:r>
          </w:p>
        </w:tc>
        <w:tc>
          <w:tcPr>
            <w:tcW w:w="940" w:type="dxa"/>
            <w:vAlign w:val="bottom"/>
            <w:gridSpan w:val="2"/>
            <w:shd w:val="clear" w:color="auto" w:fill="E1E7EF"/>
          </w:tcPr>
          <w:p>
            <w:pPr>
              <w:jc w:val="right"/>
              <w:spacing w:after="0" w:line="203" w:lineRule="exact"/>
              <w:rPr>
                <w:sz w:val="20"/>
                <w:szCs w:val="20"/>
                <w:color w:val="auto"/>
              </w:rPr>
            </w:pPr>
            <w:r>
              <w:rPr>
                <w:rFonts w:ascii="Arial" w:cs="Arial" w:eastAsia="Arial" w:hAnsi="Arial"/>
                <w:sz w:val="16"/>
                <w:szCs w:val="16"/>
                <w:color w:val="4C4C4C"/>
              </w:rPr>
              <w:t>6/9/2025</w:t>
            </w:r>
            <w:r>
              <w:rPr>
                <w:rFonts w:ascii="Trebuchet MS" w:cs="Trebuchet MS" w:eastAsia="Trebuchet MS" w:hAnsi="Trebuchet MS"/>
                <w:sz w:val="19"/>
                <w:szCs w:val="19"/>
                <w:color w:val="4C4C4C"/>
                <w:vertAlign w:val="superscript"/>
              </w:rPr>
              <w:t>(1)</w:t>
            </w:r>
          </w:p>
        </w:tc>
        <w:tc>
          <w:tcPr>
            <w:tcW w:w="500" w:type="dxa"/>
            <w:vAlign w:val="bottom"/>
            <w:vMerge w:val="restart"/>
            <w:shd w:val="clear" w:color="auto" w:fill="E1E7EF"/>
          </w:tcPr>
          <w:p>
            <w:pPr>
              <w:ind w:left="420"/>
              <w:spacing w:after="0"/>
              <w:rPr>
                <w:sz w:val="20"/>
                <w:szCs w:val="20"/>
                <w:color w:val="auto"/>
              </w:rPr>
            </w:pPr>
            <w:r>
              <w:rPr>
                <w:rFonts w:ascii="Arial" w:cs="Arial" w:eastAsia="Arial" w:hAnsi="Arial"/>
                <w:sz w:val="16"/>
                <w:szCs w:val="16"/>
                <w:color w:val="4C4C4C"/>
              </w:rPr>
              <w:t>​</w:t>
            </w:r>
          </w:p>
        </w:tc>
        <w:tc>
          <w:tcPr>
            <w:tcW w:w="360" w:type="dxa"/>
            <w:vAlign w:val="bottom"/>
            <w:shd w:val="clear" w:color="auto" w:fill="E1E7EF"/>
          </w:tcPr>
          <w:p>
            <w:pPr>
              <w:spacing w:after="0"/>
              <w:rPr>
                <w:sz w:val="17"/>
                <w:szCs w:val="17"/>
                <w:color w:val="auto"/>
              </w:rPr>
            </w:pPr>
          </w:p>
        </w:tc>
        <w:tc>
          <w:tcPr>
            <w:tcW w:w="140" w:type="dxa"/>
            <w:vAlign w:val="bottom"/>
            <w:shd w:val="clear" w:color="auto" w:fill="E1E7EF"/>
          </w:tcPr>
          <w:p>
            <w:pPr>
              <w:jc w:val="right"/>
              <w:spacing w:after="0"/>
              <w:rPr>
                <w:sz w:val="20"/>
                <w:szCs w:val="20"/>
                <w:color w:val="auto"/>
              </w:rPr>
            </w:pPr>
            <w:r>
              <w:rPr>
                <w:rFonts w:ascii="Arial" w:cs="Arial" w:eastAsia="Arial" w:hAnsi="Arial"/>
                <w:sz w:val="16"/>
                <w:szCs w:val="16"/>
                <w:color w:val="4C4C4C"/>
                <w:w w:val="74"/>
              </w:rPr>
              <w:t>—</w:t>
            </w:r>
          </w:p>
        </w:tc>
        <w:tc>
          <w:tcPr>
            <w:tcW w:w="120" w:type="dxa"/>
            <w:vAlign w:val="bottom"/>
            <w:vMerge w:val="restart"/>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400" w:type="dxa"/>
            <w:vAlign w:val="bottom"/>
            <w:vMerge w:val="restart"/>
            <w:shd w:val="clear" w:color="auto" w:fill="E1E7EF"/>
          </w:tcPr>
          <w:p>
            <w:pPr>
              <w:ind w:left="340"/>
              <w:spacing w:after="0"/>
              <w:rPr>
                <w:sz w:val="20"/>
                <w:szCs w:val="20"/>
                <w:color w:val="auto"/>
              </w:rPr>
            </w:pPr>
            <w:r>
              <w:rPr>
                <w:rFonts w:ascii="Arial" w:cs="Arial" w:eastAsia="Arial" w:hAnsi="Arial"/>
                <w:sz w:val="16"/>
                <w:szCs w:val="16"/>
                <w:color w:val="4C4C4C"/>
              </w:rPr>
              <w:t>​</w:t>
            </w:r>
          </w:p>
        </w:tc>
        <w:tc>
          <w:tcPr>
            <w:tcW w:w="68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626,618</w:t>
            </w:r>
          </w:p>
        </w:tc>
        <w:tc>
          <w:tcPr>
            <w:tcW w:w="100" w:type="dxa"/>
            <w:vAlign w:val="bottom"/>
            <w:vMerge w:val="restart"/>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780" w:type="dxa"/>
            <w:vAlign w:val="bottom"/>
            <w:gridSpan w:val="2"/>
            <w:shd w:val="clear" w:color="auto" w:fill="E1E7EF"/>
          </w:tcPr>
          <w:p>
            <w:pPr>
              <w:jc w:val="right"/>
              <w:spacing w:after="0"/>
              <w:rPr>
                <w:sz w:val="20"/>
                <w:szCs w:val="20"/>
                <w:color w:val="auto"/>
              </w:rPr>
            </w:pPr>
            <w:r>
              <w:rPr>
                <w:rFonts w:ascii="Arial" w:cs="Arial" w:eastAsia="Arial" w:hAnsi="Arial"/>
                <w:sz w:val="16"/>
                <w:szCs w:val="16"/>
                <w:color w:val="4C4C4C"/>
              </w:rPr>
              <w:t>1.18</w:t>
            </w:r>
          </w:p>
        </w:tc>
        <w:tc>
          <w:tcPr>
            <w:tcW w:w="100" w:type="dxa"/>
            <w:vAlign w:val="bottom"/>
            <w:vMerge w:val="restart"/>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420" w:type="dxa"/>
            <w:vAlign w:val="bottom"/>
            <w:vMerge w:val="restart"/>
            <w:shd w:val="clear" w:color="auto" w:fill="E1E7EF"/>
          </w:tcPr>
          <w:p>
            <w:pPr>
              <w:ind w:left="340"/>
              <w:spacing w:after="0"/>
              <w:rPr>
                <w:sz w:val="20"/>
                <w:szCs w:val="20"/>
                <w:color w:val="auto"/>
              </w:rPr>
            </w:pPr>
            <w:r>
              <w:rPr>
                <w:rFonts w:ascii="Arial" w:cs="Arial" w:eastAsia="Arial" w:hAnsi="Arial"/>
                <w:sz w:val="16"/>
                <w:szCs w:val="16"/>
                <w:color w:val="4C4C4C"/>
              </w:rPr>
              <w:t>​</w:t>
            </w:r>
          </w:p>
        </w:tc>
        <w:tc>
          <w:tcPr>
            <w:tcW w:w="68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641,657</w:t>
            </w:r>
          </w:p>
        </w:tc>
        <w:tc>
          <w:tcPr>
            <w:tcW w:w="100" w:type="dxa"/>
            <w:vAlign w:val="bottom"/>
            <w:vMerge w:val="restart"/>
            <w:shd w:val="clear" w:color="auto" w:fill="E1E7EF"/>
          </w:tcPr>
          <w:p>
            <w:pPr>
              <w:ind w:left="4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continue"/>
            <w:shd w:val="clear" w:color="auto" w:fill="E1E7EF"/>
          </w:tcPr>
          <w:p>
            <w:pPr>
              <w:spacing w:after="0"/>
              <w:rPr>
                <w:sz w:val="5"/>
                <w:szCs w:val="5"/>
                <w:color w:val="auto"/>
              </w:rPr>
            </w:pPr>
          </w:p>
        </w:tc>
        <w:tc>
          <w:tcPr>
            <w:tcW w:w="1120" w:type="dxa"/>
            <w:vAlign w:val="bottom"/>
            <w:shd w:val="clear" w:color="auto" w:fill="E1E7EF"/>
          </w:tcPr>
          <w:p>
            <w:pPr>
              <w:spacing w:after="0"/>
              <w:rPr>
                <w:sz w:val="5"/>
                <w:szCs w:val="5"/>
                <w:color w:val="auto"/>
              </w:rPr>
            </w:pPr>
          </w:p>
        </w:tc>
        <w:tc>
          <w:tcPr>
            <w:tcW w:w="780" w:type="dxa"/>
            <w:vAlign w:val="bottom"/>
            <w:shd w:val="clear" w:color="auto" w:fill="E1E7EF"/>
          </w:tcPr>
          <w:p>
            <w:pPr>
              <w:ind w:left="20"/>
              <w:spacing w:after="0" w:line="68" w:lineRule="exact"/>
              <w:rPr>
                <w:sz w:val="20"/>
                <w:szCs w:val="20"/>
                <w:color w:val="auto"/>
              </w:rPr>
            </w:pPr>
            <w:r>
              <w:rPr>
                <w:rFonts w:ascii="Arial" w:cs="Arial" w:eastAsia="Arial" w:hAnsi="Arial"/>
                <w:sz w:val="7"/>
                <w:szCs w:val="7"/>
                <w:color w:val="4C4C4C"/>
              </w:rPr>
              <w:t>​​​</w:t>
            </w:r>
          </w:p>
        </w:tc>
        <w:tc>
          <w:tcPr>
            <w:tcW w:w="160" w:type="dxa"/>
            <w:vAlign w:val="bottom"/>
            <w:shd w:val="clear" w:color="auto" w:fill="E1E7EF"/>
          </w:tcPr>
          <w:p>
            <w:pPr>
              <w:jc w:val="right"/>
              <w:spacing w:after="0" w:line="68" w:lineRule="exact"/>
              <w:rPr>
                <w:sz w:val="20"/>
                <w:szCs w:val="20"/>
                <w:color w:val="auto"/>
              </w:rPr>
            </w:pPr>
            <w:r>
              <w:rPr>
                <w:rFonts w:ascii="Arial" w:cs="Arial" w:eastAsia="Arial" w:hAnsi="Arial"/>
                <w:sz w:val="7"/>
                <w:szCs w:val="7"/>
                <w:color w:val="4C4C4C"/>
              </w:rPr>
              <w:t>​​</w:t>
            </w:r>
          </w:p>
        </w:tc>
        <w:tc>
          <w:tcPr>
            <w:tcW w:w="500" w:type="dxa"/>
            <w:vAlign w:val="bottom"/>
            <w:vMerge w:val="continue"/>
            <w:shd w:val="clear" w:color="auto" w:fill="E1E7EF"/>
          </w:tcPr>
          <w:p>
            <w:pPr>
              <w:spacing w:after="0"/>
              <w:rPr>
                <w:sz w:val="5"/>
                <w:szCs w:val="5"/>
                <w:color w:val="auto"/>
              </w:rPr>
            </w:pPr>
          </w:p>
        </w:tc>
        <w:tc>
          <w:tcPr>
            <w:tcW w:w="360" w:type="dxa"/>
            <w:vAlign w:val="bottom"/>
            <w:shd w:val="clear" w:color="auto" w:fill="E1E7EF"/>
          </w:tcPr>
          <w:p>
            <w:pPr>
              <w:spacing w:after="0"/>
              <w:rPr>
                <w:sz w:val="5"/>
                <w:szCs w:val="5"/>
                <w:color w:val="auto"/>
              </w:rPr>
            </w:pPr>
          </w:p>
        </w:tc>
        <w:tc>
          <w:tcPr>
            <w:tcW w:w="140" w:type="dxa"/>
            <w:vAlign w:val="bottom"/>
            <w:shd w:val="clear" w:color="auto" w:fill="E1E7EF"/>
          </w:tcPr>
          <w:p>
            <w:pPr>
              <w:spacing w:after="0"/>
              <w:rPr>
                <w:sz w:val="5"/>
                <w:szCs w:val="5"/>
                <w:color w:val="auto"/>
              </w:rPr>
            </w:pPr>
          </w:p>
        </w:tc>
        <w:tc>
          <w:tcPr>
            <w:tcW w:w="120" w:type="dxa"/>
            <w:vAlign w:val="bottom"/>
            <w:vMerge w:val="continue"/>
            <w:shd w:val="clear" w:color="auto" w:fill="E1E7EF"/>
          </w:tcPr>
          <w:p>
            <w:pPr>
              <w:spacing w:after="0"/>
              <w:rPr>
                <w:sz w:val="5"/>
                <w:szCs w:val="5"/>
                <w:color w:val="auto"/>
              </w:rPr>
            </w:pPr>
          </w:p>
        </w:tc>
        <w:tc>
          <w:tcPr>
            <w:tcW w:w="400" w:type="dxa"/>
            <w:vAlign w:val="bottom"/>
            <w:vMerge w:val="continue"/>
            <w:shd w:val="clear" w:color="auto" w:fill="E1E7EF"/>
          </w:tcPr>
          <w:p>
            <w:pPr>
              <w:spacing w:after="0"/>
              <w:rPr>
                <w:sz w:val="5"/>
                <w:szCs w:val="5"/>
                <w:color w:val="auto"/>
              </w:rPr>
            </w:pPr>
          </w:p>
        </w:tc>
        <w:tc>
          <w:tcPr>
            <w:tcW w:w="680" w:type="dxa"/>
            <w:vAlign w:val="bottom"/>
            <w:shd w:val="clear" w:color="auto" w:fill="E1E7EF"/>
          </w:tcPr>
          <w:p>
            <w:pPr>
              <w:spacing w:after="0"/>
              <w:rPr>
                <w:sz w:val="5"/>
                <w:szCs w:val="5"/>
                <w:color w:val="auto"/>
              </w:rPr>
            </w:pPr>
          </w:p>
        </w:tc>
        <w:tc>
          <w:tcPr>
            <w:tcW w:w="100" w:type="dxa"/>
            <w:vAlign w:val="bottom"/>
            <w:vMerge w:val="continue"/>
            <w:shd w:val="clear" w:color="auto" w:fill="E1E7EF"/>
          </w:tcPr>
          <w:p>
            <w:pPr>
              <w:spacing w:after="0"/>
              <w:rPr>
                <w:sz w:val="5"/>
                <w:szCs w:val="5"/>
                <w:color w:val="auto"/>
              </w:rPr>
            </w:pPr>
          </w:p>
        </w:tc>
        <w:tc>
          <w:tcPr>
            <w:tcW w:w="640" w:type="dxa"/>
            <w:vAlign w:val="bottom"/>
            <w:shd w:val="clear" w:color="auto" w:fill="E1E7EF"/>
          </w:tcPr>
          <w:p>
            <w:pPr>
              <w:ind w:left="460"/>
              <w:spacing w:after="0" w:line="68" w:lineRule="exact"/>
              <w:rPr>
                <w:sz w:val="20"/>
                <w:szCs w:val="20"/>
                <w:color w:val="auto"/>
              </w:rPr>
            </w:pPr>
            <w:r>
              <w:rPr>
                <w:rFonts w:ascii="Arial" w:cs="Arial" w:eastAsia="Arial" w:hAnsi="Arial"/>
                <w:sz w:val="7"/>
                <w:szCs w:val="7"/>
                <w:color w:val="4C4C4C"/>
              </w:rPr>
              <w:t>​</w:t>
            </w:r>
          </w:p>
        </w:tc>
        <w:tc>
          <w:tcPr>
            <w:tcW w:w="140" w:type="dxa"/>
            <w:vAlign w:val="bottom"/>
            <w:shd w:val="clear" w:color="auto" w:fill="E1E7EF"/>
          </w:tcPr>
          <w:p>
            <w:pPr>
              <w:spacing w:after="0"/>
              <w:rPr>
                <w:sz w:val="5"/>
                <w:szCs w:val="5"/>
                <w:color w:val="auto"/>
              </w:rPr>
            </w:pPr>
          </w:p>
        </w:tc>
        <w:tc>
          <w:tcPr>
            <w:tcW w:w="100" w:type="dxa"/>
            <w:vAlign w:val="bottom"/>
            <w:vMerge w:val="continue"/>
            <w:shd w:val="clear" w:color="auto" w:fill="E1E7EF"/>
          </w:tcPr>
          <w:p>
            <w:pPr>
              <w:spacing w:after="0"/>
              <w:rPr>
                <w:sz w:val="5"/>
                <w:szCs w:val="5"/>
                <w:color w:val="auto"/>
              </w:rPr>
            </w:pPr>
          </w:p>
        </w:tc>
        <w:tc>
          <w:tcPr>
            <w:tcW w:w="420" w:type="dxa"/>
            <w:vAlign w:val="bottom"/>
            <w:vMerge w:val="continue"/>
            <w:shd w:val="clear" w:color="auto" w:fill="E1E7EF"/>
          </w:tcPr>
          <w:p>
            <w:pPr>
              <w:spacing w:after="0"/>
              <w:rPr>
                <w:sz w:val="5"/>
                <w:szCs w:val="5"/>
                <w:color w:val="auto"/>
              </w:rPr>
            </w:pPr>
          </w:p>
        </w:tc>
        <w:tc>
          <w:tcPr>
            <w:tcW w:w="680" w:type="dxa"/>
            <w:vAlign w:val="bottom"/>
            <w:shd w:val="clear" w:color="auto" w:fill="E1E7EF"/>
          </w:tcPr>
          <w:p>
            <w:pPr>
              <w:spacing w:after="0"/>
              <w:rPr>
                <w:sz w:val="5"/>
                <w:szCs w:val="5"/>
                <w:color w:val="auto"/>
              </w:rPr>
            </w:pPr>
          </w:p>
        </w:tc>
        <w:tc>
          <w:tcPr>
            <w:tcW w:w="100" w:type="dxa"/>
            <w:vAlign w:val="bottom"/>
            <w:vMerge w:val="continue"/>
            <w:shd w:val="clear" w:color="auto" w:fill="E1E7E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40" w:type="dxa"/>
            <w:vAlign w:val="bottom"/>
            <w:vMerge w:val="restart"/>
          </w:tcPr>
          <w:p>
            <w:pPr>
              <w:ind w:left="20"/>
              <w:spacing w:after="0"/>
              <w:rPr>
                <w:sz w:val="20"/>
                <w:szCs w:val="20"/>
                <w:color w:val="auto"/>
              </w:rPr>
            </w:pPr>
            <w:r>
              <w:rPr>
                <w:rFonts w:ascii="Arial" w:cs="Arial" w:eastAsia="Arial" w:hAnsi="Arial"/>
                <w:sz w:val="16"/>
                <w:szCs w:val="16"/>
                <w:color w:val="4C4C4C"/>
              </w:rPr>
              <w:t>​</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color w:val="4C4C4C"/>
              </w:rPr>
              <w:t>Restricted Stock</w:t>
            </w:r>
          </w:p>
        </w:tc>
        <w:tc>
          <w:tcPr>
            <w:tcW w:w="940" w:type="dxa"/>
            <w:vAlign w:val="bottom"/>
            <w:gridSpan w:val="2"/>
          </w:tcPr>
          <w:p>
            <w:pPr>
              <w:jc w:val="right"/>
              <w:spacing w:after="0"/>
              <w:rPr>
                <w:sz w:val="20"/>
                <w:szCs w:val="20"/>
                <w:color w:val="auto"/>
              </w:rPr>
            </w:pPr>
            <w:r>
              <w:rPr>
                <w:rFonts w:ascii="Arial" w:cs="Arial" w:eastAsia="Arial" w:hAnsi="Arial"/>
                <w:sz w:val="16"/>
                <w:szCs w:val="16"/>
                <w:color w:val="4C4C4C"/>
              </w:rPr>
              <w:t>6/9/2025</w:t>
            </w:r>
            <w:r>
              <w:rPr>
                <w:rFonts w:ascii="Trebuchet MS" w:cs="Trebuchet MS" w:eastAsia="Trebuchet MS" w:hAnsi="Trebuchet MS"/>
                <w:sz w:val="9"/>
                <w:szCs w:val="9"/>
                <w:color w:val="4C4C4C"/>
              </w:rPr>
              <w:t>(1)</w:t>
            </w:r>
          </w:p>
        </w:tc>
        <w:tc>
          <w:tcPr>
            <w:tcW w:w="1000" w:type="dxa"/>
            <w:vAlign w:val="bottom"/>
            <w:gridSpan w:val="3"/>
          </w:tcPr>
          <w:p>
            <w:pPr>
              <w:jc w:val="right"/>
              <w:spacing w:after="0"/>
              <w:rPr>
                <w:sz w:val="20"/>
                <w:szCs w:val="20"/>
                <w:color w:val="auto"/>
              </w:rPr>
            </w:pPr>
            <w:r>
              <w:rPr>
                <w:rFonts w:ascii="Arial" w:cs="Arial" w:eastAsia="Arial" w:hAnsi="Arial"/>
                <w:sz w:val="16"/>
                <w:szCs w:val="16"/>
                <w:color w:val="4C4C4C"/>
              </w:rPr>
              <w:t>210,084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400" w:type="dxa"/>
            <w:vAlign w:val="bottom"/>
            <w:vMerge w:val="restart"/>
          </w:tcPr>
          <w:p>
            <w:pPr>
              <w:ind w:left="34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rPr>
                <w:sz w:val="20"/>
                <w:szCs w:val="20"/>
                <w:color w:val="auto"/>
              </w:rPr>
            </w:pPr>
            <w:r>
              <w:rPr>
                <w:rFonts w:ascii="Arial" w:cs="Arial" w:eastAsia="Arial" w:hAnsi="Arial"/>
                <w:sz w:val="16"/>
                <w:szCs w:val="16"/>
                <w:color w:val="4C4C4C"/>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640" w:type="dxa"/>
            <w:vAlign w:val="bottom"/>
            <w:vMerge w:val="restart"/>
          </w:tcPr>
          <w:p>
            <w:pPr>
              <w:ind w:left="460"/>
              <w:spacing w:after="0"/>
              <w:rPr>
                <w:sz w:val="20"/>
                <w:szCs w:val="20"/>
                <w:color w:val="auto"/>
              </w:rPr>
            </w:pPr>
            <w:r>
              <w:rPr>
                <w:rFonts w:ascii="Arial" w:cs="Arial" w:eastAsia="Arial" w:hAnsi="Arial"/>
                <w:sz w:val="16"/>
                <w:szCs w:val="16"/>
                <w:color w:val="4C4C4C"/>
              </w:rPr>
              <w:t>​</w:t>
            </w:r>
          </w:p>
        </w:tc>
        <w:tc>
          <w:tcPr>
            <w:tcW w:w="140" w:type="dxa"/>
            <w:vAlign w:val="bottom"/>
          </w:tcPr>
          <w:p>
            <w:pPr>
              <w:jc w:val="right"/>
              <w:spacing w:after="0"/>
              <w:rPr>
                <w:sz w:val="20"/>
                <w:szCs w:val="20"/>
                <w:color w:val="auto"/>
              </w:rPr>
            </w:pPr>
            <w:r>
              <w:rPr>
                <w:rFonts w:ascii="Arial" w:cs="Arial" w:eastAsia="Arial" w:hAnsi="Arial"/>
                <w:sz w:val="16"/>
                <w:szCs w:val="16"/>
                <w:color w:val="4C4C4C"/>
                <w:w w:val="74"/>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420" w:type="dxa"/>
            <w:vAlign w:val="bottom"/>
            <w:vMerge w:val="restart"/>
          </w:tcPr>
          <w:p>
            <w:pPr>
              <w:ind w:left="34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rPr>
                <w:sz w:val="20"/>
                <w:szCs w:val="20"/>
                <w:color w:val="auto"/>
              </w:rPr>
            </w:pPr>
            <w:r>
              <w:rPr>
                <w:rFonts w:ascii="Arial" w:cs="Arial" w:eastAsia="Arial" w:hAnsi="Arial"/>
                <w:sz w:val="16"/>
                <w:szCs w:val="16"/>
                <w:color w:val="4C4C4C"/>
              </w:rPr>
              <w:t>247,899</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260" w:type="dxa"/>
            <w:vAlign w:val="bottom"/>
            <w:gridSpan w:val="2"/>
          </w:tcPr>
          <w:p>
            <w:pPr>
              <w:jc w:val="right"/>
              <w:spacing w:after="0" w:line="68" w:lineRule="exact"/>
              <w:rPr>
                <w:sz w:val="20"/>
                <w:szCs w:val="20"/>
                <w:color w:val="auto"/>
              </w:rPr>
            </w:pPr>
            <w:r>
              <w:rPr>
                <w:rFonts w:ascii="Arial" w:cs="Arial" w:eastAsia="Arial" w:hAnsi="Arial"/>
                <w:sz w:val="7"/>
                <w:szCs w:val="7"/>
                <w:color w:val="4C4C4C"/>
              </w:rPr>
              <w:t>​​</w:t>
            </w:r>
          </w:p>
        </w:tc>
        <w:tc>
          <w:tcPr>
            <w:tcW w:w="1120" w:type="dxa"/>
            <w:vAlign w:val="bottom"/>
          </w:tcPr>
          <w:p>
            <w:pPr>
              <w:spacing w:after="0"/>
              <w:rPr>
                <w:sz w:val="5"/>
                <w:szCs w:val="5"/>
                <w:color w:val="auto"/>
              </w:rPr>
            </w:pPr>
          </w:p>
        </w:tc>
        <w:tc>
          <w:tcPr>
            <w:tcW w:w="780" w:type="dxa"/>
            <w:vAlign w:val="bottom"/>
          </w:tcPr>
          <w:p>
            <w:pPr>
              <w:ind w:left="20"/>
              <w:spacing w:after="0" w:line="68" w:lineRule="exact"/>
              <w:rPr>
                <w:sz w:val="20"/>
                <w:szCs w:val="20"/>
                <w:color w:val="auto"/>
              </w:rPr>
            </w:pPr>
            <w:r>
              <w:rPr>
                <w:rFonts w:ascii="Arial" w:cs="Arial" w:eastAsia="Arial" w:hAnsi="Arial"/>
                <w:sz w:val="7"/>
                <w:szCs w:val="7"/>
                <w:color w:val="4C4C4C"/>
              </w:rPr>
              <w:t>​​​</w:t>
            </w:r>
          </w:p>
        </w:tc>
        <w:tc>
          <w:tcPr>
            <w:tcW w:w="160" w:type="dxa"/>
            <w:vAlign w:val="bottom"/>
          </w:tcPr>
          <w:p>
            <w:pPr>
              <w:jc w:val="right"/>
              <w:spacing w:after="0" w:line="68" w:lineRule="exact"/>
              <w:rPr>
                <w:sz w:val="20"/>
                <w:szCs w:val="20"/>
                <w:color w:val="auto"/>
              </w:rPr>
            </w:pPr>
            <w:r>
              <w:rPr>
                <w:rFonts w:ascii="Arial" w:cs="Arial" w:eastAsia="Arial" w:hAnsi="Arial"/>
                <w:sz w:val="7"/>
                <w:szCs w:val="7"/>
                <w:color w:val="4C4C4C"/>
              </w:rPr>
              <w:t>​​</w:t>
            </w:r>
          </w:p>
        </w:tc>
        <w:tc>
          <w:tcPr>
            <w:tcW w:w="500" w:type="dxa"/>
            <w:vAlign w:val="bottom"/>
          </w:tcPr>
          <w:p>
            <w:pPr>
              <w:ind w:left="420"/>
              <w:spacing w:after="0" w:line="68" w:lineRule="exact"/>
              <w:rPr>
                <w:sz w:val="20"/>
                <w:szCs w:val="20"/>
                <w:color w:val="auto"/>
              </w:rPr>
            </w:pPr>
            <w:r>
              <w:rPr>
                <w:rFonts w:ascii="Arial" w:cs="Arial" w:eastAsia="Arial" w:hAnsi="Arial"/>
                <w:sz w:val="7"/>
                <w:szCs w:val="7"/>
                <w:color w:val="4C4C4C"/>
              </w:rPr>
              <w:t>​</w:t>
            </w: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ind w:left="40"/>
              <w:spacing w:after="0"/>
              <w:rPr>
                <w:sz w:val="20"/>
                <w:szCs w:val="20"/>
                <w:color w:val="auto"/>
              </w:rPr>
            </w:pPr>
            <w:r>
              <w:rPr>
                <w:rFonts w:ascii="Trebuchet MS" w:cs="Trebuchet MS" w:eastAsia="Trebuchet MS" w:hAnsi="Trebuchet MS"/>
                <w:sz w:val="16"/>
                <w:szCs w:val="16"/>
                <w:b w:val="1"/>
                <w:bCs w:val="1"/>
                <w:color w:val="4C4C4C"/>
              </w:rPr>
              <w:t>Andrew L. Shafer</w:t>
            </w:r>
          </w:p>
        </w:tc>
        <w:tc>
          <w:tcPr>
            <w:tcW w:w="14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1120" w:type="dxa"/>
            <w:vAlign w:val="bottom"/>
          </w:tcPr>
          <w:p>
            <w:pPr>
              <w:jc w:val="center"/>
              <w:ind w:right="1"/>
              <w:spacing w:after="0"/>
              <w:rPr>
                <w:sz w:val="20"/>
                <w:szCs w:val="20"/>
                <w:color w:val="auto"/>
              </w:rPr>
            </w:pPr>
            <w:r>
              <w:rPr>
                <w:rFonts w:ascii="Arial" w:cs="Arial" w:eastAsia="Arial" w:hAnsi="Arial"/>
                <w:sz w:val="16"/>
                <w:szCs w:val="16"/>
                <w:color w:val="4C4C4C"/>
              </w:rPr>
              <w:t>Stock Option</w:t>
            </w:r>
          </w:p>
        </w:tc>
        <w:tc>
          <w:tcPr>
            <w:tcW w:w="940" w:type="dxa"/>
            <w:vAlign w:val="bottom"/>
            <w:gridSpan w:val="2"/>
          </w:tcPr>
          <w:p>
            <w:pPr>
              <w:jc w:val="right"/>
              <w:spacing w:after="0" w:line="203" w:lineRule="exact"/>
              <w:rPr>
                <w:sz w:val="20"/>
                <w:szCs w:val="20"/>
                <w:color w:val="auto"/>
              </w:rPr>
            </w:pPr>
            <w:r>
              <w:rPr>
                <w:rFonts w:ascii="Arial" w:cs="Arial" w:eastAsia="Arial" w:hAnsi="Arial"/>
                <w:sz w:val="16"/>
                <w:szCs w:val="16"/>
                <w:color w:val="4C4C4C"/>
              </w:rPr>
              <w:t>6/9/2025</w:t>
            </w:r>
            <w:r>
              <w:rPr>
                <w:rFonts w:ascii="Trebuchet MS" w:cs="Trebuchet MS" w:eastAsia="Trebuchet MS" w:hAnsi="Trebuchet MS"/>
                <w:sz w:val="19"/>
                <w:szCs w:val="19"/>
                <w:color w:val="4C4C4C"/>
                <w:vertAlign w:val="superscript"/>
              </w:rPr>
              <w:t>(1)</w:t>
            </w:r>
          </w:p>
        </w:tc>
        <w:tc>
          <w:tcPr>
            <w:tcW w:w="500" w:type="dxa"/>
            <w:vAlign w:val="bottom"/>
            <w:vMerge w:val="restart"/>
          </w:tcPr>
          <w:p>
            <w:pPr>
              <w:ind w:left="420"/>
              <w:spacing w:after="0"/>
              <w:rPr>
                <w:sz w:val="20"/>
                <w:szCs w:val="20"/>
                <w:color w:val="auto"/>
              </w:rPr>
            </w:pPr>
            <w:r>
              <w:rPr>
                <w:rFonts w:ascii="Arial" w:cs="Arial" w:eastAsia="Arial" w:hAnsi="Arial"/>
                <w:sz w:val="16"/>
                <w:szCs w:val="16"/>
                <w:color w:val="4C4C4C"/>
              </w:rPr>
              <w:t>​</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4C4C4C"/>
                <w:w w:val="74"/>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400" w:type="dxa"/>
            <w:vAlign w:val="bottom"/>
            <w:vMerge w:val="restart"/>
          </w:tcPr>
          <w:p>
            <w:pPr>
              <w:ind w:left="34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rPr>
                <w:sz w:val="20"/>
                <w:szCs w:val="20"/>
                <w:color w:val="auto"/>
              </w:rPr>
            </w:pPr>
            <w:r>
              <w:rPr>
                <w:rFonts w:ascii="Arial" w:cs="Arial" w:eastAsia="Arial" w:hAnsi="Arial"/>
                <w:sz w:val="16"/>
                <w:szCs w:val="16"/>
                <w:color w:val="4C4C4C"/>
              </w:rPr>
              <w:t>167,184</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4C4C4C"/>
              </w:rPr>
              <w:t>1.18</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420" w:type="dxa"/>
            <w:vAlign w:val="bottom"/>
            <w:vMerge w:val="restart"/>
          </w:tcPr>
          <w:p>
            <w:pPr>
              <w:ind w:left="34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rPr>
                <w:sz w:val="20"/>
                <w:szCs w:val="20"/>
                <w:color w:val="auto"/>
              </w:rPr>
            </w:pPr>
            <w:r>
              <w:rPr>
                <w:rFonts w:ascii="Arial" w:cs="Arial" w:eastAsia="Arial" w:hAnsi="Arial"/>
                <w:sz w:val="16"/>
                <w:szCs w:val="16"/>
                <w:color w:val="4C4C4C"/>
              </w:rPr>
              <w:t>171,196</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104"/>
        </w:trPr>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ind w:left="20"/>
              <w:spacing w:after="0" w:line="105" w:lineRule="exact"/>
              <w:rPr>
                <w:sz w:val="20"/>
                <w:szCs w:val="20"/>
                <w:color w:val="auto"/>
              </w:rPr>
            </w:pPr>
            <w:r>
              <w:rPr>
                <w:rFonts w:ascii="Arial" w:cs="Arial" w:eastAsia="Arial" w:hAnsi="Arial"/>
                <w:sz w:val="12"/>
                <w:szCs w:val="12"/>
                <w:color w:val="4C4C4C"/>
              </w:rPr>
              <w:t>​​​</w:t>
            </w:r>
          </w:p>
        </w:tc>
        <w:tc>
          <w:tcPr>
            <w:tcW w:w="160" w:type="dxa"/>
            <w:vAlign w:val="bottom"/>
          </w:tcPr>
          <w:p>
            <w:pPr>
              <w:jc w:val="right"/>
              <w:spacing w:after="0" w:line="105" w:lineRule="exact"/>
              <w:rPr>
                <w:sz w:val="20"/>
                <w:szCs w:val="20"/>
                <w:color w:val="auto"/>
              </w:rPr>
            </w:pPr>
            <w:r>
              <w:rPr>
                <w:rFonts w:ascii="Arial" w:cs="Arial" w:eastAsia="Arial" w:hAnsi="Arial"/>
                <w:sz w:val="12"/>
                <w:szCs w:val="12"/>
                <w:color w:val="4C4C4C"/>
              </w:rPr>
              <w:t>​​</w:t>
            </w:r>
          </w:p>
        </w:tc>
        <w:tc>
          <w:tcPr>
            <w:tcW w:w="5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640" w:type="dxa"/>
            <w:vAlign w:val="bottom"/>
          </w:tcPr>
          <w:p>
            <w:pPr>
              <w:ind w:left="460"/>
              <w:spacing w:after="0" w:line="105" w:lineRule="exact"/>
              <w:rPr>
                <w:sz w:val="20"/>
                <w:szCs w:val="20"/>
                <w:color w:val="auto"/>
              </w:rPr>
            </w:pPr>
            <w:r>
              <w:rPr>
                <w:rFonts w:ascii="Arial" w:cs="Arial" w:eastAsia="Arial" w:hAnsi="Arial"/>
                <w:sz w:val="12"/>
                <w:szCs w:val="12"/>
                <w:color w:val="4C4C4C"/>
              </w:rPr>
              <w:t>​</w:t>
            </w:r>
          </w:p>
        </w:tc>
        <w:tc>
          <w:tcPr>
            <w:tcW w:w="14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40" w:type="dxa"/>
            <w:vAlign w:val="bottom"/>
            <w:vMerge w:val="restart"/>
          </w:tcPr>
          <w:p>
            <w:pPr>
              <w:ind w:left="20"/>
              <w:spacing w:after="0"/>
              <w:rPr>
                <w:sz w:val="20"/>
                <w:szCs w:val="20"/>
                <w:color w:val="auto"/>
              </w:rPr>
            </w:pPr>
            <w:r>
              <w:rPr>
                <w:rFonts w:ascii="Arial" w:cs="Arial" w:eastAsia="Arial" w:hAnsi="Arial"/>
                <w:sz w:val="16"/>
                <w:szCs w:val="16"/>
                <w:color w:val="4C4C4C"/>
              </w:rPr>
              <w:t>​</w:t>
            </w: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spacing w:after="0" w:line="152" w:lineRule="exact"/>
              <w:rPr>
                <w:sz w:val="20"/>
                <w:szCs w:val="20"/>
                <w:color w:val="auto"/>
              </w:rPr>
            </w:pPr>
            <w:r>
              <w:rPr>
                <w:rFonts w:ascii="Arial" w:cs="Arial" w:eastAsia="Arial" w:hAnsi="Arial"/>
                <w:sz w:val="16"/>
                <w:szCs w:val="16"/>
                <w:color w:val="4C4C4C"/>
              </w:rPr>
              <w:t>Restricted Stock</w:t>
            </w:r>
          </w:p>
        </w:tc>
        <w:tc>
          <w:tcPr>
            <w:tcW w:w="940" w:type="dxa"/>
            <w:vAlign w:val="bottom"/>
            <w:gridSpan w:val="2"/>
          </w:tcPr>
          <w:p>
            <w:pPr>
              <w:jc w:val="right"/>
              <w:spacing w:after="0" w:line="152" w:lineRule="exact"/>
              <w:rPr>
                <w:sz w:val="20"/>
                <w:szCs w:val="20"/>
                <w:color w:val="auto"/>
              </w:rPr>
            </w:pPr>
            <w:r>
              <w:rPr>
                <w:rFonts w:ascii="Arial" w:cs="Arial" w:eastAsia="Arial" w:hAnsi="Arial"/>
                <w:sz w:val="16"/>
                <w:szCs w:val="16"/>
                <w:color w:val="4C4C4C"/>
              </w:rPr>
              <w:t>6/9/2025</w:t>
            </w:r>
            <w:r>
              <w:rPr>
                <w:rFonts w:ascii="Trebuchet MS" w:cs="Trebuchet MS" w:eastAsia="Trebuchet MS" w:hAnsi="Trebuchet MS"/>
                <w:sz w:val="9"/>
                <w:szCs w:val="9"/>
                <w:color w:val="4C4C4C"/>
              </w:rPr>
              <w:t>(1)</w:t>
            </w:r>
          </w:p>
        </w:tc>
        <w:tc>
          <w:tcPr>
            <w:tcW w:w="500" w:type="dxa"/>
            <w:vAlign w:val="bottom"/>
            <w:vMerge w:val="restart"/>
          </w:tcPr>
          <w:p>
            <w:pPr>
              <w:ind w:left="420"/>
              <w:spacing w:after="0"/>
              <w:rPr>
                <w:sz w:val="20"/>
                <w:szCs w:val="20"/>
                <w:color w:val="auto"/>
              </w:rPr>
            </w:pPr>
            <w:r>
              <w:rPr>
                <w:rFonts w:ascii="Arial" w:cs="Arial" w:eastAsia="Arial" w:hAnsi="Arial"/>
                <w:sz w:val="16"/>
                <w:szCs w:val="16"/>
                <w:color w:val="4C4C4C"/>
              </w:rPr>
              <w:t>​</w:t>
            </w:r>
          </w:p>
        </w:tc>
        <w:tc>
          <w:tcPr>
            <w:tcW w:w="500" w:type="dxa"/>
            <w:vAlign w:val="bottom"/>
            <w:gridSpan w:val="2"/>
          </w:tcPr>
          <w:p>
            <w:pPr>
              <w:jc w:val="right"/>
              <w:spacing w:after="0" w:line="152" w:lineRule="exact"/>
              <w:rPr>
                <w:sz w:val="20"/>
                <w:szCs w:val="20"/>
                <w:color w:val="auto"/>
              </w:rPr>
            </w:pPr>
            <w:r>
              <w:rPr>
                <w:rFonts w:ascii="Arial" w:cs="Arial" w:eastAsia="Arial" w:hAnsi="Arial"/>
                <w:sz w:val="16"/>
                <w:szCs w:val="16"/>
                <w:color w:val="4C4C4C"/>
                <w:w w:val="98"/>
              </w:rPr>
              <w:t>55,728</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400" w:type="dxa"/>
            <w:vAlign w:val="bottom"/>
            <w:vMerge w:val="restart"/>
          </w:tcPr>
          <w:p>
            <w:pPr>
              <w:ind w:left="34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line="152" w:lineRule="exact"/>
              <w:rPr>
                <w:sz w:val="20"/>
                <w:szCs w:val="20"/>
                <w:color w:val="auto"/>
              </w:rPr>
            </w:pPr>
            <w:r>
              <w:rPr>
                <w:rFonts w:ascii="Arial" w:cs="Arial" w:eastAsia="Arial" w:hAnsi="Arial"/>
                <w:sz w:val="16"/>
                <w:szCs w:val="16"/>
                <w:color w:val="4C4C4C"/>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640" w:type="dxa"/>
            <w:vAlign w:val="bottom"/>
            <w:vMerge w:val="restart"/>
          </w:tcPr>
          <w:p>
            <w:pPr>
              <w:ind w:left="460"/>
              <w:spacing w:after="0"/>
              <w:rPr>
                <w:sz w:val="20"/>
                <w:szCs w:val="20"/>
                <w:color w:val="auto"/>
              </w:rPr>
            </w:pPr>
            <w:r>
              <w:rPr>
                <w:rFonts w:ascii="Arial" w:cs="Arial" w:eastAsia="Arial" w:hAnsi="Arial"/>
                <w:sz w:val="16"/>
                <w:szCs w:val="16"/>
                <w:color w:val="4C4C4C"/>
              </w:rPr>
              <w:t>​</w:t>
            </w:r>
          </w:p>
        </w:tc>
        <w:tc>
          <w:tcPr>
            <w:tcW w:w="140" w:type="dxa"/>
            <w:vAlign w:val="bottom"/>
          </w:tcPr>
          <w:p>
            <w:pPr>
              <w:jc w:val="right"/>
              <w:spacing w:after="0" w:line="152" w:lineRule="exact"/>
              <w:rPr>
                <w:sz w:val="20"/>
                <w:szCs w:val="20"/>
                <w:color w:val="auto"/>
              </w:rPr>
            </w:pPr>
            <w:r>
              <w:rPr>
                <w:rFonts w:ascii="Arial" w:cs="Arial" w:eastAsia="Arial" w:hAnsi="Arial"/>
                <w:sz w:val="16"/>
                <w:szCs w:val="16"/>
                <w:color w:val="4C4C4C"/>
                <w:w w:val="74"/>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420" w:type="dxa"/>
            <w:vAlign w:val="bottom"/>
            <w:vMerge w:val="restart"/>
          </w:tcPr>
          <w:p>
            <w:pPr>
              <w:ind w:left="34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line="152" w:lineRule="exact"/>
              <w:rPr>
                <w:sz w:val="20"/>
                <w:szCs w:val="20"/>
                <w:color w:val="auto"/>
              </w:rPr>
            </w:pPr>
            <w:r>
              <w:rPr>
                <w:rFonts w:ascii="Arial" w:cs="Arial" w:eastAsia="Arial" w:hAnsi="Arial"/>
                <w:sz w:val="16"/>
                <w:szCs w:val="16"/>
                <w:color w:val="4C4C4C"/>
              </w:rPr>
              <w:t>65,759</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260" w:type="dxa"/>
            <w:vAlign w:val="bottom"/>
            <w:gridSpan w:val="2"/>
          </w:tcPr>
          <w:p>
            <w:pPr>
              <w:jc w:val="right"/>
              <w:spacing w:after="0" w:line="68" w:lineRule="exact"/>
              <w:rPr>
                <w:sz w:val="20"/>
                <w:szCs w:val="20"/>
                <w:color w:val="auto"/>
              </w:rPr>
            </w:pPr>
            <w:r>
              <w:rPr>
                <w:rFonts w:ascii="Arial" w:cs="Arial" w:eastAsia="Arial" w:hAnsi="Arial"/>
                <w:sz w:val="7"/>
                <w:szCs w:val="7"/>
                <w:color w:val="4C4C4C"/>
              </w:rPr>
              <w:t>​​</w:t>
            </w:r>
          </w:p>
        </w:tc>
        <w:tc>
          <w:tcPr>
            <w:tcW w:w="1120" w:type="dxa"/>
            <w:vAlign w:val="bottom"/>
          </w:tcPr>
          <w:p>
            <w:pPr>
              <w:spacing w:after="0"/>
              <w:rPr>
                <w:sz w:val="5"/>
                <w:szCs w:val="5"/>
                <w:color w:val="auto"/>
              </w:rPr>
            </w:pPr>
          </w:p>
        </w:tc>
        <w:tc>
          <w:tcPr>
            <w:tcW w:w="780" w:type="dxa"/>
            <w:vAlign w:val="bottom"/>
          </w:tcPr>
          <w:p>
            <w:pPr>
              <w:ind w:left="20"/>
              <w:spacing w:after="0" w:line="68" w:lineRule="exact"/>
              <w:rPr>
                <w:sz w:val="20"/>
                <w:szCs w:val="20"/>
                <w:color w:val="auto"/>
              </w:rPr>
            </w:pPr>
            <w:r>
              <w:rPr>
                <w:rFonts w:ascii="Arial" w:cs="Arial" w:eastAsia="Arial" w:hAnsi="Arial"/>
                <w:sz w:val="7"/>
                <w:szCs w:val="7"/>
                <w:color w:val="4C4C4C"/>
              </w:rPr>
              <w:t>​​​</w:t>
            </w:r>
          </w:p>
        </w:tc>
        <w:tc>
          <w:tcPr>
            <w:tcW w:w="160" w:type="dxa"/>
            <w:vAlign w:val="bottom"/>
          </w:tcPr>
          <w:p>
            <w:pPr>
              <w:jc w:val="right"/>
              <w:spacing w:after="0" w:line="68" w:lineRule="exact"/>
              <w:rPr>
                <w:sz w:val="20"/>
                <w:szCs w:val="20"/>
                <w:color w:val="auto"/>
              </w:rPr>
            </w:pPr>
            <w:r>
              <w:rPr>
                <w:rFonts w:ascii="Arial" w:cs="Arial" w:eastAsia="Arial" w:hAnsi="Arial"/>
                <w:sz w:val="7"/>
                <w:szCs w:val="7"/>
                <w:color w:val="4C4C4C"/>
              </w:rPr>
              <w:t>​​</w:t>
            </w: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ind w:left="40"/>
              <w:spacing w:after="0"/>
              <w:rPr>
                <w:sz w:val="20"/>
                <w:szCs w:val="20"/>
                <w:color w:val="auto"/>
              </w:rPr>
            </w:pPr>
            <w:r>
              <w:rPr>
                <w:rFonts w:ascii="Trebuchet MS" w:cs="Trebuchet MS" w:eastAsia="Trebuchet MS" w:hAnsi="Trebuchet MS"/>
                <w:sz w:val="16"/>
                <w:szCs w:val="16"/>
                <w:b w:val="1"/>
                <w:bCs w:val="1"/>
                <w:color w:val="4C4C4C"/>
              </w:rPr>
              <w:t>L. Lynn Smull</w:t>
            </w:r>
          </w:p>
        </w:tc>
        <w:tc>
          <w:tcPr>
            <w:tcW w:w="140" w:type="dxa"/>
            <w:vAlign w:val="bottom"/>
          </w:tcPr>
          <w:p>
            <w:pPr>
              <w:spacing w:after="0"/>
              <w:rPr>
                <w:sz w:val="17"/>
                <w:szCs w:val="17"/>
                <w:color w:val="auto"/>
              </w:rPr>
            </w:pPr>
          </w:p>
        </w:tc>
        <w:tc>
          <w:tcPr>
            <w:tcW w:w="120" w:type="dxa"/>
            <w:vAlign w:val="bottom"/>
            <w:vMerge w:val="restart"/>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1120" w:type="dxa"/>
            <w:vAlign w:val="bottom"/>
            <w:shd w:val="clear" w:color="auto" w:fill="E1E7EF"/>
          </w:tcPr>
          <w:p>
            <w:pPr>
              <w:jc w:val="center"/>
              <w:ind w:right="1"/>
              <w:spacing w:after="0"/>
              <w:rPr>
                <w:sz w:val="20"/>
                <w:szCs w:val="20"/>
                <w:color w:val="auto"/>
              </w:rPr>
            </w:pPr>
            <w:r>
              <w:rPr>
                <w:rFonts w:ascii="Arial" w:cs="Arial" w:eastAsia="Arial" w:hAnsi="Arial"/>
                <w:sz w:val="16"/>
                <w:szCs w:val="16"/>
                <w:color w:val="4C4C4C"/>
              </w:rPr>
              <w:t>Stock Option</w:t>
            </w:r>
          </w:p>
        </w:tc>
        <w:tc>
          <w:tcPr>
            <w:tcW w:w="940" w:type="dxa"/>
            <w:vAlign w:val="bottom"/>
            <w:gridSpan w:val="2"/>
            <w:shd w:val="clear" w:color="auto" w:fill="E1E7EF"/>
          </w:tcPr>
          <w:p>
            <w:pPr>
              <w:jc w:val="right"/>
              <w:spacing w:after="0" w:line="203" w:lineRule="exact"/>
              <w:rPr>
                <w:sz w:val="20"/>
                <w:szCs w:val="20"/>
                <w:color w:val="auto"/>
              </w:rPr>
            </w:pPr>
            <w:r>
              <w:rPr>
                <w:rFonts w:ascii="Arial" w:cs="Arial" w:eastAsia="Arial" w:hAnsi="Arial"/>
                <w:sz w:val="16"/>
                <w:szCs w:val="16"/>
                <w:color w:val="4C4C4C"/>
              </w:rPr>
              <w:t>6/9/2025</w:t>
            </w:r>
            <w:r>
              <w:rPr>
                <w:rFonts w:ascii="Trebuchet MS" w:cs="Trebuchet MS" w:eastAsia="Trebuchet MS" w:hAnsi="Trebuchet MS"/>
                <w:sz w:val="19"/>
                <w:szCs w:val="19"/>
                <w:color w:val="4C4C4C"/>
                <w:vertAlign w:val="superscript"/>
              </w:rPr>
              <w:t>(1)</w:t>
            </w:r>
          </w:p>
        </w:tc>
        <w:tc>
          <w:tcPr>
            <w:tcW w:w="500" w:type="dxa"/>
            <w:vAlign w:val="bottom"/>
            <w:vMerge w:val="restart"/>
            <w:shd w:val="clear" w:color="auto" w:fill="E1E7EF"/>
          </w:tcPr>
          <w:p>
            <w:pPr>
              <w:ind w:left="420"/>
              <w:spacing w:after="0"/>
              <w:rPr>
                <w:sz w:val="20"/>
                <w:szCs w:val="20"/>
                <w:color w:val="auto"/>
              </w:rPr>
            </w:pPr>
            <w:r>
              <w:rPr>
                <w:rFonts w:ascii="Arial" w:cs="Arial" w:eastAsia="Arial" w:hAnsi="Arial"/>
                <w:sz w:val="16"/>
                <w:szCs w:val="16"/>
                <w:color w:val="4C4C4C"/>
              </w:rPr>
              <w:t>​</w:t>
            </w:r>
          </w:p>
        </w:tc>
        <w:tc>
          <w:tcPr>
            <w:tcW w:w="360" w:type="dxa"/>
            <w:vAlign w:val="bottom"/>
            <w:shd w:val="clear" w:color="auto" w:fill="E1E7EF"/>
          </w:tcPr>
          <w:p>
            <w:pPr>
              <w:spacing w:after="0"/>
              <w:rPr>
                <w:sz w:val="17"/>
                <w:szCs w:val="17"/>
                <w:color w:val="auto"/>
              </w:rPr>
            </w:pPr>
          </w:p>
        </w:tc>
        <w:tc>
          <w:tcPr>
            <w:tcW w:w="140" w:type="dxa"/>
            <w:vAlign w:val="bottom"/>
            <w:shd w:val="clear" w:color="auto" w:fill="E1E7EF"/>
          </w:tcPr>
          <w:p>
            <w:pPr>
              <w:jc w:val="right"/>
              <w:spacing w:after="0"/>
              <w:rPr>
                <w:sz w:val="20"/>
                <w:szCs w:val="20"/>
                <w:color w:val="auto"/>
              </w:rPr>
            </w:pPr>
            <w:r>
              <w:rPr>
                <w:rFonts w:ascii="Arial" w:cs="Arial" w:eastAsia="Arial" w:hAnsi="Arial"/>
                <w:sz w:val="16"/>
                <w:szCs w:val="16"/>
                <w:color w:val="4C4C4C"/>
                <w:w w:val="74"/>
              </w:rPr>
              <w:t>—</w:t>
            </w:r>
          </w:p>
        </w:tc>
        <w:tc>
          <w:tcPr>
            <w:tcW w:w="120" w:type="dxa"/>
            <w:vAlign w:val="bottom"/>
            <w:vMerge w:val="restart"/>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400" w:type="dxa"/>
            <w:vAlign w:val="bottom"/>
            <w:vMerge w:val="restart"/>
            <w:shd w:val="clear" w:color="auto" w:fill="E1E7EF"/>
          </w:tcPr>
          <w:p>
            <w:pPr>
              <w:ind w:left="340"/>
              <w:spacing w:after="0"/>
              <w:rPr>
                <w:sz w:val="20"/>
                <w:szCs w:val="20"/>
                <w:color w:val="auto"/>
              </w:rPr>
            </w:pPr>
            <w:r>
              <w:rPr>
                <w:rFonts w:ascii="Arial" w:cs="Arial" w:eastAsia="Arial" w:hAnsi="Arial"/>
                <w:sz w:val="16"/>
                <w:szCs w:val="16"/>
                <w:color w:val="4C4C4C"/>
              </w:rPr>
              <w:t>​</w:t>
            </w:r>
          </w:p>
        </w:tc>
        <w:tc>
          <w:tcPr>
            <w:tcW w:w="68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185,761</w:t>
            </w:r>
          </w:p>
        </w:tc>
        <w:tc>
          <w:tcPr>
            <w:tcW w:w="100" w:type="dxa"/>
            <w:vAlign w:val="bottom"/>
            <w:vMerge w:val="restart"/>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780" w:type="dxa"/>
            <w:vAlign w:val="bottom"/>
            <w:gridSpan w:val="2"/>
            <w:shd w:val="clear" w:color="auto" w:fill="E1E7EF"/>
          </w:tcPr>
          <w:p>
            <w:pPr>
              <w:jc w:val="right"/>
              <w:spacing w:after="0"/>
              <w:rPr>
                <w:sz w:val="20"/>
                <w:szCs w:val="20"/>
                <w:color w:val="auto"/>
              </w:rPr>
            </w:pPr>
            <w:r>
              <w:rPr>
                <w:rFonts w:ascii="Arial" w:cs="Arial" w:eastAsia="Arial" w:hAnsi="Arial"/>
                <w:sz w:val="16"/>
                <w:szCs w:val="16"/>
                <w:color w:val="4C4C4C"/>
              </w:rPr>
              <w:t>1.18</w:t>
            </w:r>
          </w:p>
        </w:tc>
        <w:tc>
          <w:tcPr>
            <w:tcW w:w="100" w:type="dxa"/>
            <w:vAlign w:val="bottom"/>
            <w:vMerge w:val="restart"/>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420" w:type="dxa"/>
            <w:vAlign w:val="bottom"/>
            <w:vMerge w:val="restart"/>
            <w:shd w:val="clear" w:color="auto" w:fill="E1E7EF"/>
          </w:tcPr>
          <w:p>
            <w:pPr>
              <w:ind w:left="340"/>
              <w:spacing w:after="0"/>
              <w:rPr>
                <w:sz w:val="20"/>
                <w:szCs w:val="20"/>
                <w:color w:val="auto"/>
              </w:rPr>
            </w:pPr>
            <w:r>
              <w:rPr>
                <w:rFonts w:ascii="Arial" w:cs="Arial" w:eastAsia="Arial" w:hAnsi="Arial"/>
                <w:sz w:val="16"/>
                <w:szCs w:val="16"/>
                <w:color w:val="4C4C4C"/>
              </w:rPr>
              <w:t>​</w:t>
            </w:r>
          </w:p>
        </w:tc>
        <w:tc>
          <w:tcPr>
            <w:tcW w:w="680" w:type="dxa"/>
            <w:vAlign w:val="bottom"/>
            <w:shd w:val="clear" w:color="auto" w:fill="E1E7EF"/>
          </w:tcPr>
          <w:p>
            <w:pPr>
              <w:jc w:val="right"/>
              <w:spacing w:after="0"/>
              <w:rPr>
                <w:sz w:val="20"/>
                <w:szCs w:val="20"/>
                <w:color w:val="auto"/>
              </w:rPr>
            </w:pPr>
            <w:r>
              <w:rPr>
                <w:rFonts w:ascii="Arial" w:cs="Arial" w:eastAsia="Arial" w:hAnsi="Arial"/>
                <w:sz w:val="16"/>
                <w:szCs w:val="16"/>
                <w:color w:val="4C4C4C"/>
              </w:rPr>
              <w:t>190,219</w:t>
            </w:r>
          </w:p>
        </w:tc>
        <w:tc>
          <w:tcPr>
            <w:tcW w:w="100" w:type="dxa"/>
            <w:vAlign w:val="bottom"/>
            <w:vMerge w:val="restart"/>
            <w:shd w:val="clear" w:color="auto" w:fill="E1E7EF"/>
          </w:tcPr>
          <w:p>
            <w:pPr>
              <w:ind w:left="4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continue"/>
            <w:shd w:val="clear" w:color="auto" w:fill="E1E7EF"/>
          </w:tcPr>
          <w:p>
            <w:pPr>
              <w:spacing w:after="0"/>
              <w:rPr>
                <w:sz w:val="5"/>
                <w:szCs w:val="5"/>
                <w:color w:val="auto"/>
              </w:rPr>
            </w:pPr>
          </w:p>
        </w:tc>
        <w:tc>
          <w:tcPr>
            <w:tcW w:w="1120" w:type="dxa"/>
            <w:vAlign w:val="bottom"/>
            <w:shd w:val="clear" w:color="auto" w:fill="E1E7EF"/>
          </w:tcPr>
          <w:p>
            <w:pPr>
              <w:spacing w:after="0"/>
              <w:rPr>
                <w:sz w:val="5"/>
                <w:szCs w:val="5"/>
                <w:color w:val="auto"/>
              </w:rPr>
            </w:pPr>
          </w:p>
        </w:tc>
        <w:tc>
          <w:tcPr>
            <w:tcW w:w="780" w:type="dxa"/>
            <w:vAlign w:val="bottom"/>
            <w:shd w:val="clear" w:color="auto" w:fill="E1E7EF"/>
          </w:tcPr>
          <w:p>
            <w:pPr>
              <w:ind w:left="20"/>
              <w:spacing w:after="0" w:line="68" w:lineRule="exact"/>
              <w:rPr>
                <w:sz w:val="20"/>
                <w:szCs w:val="20"/>
                <w:color w:val="auto"/>
              </w:rPr>
            </w:pPr>
            <w:r>
              <w:rPr>
                <w:rFonts w:ascii="Arial" w:cs="Arial" w:eastAsia="Arial" w:hAnsi="Arial"/>
                <w:sz w:val="7"/>
                <w:szCs w:val="7"/>
                <w:color w:val="4C4C4C"/>
              </w:rPr>
              <w:t>​​​</w:t>
            </w:r>
          </w:p>
        </w:tc>
        <w:tc>
          <w:tcPr>
            <w:tcW w:w="160" w:type="dxa"/>
            <w:vAlign w:val="bottom"/>
            <w:shd w:val="clear" w:color="auto" w:fill="E1E7EF"/>
          </w:tcPr>
          <w:p>
            <w:pPr>
              <w:jc w:val="right"/>
              <w:spacing w:after="0" w:line="68" w:lineRule="exact"/>
              <w:rPr>
                <w:sz w:val="20"/>
                <w:szCs w:val="20"/>
                <w:color w:val="auto"/>
              </w:rPr>
            </w:pPr>
            <w:r>
              <w:rPr>
                <w:rFonts w:ascii="Arial" w:cs="Arial" w:eastAsia="Arial" w:hAnsi="Arial"/>
                <w:sz w:val="7"/>
                <w:szCs w:val="7"/>
                <w:color w:val="4C4C4C"/>
              </w:rPr>
              <w:t>​​</w:t>
            </w:r>
          </w:p>
        </w:tc>
        <w:tc>
          <w:tcPr>
            <w:tcW w:w="500" w:type="dxa"/>
            <w:vAlign w:val="bottom"/>
            <w:vMerge w:val="continue"/>
            <w:shd w:val="clear" w:color="auto" w:fill="E1E7EF"/>
          </w:tcPr>
          <w:p>
            <w:pPr>
              <w:spacing w:after="0"/>
              <w:rPr>
                <w:sz w:val="5"/>
                <w:szCs w:val="5"/>
                <w:color w:val="auto"/>
              </w:rPr>
            </w:pPr>
          </w:p>
        </w:tc>
        <w:tc>
          <w:tcPr>
            <w:tcW w:w="360" w:type="dxa"/>
            <w:vAlign w:val="bottom"/>
            <w:shd w:val="clear" w:color="auto" w:fill="E1E7EF"/>
          </w:tcPr>
          <w:p>
            <w:pPr>
              <w:spacing w:after="0"/>
              <w:rPr>
                <w:sz w:val="5"/>
                <w:szCs w:val="5"/>
                <w:color w:val="auto"/>
              </w:rPr>
            </w:pPr>
          </w:p>
        </w:tc>
        <w:tc>
          <w:tcPr>
            <w:tcW w:w="140" w:type="dxa"/>
            <w:vAlign w:val="bottom"/>
            <w:shd w:val="clear" w:color="auto" w:fill="E1E7EF"/>
          </w:tcPr>
          <w:p>
            <w:pPr>
              <w:spacing w:after="0"/>
              <w:rPr>
                <w:sz w:val="5"/>
                <w:szCs w:val="5"/>
                <w:color w:val="auto"/>
              </w:rPr>
            </w:pPr>
          </w:p>
        </w:tc>
        <w:tc>
          <w:tcPr>
            <w:tcW w:w="120" w:type="dxa"/>
            <w:vAlign w:val="bottom"/>
            <w:vMerge w:val="continue"/>
            <w:shd w:val="clear" w:color="auto" w:fill="E1E7EF"/>
          </w:tcPr>
          <w:p>
            <w:pPr>
              <w:spacing w:after="0"/>
              <w:rPr>
                <w:sz w:val="5"/>
                <w:szCs w:val="5"/>
                <w:color w:val="auto"/>
              </w:rPr>
            </w:pPr>
          </w:p>
        </w:tc>
        <w:tc>
          <w:tcPr>
            <w:tcW w:w="400" w:type="dxa"/>
            <w:vAlign w:val="bottom"/>
            <w:vMerge w:val="continue"/>
            <w:shd w:val="clear" w:color="auto" w:fill="E1E7EF"/>
          </w:tcPr>
          <w:p>
            <w:pPr>
              <w:spacing w:after="0"/>
              <w:rPr>
                <w:sz w:val="5"/>
                <w:szCs w:val="5"/>
                <w:color w:val="auto"/>
              </w:rPr>
            </w:pPr>
          </w:p>
        </w:tc>
        <w:tc>
          <w:tcPr>
            <w:tcW w:w="680" w:type="dxa"/>
            <w:vAlign w:val="bottom"/>
            <w:shd w:val="clear" w:color="auto" w:fill="E1E7EF"/>
          </w:tcPr>
          <w:p>
            <w:pPr>
              <w:spacing w:after="0"/>
              <w:rPr>
                <w:sz w:val="5"/>
                <w:szCs w:val="5"/>
                <w:color w:val="auto"/>
              </w:rPr>
            </w:pPr>
          </w:p>
        </w:tc>
        <w:tc>
          <w:tcPr>
            <w:tcW w:w="100" w:type="dxa"/>
            <w:vAlign w:val="bottom"/>
            <w:vMerge w:val="continue"/>
            <w:shd w:val="clear" w:color="auto" w:fill="E1E7EF"/>
          </w:tcPr>
          <w:p>
            <w:pPr>
              <w:spacing w:after="0"/>
              <w:rPr>
                <w:sz w:val="5"/>
                <w:szCs w:val="5"/>
                <w:color w:val="auto"/>
              </w:rPr>
            </w:pPr>
          </w:p>
        </w:tc>
        <w:tc>
          <w:tcPr>
            <w:tcW w:w="640" w:type="dxa"/>
            <w:vAlign w:val="bottom"/>
            <w:shd w:val="clear" w:color="auto" w:fill="E1E7EF"/>
          </w:tcPr>
          <w:p>
            <w:pPr>
              <w:ind w:left="460"/>
              <w:spacing w:after="0" w:line="68" w:lineRule="exact"/>
              <w:rPr>
                <w:sz w:val="20"/>
                <w:szCs w:val="20"/>
                <w:color w:val="auto"/>
              </w:rPr>
            </w:pPr>
            <w:r>
              <w:rPr>
                <w:rFonts w:ascii="Arial" w:cs="Arial" w:eastAsia="Arial" w:hAnsi="Arial"/>
                <w:sz w:val="7"/>
                <w:szCs w:val="7"/>
                <w:color w:val="4C4C4C"/>
              </w:rPr>
              <w:t>​</w:t>
            </w:r>
          </w:p>
        </w:tc>
        <w:tc>
          <w:tcPr>
            <w:tcW w:w="140" w:type="dxa"/>
            <w:vAlign w:val="bottom"/>
            <w:shd w:val="clear" w:color="auto" w:fill="E1E7EF"/>
          </w:tcPr>
          <w:p>
            <w:pPr>
              <w:spacing w:after="0"/>
              <w:rPr>
                <w:sz w:val="5"/>
                <w:szCs w:val="5"/>
                <w:color w:val="auto"/>
              </w:rPr>
            </w:pPr>
          </w:p>
        </w:tc>
        <w:tc>
          <w:tcPr>
            <w:tcW w:w="100" w:type="dxa"/>
            <w:vAlign w:val="bottom"/>
            <w:vMerge w:val="continue"/>
            <w:shd w:val="clear" w:color="auto" w:fill="E1E7EF"/>
          </w:tcPr>
          <w:p>
            <w:pPr>
              <w:spacing w:after="0"/>
              <w:rPr>
                <w:sz w:val="5"/>
                <w:szCs w:val="5"/>
                <w:color w:val="auto"/>
              </w:rPr>
            </w:pPr>
          </w:p>
        </w:tc>
        <w:tc>
          <w:tcPr>
            <w:tcW w:w="420" w:type="dxa"/>
            <w:vAlign w:val="bottom"/>
            <w:vMerge w:val="continue"/>
            <w:shd w:val="clear" w:color="auto" w:fill="E1E7EF"/>
          </w:tcPr>
          <w:p>
            <w:pPr>
              <w:spacing w:after="0"/>
              <w:rPr>
                <w:sz w:val="5"/>
                <w:szCs w:val="5"/>
                <w:color w:val="auto"/>
              </w:rPr>
            </w:pPr>
          </w:p>
        </w:tc>
        <w:tc>
          <w:tcPr>
            <w:tcW w:w="680" w:type="dxa"/>
            <w:vAlign w:val="bottom"/>
            <w:shd w:val="clear" w:color="auto" w:fill="E1E7EF"/>
          </w:tcPr>
          <w:p>
            <w:pPr>
              <w:spacing w:after="0"/>
              <w:rPr>
                <w:sz w:val="5"/>
                <w:szCs w:val="5"/>
                <w:color w:val="auto"/>
              </w:rPr>
            </w:pPr>
          </w:p>
        </w:tc>
        <w:tc>
          <w:tcPr>
            <w:tcW w:w="100" w:type="dxa"/>
            <w:vAlign w:val="bottom"/>
            <w:vMerge w:val="continue"/>
            <w:shd w:val="clear" w:color="auto" w:fill="E1E7EF"/>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140" w:type="dxa"/>
            <w:vAlign w:val="bottom"/>
          </w:tcPr>
          <w:p>
            <w:pPr>
              <w:ind w:left="20"/>
              <w:spacing w:after="0" w:line="56" w:lineRule="exact"/>
              <w:rPr>
                <w:sz w:val="20"/>
                <w:szCs w:val="20"/>
                <w:color w:val="auto"/>
              </w:rPr>
            </w:pPr>
            <w:r>
              <w:rPr>
                <w:rFonts w:ascii="Arial" w:cs="Arial" w:eastAsia="Arial" w:hAnsi="Arial"/>
                <w:sz w:val="6"/>
                <w:szCs w:val="6"/>
                <w:color w:val="4C4C4C"/>
              </w:rPr>
              <w:t>​</w:t>
            </w:r>
          </w:p>
        </w:tc>
        <w:tc>
          <w:tcPr>
            <w:tcW w:w="1360" w:type="dxa"/>
            <w:vAlign w:val="bottom"/>
          </w:tcPr>
          <w:p>
            <w:pPr>
              <w:spacing w:after="0"/>
              <w:rPr>
                <w:sz w:val="4"/>
                <w:szCs w:val="4"/>
                <w:color w:val="auto"/>
              </w:rPr>
            </w:pPr>
          </w:p>
        </w:tc>
        <w:tc>
          <w:tcPr>
            <w:tcW w:w="2320" w:type="dxa"/>
            <w:vAlign w:val="bottom"/>
            <w:gridSpan w:val="5"/>
          </w:tcPr>
          <w:p>
            <w:pPr>
              <w:jc w:val="right"/>
              <w:spacing w:after="0" w:line="56" w:lineRule="exact"/>
              <w:rPr>
                <w:sz w:val="20"/>
                <w:szCs w:val="20"/>
                <w:color w:val="auto"/>
              </w:rPr>
            </w:pPr>
            <w:r>
              <w:rPr>
                <w:rFonts w:ascii="Arial" w:cs="Arial" w:eastAsia="Arial" w:hAnsi="Arial"/>
                <w:sz w:val="6"/>
                <w:szCs w:val="6"/>
                <w:color w:val="4C4C4C"/>
              </w:rPr>
              <w:t>​​Restricted Stock ​​​6/9/2025 ​​</w:t>
            </w:r>
          </w:p>
        </w:tc>
        <w:tc>
          <w:tcPr>
            <w:tcW w:w="1120" w:type="dxa"/>
            <w:vAlign w:val="bottom"/>
            <w:gridSpan w:val="4"/>
          </w:tcPr>
          <w:p>
            <w:pPr>
              <w:jc w:val="right"/>
              <w:spacing w:after="0" w:line="56" w:lineRule="exact"/>
              <w:rPr>
                <w:sz w:val="20"/>
                <w:szCs w:val="20"/>
                <w:color w:val="auto"/>
              </w:rPr>
            </w:pPr>
            <w:r>
              <w:rPr>
                <w:rFonts w:ascii="Arial" w:cs="Arial" w:eastAsia="Arial" w:hAnsi="Arial"/>
                <w:sz w:val="6"/>
                <w:szCs w:val="6"/>
                <w:color w:val="4C4C4C"/>
              </w:rPr>
              <w:t>​ 62,279 ​​</w:t>
            </w:r>
          </w:p>
        </w:tc>
        <w:tc>
          <w:tcPr>
            <w:tcW w:w="400" w:type="dxa"/>
            <w:vAlign w:val="bottom"/>
          </w:tcPr>
          <w:p>
            <w:pPr>
              <w:ind w:left="340"/>
              <w:spacing w:after="0" w:line="56" w:lineRule="exact"/>
              <w:rPr>
                <w:sz w:val="20"/>
                <w:szCs w:val="20"/>
                <w:color w:val="auto"/>
              </w:rPr>
            </w:pPr>
            <w:r>
              <w:rPr>
                <w:rFonts w:ascii="Arial" w:cs="Arial" w:eastAsia="Arial" w:hAnsi="Arial"/>
                <w:sz w:val="6"/>
                <w:szCs w:val="6"/>
                <w:color w:val="4C4C4C"/>
              </w:rPr>
              <w:t>​</w:t>
            </w:r>
          </w:p>
        </w:tc>
        <w:tc>
          <w:tcPr>
            <w:tcW w:w="780" w:type="dxa"/>
            <w:vAlign w:val="bottom"/>
            <w:gridSpan w:val="2"/>
          </w:tcPr>
          <w:p>
            <w:pPr>
              <w:jc w:val="right"/>
              <w:spacing w:after="0" w:line="56" w:lineRule="exact"/>
              <w:rPr>
                <w:sz w:val="20"/>
                <w:szCs w:val="20"/>
                <w:color w:val="auto"/>
              </w:rPr>
            </w:pPr>
            <w:r>
              <w:rPr>
                <w:rFonts w:ascii="Arial" w:cs="Arial" w:eastAsia="Arial" w:hAnsi="Arial"/>
                <w:sz w:val="6"/>
                <w:szCs w:val="6"/>
                <w:color w:val="4C4C4C"/>
              </w:rPr>
              <w:t>— ​​</w:t>
            </w:r>
          </w:p>
        </w:tc>
        <w:tc>
          <w:tcPr>
            <w:tcW w:w="640" w:type="dxa"/>
            <w:vAlign w:val="bottom"/>
          </w:tcPr>
          <w:p>
            <w:pPr>
              <w:ind w:left="460"/>
              <w:spacing w:after="0" w:line="56" w:lineRule="exact"/>
              <w:rPr>
                <w:sz w:val="20"/>
                <w:szCs w:val="20"/>
                <w:color w:val="auto"/>
              </w:rPr>
            </w:pPr>
            <w:r>
              <w:rPr>
                <w:rFonts w:ascii="Arial" w:cs="Arial" w:eastAsia="Arial" w:hAnsi="Arial"/>
                <w:sz w:val="6"/>
                <w:szCs w:val="6"/>
                <w:color w:val="4C4C4C"/>
              </w:rPr>
              <w:t>​</w:t>
            </w:r>
          </w:p>
        </w:tc>
        <w:tc>
          <w:tcPr>
            <w:tcW w:w="240" w:type="dxa"/>
            <w:vAlign w:val="bottom"/>
            <w:gridSpan w:val="2"/>
          </w:tcPr>
          <w:p>
            <w:pPr>
              <w:jc w:val="right"/>
              <w:spacing w:after="0" w:line="56" w:lineRule="exact"/>
              <w:rPr>
                <w:sz w:val="20"/>
                <w:szCs w:val="20"/>
                <w:color w:val="auto"/>
              </w:rPr>
            </w:pPr>
            <w:r>
              <w:rPr>
                <w:rFonts w:ascii="Arial" w:cs="Arial" w:eastAsia="Arial" w:hAnsi="Arial"/>
                <w:sz w:val="6"/>
                <w:szCs w:val="6"/>
                <w:color w:val="4C4C4C"/>
              </w:rPr>
              <w:t>— ​</w:t>
            </w:r>
          </w:p>
        </w:tc>
        <w:tc>
          <w:tcPr>
            <w:tcW w:w="420" w:type="dxa"/>
            <w:vAlign w:val="bottom"/>
          </w:tcPr>
          <w:p>
            <w:pPr>
              <w:ind w:left="340"/>
              <w:spacing w:after="0" w:line="56" w:lineRule="exact"/>
              <w:rPr>
                <w:sz w:val="20"/>
                <w:szCs w:val="20"/>
                <w:color w:val="auto"/>
              </w:rPr>
            </w:pPr>
            <w:r>
              <w:rPr>
                <w:rFonts w:ascii="Arial" w:cs="Arial" w:eastAsia="Arial" w:hAnsi="Arial"/>
                <w:sz w:val="6"/>
                <w:szCs w:val="6"/>
                <w:color w:val="4C4C4C"/>
              </w:rPr>
              <w:t>​</w:t>
            </w:r>
          </w:p>
        </w:tc>
        <w:tc>
          <w:tcPr>
            <w:tcW w:w="680" w:type="dxa"/>
            <w:vAlign w:val="bottom"/>
          </w:tcPr>
          <w:p>
            <w:pPr>
              <w:jc w:val="right"/>
              <w:spacing w:after="0" w:line="56" w:lineRule="exact"/>
              <w:rPr>
                <w:sz w:val="20"/>
                <w:szCs w:val="20"/>
                <w:color w:val="auto"/>
              </w:rPr>
            </w:pPr>
            <w:r>
              <w:rPr>
                <w:rFonts w:ascii="Arial" w:cs="Arial" w:eastAsia="Arial" w:hAnsi="Arial"/>
                <w:sz w:val="6"/>
                <w:szCs w:val="6"/>
                <w:color w:val="4C4C4C"/>
              </w:rPr>
              <w:t>73,489</w:t>
            </w:r>
          </w:p>
        </w:tc>
        <w:tc>
          <w:tcPr>
            <w:tcW w:w="100" w:type="dxa"/>
            <w:vAlign w:val="bottom"/>
          </w:tcPr>
          <w:p>
            <w:pPr>
              <w:ind w:left="40"/>
              <w:spacing w:after="0" w:line="56" w:lineRule="exact"/>
              <w:rPr>
                <w:sz w:val="20"/>
                <w:szCs w:val="20"/>
                <w:color w:val="auto"/>
              </w:rPr>
            </w:pPr>
            <w:r>
              <w:rPr>
                <w:rFonts w:ascii="Arial" w:cs="Arial" w:eastAsia="Arial" w:hAnsi="Arial"/>
                <w:sz w:val="6"/>
                <w:szCs w:val="6"/>
                <w:color w:val="4C4C4C"/>
              </w:rPr>
              <w:t>​</w:t>
            </w: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Trebuchet MS" w:cs="Trebuchet MS" w:eastAsia="Trebuchet MS" w:hAnsi="Trebuchet MS"/>
                <w:sz w:val="10"/>
                <w:szCs w:val="10"/>
                <w:color w:val="4C4C4C"/>
                <w:w w:val="79"/>
              </w:rPr>
              <w:t>(1)</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-1617345</wp:posOffset>
            </wp:positionV>
            <wp:extent cx="5212080" cy="3340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2080" cy="3340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-949325</wp:posOffset>
            </wp:positionV>
            <wp:extent cx="5212080" cy="3346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2080" cy="3346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-280670</wp:posOffset>
            </wp:positionV>
            <wp:extent cx="5212080" cy="3340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2080" cy="3340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156210</wp:posOffset>
            </wp:positionV>
            <wp:extent cx="1431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95" w:lineRule="exact"/>
        <w:rPr>
          <w:sz w:val="20"/>
          <w:szCs w:val="20"/>
          <w:color w:val="auto"/>
        </w:rPr>
      </w:pPr>
    </w:p>
    <w:p>
      <w:pPr>
        <w:ind w:left="1620" w:right="419" w:hanging="360"/>
        <w:spacing w:after="0" w:line="213" w:lineRule="auto"/>
        <w:tabs>
          <w:tab w:leader="none" w:pos="1620" w:val="left"/>
        </w:tabs>
        <w:numPr>
          <w:ilvl w:val="0"/>
          <w:numId w:val="69"/>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The stock options and restricted stock are scheduled to vest in equal installments on the first three anniversaries of the grant date, subject to the executive officer’s continued service on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780" w:hanging="520"/>
        <w:spacing w:after="0"/>
        <w:tabs>
          <w:tab w:leader="none" w:pos="1780" w:val="left"/>
        </w:tabs>
        <w:numPr>
          <w:ilvl w:val="0"/>
          <w:numId w:val="70"/>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308" w:lineRule="exact"/>
        <w:rPr>
          <w:sz w:val="20"/>
          <w:szCs w:val="20"/>
          <w:color w:val="auto"/>
        </w:rPr>
      </w:pPr>
    </w:p>
    <w:p>
      <w:pPr>
        <w:ind w:left="7920"/>
        <w:spacing w:after="0"/>
        <w:rPr>
          <w:sz w:val="20"/>
          <w:szCs w:val="20"/>
          <w:color w:val="auto"/>
        </w:rPr>
      </w:pPr>
      <w:r>
        <w:rPr>
          <w:rFonts w:ascii="Arial" w:cs="Arial" w:eastAsia="Arial" w:hAnsi="Arial"/>
          <w:sz w:val="12"/>
          <w:szCs w:val="12"/>
          <w:color w:val="346094"/>
        </w:rPr>
        <w:t>COMPENSATION TABLES</w:t>
      </w:r>
    </w:p>
    <w:p>
      <w:pPr>
        <w:spacing w:after="0" w:line="33"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87"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Outstanding Equity Awards at Fiscal Year-End</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The following table shows the outstanding equity awards of our named executive officers as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December 31, 2025:</w:t>
      </w:r>
    </w:p>
    <w:p>
      <w:pPr>
        <w:spacing w:after="0" w:line="218" w:lineRule="exact"/>
        <w:rPr>
          <w:sz w:val="20"/>
          <w:szCs w:val="20"/>
          <w:color w:val="auto"/>
        </w:rPr>
      </w:pPr>
    </w:p>
    <w:tbl>
      <w:tblPr>
        <w:tblLayout w:type="fixed"/>
        <w:tblInd w:w="1260" w:type="dxa"/>
        <w:tblCellMar>
          <w:top w:w="0" w:type="dxa"/>
          <w:left w:w="0" w:type="dxa"/>
          <w:bottom w:w="0" w:type="dxa"/>
          <w:right w:w="0" w:type="dxa"/>
        </w:tblCellMar>
      </w:tblPr>
      <w:tr>
        <w:trPr>
          <w:trHeight w:val="257"/>
        </w:trPr>
        <w:tc>
          <w:tcPr>
            <w:tcW w:w="1560" w:type="dxa"/>
            <w:vAlign w:val="bottom"/>
            <w:shd w:val="clear" w:color="auto" w:fill="346094"/>
          </w:tcPr>
          <w:p>
            <w:pPr>
              <w:spacing w:after="0"/>
              <w:rPr>
                <w:sz w:val="22"/>
                <w:szCs w:val="22"/>
                <w:color w:val="auto"/>
              </w:rPr>
            </w:pPr>
          </w:p>
        </w:tc>
        <w:tc>
          <w:tcPr>
            <w:tcW w:w="700" w:type="dxa"/>
            <w:vAlign w:val="bottom"/>
            <w:shd w:val="clear" w:color="auto" w:fill="346094"/>
          </w:tcPr>
          <w:p>
            <w:pPr>
              <w:spacing w:after="0"/>
              <w:rPr>
                <w:sz w:val="22"/>
                <w:szCs w:val="22"/>
                <w:color w:val="auto"/>
              </w:rPr>
            </w:pPr>
          </w:p>
        </w:tc>
        <w:tc>
          <w:tcPr>
            <w:tcW w:w="120" w:type="dxa"/>
            <w:vAlign w:val="bottom"/>
            <w:shd w:val="clear" w:color="auto" w:fill="346094"/>
          </w:tcPr>
          <w:p>
            <w:pPr>
              <w:spacing w:after="0"/>
              <w:rPr>
                <w:sz w:val="22"/>
                <w:szCs w:val="22"/>
                <w:color w:val="auto"/>
              </w:rPr>
            </w:pPr>
          </w:p>
        </w:tc>
        <w:tc>
          <w:tcPr>
            <w:tcW w:w="1240" w:type="dxa"/>
            <w:vAlign w:val="bottom"/>
            <w:shd w:val="clear" w:color="auto" w:fill="346094"/>
          </w:tcPr>
          <w:p>
            <w:pPr>
              <w:spacing w:after="0"/>
              <w:rPr>
                <w:sz w:val="22"/>
                <w:szCs w:val="22"/>
                <w:color w:val="auto"/>
              </w:rPr>
            </w:pPr>
          </w:p>
        </w:tc>
        <w:tc>
          <w:tcPr>
            <w:tcW w:w="1880" w:type="dxa"/>
            <w:vAlign w:val="bottom"/>
            <w:gridSpan w:val="2"/>
            <w:shd w:val="clear" w:color="auto" w:fill="346094"/>
          </w:tcPr>
          <w:p>
            <w:pPr>
              <w:jc w:val="right"/>
              <w:ind w:right="520"/>
              <w:spacing w:after="0"/>
              <w:rPr>
                <w:sz w:val="20"/>
                <w:szCs w:val="20"/>
                <w:color w:val="auto"/>
              </w:rPr>
            </w:pPr>
            <w:r>
              <w:rPr>
                <w:rFonts w:ascii="Trebuchet MS" w:cs="Trebuchet MS" w:eastAsia="Trebuchet MS" w:hAnsi="Trebuchet MS"/>
                <w:sz w:val="14"/>
                <w:szCs w:val="14"/>
                <w:b w:val="1"/>
                <w:bCs w:val="1"/>
                <w:color w:val="FFFFFF"/>
              </w:rPr>
              <w:t>Option Awards</w:t>
            </w:r>
          </w:p>
        </w:tc>
        <w:tc>
          <w:tcPr>
            <w:tcW w:w="900" w:type="dxa"/>
            <w:vAlign w:val="bottom"/>
            <w:shd w:val="clear" w:color="auto" w:fill="346094"/>
          </w:tcPr>
          <w:p>
            <w:pPr>
              <w:spacing w:after="0"/>
              <w:rPr>
                <w:sz w:val="22"/>
                <w:szCs w:val="22"/>
                <w:color w:val="auto"/>
              </w:rPr>
            </w:pPr>
          </w:p>
        </w:tc>
        <w:tc>
          <w:tcPr>
            <w:tcW w:w="1800" w:type="dxa"/>
            <w:vAlign w:val="bottom"/>
            <w:gridSpan w:val="2"/>
            <w:shd w:val="clear" w:color="auto" w:fill="346094"/>
          </w:tcPr>
          <w:p>
            <w:pPr>
              <w:jc w:val="right"/>
              <w:ind w:right="401"/>
              <w:spacing w:after="0"/>
              <w:rPr>
                <w:sz w:val="20"/>
                <w:szCs w:val="20"/>
                <w:color w:val="auto"/>
              </w:rPr>
            </w:pPr>
            <w:r>
              <w:rPr>
                <w:rFonts w:ascii="Trebuchet MS" w:cs="Trebuchet MS" w:eastAsia="Trebuchet MS" w:hAnsi="Trebuchet MS"/>
                <w:sz w:val="14"/>
                <w:szCs w:val="14"/>
                <w:b w:val="1"/>
                <w:bCs w:val="1"/>
                <w:color w:val="FFFFFF"/>
              </w:rPr>
              <w:t>Stock Awards</w:t>
            </w:r>
          </w:p>
        </w:tc>
      </w:tr>
      <w:tr>
        <w:trPr>
          <w:trHeight w:val="225"/>
        </w:trPr>
        <w:tc>
          <w:tcPr>
            <w:tcW w:w="1560" w:type="dxa"/>
            <w:vAlign w:val="bottom"/>
            <w:shd w:val="clear" w:color="auto" w:fill="346094"/>
          </w:tcPr>
          <w:p>
            <w:pPr>
              <w:spacing w:after="0"/>
              <w:rPr>
                <w:sz w:val="19"/>
                <w:szCs w:val="19"/>
                <w:color w:val="auto"/>
              </w:rPr>
            </w:pPr>
          </w:p>
        </w:tc>
        <w:tc>
          <w:tcPr>
            <w:tcW w:w="700" w:type="dxa"/>
            <w:vAlign w:val="bottom"/>
            <w:shd w:val="clear" w:color="auto" w:fill="346094"/>
          </w:tcPr>
          <w:p>
            <w:pPr>
              <w:spacing w:after="0"/>
              <w:rPr>
                <w:sz w:val="19"/>
                <w:szCs w:val="19"/>
                <w:color w:val="auto"/>
              </w:rPr>
            </w:pPr>
          </w:p>
        </w:tc>
        <w:tc>
          <w:tcPr>
            <w:tcW w:w="120" w:type="dxa"/>
            <w:vAlign w:val="bottom"/>
            <w:shd w:val="clear" w:color="auto" w:fill="346094"/>
          </w:tcPr>
          <w:p>
            <w:pPr>
              <w:spacing w:after="0"/>
              <w:rPr>
                <w:sz w:val="19"/>
                <w:szCs w:val="19"/>
                <w:color w:val="auto"/>
              </w:rPr>
            </w:pPr>
          </w:p>
        </w:tc>
        <w:tc>
          <w:tcPr>
            <w:tcW w:w="1240" w:type="dxa"/>
            <w:vAlign w:val="bottom"/>
            <w:shd w:val="clear" w:color="auto" w:fill="346094"/>
          </w:tcPr>
          <w:p>
            <w:pPr>
              <w:jc w:val="center"/>
              <w:ind w:right="1"/>
              <w:spacing w:after="0"/>
              <w:rPr>
                <w:sz w:val="20"/>
                <w:szCs w:val="20"/>
                <w:color w:val="auto"/>
              </w:rPr>
            </w:pPr>
            <w:r>
              <w:rPr>
                <w:rFonts w:ascii="Trebuchet MS" w:cs="Trebuchet MS" w:eastAsia="Trebuchet MS" w:hAnsi="Trebuchet MS"/>
                <w:sz w:val="14"/>
                <w:szCs w:val="14"/>
                <w:b w:val="1"/>
                <w:bCs w:val="1"/>
                <w:color w:val="FFFFFF"/>
              </w:rPr>
              <w:t>Number of</w:t>
            </w:r>
          </w:p>
        </w:tc>
        <w:tc>
          <w:tcPr>
            <w:tcW w:w="1100" w:type="dxa"/>
            <w:vAlign w:val="bottom"/>
            <w:shd w:val="clear" w:color="auto" w:fill="346094"/>
          </w:tcPr>
          <w:p>
            <w:pPr>
              <w:jc w:val="center"/>
              <w:ind w:right="21"/>
              <w:spacing w:after="0"/>
              <w:rPr>
                <w:sz w:val="20"/>
                <w:szCs w:val="20"/>
                <w:color w:val="auto"/>
              </w:rPr>
            </w:pPr>
            <w:r>
              <w:rPr>
                <w:rFonts w:ascii="Trebuchet MS" w:cs="Trebuchet MS" w:eastAsia="Trebuchet MS" w:hAnsi="Trebuchet MS"/>
                <w:sz w:val="14"/>
                <w:szCs w:val="14"/>
                <w:b w:val="1"/>
                <w:bCs w:val="1"/>
                <w:color w:val="FFFFFF"/>
              </w:rPr>
              <w:t>Number of</w:t>
            </w:r>
          </w:p>
        </w:tc>
        <w:tc>
          <w:tcPr>
            <w:tcW w:w="780" w:type="dxa"/>
            <w:vAlign w:val="bottom"/>
            <w:shd w:val="clear" w:color="auto" w:fill="346094"/>
          </w:tcPr>
          <w:p>
            <w:pPr>
              <w:spacing w:after="0"/>
              <w:rPr>
                <w:sz w:val="19"/>
                <w:szCs w:val="19"/>
                <w:color w:val="auto"/>
              </w:rPr>
            </w:pPr>
          </w:p>
        </w:tc>
        <w:tc>
          <w:tcPr>
            <w:tcW w:w="900" w:type="dxa"/>
            <w:vAlign w:val="bottom"/>
            <w:shd w:val="clear" w:color="auto" w:fill="346094"/>
          </w:tcPr>
          <w:p>
            <w:pPr>
              <w:spacing w:after="0"/>
              <w:rPr>
                <w:sz w:val="19"/>
                <w:szCs w:val="19"/>
                <w:color w:val="auto"/>
              </w:rPr>
            </w:pPr>
          </w:p>
        </w:tc>
        <w:tc>
          <w:tcPr>
            <w:tcW w:w="980" w:type="dxa"/>
            <w:vAlign w:val="bottom"/>
            <w:shd w:val="clear" w:color="auto" w:fill="346094"/>
          </w:tcPr>
          <w:p>
            <w:pPr>
              <w:jc w:val="center"/>
              <w:ind w:right="21"/>
              <w:spacing w:after="0"/>
              <w:rPr>
                <w:sz w:val="20"/>
                <w:szCs w:val="20"/>
                <w:color w:val="auto"/>
              </w:rPr>
            </w:pPr>
            <w:r>
              <w:rPr>
                <w:rFonts w:ascii="Trebuchet MS" w:cs="Trebuchet MS" w:eastAsia="Trebuchet MS" w:hAnsi="Trebuchet MS"/>
                <w:sz w:val="14"/>
                <w:szCs w:val="14"/>
                <w:b w:val="1"/>
                <w:bCs w:val="1"/>
                <w:color w:val="FFFFFF"/>
              </w:rPr>
              <w:t>Number of</w:t>
            </w:r>
          </w:p>
        </w:tc>
        <w:tc>
          <w:tcPr>
            <w:tcW w:w="820" w:type="dxa"/>
            <w:vAlign w:val="bottom"/>
            <w:shd w:val="clear" w:color="auto" w:fill="346094"/>
          </w:tcPr>
          <w:p>
            <w:pPr>
              <w:jc w:val="center"/>
              <w:ind w:right="41"/>
              <w:spacing w:after="0"/>
              <w:rPr>
                <w:sz w:val="20"/>
                <w:szCs w:val="20"/>
                <w:color w:val="auto"/>
              </w:rPr>
            </w:pPr>
            <w:r>
              <w:rPr>
                <w:rFonts w:ascii="Arial" w:cs="Arial" w:eastAsia="Arial" w:hAnsi="Arial"/>
                <w:sz w:val="14"/>
                <w:szCs w:val="14"/>
                <w:b w:val="1"/>
                <w:bCs w:val="1"/>
                <w:color w:val="FFFFFF"/>
                <w:w w:val="99"/>
              </w:rPr>
              <w:t>M</w:t>
            </w:r>
            <w:r>
              <w:rPr>
                <w:rFonts w:ascii="Trebuchet MS" w:cs="Trebuchet MS" w:eastAsia="Trebuchet MS" w:hAnsi="Trebuchet MS"/>
                <w:sz w:val="14"/>
                <w:szCs w:val="14"/>
                <w:b w:val="1"/>
                <w:bCs w:val="1"/>
                <w:color w:val="FFFFFF"/>
                <w:w w:val="99"/>
              </w:rPr>
              <w:t>arket</w:t>
            </w:r>
          </w:p>
        </w:tc>
      </w:tr>
      <w:tr>
        <w:trPr>
          <w:trHeight w:val="162"/>
        </w:trPr>
        <w:tc>
          <w:tcPr>
            <w:tcW w:w="1560" w:type="dxa"/>
            <w:vAlign w:val="bottom"/>
            <w:shd w:val="clear" w:color="auto" w:fill="346094"/>
          </w:tcPr>
          <w:p>
            <w:pPr>
              <w:spacing w:after="0"/>
              <w:rPr>
                <w:sz w:val="14"/>
                <w:szCs w:val="14"/>
                <w:color w:val="auto"/>
              </w:rPr>
            </w:pPr>
          </w:p>
        </w:tc>
        <w:tc>
          <w:tcPr>
            <w:tcW w:w="700" w:type="dxa"/>
            <w:vAlign w:val="bottom"/>
            <w:shd w:val="clear" w:color="auto" w:fill="346094"/>
          </w:tcPr>
          <w:p>
            <w:pPr>
              <w:spacing w:after="0"/>
              <w:rPr>
                <w:sz w:val="14"/>
                <w:szCs w:val="14"/>
                <w:color w:val="auto"/>
              </w:rPr>
            </w:pPr>
          </w:p>
        </w:tc>
        <w:tc>
          <w:tcPr>
            <w:tcW w:w="120" w:type="dxa"/>
            <w:vAlign w:val="bottom"/>
            <w:shd w:val="clear" w:color="auto" w:fill="346094"/>
          </w:tcPr>
          <w:p>
            <w:pPr>
              <w:spacing w:after="0"/>
              <w:rPr>
                <w:sz w:val="14"/>
                <w:szCs w:val="14"/>
                <w:color w:val="auto"/>
              </w:rPr>
            </w:pPr>
          </w:p>
        </w:tc>
        <w:tc>
          <w:tcPr>
            <w:tcW w:w="1240" w:type="dxa"/>
            <w:vAlign w:val="bottom"/>
            <w:shd w:val="clear" w:color="auto" w:fill="346094"/>
          </w:tcPr>
          <w:p>
            <w:pPr>
              <w:jc w:val="center"/>
              <w:ind w:right="21"/>
              <w:spacing w:after="0"/>
              <w:rPr>
                <w:sz w:val="20"/>
                <w:szCs w:val="20"/>
                <w:color w:val="auto"/>
              </w:rPr>
            </w:pPr>
            <w:r>
              <w:rPr>
                <w:rFonts w:ascii="Trebuchet MS" w:cs="Trebuchet MS" w:eastAsia="Trebuchet MS" w:hAnsi="Trebuchet MS"/>
                <w:sz w:val="14"/>
                <w:szCs w:val="14"/>
                <w:b w:val="1"/>
                <w:bCs w:val="1"/>
                <w:color w:val="FFFFFF"/>
              </w:rPr>
              <w:t>Securities</w:t>
            </w:r>
          </w:p>
        </w:tc>
        <w:tc>
          <w:tcPr>
            <w:tcW w:w="1100" w:type="dxa"/>
            <w:vAlign w:val="bottom"/>
            <w:shd w:val="clear" w:color="auto" w:fill="346094"/>
          </w:tcPr>
          <w:p>
            <w:pPr>
              <w:jc w:val="center"/>
              <w:ind w:right="1"/>
              <w:spacing w:after="0"/>
              <w:rPr>
                <w:sz w:val="20"/>
                <w:szCs w:val="20"/>
                <w:color w:val="auto"/>
              </w:rPr>
            </w:pPr>
            <w:r>
              <w:rPr>
                <w:rFonts w:ascii="Trebuchet MS" w:cs="Trebuchet MS" w:eastAsia="Trebuchet MS" w:hAnsi="Trebuchet MS"/>
                <w:sz w:val="14"/>
                <w:szCs w:val="14"/>
                <w:b w:val="1"/>
                <w:bCs w:val="1"/>
                <w:color w:val="FFFFFF"/>
              </w:rPr>
              <w:t>Securities</w:t>
            </w:r>
          </w:p>
        </w:tc>
        <w:tc>
          <w:tcPr>
            <w:tcW w:w="780" w:type="dxa"/>
            <w:vAlign w:val="bottom"/>
            <w:shd w:val="clear" w:color="auto" w:fill="346094"/>
          </w:tcPr>
          <w:p>
            <w:pPr>
              <w:spacing w:after="0"/>
              <w:rPr>
                <w:sz w:val="14"/>
                <w:szCs w:val="14"/>
                <w:color w:val="auto"/>
              </w:rPr>
            </w:pPr>
          </w:p>
        </w:tc>
        <w:tc>
          <w:tcPr>
            <w:tcW w:w="900" w:type="dxa"/>
            <w:vAlign w:val="bottom"/>
            <w:shd w:val="clear" w:color="auto" w:fill="346094"/>
          </w:tcPr>
          <w:p>
            <w:pPr>
              <w:spacing w:after="0"/>
              <w:rPr>
                <w:sz w:val="14"/>
                <w:szCs w:val="14"/>
                <w:color w:val="auto"/>
              </w:rPr>
            </w:pPr>
          </w:p>
        </w:tc>
        <w:tc>
          <w:tcPr>
            <w:tcW w:w="980" w:type="dxa"/>
            <w:vAlign w:val="bottom"/>
            <w:shd w:val="clear" w:color="auto" w:fill="346094"/>
          </w:tcPr>
          <w:p>
            <w:pPr>
              <w:jc w:val="center"/>
              <w:ind w:right="21"/>
              <w:spacing w:after="0"/>
              <w:rPr>
                <w:sz w:val="20"/>
                <w:szCs w:val="20"/>
                <w:color w:val="auto"/>
              </w:rPr>
            </w:pPr>
            <w:r>
              <w:rPr>
                <w:rFonts w:ascii="Trebuchet MS" w:cs="Trebuchet MS" w:eastAsia="Trebuchet MS" w:hAnsi="Trebuchet MS"/>
                <w:sz w:val="14"/>
                <w:szCs w:val="14"/>
                <w:b w:val="1"/>
                <w:bCs w:val="1"/>
                <w:color w:val="FFFFFF"/>
              </w:rPr>
              <w:t>Shares or</w:t>
            </w:r>
          </w:p>
        </w:tc>
        <w:tc>
          <w:tcPr>
            <w:tcW w:w="820" w:type="dxa"/>
            <w:vAlign w:val="bottom"/>
            <w:shd w:val="clear" w:color="auto" w:fill="346094"/>
          </w:tcPr>
          <w:p>
            <w:pPr>
              <w:jc w:val="center"/>
              <w:ind w:right="41"/>
              <w:spacing w:after="0"/>
              <w:rPr>
                <w:sz w:val="20"/>
                <w:szCs w:val="20"/>
                <w:color w:val="auto"/>
              </w:rPr>
            </w:pPr>
            <w:r>
              <w:rPr>
                <w:rFonts w:ascii="Trebuchet MS" w:cs="Trebuchet MS" w:eastAsia="Trebuchet MS" w:hAnsi="Trebuchet MS"/>
                <w:sz w:val="14"/>
                <w:szCs w:val="14"/>
                <w:b w:val="1"/>
                <w:bCs w:val="1"/>
                <w:color w:val="FFFFFF"/>
              </w:rPr>
              <w:t>Value of</w:t>
            </w:r>
          </w:p>
        </w:tc>
      </w:tr>
      <w:tr>
        <w:trPr>
          <w:trHeight w:val="162"/>
        </w:trPr>
        <w:tc>
          <w:tcPr>
            <w:tcW w:w="1560" w:type="dxa"/>
            <w:vAlign w:val="bottom"/>
            <w:shd w:val="clear" w:color="auto" w:fill="346094"/>
          </w:tcPr>
          <w:p>
            <w:pPr>
              <w:spacing w:after="0"/>
              <w:rPr>
                <w:sz w:val="14"/>
                <w:szCs w:val="14"/>
                <w:color w:val="auto"/>
              </w:rPr>
            </w:pPr>
          </w:p>
        </w:tc>
        <w:tc>
          <w:tcPr>
            <w:tcW w:w="700" w:type="dxa"/>
            <w:vAlign w:val="bottom"/>
            <w:shd w:val="clear" w:color="auto" w:fill="346094"/>
          </w:tcPr>
          <w:p>
            <w:pPr>
              <w:spacing w:after="0"/>
              <w:rPr>
                <w:sz w:val="14"/>
                <w:szCs w:val="14"/>
                <w:color w:val="auto"/>
              </w:rPr>
            </w:pPr>
          </w:p>
        </w:tc>
        <w:tc>
          <w:tcPr>
            <w:tcW w:w="120" w:type="dxa"/>
            <w:vAlign w:val="bottom"/>
            <w:shd w:val="clear" w:color="auto" w:fill="346094"/>
          </w:tcPr>
          <w:p>
            <w:pPr>
              <w:spacing w:after="0"/>
              <w:rPr>
                <w:sz w:val="14"/>
                <w:szCs w:val="14"/>
                <w:color w:val="auto"/>
              </w:rPr>
            </w:pPr>
          </w:p>
        </w:tc>
        <w:tc>
          <w:tcPr>
            <w:tcW w:w="1240" w:type="dxa"/>
            <w:vAlign w:val="bottom"/>
            <w:shd w:val="clear" w:color="auto" w:fill="346094"/>
          </w:tcPr>
          <w:p>
            <w:pPr>
              <w:jc w:val="center"/>
              <w:ind w:right="1"/>
              <w:spacing w:after="0"/>
              <w:rPr>
                <w:sz w:val="20"/>
                <w:szCs w:val="20"/>
                <w:color w:val="auto"/>
              </w:rPr>
            </w:pPr>
            <w:r>
              <w:rPr>
                <w:rFonts w:ascii="Trebuchet MS" w:cs="Trebuchet MS" w:eastAsia="Trebuchet MS" w:hAnsi="Trebuchet MS"/>
                <w:sz w:val="14"/>
                <w:szCs w:val="14"/>
                <w:b w:val="1"/>
                <w:bCs w:val="1"/>
                <w:color w:val="FFFFFF"/>
              </w:rPr>
              <w:t>Underlying</w:t>
            </w:r>
          </w:p>
        </w:tc>
        <w:tc>
          <w:tcPr>
            <w:tcW w:w="1100" w:type="dxa"/>
            <w:vAlign w:val="bottom"/>
            <w:shd w:val="clear" w:color="auto" w:fill="346094"/>
          </w:tcPr>
          <w:p>
            <w:pPr>
              <w:jc w:val="center"/>
              <w:ind w:right="21"/>
              <w:spacing w:after="0"/>
              <w:rPr>
                <w:sz w:val="20"/>
                <w:szCs w:val="20"/>
                <w:color w:val="auto"/>
              </w:rPr>
            </w:pPr>
            <w:r>
              <w:rPr>
                <w:rFonts w:ascii="Trebuchet MS" w:cs="Trebuchet MS" w:eastAsia="Trebuchet MS" w:hAnsi="Trebuchet MS"/>
                <w:sz w:val="14"/>
                <w:szCs w:val="14"/>
                <w:b w:val="1"/>
                <w:bCs w:val="1"/>
                <w:color w:val="FFFFFF"/>
              </w:rPr>
              <w:t>Underlying</w:t>
            </w:r>
          </w:p>
        </w:tc>
        <w:tc>
          <w:tcPr>
            <w:tcW w:w="780" w:type="dxa"/>
            <w:vAlign w:val="bottom"/>
            <w:shd w:val="clear" w:color="auto" w:fill="346094"/>
          </w:tcPr>
          <w:p>
            <w:pPr>
              <w:spacing w:after="0"/>
              <w:rPr>
                <w:sz w:val="14"/>
                <w:szCs w:val="14"/>
                <w:color w:val="auto"/>
              </w:rPr>
            </w:pPr>
          </w:p>
        </w:tc>
        <w:tc>
          <w:tcPr>
            <w:tcW w:w="900" w:type="dxa"/>
            <w:vAlign w:val="bottom"/>
            <w:shd w:val="clear" w:color="auto" w:fill="346094"/>
          </w:tcPr>
          <w:p>
            <w:pPr>
              <w:spacing w:after="0"/>
              <w:rPr>
                <w:sz w:val="14"/>
                <w:szCs w:val="14"/>
                <w:color w:val="auto"/>
              </w:rPr>
            </w:pPr>
          </w:p>
        </w:tc>
        <w:tc>
          <w:tcPr>
            <w:tcW w:w="980" w:type="dxa"/>
            <w:vAlign w:val="bottom"/>
            <w:shd w:val="clear" w:color="auto" w:fill="346094"/>
          </w:tcPr>
          <w:p>
            <w:pPr>
              <w:jc w:val="center"/>
              <w:ind w:right="21"/>
              <w:spacing w:after="0"/>
              <w:rPr>
                <w:sz w:val="20"/>
                <w:szCs w:val="20"/>
                <w:color w:val="auto"/>
              </w:rPr>
            </w:pPr>
            <w:r>
              <w:rPr>
                <w:rFonts w:ascii="Trebuchet MS" w:cs="Trebuchet MS" w:eastAsia="Trebuchet MS" w:hAnsi="Trebuchet MS"/>
                <w:sz w:val="14"/>
                <w:szCs w:val="14"/>
                <w:b w:val="1"/>
                <w:bCs w:val="1"/>
                <w:color w:val="FFFFFF"/>
              </w:rPr>
              <w:t>Units of</w:t>
            </w:r>
          </w:p>
        </w:tc>
        <w:tc>
          <w:tcPr>
            <w:tcW w:w="820" w:type="dxa"/>
            <w:vAlign w:val="bottom"/>
            <w:shd w:val="clear" w:color="auto" w:fill="346094"/>
          </w:tcPr>
          <w:p>
            <w:pPr>
              <w:jc w:val="center"/>
              <w:ind w:right="41"/>
              <w:spacing w:after="0"/>
              <w:rPr>
                <w:sz w:val="20"/>
                <w:szCs w:val="20"/>
                <w:color w:val="auto"/>
              </w:rPr>
            </w:pPr>
            <w:r>
              <w:rPr>
                <w:rFonts w:ascii="Trebuchet MS" w:cs="Trebuchet MS" w:eastAsia="Trebuchet MS" w:hAnsi="Trebuchet MS"/>
                <w:sz w:val="14"/>
                <w:szCs w:val="14"/>
                <w:b w:val="1"/>
                <w:bCs w:val="1"/>
                <w:color w:val="FFFFFF"/>
              </w:rPr>
              <w:t>Shares or</w:t>
            </w:r>
          </w:p>
        </w:tc>
      </w:tr>
      <w:tr>
        <w:trPr>
          <w:trHeight w:val="162"/>
        </w:trPr>
        <w:tc>
          <w:tcPr>
            <w:tcW w:w="1560" w:type="dxa"/>
            <w:vAlign w:val="bottom"/>
            <w:shd w:val="clear" w:color="auto" w:fill="346094"/>
          </w:tcPr>
          <w:p>
            <w:pPr>
              <w:spacing w:after="0"/>
              <w:rPr>
                <w:sz w:val="14"/>
                <w:szCs w:val="14"/>
                <w:color w:val="auto"/>
              </w:rPr>
            </w:pPr>
          </w:p>
        </w:tc>
        <w:tc>
          <w:tcPr>
            <w:tcW w:w="700" w:type="dxa"/>
            <w:vAlign w:val="bottom"/>
            <w:shd w:val="clear" w:color="auto" w:fill="346094"/>
          </w:tcPr>
          <w:p>
            <w:pPr>
              <w:spacing w:after="0"/>
              <w:rPr>
                <w:sz w:val="14"/>
                <w:szCs w:val="14"/>
                <w:color w:val="auto"/>
              </w:rPr>
            </w:pPr>
          </w:p>
        </w:tc>
        <w:tc>
          <w:tcPr>
            <w:tcW w:w="120" w:type="dxa"/>
            <w:vAlign w:val="bottom"/>
            <w:shd w:val="clear" w:color="auto" w:fill="346094"/>
          </w:tcPr>
          <w:p>
            <w:pPr>
              <w:spacing w:after="0"/>
              <w:rPr>
                <w:sz w:val="14"/>
                <w:szCs w:val="14"/>
                <w:color w:val="auto"/>
              </w:rPr>
            </w:pPr>
          </w:p>
        </w:tc>
        <w:tc>
          <w:tcPr>
            <w:tcW w:w="1240" w:type="dxa"/>
            <w:vAlign w:val="bottom"/>
            <w:shd w:val="clear" w:color="auto" w:fill="346094"/>
          </w:tcPr>
          <w:p>
            <w:pPr>
              <w:jc w:val="center"/>
              <w:ind w:right="1"/>
              <w:spacing w:after="0"/>
              <w:rPr>
                <w:sz w:val="20"/>
                <w:szCs w:val="20"/>
                <w:color w:val="auto"/>
              </w:rPr>
            </w:pPr>
            <w:r>
              <w:rPr>
                <w:rFonts w:ascii="Trebuchet MS" w:cs="Trebuchet MS" w:eastAsia="Trebuchet MS" w:hAnsi="Trebuchet MS"/>
                <w:sz w:val="14"/>
                <w:szCs w:val="14"/>
                <w:b w:val="1"/>
                <w:bCs w:val="1"/>
                <w:color w:val="FFFFFF"/>
              </w:rPr>
              <w:t>Unexercised</w:t>
            </w:r>
          </w:p>
        </w:tc>
        <w:tc>
          <w:tcPr>
            <w:tcW w:w="1100" w:type="dxa"/>
            <w:vAlign w:val="bottom"/>
            <w:shd w:val="clear" w:color="auto" w:fill="346094"/>
          </w:tcPr>
          <w:p>
            <w:pPr>
              <w:jc w:val="center"/>
              <w:ind w:right="21"/>
              <w:spacing w:after="0"/>
              <w:rPr>
                <w:sz w:val="20"/>
                <w:szCs w:val="20"/>
                <w:color w:val="auto"/>
              </w:rPr>
            </w:pPr>
            <w:r>
              <w:rPr>
                <w:rFonts w:ascii="Trebuchet MS" w:cs="Trebuchet MS" w:eastAsia="Trebuchet MS" w:hAnsi="Trebuchet MS"/>
                <w:sz w:val="14"/>
                <w:szCs w:val="14"/>
                <w:b w:val="1"/>
                <w:bCs w:val="1"/>
                <w:color w:val="FFFFFF"/>
              </w:rPr>
              <w:t>Unexercised</w:t>
            </w:r>
          </w:p>
        </w:tc>
        <w:tc>
          <w:tcPr>
            <w:tcW w:w="780" w:type="dxa"/>
            <w:vAlign w:val="bottom"/>
            <w:shd w:val="clear" w:color="auto" w:fill="346094"/>
          </w:tcPr>
          <w:p>
            <w:pPr>
              <w:jc w:val="center"/>
              <w:spacing w:after="0"/>
              <w:rPr>
                <w:sz w:val="20"/>
                <w:szCs w:val="20"/>
                <w:color w:val="auto"/>
              </w:rPr>
            </w:pPr>
            <w:r>
              <w:rPr>
                <w:rFonts w:ascii="Trebuchet MS" w:cs="Trebuchet MS" w:eastAsia="Trebuchet MS" w:hAnsi="Trebuchet MS"/>
                <w:sz w:val="14"/>
                <w:szCs w:val="14"/>
                <w:b w:val="1"/>
                <w:bCs w:val="1"/>
                <w:color w:val="FFFFFF"/>
              </w:rPr>
              <w:t>Option</w:t>
            </w:r>
          </w:p>
        </w:tc>
        <w:tc>
          <w:tcPr>
            <w:tcW w:w="900" w:type="dxa"/>
            <w:vAlign w:val="bottom"/>
            <w:shd w:val="clear" w:color="auto" w:fill="346094"/>
          </w:tcPr>
          <w:p>
            <w:pPr>
              <w:spacing w:after="0"/>
              <w:rPr>
                <w:sz w:val="14"/>
                <w:szCs w:val="14"/>
                <w:color w:val="auto"/>
              </w:rPr>
            </w:pPr>
          </w:p>
        </w:tc>
        <w:tc>
          <w:tcPr>
            <w:tcW w:w="980" w:type="dxa"/>
            <w:vAlign w:val="bottom"/>
            <w:shd w:val="clear" w:color="auto" w:fill="346094"/>
          </w:tcPr>
          <w:p>
            <w:pPr>
              <w:jc w:val="center"/>
              <w:ind w:right="21"/>
              <w:spacing w:after="0"/>
              <w:rPr>
                <w:sz w:val="20"/>
                <w:szCs w:val="20"/>
                <w:color w:val="auto"/>
              </w:rPr>
            </w:pPr>
            <w:r>
              <w:rPr>
                <w:rFonts w:ascii="Trebuchet MS" w:cs="Trebuchet MS" w:eastAsia="Trebuchet MS" w:hAnsi="Trebuchet MS"/>
                <w:sz w:val="14"/>
                <w:szCs w:val="14"/>
                <w:b w:val="1"/>
                <w:bCs w:val="1"/>
                <w:color w:val="FFFFFF"/>
              </w:rPr>
              <w:t>Stock That</w:t>
            </w:r>
          </w:p>
        </w:tc>
        <w:tc>
          <w:tcPr>
            <w:tcW w:w="820" w:type="dxa"/>
            <w:vAlign w:val="bottom"/>
            <w:shd w:val="clear" w:color="auto" w:fill="346094"/>
          </w:tcPr>
          <w:p>
            <w:pPr>
              <w:jc w:val="center"/>
              <w:ind w:right="41"/>
              <w:spacing w:after="0"/>
              <w:rPr>
                <w:sz w:val="20"/>
                <w:szCs w:val="20"/>
                <w:color w:val="auto"/>
              </w:rPr>
            </w:pPr>
            <w:r>
              <w:rPr>
                <w:rFonts w:ascii="Trebuchet MS" w:cs="Trebuchet MS" w:eastAsia="Trebuchet MS" w:hAnsi="Trebuchet MS"/>
                <w:sz w:val="14"/>
                <w:szCs w:val="14"/>
                <w:b w:val="1"/>
                <w:bCs w:val="1"/>
                <w:color w:val="FFFFFF"/>
              </w:rPr>
              <w:t>Units That</w:t>
            </w:r>
          </w:p>
        </w:tc>
      </w:tr>
      <w:tr>
        <w:trPr>
          <w:trHeight w:val="162"/>
        </w:trPr>
        <w:tc>
          <w:tcPr>
            <w:tcW w:w="1560" w:type="dxa"/>
            <w:vAlign w:val="bottom"/>
            <w:shd w:val="clear" w:color="auto" w:fill="346094"/>
          </w:tcPr>
          <w:p>
            <w:pPr>
              <w:spacing w:after="0"/>
              <w:rPr>
                <w:sz w:val="14"/>
                <w:szCs w:val="14"/>
                <w:color w:val="auto"/>
              </w:rPr>
            </w:pPr>
          </w:p>
        </w:tc>
        <w:tc>
          <w:tcPr>
            <w:tcW w:w="700" w:type="dxa"/>
            <w:vAlign w:val="bottom"/>
            <w:shd w:val="clear" w:color="auto" w:fill="346094"/>
          </w:tcPr>
          <w:p>
            <w:pPr>
              <w:spacing w:after="0"/>
              <w:rPr>
                <w:sz w:val="14"/>
                <w:szCs w:val="14"/>
                <w:color w:val="auto"/>
              </w:rPr>
            </w:pPr>
          </w:p>
        </w:tc>
        <w:tc>
          <w:tcPr>
            <w:tcW w:w="120" w:type="dxa"/>
            <w:vAlign w:val="bottom"/>
            <w:shd w:val="clear" w:color="auto" w:fill="346094"/>
          </w:tcPr>
          <w:p>
            <w:pPr>
              <w:spacing w:after="0"/>
              <w:rPr>
                <w:sz w:val="14"/>
                <w:szCs w:val="14"/>
                <w:color w:val="auto"/>
              </w:rPr>
            </w:pPr>
          </w:p>
        </w:tc>
        <w:tc>
          <w:tcPr>
            <w:tcW w:w="1240" w:type="dxa"/>
            <w:vAlign w:val="bottom"/>
            <w:shd w:val="clear" w:color="auto" w:fill="346094"/>
          </w:tcPr>
          <w:p>
            <w:pPr>
              <w:jc w:val="center"/>
              <w:ind w:right="1"/>
              <w:spacing w:after="0"/>
              <w:rPr>
                <w:sz w:val="20"/>
                <w:szCs w:val="20"/>
                <w:color w:val="auto"/>
              </w:rPr>
            </w:pPr>
            <w:r>
              <w:rPr>
                <w:rFonts w:ascii="Trebuchet MS" w:cs="Trebuchet MS" w:eastAsia="Trebuchet MS" w:hAnsi="Trebuchet MS"/>
                <w:sz w:val="14"/>
                <w:szCs w:val="14"/>
                <w:b w:val="1"/>
                <w:bCs w:val="1"/>
                <w:color w:val="FFFFFF"/>
              </w:rPr>
              <w:t>Options</w:t>
            </w:r>
          </w:p>
        </w:tc>
        <w:tc>
          <w:tcPr>
            <w:tcW w:w="1100" w:type="dxa"/>
            <w:vAlign w:val="bottom"/>
            <w:shd w:val="clear" w:color="auto" w:fill="346094"/>
          </w:tcPr>
          <w:p>
            <w:pPr>
              <w:jc w:val="center"/>
              <w:ind w:right="21"/>
              <w:spacing w:after="0"/>
              <w:rPr>
                <w:sz w:val="20"/>
                <w:szCs w:val="20"/>
                <w:color w:val="auto"/>
              </w:rPr>
            </w:pPr>
            <w:r>
              <w:rPr>
                <w:rFonts w:ascii="Trebuchet MS" w:cs="Trebuchet MS" w:eastAsia="Trebuchet MS" w:hAnsi="Trebuchet MS"/>
                <w:sz w:val="14"/>
                <w:szCs w:val="14"/>
                <w:b w:val="1"/>
                <w:bCs w:val="1"/>
                <w:color w:val="FFFFFF"/>
              </w:rPr>
              <w:t>Options</w:t>
            </w:r>
          </w:p>
        </w:tc>
        <w:tc>
          <w:tcPr>
            <w:tcW w:w="780" w:type="dxa"/>
            <w:vAlign w:val="bottom"/>
            <w:shd w:val="clear" w:color="auto" w:fill="346094"/>
          </w:tcPr>
          <w:p>
            <w:pPr>
              <w:jc w:val="center"/>
              <w:spacing w:after="0"/>
              <w:rPr>
                <w:sz w:val="20"/>
                <w:szCs w:val="20"/>
                <w:color w:val="auto"/>
              </w:rPr>
            </w:pPr>
            <w:r>
              <w:rPr>
                <w:rFonts w:ascii="Trebuchet MS" w:cs="Trebuchet MS" w:eastAsia="Trebuchet MS" w:hAnsi="Trebuchet MS"/>
                <w:sz w:val="14"/>
                <w:szCs w:val="14"/>
                <w:b w:val="1"/>
                <w:bCs w:val="1"/>
                <w:color w:val="FFFFFF"/>
              </w:rPr>
              <w:t>Exercise</w:t>
            </w:r>
          </w:p>
        </w:tc>
        <w:tc>
          <w:tcPr>
            <w:tcW w:w="900" w:type="dxa"/>
            <w:vAlign w:val="bottom"/>
            <w:shd w:val="clear" w:color="auto" w:fill="346094"/>
          </w:tcPr>
          <w:p>
            <w:pPr>
              <w:jc w:val="center"/>
              <w:spacing w:after="0"/>
              <w:rPr>
                <w:sz w:val="20"/>
                <w:szCs w:val="20"/>
                <w:color w:val="auto"/>
              </w:rPr>
            </w:pPr>
            <w:r>
              <w:rPr>
                <w:rFonts w:ascii="Trebuchet MS" w:cs="Trebuchet MS" w:eastAsia="Trebuchet MS" w:hAnsi="Trebuchet MS"/>
                <w:sz w:val="14"/>
                <w:szCs w:val="14"/>
                <w:b w:val="1"/>
                <w:bCs w:val="1"/>
                <w:color w:val="FFFFFF"/>
              </w:rPr>
              <w:t>Option</w:t>
            </w:r>
          </w:p>
        </w:tc>
        <w:tc>
          <w:tcPr>
            <w:tcW w:w="980" w:type="dxa"/>
            <w:vAlign w:val="bottom"/>
            <w:shd w:val="clear" w:color="auto" w:fill="346094"/>
          </w:tcPr>
          <w:p>
            <w:pPr>
              <w:jc w:val="center"/>
              <w:ind w:right="21"/>
              <w:spacing w:after="0"/>
              <w:rPr>
                <w:sz w:val="20"/>
                <w:szCs w:val="20"/>
                <w:color w:val="auto"/>
              </w:rPr>
            </w:pPr>
            <w:r>
              <w:rPr>
                <w:rFonts w:ascii="Trebuchet MS" w:cs="Trebuchet MS" w:eastAsia="Trebuchet MS" w:hAnsi="Trebuchet MS"/>
                <w:sz w:val="14"/>
                <w:szCs w:val="14"/>
                <w:b w:val="1"/>
                <w:bCs w:val="1"/>
                <w:color w:val="FFFFFF"/>
              </w:rPr>
              <w:t>Have Not</w:t>
            </w:r>
          </w:p>
        </w:tc>
        <w:tc>
          <w:tcPr>
            <w:tcW w:w="820" w:type="dxa"/>
            <w:vAlign w:val="bottom"/>
            <w:shd w:val="clear" w:color="auto" w:fill="346094"/>
          </w:tcPr>
          <w:p>
            <w:pPr>
              <w:jc w:val="center"/>
              <w:ind w:right="41"/>
              <w:spacing w:after="0"/>
              <w:rPr>
                <w:sz w:val="20"/>
                <w:szCs w:val="20"/>
                <w:color w:val="auto"/>
              </w:rPr>
            </w:pPr>
            <w:r>
              <w:rPr>
                <w:rFonts w:ascii="Trebuchet MS" w:cs="Trebuchet MS" w:eastAsia="Trebuchet MS" w:hAnsi="Trebuchet MS"/>
                <w:sz w:val="14"/>
                <w:szCs w:val="14"/>
                <w:b w:val="1"/>
                <w:bCs w:val="1"/>
                <w:color w:val="FFFFFF"/>
              </w:rPr>
              <w:t>Have Not</w:t>
            </w:r>
          </w:p>
        </w:tc>
      </w:tr>
      <w:tr>
        <w:trPr>
          <w:trHeight w:val="142"/>
        </w:trPr>
        <w:tc>
          <w:tcPr>
            <w:tcW w:w="1560" w:type="dxa"/>
            <w:vAlign w:val="bottom"/>
            <w:shd w:val="clear" w:color="auto" w:fill="346094"/>
          </w:tcPr>
          <w:p>
            <w:pPr>
              <w:spacing w:after="0"/>
              <w:rPr>
                <w:sz w:val="12"/>
                <w:szCs w:val="12"/>
                <w:color w:val="auto"/>
              </w:rPr>
            </w:pPr>
          </w:p>
        </w:tc>
        <w:tc>
          <w:tcPr>
            <w:tcW w:w="820" w:type="dxa"/>
            <w:vAlign w:val="bottom"/>
            <w:gridSpan w:val="2"/>
            <w:shd w:val="clear" w:color="auto" w:fill="346094"/>
          </w:tcPr>
          <w:p>
            <w:pPr>
              <w:jc w:val="right"/>
              <w:ind w:right="200"/>
              <w:spacing w:after="0" w:line="142" w:lineRule="exact"/>
              <w:rPr>
                <w:sz w:val="20"/>
                <w:szCs w:val="20"/>
                <w:color w:val="auto"/>
              </w:rPr>
            </w:pPr>
            <w:r>
              <w:rPr>
                <w:rFonts w:ascii="Trebuchet MS" w:cs="Trebuchet MS" w:eastAsia="Trebuchet MS" w:hAnsi="Trebuchet MS"/>
                <w:sz w:val="14"/>
                <w:szCs w:val="14"/>
                <w:b w:val="1"/>
                <w:bCs w:val="1"/>
                <w:color w:val="FFFFFF"/>
              </w:rPr>
              <w:t>Grant</w:t>
            </w:r>
          </w:p>
        </w:tc>
        <w:tc>
          <w:tcPr>
            <w:tcW w:w="1240" w:type="dxa"/>
            <w:vAlign w:val="bottom"/>
            <w:shd w:val="clear" w:color="auto" w:fill="346094"/>
          </w:tcPr>
          <w:p>
            <w:pPr>
              <w:jc w:val="center"/>
              <w:ind w:right="1"/>
              <w:spacing w:after="0" w:line="142" w:lineRule="exact"/>
              <w:rPr>
                <w:sz w:val="20"/>
                <w:szCs w:val="20"/>
                <w:color w:val="auto"/>
              </w:rPr>
            </w:pPr>
            <w:r>
              <w:rPr>
                <w:rFonts w:ascii="Trebuchet MS" w:cs="Trebuchet MS" w:eastAsia="Trebuchet MS" w:hAnsi="Trebuchet MS"/>
                <w:sz w:val="14"/>
                <w:szCs w:val="14"/>
                <w:b w:val="1"/>
                <w:bCs w:val="1"/>
                <w:color w:val="FFFFFF"/>
              </w:rPr>
              <w:t>(#)</w:t>
            </w:r>
          </w:p>
        </w:tc>
        <w:tc>
          <w:tcPr>
            <w:tcW w:w="1100" w:type="dxa"/>
            <w:vAlign w:val="bottom"/>
            <w:shd w:val="clear" w:color="auto" w:fill="346094"/>
          </w:tcPr>
          <w:p>
            <w:pPr>
              <w:jc w:val="center"/>
              <w:ind w:right="21"/>
              <w:spacing w:after="0" w:line="142" w:lineRule="exact"/>
              <w:rPr>
                <w:sz w:val="20"/>
                <w:szCs w:val="20"/>
                <w:color w:val="auto"/>
              </w:rPr>
            </w:pPr>
            <w:r>
              <w:rPr>
                <w:rFonts w:ascii="Trebuchet MS" w:cs="Trebuchet MS" w:eastAsia="Trebuchet MS" w:hAnsi="Trebuchet MS"/>
                <w:sz w:val="14"/>
                <w:szCs w:val="14"/>
                <w:b w:val="1"/>
                <w:bCs w:val="1"/>
                <w:color w:val="FFFFFF"/>
              </w:rPr>
              <w:t>(#)</w:t>
            </w:r>
          </w:p>
        </w:tc>
        <w:tc>
          <w:tcPr>
            <w:tcW w:w="780" w:type="dxa"/>
            <w:vAlign w:val="bottom"/>
            <w:shd w:val="clear" w:color="auto" w:fill="346094"/>
          </w:tcPr>
          <w:p>
            <w:pPr>
              <w:jc w:val="center"/>
              <w:spacing w:after="0" w:line="142" w:lineRule="exact"/>
              <w:rPr>
                <w:sz w:val="20"/>
                <w:szCs w:val="20"/>
                <w:color w:val="auto"/>
              </w:rPr>
            </w:pPr>
            <w:r>
              <w:rPr>
                <w:rFonts w:ascii="Trebuchet MS" w:cs="Trebuchet MS" w:eastAsia="Trebuchet MS" w:hAnsi="Trebuchet MS"/>
                <w:sz w:val="14"/>
                <w:szCs w:val="14"/>
                <w:b w:val="1"/>
                <w:bCs w:val="1"/>
                <w:color w:val="FFFFFF"/>
              </w:rPr>
              <w:t>Price</w:t>
            </w:r>
          </w:p>
        </w:tc>
        <w:tc>
          <w:tcPr>
            <w:tcW w:w="900" w:type="dxa"/>
            <w:vAlign w:val="bottom"/>
            <w:shd w:val="clear" w:color="auto" w:fill="346094"/>
          </w:tcPr>
          <w:p>
            <w:pPr>
              <w:jc w:val="center"/>
              <w:spacing w:after="0" w:line="142" w:lineRule="exact"/>
              <w:rPr>
                <w:sz w:val="20"/>
                <w:szCs w:val="20"/>
                <w:color w:val="auto"/>
              </w:rPr>
            </w:pPr>
            <w:r>
              <w:rPr>
                <w:rFonts w:ascii="Trebuchet MS" w:cs="Trebuchet MS" w:eastAsia="Trebuchet MS" w:hAnsi="Trebuchet MS"/>
                <w:sz w:val="14"/>
                <w:szCs w:val="14"/>
                <w:b w:val="1"/>
                <w:bCs w:val="1"/>
                <w:color w:val="FFFFFF"/>
              </w:rPr>
              <w:t>Expiration</w:t>
            </w:r>
          </w:p>
        </w:tc>
        <w:tc>
          <w:tcPr>
            <w:tcW w:w="980" w:type="dxa"/>
            <w:vAlign w:val="bottom"/>
            <w:shd w:val="clear" w:color="auto" w:fill="346094"/>
          </w:tcPr>
          <w:p>
            <w:pPr>
              <w:jc w:val="center"/>
              <w:ind w:right="21"/>
              <w:spacing w:after="0" w:line="142" w:lineRule="exact"/>
              <w:rPr>
                <w:sz w:val="20"/>
                <w:szCs w:val="20"/>
                <w:color w:val="auto"/>
              </w:rPr>
            </w:pPr>
            <w:r>
              <w:rPr>
                <w:rFonts w:ascii="Trebuchet MS" w:cs="Trebuchet MS" w:eastAsia="Trebuchet MS" w:hAnsi="Trebuchet MS"/>
                <w:sz w:val="14"/>
                <w:szCs w:val="14"/>
                <w:b w:val="1"/>
                <w:bCs w:val="1"/>
                <w:color w:val="FFFFFF"/>
                <w:w w:val="98"/>
              </w:rPr>
              <w:t>Vested</w:t>
            </w:r>
          </w:p>
        </w:tc>
        <w:tc>
          <w:tcPr>
            <w:tcW w:w="820" w:type="dxa"/>
            <w:vAlign w:val="bottom"/>
            <w:shd w:val="clear" w:color="auto" w:fill="346094"/>
          </w:tcPr>
          <w:p>
            <w:pPr>
              <w:jc w:val="center"/>
              <w:ind w:right="41"/>
              <w:spacing w:after="0" w:line="142" w:lineRule="exact"/>
              <w:rPr>
                <w:sz w:val="20"/>
                <w:szCs w:val="20"/>
                <w:color w:val="auto"/>
              </w:rPr>
            </w:pPr>
            <w:r>
              <w:rPr>
                <w:rFonts w:ascii="Trebuchet MS" w:cs="Trebuchet MS" w:eastAsia="Trebuchet MS" w:hAnsi="Trebuchet MS"/>
                <w:sz w:val="14"/>
                <w:szCs w:val="14"/>
                <w:b w:val="1"/>
                <w:bCs w:val="1"/>
                <w:color w:val="FFFFFF"/>
              </w:rPr>
              <w:t>Vested</w:t>
            </w:r>
          </w:p>
        </w:tc>
      </w:tr>
      <w:tr>
        <w:trPr>
          <w:trHeight w:val="186"/>
        </w:trPr>
        <w:tc>
          <w:tcPr>
            <w:tcW w:w="1560" w:type="dxa"/>
            <w:vAlign w:val="bottom"/>
            <w:shd w:val="clear" w:color="auto" w:fill="346094"/>
          </w:tcPr>
          <w:p>
            <w:pPr>
              <w:ind w:left="40"/>
              <w:spacing w:after="0"/>
              <w:rPr>
                <w:sz w:val="20"/>
                <w:szCs w:val="20"/>
                <w:color w:val="auto"/>
              </w:rPr>
            </w:pPr>
            <w:r>
              <w:rPr>
                <w:rFonts w:ascii="Trebuchet MS" w:cs="Trebuchet MS" w:eastAsia="Trebuchet MS" w:hAnsi="Trebuchet MS"/>
                <w:sz w:val="14"/>
                <w:szCs w:val="14"/>
                <w:b w:val="1"/>
                <w:bCs w:val="1"/>
                <w:color w:val="FFFFFF"/>
              </w:rPr>
              <w:t>Name</w:t>
            </w:r>
          </w:p>
        </w:tc>
        <w:tc>
          <w:tcPr>
            <w:tcW w:w="820" w:type="dxa"/>
            <w:vAlign w:val="bottom"/>
            <w:gridSpan w:val="2"/>
            <w:shd w:val="clear" w:color="auto" w:fill="346094"/>
          </w:tcPr>
          <w:p>
            <w:pPr>
              <w:jc w:val="right"/>
              <w:ind w:right="220"/>
              <w:spacing w:after="0"/>
              <w:rPr>
                <w:sz w:val="20"/>
                <w:szCs w:val="20"/>
                <w:color w:val="auto"/>
              </w:rPr>
            </w:pPr>
            <w:r>
              <w:rPr>
                <w:rFonts w:ascii="Trebuchet MS" w:cs="Trebuchet MS" w:eastAsia="Trebuchet MS" w:hAnsi="Trebuchet MS"/>
                <w:sz w:val="14"/>
                <w:szCs w:val="14"/>
                <w:b w:val="1"/>
                <w:bCs w:val="1"/>
                <w:color w:val="FFFFFF"/>
              </w:rPr>
              <w:t>Date</w:t>
            </w:r>
          </w:p>
        </w:tc>
        <w:tc>
          <w:tcPr>
            <w:tcW w:w="1240" w:type="dxa"/>
            <w:vAlign w:val="bottom"/>
            <w:shd w:val="clear" w:color="auto" w:fill="346094"/>
          </w:tcPr>
          <w:p>
            <w:pPr>
              <w:jc w:val="center"/>
              <w:ind w:right="1"/>
              <w:spacing w:after="0"/>
              <w:rPr>
                <w:sz w:val="20"/>
                <w:szCs w:val="20"/>
                <w:color w:val="auto"/>
              </w:rPr>
            </w:pPr>
            <w:r>
              <w:rPr>
                <w:rFonts w:ascii="Trebuchet MS" w:cs="Trebuchet MS" w:eastAsia="Trebuchet MS" w:hAnsi="Trebuchet MS"/>
                <w:sz w:val="14"/>
                <w:szCs w:val="14"/>
                <w:b w:val="1"/>
                <w:bCs w:val="1"/>
                <w:color w:val="FFFFFF"/>
              </w:rPr>
              <w:t>Exercisable</w:t>
            </w:r>
          </w:p>
        </w:tc>
        <w:tc>
          <w:tcPr>
            <w:tcW w:w="1100" w:type="dxa"/>
            <w:vAlign w:val="bottom"/>
            <w:shd w:val="clear" w:color="auto" w:fill="346094"/>
          </w:tcPr>
          <w:p>
            <w:pPr>
              <w:jc w:val="center"/>
              <w:ind w:right="21"/>
              <w:spacing w:after="0"/>
              <w:rPr>
                <w:sz w:val="20"/>
                <w:szCs w:val="20"/>
                <w:color w:val="auto"/>
              </w:rPr>
            </w:pPr>
            <w:r>
              <w:rPr>
                <w:rFonts w:ascii="Trebuchet MS" w:cs="Trebuchet MS" w:eastAsia="Trebuchet MS" w:hAnsi="Trebuchet MS"/>
                <w:sz w:val="14"/>
                <w:szCs w:val="14"/>
                <w:b w:val="1"/>
                <w:bCs w:val="1"/>
                <w:color w:val="FFFFFF"/>
              </w:rPr>
              <w:t>Unexercisable</w:t>
            </w:r>
          </w:p>
        </w:tc>
        <w:tc>
          <w:tcPr>
            <w:tcW w:w="780" w:type="dxa"/>
            <w:vAlign w:val="bottom"/>
            <w:shd w:val="clear" w:color="auto" w:fill="346094"/>
          </w:tcPr>
          <w:p>
            <w:pPr>
              <w:jc w:val="center"/>
              <w:spacing w:after="0"/>
              <w:rPr>
                <w:sz w:val="20"/>
                <w:szCs w:val="20"/>
                <w:color w:val="auto"/>
              </w:rPr>
            </w:pPr>
            <w:r>
              <w:rPr>
                <w:rFonts w:ascii="Trebuchet MS" w:cs="Trebuchet MS" w:eastAsia="Trebuchet MS" w:hAnsi="Trebuchet MS"/>
                <w:sz w:val="14"/>
                <w:szCs w:val="14"/>
                <w:b w:val="1"/>
                <w:bCs w:val="1"/>
                <w:color w:val="FFFFFF"/>
                <w:w w:val="97"/>
              </w:rPr>
              <w:t>($)</w:t>
            </w:r>
          </w:p>
        </w:tc>
        <w:tc>
          <w:tcPr>
            <w:tcW w:w="900" w:type="dxa"/>
            <w:vAlign w:val="bottom"/>
            <w:shd w:val="clear" w:color="auto" w:fill="346094"/>
          </w:tcPr>
          <w:p>
            <w:pPr>
              <w:jc w:val="center"/>
              <w:spacing w:after="0"/>
              <w:rPr>
                <w:sz w:val="20"/>
                <w:szCs w:val="20"/>
                <w:color w:val="auto"/>
              </w:rPr>
            </w:pPr>
            <w:r>
              <w:rPr>
                <w:rFonts w:ascii="Trebuchet MS" w:cs="Trebuchet MS" w:eastAsia="Trebuchet MS" w:hAnsi="Trebuchet MS"/>
                <w:sz w:val="14"/>
                <w:szCs w:val="14"/>
                <w:b w:val="1"/>
                <w:bCs w:val="1"/>
                <w:color w:val="FFFFFF"/>
              </w:rPr>
              <w:t>Date</w:t>
            </w:r>
          </w:p>
        </w:tc>
        <w:tc>
          <w:tcPr>
            <w:tcW w:w="980" w:type="dxa"/>
            <w:vAlign w:val="bottom"/>
            <w:shd w:val="clear" w:color="auto" w:fill="346094"/>
          </w:tcPr>
          <w:p>
            <w:pPr>
              <w:jc w:val="center"/>
              <w:ind w:right="21"/>
              <w:spacing w:after="0"/>
              <w:rPr>
                <w:sz w:val="20"/>
                <w:szCs w:val="20"/>
                <w:color w:val="auto"/>
              </w:rPr>
            </w:pPr>
            <w:r>
              <w:rPr>
                <w:rFonts w:ascii="Trebuchet MS" w:cs="Trebuchet MS" w:eastAsia="Trebuchet MS" w:hAnsi="Trebuchet MS"/>
                <w:sz w:val="14"/>
                <w:szCs w:val="14"/>
                <w:b w:val="1"/>
                <w:bCs w:val="1"/>
                <w:color w:val="FFFFFF"/>
              </w:rPr>
              <w:t>(#)</w:t>
            </w:r>
          </w:p>
        </w:tc>
        <w:tc>
          <w:tcPr>
            <w:tcW w:w="820" w:type="dxa"/>
            <w:vAlign w:val="bottom"/>
            <w:shd w:val="clear" w:color="auto" w:fill="346094"/>
          </w:tcPr>
          <w:p>
            <w:pPr>
              <w:jc w:val="center"/>
              <w:ind w:right="41"/>
              <w:spacing w:after="0" w:line="186" w:lineRule="exact"/>
              <w:rPr>
                <w:sz w:val="20"/>
                <w:szCs w:val="20"/>
                <w:color w:val="auto"/>
              </w:rPr>
            </w:pPr>
            <w:r>
              <w:rPr>
                <w:rFonts w:ascii="Trebuchet MS" w:cs="Trebuchet MS" w:eastAsia="Trebuchet MS" w:hAnsi="Trebuchet MS"/>
                <w:sz w:val="21"/>
                <w:szCs w:val="21"/>
                <w:b w:val="1"/>
                <w:bCs w:val="1"/>
                <w:color w:val="FFFFFF"/>
                <w:vertAlign w:val="subscript"/>
              </w:rPr>
              <w:t>($)</w:t>
            </w:r>
            <w:r>
              <w:rPr>
                <w:rFonts w:ascii="Trebuchet MS" w:cs="Trebuchet MS" w:eastAsia="Trebuchet MS" w:hAnsi="Trebuchet MS"/>
                <w:sz w:val="9"/>
                <w:szCs w:val="9"/>
                <w:b w:val="1"/>
                <w:bCs w:val="1"/>
                <w:color w:val="FFFFFF"/>
              </w:rPr>
              <w:t>(1)</w:t>
            </w:r>
          </w:p>
        </w:tc>
      </w:tr>
      <w:tr>
        <w:trPr>
          <w:trHeight w:val="164"/>
        </w:trPr>
        <w:tc>
          <w:tcPr>
            <w:tcW w:w="1560" w:type="dxa"/>
            <w:vAlign w:val="bottom"/>
          </w:tcPr>
          <w:p>
            <w:pPr>
              <w:ind w:left="40"/>
              <w:spacing w:after="0" w:line="164" w:lineRule="exact"/>
              <w:rPr>
                <w:sz w:val="20"/>
                <w:szCs w:val="20"/>
                <w:color w:val="auto"/>
              </w:rPr>
            </w:pPr>
            <w:r>
              <w:rPr>
                <w:rFonts w:ascii="Trebuchet MS" w:cs="Trebuchet MS" w:eastAsia="Trebuchet MS" w:hAnsi="Trebuchet MS"/>
                <w:sz w:val="16"/>
                <w:szCs w:val="16"/>
                <w:b w:val="1"/>
                <w:bCs w:val="1"/>
                <w:color w:val="4C4C4C"/>
              </w:rPr>
              <w:t>Patrick R. Gruber</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121"/>
              <w:spacing w:after="0" w:line="164" w:lineRule="exact"/>
              <w:rPr>
                <w:sz w:val="20"/>
                <w:szCs w:val="20"/>
                <w:color w:val="auto"/>
              </w:rPr>
            </w:pPr>
            <w:r>
              <w:rPr>
                <w:rFonts w:ascii="Trebuchet MS" w:cs="Trebuchet MS" w:eastAsia="Trebuchet MS" w:hAnsi="Trebuchet MS"/>
                <w:sz w:val="16"/>
                <w:szCs w:val="16"/>
                <w:color w:val="4C4C4C"/>
              </w:rPr>
              <w:t>—</w:t>
            </w:r>
          </w:p>
        </w:tc>
        <w:tc>
          <w:tcPr>
            <w:tcW w:w="1100" w:type="dxa"/>
            <w:vAlign w:val="bottom"/>
          </w:tcPr>
          <w:p>
            <w:pPr>
              <w:jc w:val="right"/>
              <w:ind w:right="161"/>
              <w:spacing w:after="0" w:line="164" w:lineRule="exact"/>
              <w:rPr>
                <w:sz w:val="20"/>
                <w:szCs w:val="20"/>
                <w:color w:val="auto"/>
              </w:rPr>
            </w:pPr>
            <w:r>
              <w:rPr>
                <w:rFonts w:ascii="Trebuchet MS" w:cs="Trebuchet MS" w:eastAsia="Trebuchet MS" w:hAnsi="Trebuchet MS"/>
                <w:sz w:val="16"/>
                <w:szCs w:val="16"/>
                <w:color w:val="4C4C4C"/>
              </w:rPr>
              <w:t>—</w:t>
            </w:r>
          </w:p>
        </w:tc>
        <w:tc>
          <w:tcPr>
            <w:tcW w:w="780" w:type="dxa"/>
            <w:vAlign w:val="bottom"/>
          </w:tcPr>
          <w:p>
            <w:pPr>
              <w:jc w:val="right"/>
              <w:spacing w:after="0" w:line="164" w:lineRule="exact"/>
              <w:rPr>
                <w:sz w:val="20"/>
                <w:szCs w:val="20"/>
                <w:color w:val="auto"/>
              </w:rPr>
            </w:pPr>
            <w:r>
              <w:rPr>
                <w:rFonts w:ascii="Trebuchet MS" w:cs="Trebuchet MS" w:eastAsia="Trebuchet MS" w:hAnsi="Trebuchet MS"/>
                <w:sz w:val="16"/>
                <w:szCs w:val="16"/>
                <w:color w:val="4C4C4C"/>
              </w:rPr>
              <w:t>—</w:t>
            </w:r>
          </w:p>
        </w:tc>
        <w:tc>
          <w:tcPr>
            <w:tcW w:w="900" w:type="dxa"/>
            <w:vAlign w:val="bottom"/>
          </w:tcPr>
          <w:p>
            <w:pPr>
              <w:jc w:val="right"/>
              <w:spacing w:after="0" w:line="164" w:lineRule="exact"/>
              <w:rPr>
                <w:sz w:val="20"/>
                <w:szCs w:val="20"/>
                <w:color w:val="auto"/>
              </w:rPr>
            </w:pPr>
            <w:r>
              <w:rPr>
                <w:rFonts w:ascii="Trebuchet MS" w:cs="Trebuchet MS" w:eastAsia="Trebuchet MS" w:hAnsi="Trebuchet MS"/>
                <w:sz w:val="16"/>
                <w:szCs w:val="16"/>
                <w:color w:val="4C4C4C"/>
              </w:rPr>
              <w:t>—</w:t>
            </w:r>
          </w:p>
        </w:tc>
        <w:tc>
          <w:tcPr>
            <w:tcW w:w="1800" w:type="dxa"/>
            <w:vAlign w:val="bottom"/>
            <w:gridSpan w:val="2"/>
          </w:tcPr>
          <w:p>
            <w:pPr>
              <w:jc w:val="right"/>
              <w:ind w:right="1"/>
              <w:spacing w:after="0" w:line="163" w:lineRule="exact"/>
              <w:rPr>
                <w:sz w:val="20"/>
                <w:szCs w:val="20"/>
                <w:color w:val="auto"/>
              </w:rPr>
            </w:pPr>
            <w:r>
              <w:rPr>
                <w:rFonts w:ascii="Trebuchet MS" w:cs="Trebuchet MS" w:eastAsia="Trebuchet MS" w:hAnsi="Trebuchet MS"/>
                <w:sz w:val="15"/>
                <w:szCs w:val="15"/>
                <w:color w:val="4C4C4C"/>
              </w:rPr>
              <w:t>1,523,665</w:t>
            </w:r>
            <w:r>
              <w:rPr>
                <w:rFonts w:ascii="Trebuchet MS" w:cs="Trebuchet MS" w:eastAsia="Trebuchet MS" w:hAnsi="Trebuchet MS"/>
                <w:sz w:val="18"/>
                <w:szCs w:val="18"/>
                <w:color w:val="4C4C4C"/>
                <w:vertAlign w:val="superscript"/>
              </w:rPr>
              <w:t>(5)</w:t>
            </w:r>
            <w:r>
              <w:rPr>
                <w:rFonts w:ascii="Trebuchet MS" w:cs="Trebuchet MS" w:eastAsia="Trebuchet MS" w:hAnsi="Trebuchet MS"/>
                <w:sz w:val="15"/>
                <w:szCs w:val="15"/>
                <w:color w:val="4C4C4C"/>
              </w:rPr>
              <w:t xml:space="preserve"> 3,047,330</w:t>
            </w:r>
          </w:p>
        </w:tc>
      </w:tr>
      <w:tr>
        <w:trPr>
          <w:trHeight w:val="203"/>
        </w:trPr>
        <w:tc>
          <w:tcPr>
            <w:tcW w:w="15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rebuchet MS" w:cs="Trebuchet MS" w:eastAsia="Trebuchet MS" w:hAnsi="Trebuchet MS"/>
                <w:sz w:val="16"/>
                <w:szCs w:val="16"/>
                <w:color w:val="4C4C4C"/>
              </w:rPr>
              <w:t>6/9/2025</w:t>
            </w:r>
          </w:p>
        </w:tc>
        <w:tc>
          <w:tcPr>
            <w:tcW w:w="1240" w:type="dxa"/>
            <w:vAlign w:val="bottom"/>
          </w:tcPr>
          <w:p>
            <w:pPr>
              <w:jc w:val="right"/>
              <w:ind w:right="121"/>
              <w:spacing w:after="0"/>
              <w:rPr>
                <w:sz w:val="20"/>
                <w:szCs w:val="20"/>
                <w:color w:val="auto"/>
              </w:rPr>
            </w:pPr>
            <w:r>
              <w:rPr>
                <w:rFonts w:ascii="Trebuchet MS" w:cs="Trebuchet MS" w:eastAsia="Trebuchet MS" w:hAnsi="Trebuchet MS"/>
                <w:sz w:val="16"/>
                <w:szCs w:val="16"/>
                <w:color w:val="4C4C4C"/>
              </w:rPr>
              <w:t>—</w:t>
            </w:r>
          </w:p>
        </w:tc>
        <w:tc>
          <w:tcPr>
            <w:tcW w:w="1100" w:type="dxa"/>
            <w:vAlign w:val="bottom"/>
          </w:tcPr>
          <w:p>
            <w:pPr>
              <w:jc w:val="right"/>
              <w:ind w:right="41"/>
              <w:spacing w:after="0" w:line="203" w:lineRule="exact"/>
              <w:rPr>
                <w:sz w:val="20"/>
                <w:szCs w:val="20"/>
                <w:color w:val="auto"/>
              </w:rPr>
            </w:pPr>
            <w:r>
              <w:rPr>
                <w:rFonts w:ascii="Trebuchet MS" w:cs="Trebuchet MS" w:eastAsia="Trebuchet MS" w:hAnsi="Trebuchet MS"/>
                <w:sz w:val="16"/>
                <w:szCs w:val="16"/>
                <w:color w:val="4C4C4C"/>
              </w:rPr>
              <w:t>1,409,891</w:t>
            </w:r>
            <w:r>
              <w:rPr>
                <w:rFonts w:ascii="Trebuchet MS" w:cs="Trebuchet MS" w:eastAsia="Trebuchet MS" w:hAnsi="Trebuchet MS"/>
                <w:sz w:val="19"/>
                <w:szCs w:val="19"/>
                <w:color w:val="4C4C4C"/>
                <w:vertAlign w:val="superscript"/>
              </w:rPr>
              <w:t>(2)</w:t>
            </w:r>
          </w:p>
        </w:tc>
        <w:tc>
          <w:tcPr>
            <w:tcW w:w="780" w:type="dxa"/>
            <w:vAlign w:val="bottom"/>
          </w:tcPr>
          <w:p>
            <w:pPr>
              <w:jc w:val="right"/>
              <w:spacing w:after="0"/>
              <w:rPr>
                <w:sz w:val="20"/>
                <w:szCs w:val="20"/>
                <w:color w:val="auto"/>
              </w:rPr>
            </w:pPr>
            <w:r>
              <w:rPr>
                <w:rFonts w:ascii="Trebuchet MS" w:cs="Trebuchet MS" w:eastAsia="Trebuchet MS" w:hAnsi="Trebuchet MS"/>
                <w:sz w:val="16"/>
                <w:szCs w:val="16"/>
                <w:color w:val="4C4C4C"/>
              </w:rPr>
              <w:t>1.18</w:t>
            </w:r>
          </w:p>
        </w:tc>
        <w:tc>
          <w:tcPr>
            <w:tcW w:w="900" w:type="dxa"/>
            <w:vAlign w:val="bottom"/>
          </w:tcPr>
          <w:p>
            <w:pPr>
              <w:jc w:val="right"/>
              <w:spacing w:after="0"/>
              <w:rPr>
                <w:sz w:val="20"/>
                <w:szCs w:val="20"/>
                <w:color w:val="auto"/>
              </w:rPr>
            </w:pPr>
            <w:r>
              <w:rPr>
                <w:rFonts w:ascii="Trebuchet MS" w:cs="Trebuchet MS" w:eastAsia="Trebuchet MS" w:hAnsi="Trebuchet MS"/>
                <w:sz w:val="16"/>
                <w:szCs w:val="16"/>
                <w:color w:val="4C4C4C"/>
              </w:rPr>
              <w:t>6/9/2035</w:t>
            </w:r>
          </w:p>
        </w:tc>
        <w:tc>
          <w:tcPr>
            <w:tcW w:w="980" w:type="dxa"/>
            <w:vAlign w:val="bottom"/>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03"/>
        </w:trPr>
        <w:tc>
          <w:tcPr>
            <w:tcW w:w="15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rebuchet MS" w:cs="Trebuchet MS" w:eastAsia="Trebuchet MS" w:hAnsi="Trebuchet MS"/>
                <w:sz w:val="16"/>
                <w:szCs w:val="16"/>
                <w:color w:val="4C4C4C"/>
              </w:rPr>
              <w:t>5/22/2024</w:t>
            </w:r>
          </w:p>
        </w:tc>
        <w:tc>
          <w:tcPr>
            <w:tcW w:w="1240" w:type="dxa"/>
            <w:vAlign w:val="bottom"/>
          </w:tcPr>
          <w:p>
            <w:pPr>
              <w:jc w:val="right"/>
              <w:ind w:right="121"/>
              <w:spacing w:after="0"/>
              <w:rPr>
                <w:sz w:val="20"/>
                <w:szCs w:val="20"/>
                <w:color w:val="auto"/>
              </w:rPr>
            </w:pPr>
            <w:r>
              <w:rPr>
                <w:rFonts w:ascii="Trebuchet MS" w:cs="Trebuchet MS" w:eastAsia="Trebuchet MS" w:hAnsi="Trebuchet MS"/>
                <w:sz w:val="16"/>
                <w:szCs w:val="16"/>
                <w:color w:val="4C4C4C"/>
              </w:rPr>
              <w:t>398,333</w:t>
            </w:r>
          </w:p>
        </w:tc>
        <w:tc>
          <w:tcPr>
            <w:tcW w:w="1100" w:type="dxa"/>
            <w:vAlign w:val="bottom"/>
          </w:tcPr>
          <w:p>
            <w:pPr>
              <w:jc w:val="right"/>
              <w:ind w:right="41"/>
              <w:spacing w:after="0" w:line="203" w:lineRule="exact"/>
              <w:rPr>
                <w:sz w:val="20"/>
                <w:szCs w:val="20"/>
                <w:color w:val="auto"/>
              </w:rPr>
            </w:pPr>
            <w:r>
              <w:rPr>
                <w:rFonts w:ascii="Trebuchet MS" w:cs="Trebuchet MS" w:eastAsia="Trebuchet MS" w:hAnsi="Trebuchet MS"/>
                <w:sz w:val="16"/>
                <w:szCs w:val="16"/>
                <w:color w:val="4C4C4C"/>
              </w:rPr>
              <w:t>796,667</w:t>
            </w:r>
            <w:r>
              <w:rPr>
                <w:rFonts w:ascii="Trebuchet MS" w:cs="Trebuchet MS" w:eastAsia="Trebuchet MS" w:hAnsi="Trebuchet MS"/>
                <w:sz w:val="19"/>
                <w:szCs w:val="19"/>
                <w:color w:val="4C4C4C"/>
                <w:vertAlign w:val="superscript"/>
              </w:rPr>
              <w:t>(3)</w:t>
            </w:r>
          </w:p>
        </w:tc>
        <w:tc>
          <w:tcPr>
            <w:tcW w:w="780" w:type="dxa"/>
            <w:vAlign w:val="bottom"/>
          </w:tcPr>
          <w:p>
            <w:pPr>
              <w:jc w:val="right"/>
              <w:spacing w:after="0"/>
              <w:rPr>
                <w:sz w:val="20"/>
                <w:szCs w:val="20"/>
                <w:color w:val="auto"/>
              </w:rPr>
            </w:pPr>
            <w:r>
              <w:rPr>
                <w:rFonts w:ascii="Trebuchet MS" w:cs="Trebuchet MS" w:eastAsia="Trebuchet MS" w:hAnsi="Trebuchet MS"/>
                <w:sz w:val="16"/>
                <w:szCs w:val="16"/>
                <w:color w:val="4C4C4C"/>
              </w:rPr>
              <w:t>0.71</w:t>
            </w:r>
          </w:p>
        </w:tc>
        <w:tc>
          <w:tcPr>
            <w:tcW w:w="900" w:type="dxa"/>
            <w:vAlign w:val="bottom"/>
          </w:tcPr>
          <w:p>
            <w:pPr>
              <w:jc w:val="right"/>
              <w:spacing w:after="0"/>
              <w:rPr>
                <w:sz w:val="20"/>
                <w:szCs w:val="20"/>
                <w:color w:val="auto"/>
              </w:rPr>
            </w:pPr>
            <w:r>
              <w:rPr>
                <w:rFonts w:ascii="Trebuchet MS" w:cs="Trebuchet MS" w:eastAsia="Trebuchet MS" w:hAnsi="Trebuchet MS"/>
                <w:sz w:val="16"/>
                <w:szCs w:val="16"/>
                <w:color w:val="4C4C4C"/>
              </w:rPr>
              <w:t>5/21/2034</w:t>
            </w:r>
          </w:p>
        </w:tc>
        <w:tc>
          <w:tcPr>
            <w:tcW w:w="980" w:type="dxa"/>
            <w:vAlign w:val="bottom"/>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38"/>
        </w:trPr>
        <w:tc>
          <w:tcPr>
            <w:tcW w:w="15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rebuchet MS" w:cs="Trebuchet MS" w:eastAsia="Trebuchet MS" w:hAnsi="Trebuchet MS"/>
                <w:sz w:val="16"/>
                <w:szCs w:val="16"/>
                <w:color w:val="4C4C4C"/>
              </w:rPr>
              <w:t>8/3/2023</w:t>
            </w:r>
          </w:p>
        </w:tc>
        <w:tc>
          <w:tcPr>
            <w:tcW w:w="1240" w:type="dxa"/>
            <w:vAlign w:val="bottom"/>
          </w:tcPr>
          <w:p>
            <w:pPr>
              <w:jc w:val="right"/>
              <w:ind w:right="121"/>
              <w:spacing w:after="0"/>
              <w:rPr>
                <w:sz w:val="20"/>
                <w:szCs w:val="20"/>
                <w:color w:val="auto"/>
              </w:rPr>
            </w:pPr>
            <w:r>
              <w:rPr>
                <w:rFonts w:ascii="Trebuchet MS" w:cs="Trebuchet MS" w:eastAsia="Trebuchet MS" w:hAnsi="Trebuchet MS"/>
                <w:sz w:val="16"/>
                <w:szCs w:val="16"/>
                <w:color w:val="4C4C4C"/>
              </w:rPr>
              <w:t>495,282</w:t>
            </w:r>
          </w:p>
        </w:tc>
        <w:tc>
          <w:tcPr>
            <w:tcW w:w="1100" w:type="dxa"/>
            <w:vAlign w:val="bottom"/>
          </w:tcPr>
          <w:p>
            <w:pPr>
              <w:jc w:val="right"/>
              <w:ind w:right="41"/>
              <w:spacing w:after="0"/>
              <w:rPr>
                <w:sz w:val="20"/>
                <w:szCs w:val="20"/>
                <w:color w:val="auto"/>
              </w:rPr>
            </w:pPr>
            <w:r>
              <w:rPr>
                <w:rFonts w:ascii="Trebuchet MS" w:cs="Trebuchet MS" w:eastAsia="Trebuchet MS" w:hAnsi="Trebuchet MS"/>
                <w:sz w:val="16"/>
                <w:szCs w:val="16"/>
                <w:color w:val="4C4C4C"/>
              </w:rPr>
              <w:t>247,642</w:t>
            </w:r>
            <w:r>
              <w:rPr>
                <w:rFonts w:ascii="Trebuchet MS" w:cs="Trebuchet MS" w:eastAsia="Trebuchet MS" w:hAnsi="Trebuchet MS"/>
                <w:sz w:val="19"/>
                <w:szCs w:val="19"/>
                <w:color w:val="4C4C4C"/>
                <w:vertAlign w:val="superscript"/>
              </w:rPr>
              <w:t>(4)</w:t>
            </w:r>
          </w:p>
        </w:tc>
        <w:tc>
          <w:tcPr>
            <w:tcW w:w="780" w:type="dxa"/>
            <w:vAlign w:val="bottom"/>
          </w:tcPr>
          <w:p>
            <w:pPr>
              <w:jc w:val="right"/>
              <w:spacing w:after="0"/>
              <w:rPr>
                <w:sz w:val="20"/>
                <w:szCs w:val="20"/>
                <w:color w:val="auto"/>
              </w:rPr>
            </w:pPr>
            <w:r>
              <w:rPr>
                <w:rFonts w:ascii="Trebuchet MS" w:cs="Trebuchet MS" w:eastAsia="Trebuchet MS" w:hAnsi="Trebuchet MS"/>
                <w:sz w:val="16"/>
                <w:szCs w:val="16"/>
                <w:color w:val="4C4C4C"/>
              </w:rPr>
              <w:t>1.75</w:t>
            </w:r>
          </w:p>
        </w:tc>
        <w:tc>
          <w:tcPr>
            <w:tcW w:w="900" w:type="dxa"/>
            <w:vAlign w:val="bottom"/>
          </w:tcPr>
          <w:p>
            <w:pPr>
              <w:jc w:val="right"/>
              <w:spacing w:after="0"/>
              <w:rPr>
                <w:sz w:val="20"/>
                <w:szCs w:val="20"/>
                <w:color w:val="auto"/>
              </w:rPr>
            </w:pPr>
            <w:r>
              <w:rPr>
                <w:rFonts w:ascii="Trebuchet MS" w:cs="Trebuchet MS" w:eastAsia="Trebuchet MS" w:hAnsi="Trebuchet MS"/>
                <w:sz w:val="16"/>
                <w:szCs w:val="16"/>
                <w:color w:val="4C4C4C"/>
              </w:rPr>
              <w:t>8/3/2033</w:t>
            </w:r>
          </w:p>
        </w:tc>
        <w:tc>
          <w:tcPr>
            <w:tcW w:w="980" w:type="dxa"/>
            <w:vAlign w:val="bottom"/>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194"/>
        </w:trPr>
        <w:tc>
          <w:tcPr>
            <w:tcW w:w="15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rebuchet MS" w:cs="Trebuchet MS" w:eastAsia="Trebuchet MS" w:hAnsi="Trebuchet MS"/>
                <w:sz w:val="16"/>
                <w:szCs w:val="16"/>
                <w:color w:val="4C4C4C"/>
              </w:rPr>
              <w:t>7/26/2022</w:t>
            </w:r>
          </w:p>
        </w:tc>
        <w:tc>
          <w:tcPr>
            <w:tcW w:w="1240" w:type="dxa"/>
            <w:vAlign w:val="bottom"/>
          </w:tcPr>
          <w:p>
            <w:pPr>
              <w:jc w:val="right"/>
              <w:ind w:right="121"/>
              <w:spacing w:after="0"/>
              <w:rPr>
                <w:sz w:val="20"/>
                <w:szCs w:val="20"/>
                <w:color w:val="auto"/>
              </w:rPr>
            </w:pPr>
            <w:r>
              <w:rPr>
                <w:rFonts w:ascii="Trebuchet MS" w:cs="Trebuchet MS" w:eastAsia="Trebuchet MS" w:hAnsi="Trebuchet MS"/>
                <w:sz w:val="16"/>
                <w:szCs w:val="16"/>
                <w:color w:val="4C4C4C"/>
              </w:rPr>
              <w:t>442,142</w:t>
            </w:r>
          </w:p>
        </w:tc>
        <w:tc>
          <w:tcPr>
            <w:tcW w:w="1100" w:type="dxa"/>
            <w:vAlign w:val="bottom"/>
          </w:tcPr>
          <w:p>
            <w:pPr>
              <w:jc w:val="right"/>
              <w:ind w:right="161"/>
              <w:spacing w:after="0"/>
              <w:rPr>
                <w:sz w:val="20"/>
                <w:szCs w:val="20"/>
                <w:color w:val="auto"/>
              </w:rPr>
            </w:pPr>
            <w:r>
              <w:rPr>
                <w:rFonts w:ascii="Trebuchet MS" w:cs="Trebuchet MS" w:eastAsia="Trebuchet MS" w:hAnsi="Trebuchet MS"/>
                <w:sz w:val="16"/>
                <w:szCs w:val="16"/>
                <w:color w:val="4C4C4C"/>
              </w:rPr>
              <w:t>—</w:t>
            </w:r>
          </w:p>
        </w:tc>
        <w:tc>
          <w:tcPr>
            <w:tcW w:w="780" w:type="dxa"/>
            <w:vAlign w:val="bottom"/>
          </w:tcPr>
          <w:p>
            <w:pPr>
              <w:jc w:val="right"/>
              <w:spacing w:after="0"/>
              <w:rPr>
                <w:sz w:val="20"/>
                <w:szCs w:val="20"/>
                <w:color w:val="auto"/>
              </w:rPr>
            </w:pPr>
            <w:r>
              <w:rPr>
                <w:rFonts w:ascii="Trebuchet MS" w:cs="Trebuchet MS" w:eastAsia="Trebuchet MS" w:hAnsi="Trebuchet MS"/>
                <w:sz w:val="16"/>
                <w:szCs w:val="16"/>
                <w:color w:val="4C4C4C"/>
              </w:rPr>
              <w:t>3.92</w:t>
            </w:r>
          </w:p>
        </w:tc>
        <w:tc>
          <w:tcPr>
            <w:tcW w:w="900" w:type="dxa"/>
            <w:vAlign w:val="bottom"/>
          </w:tcPr>
          <w:p>
            <w:pPr>
              <w:jc w:val="right"/>
              <w:spacing w:after="0"/>
              <w:rPr>
                <w:sz w:val="20"/>
                <w:szCs w:val="20"/>
                <w:color w:val="auto"/>
              </w:rPr>
            </w:pPr>
            <w:r>
              <w:rPr>
                <w:rFonts w:ascii="Trebuchet MS" w:cs="Trebuchet MS" w:eastAsia="Trebuchet MS" w:hAnsi="Trebuchet MS"/>
                <w:sz w:val="16"/>
                <w:szCs w:val="16"/>
                <w:color w:val="4C4C4C"/>
              </w:rPr>
              <w:t>7/26/2032</w:t>
            </w:r>
          </w:p>
        </w:tc>
        <w:tc>
          <w:tcPr>
            <w:tcW w:w="980" w:type="dxa"/>
            <w:vAlign w:val="bottom"/>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01"/>
        </w:trPr>
        <w:tc>
          <w:tcPr>
            <w:tcW w:w="15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rebuchet MS" w:cs="Trebuchet MS" w:eastAsia="Trebuchet MS" w:hAnsi="Trebuchet MS"/>
                <w:sz w:val="16"/>
                <w:szCs w:val="16"/>
                <w:color w:val="4C4C4C"/>
              </w:rPr>
              <w:t>8/20/2021</w:t>
            </w:r>
          </w:p>
        </w:tc>
        <w:tc>
          <w:tcPr>
            <w:tcW w:w="1240" w:type="dxa"/>
            <w:vAlign w:val="bottom"/>
          </w:tcPr>
          <w:p>
            <w:pPr>
              <w:jc w:val="right"/>
              <w:ind w:right="121"/>
              <w:spacing w:after="0"/>
              <w:rPr>
                <w:sz w:val="20"/>
                <w:szCs w:val="20"/>
                <w:color w:val="auto"/>
              </w:rPr>
            </w:pPr>
            <w:r>
              <w:rPr>
                <w:rFonts w:ascii="Trebuchet MS" w:cs="Trebuchet MS" w:eastAsia="Trebuchet MS" w:hAnsi="Trebuchet MS"/>
                <w:sz w:val="16"/>
                <w:szCs w:val="16"/>
                <w:color w:val="4C4C4C"/>
              </w:rPr>
              <w:t>1,045,800</w:t>
            </w:r>
          </w:p>
        </w:tc>
        <w:tc>
          <w:tcPr>
            <w:tcW w:w="1100" w:type="dxa"/>
            <w:vAlign w:val="bottom"/>
          </w:tcPr>
          <w:p>
            <w:pPr>
              <w:jc w:val="right"/>
              <w:ind w:right="161"/>
              <w:spacing w:after="0"/>
              <w:rPr>
                <w:sz w:val="20"/>
                <w:szCs w:val="20"/>
                <w:color w:val="auto"/>
              </w:rPr>
            </w:pPr>
            <w:r>
              <w:rPr>
                <w:rFonts w:ascii="Trebuchet MS" w:cs="Trebuchet MS" w:eastAsia="Trebuchet MS" w:hAnsi="Trebuchet MS"/>
                <w:sz w:val="16"/>
                <w:szCs w:val="16"/>
                <w:color w:val="4C4C4C"/>
              </w:rPr>
              <w:t>—</w:t>
            </w:r>
          </w:p>
        </w:tc>
        <w:tc>
          <w:tcPr>
            <w:tcW w:w="780" w:type="dxa"/>
            <w:vAlign w:val="bottom"/>
          </w:tcPr>
          <w:p>
            <w:pPr>
              <w:jc w:val="right"/>
              <w:spacing w:after="0"/>
              <w:rPr>
                <w:sz w:val="20"/>
                <w:szCs w:val="20"/>
                <w:color w:val="auto"/>
              </w:rPr>
            </w:pPr>
            <w:r>
              <w:rPr>
                <w:rFonts w:ascii="Trebuchet MS" w:cs="Trebuchet MS" w:eastAsia="Trebuchet MS" w:hAnsi="Trebuchet MS"/>
                <w:sz w:val="16"/>
                <w:szCs w:val="16"/>
                <w:color w:val="4C4C4C"/>
              </w:rPr>
              <w:t>4.98</w:t>
            </w:r>
          </w:p>
        </w:tc>
        <w:tc>
          <w:tcPr>
            <w:tcW w:w="900" w:type="dxa"/>
            <w:vAlign w:val="bottom"/>
          </w:tcPr>
          <w:p>
            <w:pPr>
              <w:jc w:val="right"/>
              <w:spacing w:after="0"/>
              <w:rPr>
                <w:sz w:val="20"/>
                <w:szCs w:val="20"/>
                <w:color w:val="auto"/>
              </w:rPr>
            </w:pPr>
            <w:r>
              <w:rPr>
                <w:rFonts w:ascii="Trebuchet MS" w:cs="Trebuchet MS" w:eastAsia="Trebuchet MS" w:hAnsi="Trebuchet MS"/>
                <w:sz w:val="16"/>
                <w:szCs w:val="16"/>
                <w:color w:val="4C4C4C"/>
              </w:rPr>
              <w:t>8/20/2031</w:t>
            </w:r>
          </w:p>
        </w:tc>
        <w:tc>
          <w:tcPr>
            <w:tcW w:w="980" w:type="dxa"/>
            <w:vAlign w:val="bottom"/>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164"/>
        </w:trPr>
        <w:tc>
          <w:tcPr>
            <w:tcW w:w="1560" w:type="dxa"/>
            <w:vAlign w:val="bottom"/>
            <w:shd w:val="clear" w:color="auto" w:fill="E1E7EF"/>
          </w:tcPr>
          <w:p>
            <w:pPr>
              <w:ind w:left="40"/>
              <w:spacing w:after="0" w:line="164" w:lineRule="exact"/>
              <w:rPr>
                <w:sz w:val="20"/>
                <w:szCs w:val="20"/>
                <w:color w:val="auto"/>
              </w:rPr>
            </w:pPr>
            <w:r>
              <w:rPr>
                <w:rFonts w:ascii="Trebuchet MS" w:cs="Trebuchet MS" w:eastAsia="Trebuchet MS" w:hAnsi="Trebuchet MS"/>
                <w:sz w:val="16"/>
                <w:szCs w:val="16"/>
                <w:b w:val="1"/>
                <w:bCs w:val="1"/>
                <w:color w:val="4C4C4C"/>
              </w:rPr>
              <w:t>Oluwagbemileke</w:t>
            </w:r>
          </w:p>
        </w:tc>
        <w:tc>
          <w:tcPr>
            <w:tcW w:w="700" w:type="dxa"/>
            <w:vAlign w:val="bottom"/>
            <w:shd w:val="clear" w:color="auto" w:fill="E1E7EF"/>
          </w:tcPr>
          <w:p>
            <w:pPr>
              <w:spacing w:after="0"/>
              <w:rPr>
                <w:sz w:val="14"/>
                <w:szCs w:val="14"/>
                <w:color w:val="auto"/>
              </w:rPr>
            </w:pPr>
          </w:p>
        </w:tc>
        <w:tc>
          <w:tcPr>
            <w:tcW w:w="120" w:type="dxa"/>
            <w:vAlign w:val="bottom"/>
            <w:shd w:val="clear" w:color="auto" w:fill="E1E7EF"/>
          </w:tcPr>
          <w:p>
            <w:pPr>
              <w:spacing w:after="0"/>
              <w:rPr>
                <w:sz w:val="14"/>
                <w:szCs w:val="14"/>
                <w:color w:val="auto"/>
              </w:rPr>
            </w:pPr>
          </w:p>
        </w:tc>
        <w:tc>
          <w:tcPr>
            <w:tcW w:w="1240" w:type="dxa"/>
            <w:vAlign w:val="bottom"/>
            <w:shd w:val="clear" w:color="auto" w:fill="E1E7EF"/>
          </w:tcPr>
          <w:p>
            <w:pPr>
              <w:jc w:val="right"/>
              <w:ind w:right="121"/>
              <w:spacing w:after="0" w:line="164" w:lineRule="exact"/>
              <w:rPr>
                <w:sz w:val="20"/>
                <w:szCs w:val="20"/>
                <w:color w:val="auto"/>
              </w:rPr>
            </w:pPr>
            <w:r>
              <w:rPr>
                <w:rFonts w:ascii="Trebuchet MS" w:cs="Trebuchet MS" w:eastAsia="Trebuchet MS" w:hAnsi="Trebuchet MS"/>
                <w:sz w:val="16"/>
                <w:szCs w:val="16"/>
                <w:color w:val="4C4C4C"/>
              </w:rPr>
              <w:t>—</w:t>
            </w:r>
          </w:p>
        </w:tc>
        <w:tc>
          <w:tcPr>
            <w:tcW w:w="1100" w:type="dxa"/>
            <w:vAlign w:val="bottom"/>
            <w:shd w:val="clear" w:color="auto" w:fill="E1E7EF"/>
          </w:tcPr>
          <w:p>
            <w:pPr>
              <w:jc w:val="right"/>
              <w:ind w:right="161"/>
              <w:spacing w:after="0" w:line="164" w:lineRule="exact"/>
              <w:rPr>
                <w:sz w:val="20"/>
                <w:szCs w:val="20"/>
                <w:color w:val="auto"/>
              </w:rPr>
            </w:pPr>
            <w:r>
              <w:rPr>
                <w:rFonts w:ascii="Trebuchet MS" w:cs="Trebuchet MS" w:eastAsia="Trebuchet MS" w:hAnsi="Trebuchet MS"/>
                <w:sz w:val="16"/>
                <w:szCs w:val="16"/>
                <w:color w:val="4C4C4C"/>
              </w:rPr>
              <w:t>—</w:t>
            </w:r>
          </w:p>
        </w:tc>
        <w:tc>
          <w:tcPr>
            <w:tcW w:w="780" w:type="dxa"/>
            <w:vAlign w:val="bottom"/>
            <w:shd w:val="clear" w:color="auto" w:fill="E1E7EF"/>
          </w:tcPr>
          <w:p>
            <w:pPr>
              <w:jc w:val="right"/>
              <w:spacing w:after="0" w:line="164" w:lineRule="exact"/>
              <w:rPr>
                <w:sz w:val="20"/>
                <w:szCs w:val="20"/>
                <w:color w:val="auto"/>
              </w:rPr>
            </w:pPr>
            <w:r>
              <w:rPr>
                <w:rFonts w:ascii="Trebuchet MS" w:cs="Trebuchet MS" w:eastAsia="Trebuchet MS" w:hAnsi="Trebuchet MS"/>
                <w:sz w:val="16"/>
                <w:szCs w:val="16"/>
                <w:color w:val="4C4C4C"/>
              </w:rPr>
              <w:t>—</w:t>
            </w:r>
          </w:p>
        </w:tc>
        <w:tc>
          <w:tcPr>
            <w:tcW w:w="900" w:type="dxa"/>
            <w:vAlign w:val="bottom"/>
            <w:shd w:val="clear" w:color="auto" w:fill="E1E7EF"/>
          </w:tcPr>
          <w:p>
            <w:pPr>
              <w:jc w:val="right"/>
              <w:spacing w:after="0" w:line="164" w:lineRule="exact"/>
              <w:rPr>
                <w:sz w:val="20"/>
                <w:szCs w:val="20"/>
                <w:color w:val="auto"/>
              </w:rPr>
            </w:pPr>
            <w:r>
              <w:rPr>
                <w:rFonts w:ascii="Trebuchet MS" w:cs="Trebuchet MS" w:eastAsia="Trebuchet MS" w:hAnsi="Trebuchet MS"/>
                <w:sz w:val="16"/>
                <w:szCs w:val="16"/>
                <w:color w:val="4C4C4C"/>
              </w:rPr>
              <w:t>—</w:t>
            </w:r>
          </w:p>
        </w:tc>
        <w:tc>
          <w:tcPr>
            <w:tcW w:w="980" w:type="dxa"/>
            <w:vAlign w:val="bottom"/>
            <w:shd w:val="clear" w:color="auto" w:fill="E1E7EF"/>
          </w:tcPr>
          <w:p>
            <w:pPr>
              <w:jc w:val="right"/>
              <w:spacing w:after="0" w:line="163" w:lineRule="exact"/>
              <w:rPr>
                <w:sz w:val="20"/>
                <w:szCs w:val="20"/>
                <w:color w:val="auto"/>
              </w:rPr>
            </w:pPr>
            <w:r>
              <w:rPr>
                <w:rFonts w:ascii="Trebuchet MS" w:cs="Trebuchet MS" w:eastAsia="Trebuchet MS" w:hAnsi="Trebuchet MS"/>
                <w:sz w:val="15"/>
                <w:szCs w:val="15"/>
                <w:color w:val="4C4C4C"/>
              </w:rPr>
              <w:t>271,224</w:t>
            </w:r>
            <w:r>
              <w:rPr>
                <w:rFonts w:ascii="Trebuchet MS" w:cs="Trebuchet MS" w:eastAsia="Trebuchet MS" w:hAnsi="Trebuchet MS"/>
                <w:sz w:val="18"/>
                <w:szCs w:val="18"/>
                <w:color w:val="4C4C4C"/>
                <w:vertAlign w:val="superscript"/>
              </w:rPr>
              <w:t>(6)</w:t>
            </w:r>
          </w:p>
        </w:tc>
        <w:tc>
          <w:tcPr>
            <w:tcW w:w="820" w:type="dxa"/>
            <w:vAlign w:val="bottom"/>
            <w:shd w:val="clear" w:color="auto" w:fill="E1E7EF"/>
          </w:tcPr>
          <w:p>
            <w:pPr>
              <w:jc w:val="right"/>
              <w:ind w:right="1"/>
              <w:spacing w:after="0" w:line="164" w:lineRule="exact"/>
              <w:rPr>
                <w:sz w:val="20"/>
                <w:szCs w:val="20"/>
                <w:color w:val="auto"/>
              </w:rPr>
            </w:pPr>
            <w:r>
              <w:rPr>
                <w:rFonts w:ascii="Trebuchet MS" w:cs="Trebuchet MS" w:eastAsia="Trebuchet MS" w:hAnsi="Trebuchet MS"/>
                <w:sz w:val="16"/>
                <w:szCs w:val="16"/>
                <w:color w:val="4C4C4C"/>
              </w:rPr>
              <w:t>542,448</w:t>
            </w:r>
          </w:p>
        </w:tc>
      </w:tr>
      <w:tr>
        <w:trPr>
          <w:trHeight w:val="203"/>
        </w:trPr>
        <w:tc>
          <w:tcPr>
            <w:tcW w:w="1560" w:type="dxa"/>
            <w:vAlign w:val="bottom"/>
            <w:shd w:val="clear" w:color="auto" w:fill="E1E7EF"/>
          </w:tcPr>
          <w:p>
            <w:pPr>
              <w:ind w:left="200"/>
              <w:spacing w:after="0"/>
              <w:rPr>
                <w:sz w:val="20"/>
                <w:szCs w:val="20"/>
                <w:color w:val="auto"/>
              </w:rPr>
            </w:pPr>
            <w:r>
              <w:rPr>
                <w:rFonts w:ascii="Trebuchet MS" w:cs="Trebuchet MS" w:eastAsia="Trebuchet MS" w:hAnsi="Trebuchet MS"/>
                <w:sz w:val="16"/>
                <w:szCs w:val="16"/>
                <w:b w:val="1"/>
                <w:bCs w:val="1"/>
                <w:color w:val="4C4C4C"/>
              </w:rPr>
              <w:t>(Leke) Agiri</w:t>
            </w:r>
          </w:p>
        </w:tc>
        <w:tc>
          <w:tcPr>
            <w:tcW w:w="820" w:type="dxa"/>
            <w:vAlign w:val="bottom"/>
            <w:gridSpan w:val="2"/>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6/9/2025</w:t>
            </w:r>
          </w:p>
        </w:tc>
        <w:tc>
          <w:tcPr>
            <w:tcW w:w="1240" w:type="dxa"/>
            <w:vAlign w:val="bottom"/>
            <w:shd w:val="clear" w:color="auto" w:fill="E1E7EF"/>
          </w:tcPr>
          <w:p>
            <w:pPr>
              <w:jc w:val="right"/>
              <w:ind w:right="121"/>
              <w:spacing w:after="0"/>
              <w:rPr>
                <w:sz w:val="20"/>
                <w:szCs w:val="20"/>
                <w:color w:val="auto"/>
              </w:rPr>
            </w:pPr>
            <w:r>
              <w:rPr>
                <w:rFonts w:ascii="Trebuchet MS" w:cs="Trebuchet MS" w:eastAsia="Trebuchet MS" w:hAnsi="Trebuchet MS"/>
                <w:sz w:val="16"/>
                <w:szCs w:val="16"/>
                <w:color w:val="4C4C4C"/>
              </w:rPr>
              <w:t>—</w:t>
            </w:r>
          </w:p>
        </w:tc>
        <w:tc>
          <w:tcPr>
            <w:tcW w:w="1100" w:type="dxa"/>
            <w:vAlign w:val="bottom"/>
            <w:shd w:val="clear" w:color="auto" w:fill="E1E7EF"/>
          </w:tcPr>
          <w:p>
            <w:pPr>
              <w:jc w:val="right"/>
              <w:ind w:right="41"/>
              <w:spacing w:after="0" w:line="203" w:lineRule="exact"/>
              <w:rPr>
                <w:sz w:val="20"/>
                <w:szCs w:val="20"/>
                <w:color w:val="auto"/>
              </w:rPr>
            </w:pPr>
            <w:r>
              <w:rPr>
                <w:rFonts w:ascii="Trebuchet MS" w:cs="Trebuchet MS" w:eastAsia="Trebuchet MS" w:hAnsi="Trebuchet MS"/>
                <w:sz w:val="16"/>
                <w:szCs w:val="16"/>
                <w:color w:val="4C4C4C"/>
              </w:rPr>
              <w:t>563,981</w:t>
            </w:r>
            <w:r>
              <w:rPr>
                <w:rFonts w:ascii="Trebuchet MS" w:cs="Trebuchet MS" w:eastAsia="Trebuchet MS" w:hAnsi="Trebuchet MS"/>
                <w:sz w:val="19"/>
                <w:szCs w:val="19"/>
                <w:color w:val="4C4C4C"/>
                <w:vertAlign w:val="superscript"/>
              </w:rPr>
              <w:t>(2)</w:t>
            </w:r>
          </w:p>
        </w:tc>
        <w:tc>
          <w:tcPr>
            <w:tcW w:w="78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1.18</w:t>
            </w:r>
          </w:p>
        </w:tc>
        <w:tc>
          <w:tcPr>
            <w:tcW w:w="90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6/9/2035</w:t>
            </w:r>
          </w:p>
        </w:tc>
        <w:tc>
          <w:tcPr>
            <w:tcW w:w="980" w:type="dxa"/>
            <w:vAlign w:val="bottom"/>
            <w:shd w:val="clear" w:color="auto" w:fill="E1E7EF"/>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shd w:val="clear" w:color="auto" w:fill="E1E7EF"/>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03"/>
        </w:trPr>
        <w:tc>
          <w:tcPr>
            <w:tcW w:w="1560" w:type="dxa"/>
            <w:vAlign w:val="bottom"/>
            <w:shd w:val="clear" w:color="auto" w:fill="E1E7EF"/>
          </w:tcPr>
          <w:p>
            <w:pPr>
              <w:spacing w:after="0"/>
              <w:rPr>
                <w:sz w:val="17"/>
                <w:szCs w:val="17"/>
                <w:color w:val="auto"/>
              </w:rPr>
            </w:pPr>
          </w:p>
        </w:tc>
        <w:tc>
          <w:tcPr>
            <w:tcW w:w="820" w:type="dxa"/>
            <w:vAlign w:val="bottom"/>
            <w:gridSpan w:val="2"/>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5/22/2024</w:t>
            </w:r>
          </w:p>
        </w:tc>
        <w:tc>
          <w:tcPr>
            <w:tcW w:w="1240" w:type="dxa"/>
            <w:vAlign w:val="bottom"/>
            <w:shd w:val="clear" w:color="auto" w:fill="E1E7EF"/>
          </w:tcPr>
          <w:p>
            <w:pPr>
              <w:jc w:val="right"/>
              <w:ind w:right="121"/>
              <w:spacing w:after="0"/>
              <w:rPr>
                <w:sz w:val="20"/>
                <w:szCs w:val="20"/>
                <w:color w:val="auto"/>
              </w:rPr>
            </w:pPr>
            <w:r>
              <w:rPr>
                <w:rFonts w:ascii="Trebuchet MS" w:cs="Trebuchet MS" w:eastAsia="Trebuchet MS" w:hAnsi="Trebuchet MS"/>
                <w:sz w:val="16"/>
                <w:szCs w:val="16"/>
                <w:color w:val="4C4C4C"/>
              </w:rPr>
              <w:t>—</w:t>
            </w:r>
          </w:p>
        </w:tc>
        <w:tc>
          <w:tcPr>
            <w:tcW w:w="1100" w:type="dxa"/>
            <w:vAlign w:val="bottom"/>
            <w:shd w:val="clear" w:color="auto" w:fill="E1E7EF"/>
          </w:tcPr>
          <w:p>
            <w:pPr>
              <w:jc w:val="right"/>
              <w:ind w:right="41"/>
              <w:spacing w:after="0" w:line="203" w:lineRule="exact"/>
              <w:rPr>
                <w:sz w:val="20"/>
                <w:szCs w:val="20"/>
                <w:color w:val="auto"/>
              </w:rPr>
            </w:pPr>
            <w:r>
              <w:rPr>
                <w:rFonts w:ascii="Trebuchet MS" w:cs="Trebuchet MS" w:eastAsia="Trebuchet MS" w:hAnsi="Trebuchet MS"/>
                <w:sz w:val="16"/>
                <w:szCs w:val="16"/>
                <w:color w:val="4C4C4C"/>
              </w:rPr>
              <w:t>63,917</w:t>
            </w:r>
            <w:r>
              <w:rPr>
                <w:rFonts w:ascii="Trebuchet MS" w:cs="Trebuchet MS" w:eastAsia="Trebuchet MS" w:hAnsi="Trebuchet MS"/>
                <w:sz w:val="19"/>
                <w:szCs w:val="19"/>
                <w:color w:val="4C4C4C"/>
                <w:vertAlign w:val="superscript"/>
              </w:rPr>
              <w:t>(3)</w:t>
            </w:r>
          </w:p>
        </w:tc>
        <w:tc>
          <w:tcPr>
            <w:tcW w:w="78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0.71</w:t>
            </w:r>
          </w:p>
        </w:tc>
        <w:tc>
          <w:tcPr>
            <w:tcW w:w="90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5/21/2034</w:t>
            </w:r>
          </w:p>
        </w:tc>
        <w:tc>
          <w:tcPr>
            <w:tcW w:w="980" w:type="dxa"/>
            <w:vAlign w:val="bottom"/>
            <w:shd w:val="clear" w:color="auto" w:fill="E1E7EF"/>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shd w:val="clear" w:color="auto" w:fill="E1E7EF"/>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28"/>
        </w:trPr>
        <w:tc>
          <w:tcPr>
            <w:tcW w:w="1560" w:type="dxa"/>
            <w:vAlign w:val="bottom"/>
            <w:shd w:val="clear" w:color="auto" w:fill="E1E7EF"/>
          </w:tcPr>
          <w:p>
            <w:pPr>
              <w:spacing w:after="0"/>
              <w:rPr>
                <w:sz w:val="19"/>
                <w:szCs w:val="19"/>
                <w:color w:val="auto"/>
              </w:rPr>
            </w:pPr>
          </w:p>
        </w:tc>
        <w:tc>
          <w:tcPr>
            <w:tcW w:w="820" w:type="dxa"/>
            <w:vAlign w:val="bottom"/>
            <w:gridSpan w:val="2"/>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8/3/2023</w:t>
            </w:r>
          </w:p>
        </w:tc>
        <w:tc>
          <w:tcPr>
            <w:tcW w:w="1240" w:type="dxa"/>
            <w:vAlign w:val="bottom"/>
            <w:shd w:val="clear" w:color="auto" w:fill="E1E7EF"/>
          </w:tcPr>
          <w:p>
            <w:pPr>
              <w:jc w:val="right"/>
              <w:ind w:right="121"/>
              <w:spacing w:after="0"/>
              <w:rPr>
                <w:sz w:val="20"/>
                <w:szCs w:val="20"/>
                <w:color w:val="auto"/>
              </w:rPr>
            </w:pPr>
            <w:r>
              <w:rPr>
                <w:rFonts w:ascii="Trebuchet MS" w:cs="Trebuchet MS" w:eastAsia="Trebuchet MS" w:hAnsi="Trebuchet MS"/>
                <w:sz w:val="16"/>
                <w:szCs w:val="16"/>
                <w:color w:val="4C4C4C"/>
              </w:rPr>
              <w:t>—</w:t>
            </w:r>
          </w:p>
        </w:tc>
        <w:tc>
          <w:tcPr>
            <w:tcW w:w="1100" w:type="dxa"/>
            <w:vAlign w:val="bottom"/>
            <w:shd w:val="clear" w:color="auto" w:fill="E1E7EF"/>
          </w:tcPr>
          <w:p>
            <w:pPr>
              <w:jc w:val="right"/>
              <w:ind w:right="41"/>
              <w:spacing w:after="0"/>
              <w:rPr>
                <w:sz w:val="20"/>
                <w:szCs w:val="20"/>
                <w:color w:val="auto"/>
              </w:rPr>
            </w:pPr>
            <w:r>
              <w:rPr>
                <w:rFonts w:ascii="Trebuchet MS" w:cs="Trebuchet MS" w:eastAsia="Trebuchet MS" w:hAnsi="Trebuchet MS"/>
                <w:sz w:val="16"/>
                <w:szCs w:val="16"/>
                <w:color w:val="4C4C4C"/>
              </w:rPr>
              <w:t>18,223</w:t>
            </w:r>
            <w:r>
              <w:rPr>
                <w:rFonts w:ascii="Trebuchet MS" w:cs="Trebuchet MS" w:eastAsia="Trebuchet MS" w:hAnsi="Trebuchet MS"/>
                <w:sz w:val="19"/>
                <w:szCs w:val="19"/>
                <w:color w:val="4C4C4C"/>
                <w:vertAlign w:val="superscript"/>
              </w:rPr>
              <w:t>(4)</w:t>
            </w:r>
          </w:p>
        </w:tc>
        <w:tc>
          <w:tcPr>
            <w:tcW w:w="78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1.59</w:t>
            </w:r>
          </w:p>
        </w:tc>
        <w:tc>
          <w:tcPr>
            <w:tcW w:w="90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8/3/2033</w:t>
            </w:r>
          </w:p>
        </w:tc>
        <w:tc>
          <w:tcPr>
            <w:tcW w:w="980" w:type="dxa"/>
            <w:vAlign w:val="bottom"/>
            <w:shd w:val="clear" w:color="auto" w:fill="E1E7EF"/>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shd w:val="clear" w:color="auto" w:fill="E1E7EF"/>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03"/>
        </w:trPr>
        <w:tc>
          <w:tcPr>
            <w:tcW w:w="1560" w:type="dxa"/>
            <w:vAlign w:val="bottom"/>
            <w:shd w:val="clear" w:color="auto" w:fill="E1E7EF"/>
          </w:tcPr>
          <w:p>
            <w:pPr>
              <w:spacing w:after="0"/>
              <w:rPr>
                <w:sz w:val="17"/>
                <w:szCs w:val="17"/>
                <w:color w:val="auto"/>
              </w:rPr>
            </w:pPr>
          </w:p>
        </w:tc>
        <w:tc>
          <w:tcPr>
            <w:tcW w:w="820" w:type="dxa"/>
            <w:vAlign w:val="bottom"/>
            <w:gridSpan w:val="2"/>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8/29/2022</w:t>
            </w:r>
          </w:p>
        </w:tc>
        <w:tc>
          <w:tcPr>
            <w:tcW w:w="1240" w:type="dxa"/>
            <w:vAlign w:val="bottom"/>
            <w:shd w:val="clear" w:color="auto" w:fill="E1E7EF"/>
          </w:tcPr>
          <w:p>
            <w:pPr>
              <w:jc w:val="right"/>
              <w:ind w:right="121"/>
              <w:spacing w:after="0"/>
              <w:rPr>
                <w:sz w:val="20"/>
                <w:szCs w:val="20"/>
                <w:color w:val="auto"/>
              </w:rPr>
            </w:pPr>
            <w:r>
              <w:rPr>
                <w:rFonts w:ascii="Trebuchet MS" w:cs="Trebuchet MS" w:eastAsia="Trebuchet MS" w:hAnsi="Trebuchet MS"/>
                <w:sz w:val="16"/>
                <w:szCs w:val="16"/>
                <w:color w:val="4C4C4C"/>
              </w:rPr>
              <w:t>18,173</w:t>
            </w:r>
          </w:p>
        </w:tc>
        <w:tc>
          <w:tcPr>
            <w:tcW w:w="1100" w:type="dxa"/>
            <w:vAlign w:val="bottom"/>
            <w:shd w:val="clear" w:color="auto" w:fill="E1E7EF"/>
          </w:tcPr>
          <w:p>
            <w:pPr>
              <w:jc w:val="right"/>
              <w:ind w:right="161"/>
              <w:spacing w:after="0"/>
              <w:rPr>
                <w:sz w:val="20"/>
                <w:szCs w:val="20"/>
                <w:color w:val="auto"/>
              </w:rPr>
            </w:pPr>
            <w:r>
              <w:rPr>
                <w:rFonts w:ascii="Trebuchet MS" w:cs="Trebuchet MS" w:eastAsia="Trebuchet MS" w:hAnsi="Trebuchet MS"/>
                <w:sz w:val="16"/>
                <w:szCs w:val="16"/>
                <w:color w:val="4C4C4C"/>
              </w:rPr>
              <w:t>—</w:t>
            </w:r>
          </w:p>
        </w:tc>
        <w:tc>
          <w:tcPr>
            <w:tcW w:w="78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3.12</w:t>
            </w:r>
          </w:p>
        </w:tc>
        <w:tc>
          <w:tcPr>
            <w:tcW w:w="90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8/29/2032</w:t>
            </w:r>
          </w:p>
        </w:tc>
        <w:tc>
          <w:tcPr>
            <w:tcW w:w="980" w:type="dxa"/>
            <w:vAlign w:val="bottom"/>
            <w:shd w:val="clear" w:color="auto" w:fill="E1E7EF"/>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shd w:val="clear" w:color="auto" w:fill="E1E7EF"/>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164"/>
        </w:trPr>
        <w:tc>
          <w:tcPr>
            <w:tcW w:w="1560" w:type="dxa"/>
            <w:vAlign w:val="bottom"/>
          </w:tcPr>
          <w:p>
            <w:pPr>
              <w:ind w:left="40"/>
              <w:spacing w:after="0" w:line="164" w:lineRule="exact"/>
              <w:rPr>
                <w:sz w:val="20"/>
                <w:szCs w:val="20"/>
                <w:color w:val="auto"/>
              </w:rPr>
            </w:pPr>
            <w:r>
              <w:rPr>
                <w:rFonts w:ascii="Trebuchet MS" w:cs="Trebuchet MS" w:eastAsia="Trebuchet MS" w:hAnsi="Trebuchet MS"/>
                <w:sz w:val="16"/>
                <w:szCs w:val="16"/>
                <w:b w:val="1"/>
                <w:bCs w:val="1"/>
                <w:color w:val="4C4C4C"/>
              </w:rPr>
              <w:t xml:space="preserve">Christopher </w:t>
            </w:r>
            <w:r>
              <w:rPr>
                <w:rFonts w:ascii="Arial" w:cs="Arial" w:eastAsia="Arial" w:hAnsi="Arial"/>
                <w:sz w:val="16"/>
                <w:szCs w:val="16"/>
                <w:b w:val="1"/>
                <w:bCs w:val="1"/>
                <w:color w:val="4C4C4C"/>
              </w:rPr>
              <w:t>M</w:t>
            </w:r>
            <w:r>
              <w:rPr>
                <w:rFonts w:ascii="Trebuchet MS" w:cs="Trebuchet MS" w:eastAsia="Trebuchet MS" w:hAnsi="Trebuchet MS"/>
                <w:sz w:val="16"/>
                <w:szCs w:val="16"/>
                <w:b w:val="1"/>
                <w:bCs w:val="1"/>
                <w:color w:val="4C4C4C"/>
              </w:rPr>
              <w:t>.</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121"/>
              <w:spacing w:after="0" w:line="164" w:lineRule="exact"/>
              <w:rPr>
                <w:sz w:val="20"/>
                <w:szCs w:val="20"/>
                <w:color w:val="auto"/>
              </w:rPr>
            </w:pPr>
            <w:r>
              <w:rPr>
                <w:rFonts w:ascii="Trebuchet MS" w:cs="Trebuchet MS" w:eastAsia="Trebuchet MS" w:hAnsi="Trebuchet MS"/>
                <w:sz w:val="16"/>
                <w:szCs w:val="16"/>
                <w:color w:val="4C4C4C"/>
              </w:rPr>
              <w:t>—</w:t>
            </w:r>
          </w:p>
        </w:tc>
        <w:tc>
          <w:tcPr>
            <w:tcW w:w="1100" w:type="dxa"/>
            <w:vAlign w:val="bottom"/>
          </w:tcPr>
          <w:p>
            <w:pPr>
              <w:jc w:val="right"/>
              <w:ind w:right="161"/>
              <w:spacing w:after="0" w:line="164" w:lineRule="exact"/>
              <w:rPr>
                <w:sz w:val="20"/>
                <w:szCs w:val="20"/>
                <w:color w:val="auto"/>
              </w:rPr>
            </w:pPr>
            <w:r>
              <w:rPr>
                <w:rFonts w:ascii="Trebuchet MS" w:cs="Trebuchet MS" w:eastAsia="Trebuchet MS" w:hAnsi="Trebuchet MS"/>
                <w:sz w:val="16"/>
                <w:szCs w:val="16"/>
                <w:color w:val="4C4C4C"/>
              </w:rPr>
              <w:t>—</w:t>
            </w:r>
          </w:p>
        </w:tc>
        <w:tc>
          <w:tcPr>
            <w:tcW w:w="780" w:type="dxa"/>
            <w:vAlign w:val="bottom"/>
          </w:tcPr>
          <w:p>
            <w:pPr>
              <w:jc w:val="right"/>
              <w:spacing w:after="0" w:line="164" w:lineRule="exact"/>
              <w:rPr>
                <w:sz w:val="20"/>
                <w:szCs w:val="20"/>
                <w:color w:val="auto"/>
              </w:rPr>
            </w:pPr>
            <w:r>
              <w:rPr>
                <w:rFonts w:ascii="Trebuchet MS" w:cs="Trebuchet MS" w:eastAsia="Trebuchet MS" w:hAnsi="Trebuchet MS"/>
                <w:sz w:val="16"/>
                <w:szCs w:val="16"/>
                <w:color w:val="4C4C4C"/>
              </w:rPr>
              <w:t>—</w:t>
            </w:r>
          </w:p>
        </w:tc>
        <w:tc>
          <w:tcPr>
            <w:tcW w:w="900" w:type="dxa"/>
            <w:vAlign w:val="bottom"/>
          </w:tcPr>
          <w:p>
            <w:pPr>
              <w:jc w:val="right"/>
              <w:spacing w:after="0" w:line="164" w:lineRule="exact"/>
              <w:rPr>
                <w:sz w:val="20"/>
                <w:szCs w:val="20"/>
                <w:color w:val="auto"/>
              </w:rPr>
            </w:pPr>
            <w:r>
              <w:rPr>
                <w:rFonts w:ascii="Trebuchet MS" w:cs="Trebuchet MS" w:eastAsia="Trebuchet MS" w:hAnsi="Trebuchet MS"/>
                <w:sz w:val="16"/>
                <w:szCs w:val="16"/>
                <w:color w:val="4C4C4C"/>
              </w:rPr>
              <w:t>—</w:t>
            </w:r>
          </w:p>
        </w:tc>
        <w:tc>
          <w:tcPr>
            <w:tcW w:w="1800" w:type="dxa"/>
            <w:vAlign w:val="bottom"/>
            <w:gridSpan w:val="2"/>
          </w:tcPr>
          <w:p>
            <w:pPr>
              <w:jc w:val="right"/>
              <w:ind w:right="1"/>
              <w:spacing w:after="0" w:line="163" w:lineRule="exact"/>
              <w:rPr>
                <w:sz w:val="20"/>
                <w:szCs w:val="20"/>
                <w:color w:val="auto"/>
              </w:rPr>
            </w:pPr>
            <w:r>
              <w:rPr>
                <w:rFonts w:ascii="Trebuchet MS" w:cs="Trebuchet MS" w:eastAsia="Trebuchet MS" w:hAnsi="Trebuchet MS"/>
                <w:sz w:val="15"/>
                <w:szCs w:val="15"/>
                <w:color w:val="4C4C4C"/>
              </w:rPr>
              <w:t>672,158</w:t>
            </w:r>
            <w:r>
              <w:rPr>
                <w:rFonts w:ascii="Trebuchet MS" w:cs="Trebuchet MS" w:eastAsia="Trebuchet MS" w:hAnsi="Trebuchet MS"/>
                <w:sz w:val="18"/>
                <w:szCs w:val="18"/>
                <w:color w:val="4C4C4C"/>
                <w:vertAlign w:val="superscript"/>
              </w:rPr>
              <w:t>(7)</w:t>
            </w:r>
            <w:r>
              <w:rPr>
                <w:rFonts w:ascii="Trebuchet MS" w:cs="Trebuchet MS" w:eastAsia="Trebuchet MS" w:hAnsi="Trebuchet MS"/>
                <w:sz w:val="15"/>
                <w:szCs w:val="15"/>
                <w:color w:val="4C4C4C"/>
              </w:rPr>
              <w:t xml:space="preserve"> 1,344,316</w:t>
            </w:r>
          </w:p>
        </w:tc>
      </w:tr>
      <w:tr>
        <w:trPr>
          <w:trHeight w:val="203"/>
        </w:trPr>
        <w:tc>
          <w:tcPr>
            <w:tcW w:w="1560" w:type="dxa"/>
            <w:vAlign w:val="bottom"/>
          </w:tcPr>
          <w:p>
            <w:pPr>
              <w:ind w:left="200"/>
              <w:spacing w:after="0"/>
              <w:rPr>
                <w:sz w:val="20"/>
                <w:szCs w:val="20"/>
                <w:color w:val="auto"/>
              </w:rPr>
            </w:pPr>
            <w:r>
              <w:rPr>
                <w:rFonts w:ascii="Trebuchet MS" w:cs="Trebuchet MS" w:eastAsia="Trebuchet MS" w:hAnsi="Trebuchet MS"/>
                <w:sz w:val="16"/>
                <w:szCs w:val="16"/>
                <w:b w:val="1"/>
                <w:bCs w:val="1"/>
                <w:color w:val="4C4C4C"/>
              </w:rPr>
              <w:t>Ryan</w:t>
            </w:r>
          </w:p>
        </w:tc>
        <w:tc>
          <w:tcPr>
            <w:tcW w:w="820" w:type="dxa"/>
            <w:vAlign w:val="bottom"/>
            <w:gridSpan w:val="2"/>
          </w:tcPr>
          <w:p>
            <w:pPr>
              <w:jc w:val="right"/>
              <w:spacing w:after="0"/>
              <w:rPr>
                <w:sz w:val="20"/>
                <w:szCs w:val="20"/>
                <w:color w:val="auto"/>
              </w:rPr>
            </w:pPr>
            <w:r>
              <w:rPr>
                <w:rFonts w:ascii="Trebuchet MS" w:cs="Trebuchet MS" w:eastAsia="Trebuchet MS" w:hAnsi="Trebuchet MS"/>
                <w:sz w:val="16"/>
                <w:szCs w:val="16"/>
                <w:color w:val="4C4C4C"/>
              </w:rPr>
              <w:t>6/9/2025</w:t>
            </w:r>
          </w:p>
        </w:tc>
        <w:tc>
          <w:tcPr>
            <w:tcW w:w="1240" w:type="dxa"/>
            <w:vAlign w:val="bottom"/>
          </w:tcPr>
          <w:p>
            <w:pPr>
              <w:jc w:val="right"/>
              <w:ind w:right="121"/>
              <w:spacing w:after="0"/>
              <w:rPr>
                <w:sz w:val="20"/>
                <w:szCs w:val="20"/>
                <w:color w:val="auto"/>
              </w:rPr>
            </w:pPr>
            <w:r>
              <w:rPr>
                <w:rFonts w:ascii="Trebuchet MS" w:cs="Trebuchet MS" w:eastAsia="Trebuchet MS" w:hAnsi="Trebuchet MS"/>
                <w:sz w:val="16"/>
                <w:szCs w:val="16"/>
                <w:color w:val="4C4C4C"/>
              </w:rPr>
              <w:t>—</w:t>
            </w:r>
          </w:p>
        </w:tc>
        <w:tc>
          <w:tcPr>
            <w:tcW w:w="1100" w:type="dxa"/>
            <w:vAlign w:val="bottom"/>
          </w:tcPr>
          <w:p>
            <w:pPr>
              <w:jc w:val="right"/>
              <w:ind w:right="41"/>
              <w:spacing w:after="0" w:line="203" w:lineRule="exact"/>
              <w:rPr>
                <w:sz w:val="20"/>
                <w:szCs w:val="20"/>
                <w:color w:val="auto"/>
              </w:rPr>
            </w:pPr>
            <w:r>
              <w:rPr>
                <w:rFonts w:ascii="Trebuchet MS" w:cs="Trebuchet MS" w:eastAsia="Trebuchet MS" w:hAnsi="Trebuchet MS"/>
                <w:sz w:val="16"/>
                <w:szCs w:val="16"/>
                <w:color w:val="4C4C4C"/>
              </w:rPr>
              <w:t>626,618</w:t>
            </w:r>
            <w:r>
              <w:rPr>
                <w:rFonts w:ascii="Trebuchet MS" w:cs="Trebuchet MS" w:eastAsia="Trebuchet MS" w:hAnsi="Trebuchet MS"/>
                <w:sz w:val="19"/>
                <w:szCs w:val="19"/>
                <w:color w:val="4C4C4C"/>
                <w:vertAlign w:val="superscript"/>
              </w:rPr>
              <w:t>(2)</w:t>
            </w:r>
          </w:p>
        </w:tc>
        <w:tc>
          <w:tcPr>
            <w:tcW w:w="780" w:type="dxa"/>
            <w:vAlign w:val="bottom"/>
          </w:tcPr>
          <w:p>
            <w:pPr>
              <w:jc w:val="right"/>
              <w:spacing w:after="0"/>
              <w:rPr>
                <w:sz w:val="20"/>
                <w:szCs w:val="20"/>
                <w:color w:val="auto"/>
              </w:rPr>
            </w:pPr>
            <w:r>
              <w:rPr>
                <w:rFonts w:ascii="Trebuchet MS" w:cs="Trebuchet MS" w:eastAsia="Trebuchet MS" w:hAnsi="Trebuchet MS"/>
                <w:sz w:val="16"/>
                <w:szCs w:val="16"/>
                <w:color w:val="4C4C4C"/>
              </w:rPr>
              <w:t>1.18</w:t>
            </w:r>
          </w:p>
        </w:tc>
        <w:tc>
          <w:tcPr>
            <w:tcW w:w="900" w:type="dxa"/>
            <w:vAlign w:val="bottom"/>
          </w:tcPr>
          <w:p>
            <w:pPr>
              <w:jc w:val="right"/>
              <w:spacing w:after="0"/>
              <w:rPr>
                <w:sz w:val="20"/>
                <w:szCs w:val="20"/>
                <w:color w:val="auto"/>
              </w:rPr>
            </w:pPr>
            <w:r>
              <w:rPr>
                <w:rFonts w:ascii="Trebuchet MS" w:cs="Trebuchet MS" w:eastAsia="Trebuchet MS" w:hAnsi="Trebuchet MS"/>
                <w:sz w:val="16"/>
                <w:szCs w:val="16"/>
                <w:color w:val="4C4C4C"/>
              </w:rPr>
              <w:t>6/9/2035</w:t>
            </w:r>
          </w:p>
        </w:tc>
        <w:tc>
          <w:tcPr>
            <w:tcW w:w="980" w:type="dxa"/>
            <w:vAlign w:val="bottom"/>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03"/>
        </w:trPr>
        <w:tc>
          <w:tcPr>
            <w:tcW w:w="15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rebuchet MS" w:cs="Trebuchet MS" w:eastAsia="Trebuchet MS" w:hAnsi="Trebuchet MS"/>
                <w:sz w:val="16"/>
                <w:szCs w:val="16"/>
                <w:color w:val="4C4C4C"/>
              </w:rPr>
              <w:t>5/22/2024</w:t>
            </w:r>
          </w:p>
        </w:tc>
        <w:tc>
          <w:tcPr>
            <w:tcW w:w="1240" w:type="dxa"/>
            <w:vAlign w:val="bottom"/>
          </w:tcPr>
          <w:p>
            <w:pPr>
              <w:jc w:val="right"/>
              <w:ind w:right="121"/>
              <w:spacing w:after="0"/>
              <w:rPr>
                <w:sz w:val="20"/>
                <w:szCs w:val="20"/>
                <w:color w:val="auto"/>
              </w:rPr>
            </w:pPr>
            <w:r>
              <w:rPr>
                <w:rFonts w:ascii="Trebuchet MS" w:cs="Trebuchet MS" w:eastAsia="Trebuchet MS" w:hAnsi="Trebuchet MS"/>
                <w:sz w:val="16"/>
                <w:szCs w:val="16"/>
                <w:color w:val="4C4C4C"/>
              </w:rPr>
              <w:t>183,333</w:t>
            </w:r>
          </w:p>
        </w:tc>
        <w:tc>
          <w:tcPr>
            <w:tcW w:w="1100" w:type="dxa"/>
            <w:vAlign w:val="bottom"/>
          </w:tcPr>
          <w:p>
            <w:pPr>
              <w:jc w:val="right"/>
              <w:ind w:right="41"/>
              <w:spacing w:after="0" w:line="203" w:lineRule="exact"/>
              <w:rPr>
                <w:sz w:val="20"/>
                <w:szCs w:val="20"/>
                <w:color w:val="auto"/>
              </w:rPr>
            </w:pPr>
            <w:r>
              <w:rPr>
                <w:rFonts w:ascii="Trebuchet MS" w:cs="Trebuchet MS" w:eastAsia="Trebuchet MS" w:hAnsi="Trebuchet MS"/>
                <w:sz w:val="16"/>
                <w:szCs w:val="16"/>
                <w:color w:val="4C4C4C"/>
              </w:rPr>
              <w:t>366,667</w:t>
            </w:r>
            <w:r>
              <w:rPr>
                <w:rFonts w:ascii="Trebuchet MS" w:cs="Trebuchet MS" w:eastAsia="Trebuchet MS" w:hAnsi="Trebuchet MS"/>
                <w:sz w:val="19"/>
                <w:szCs w:val="19"/>
                <w:color w:val="4C4C4C"/>
                <w:vertAlign w:val="superscript"/>
              </w:rPr>
              <w:t>(3)</w:t>
            </w:r>
          </w:p>
        </w:tc>
        <w:tc>
          <w:tcPr>
            <w:tcW w:w="780" w:type="dxa"/>
            <w:vAlign w:val="bottom"/>
          </w:tcPr>
          <w:p>
            <w:pPr>
              <w:jc w:val="right"/>
              <w:spacing w:after="0"/>
              <w:rPr>
                <w:sz w:val="20"/>
                <w:szCs w:val="20"/>
                <w:color w:val="auto"/>
              </w:rPr>
            </w:pPr>
            <w:r>
              <w:rPr>
                <w:rFonts w:ascii="Trebuchet MS" w:cs="Trebuchet MS" w:eastAsia="Trebuchet MS" w:hAnsi="Trebuchet MS"/>
                <w:sz w:val="16"/>
                <w:szCs w:val="16"/>
                <w:color w:val="4C4C4C"/>
              </w:rPr>
              <w:t>0.71</w:t>
            </w:r>
          </w:p>
        </w:tc>
        <w:tc>
          <w:tcPr>
            <w:tcW w:w="900" w:type="dxa"/>
            <w:vAlign w:val="bottom"/>
          </w:tcPr>
          <w:p>
            <w:pPr>
              <w:jc w:val="right"/>
              <w:spacing w:after="0"/>
              <w:rPr>
                <w:sz w:val="20"/>
                <w:szCs w:val="20"/>
                <w:color w:val="auto"/>
              </w:rPr>
            </w:pPr>
            <w:r>
              <w:rPr>
                <w:rFonts w:ascii="Trebuchet MS" w:cs="Trebuchet MS" w:eastAsia="Trebuchet MS" w:hAnsi="Trebuchet MS"/>
                <w:sz w:val="16"/>
                <w:szCs w:val="16"/>
                <w:color w:val="4C4C4C"/>
              </w:rPr>
              <w:t>5/21/2034</w:t>
            </w:r>
          </w:p>
        </w:tc>
        <w:tc>
          <w:tcPr>
            <w:tcW w:w="980" w:type="dxa"/>
            <w:vAlign w:val="bottom"/>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38"/>
        </w:trPr>
        <w:tc>
          <w:tcPr>
            <w:tcW w:w="15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rebuchet MS" w:cs="Trebuchet MS" w:eastAsia="Trebuchet MS" w:hAnsi="Trebuchet MS"/>
                <w:sz w:val="16"/>
                <w:szCs w:val="16"/>
                <w:color w:val="4C4C4C"/>
              </w:rPr>
              <w:t>8/3/2023</w:t>
            </w:r>
          </w:p>
        </w:tc>
        <w:tc>
          <w:tcPr>
            <w:tcW w:w="1240" w:type="dxa"/>
            <w:vAlign w:val="bottom"/>
          </w:tcPr>
          <w:p>
            <w:pPr>
              <w:jc w:val="right"/>
              <w:ind w:right="121"/>
              <w:spacing w:after="0"/>
              <w:rPr>
                <w:sz w:val="20"/>
                <w:szCs w:val="20"/>
                <w:color w:val="auto"/>
              </w:rPr>
            </w:pPr>
            <w:r>
              <w:rPr>
                <w:rFonts w:ascii="Trebuchet MS" w:cs="Trebuchet MS" w:eastAsia="Trebuchet MS" w:hAnsi="Trebuchet MS"/>
                <w:sz w:val="16"/>
                <w:szCs w:val="16"/>
                <w:color w:val="4C4C4C"/>
              </w:rPr>
              <w:t>177,480</w:t>
            </w:r>
          </w:p>
        </w:tc>
        <w:tc>
          <w:tcPr>
            <w:tcW w:w="1100" w:type="dxa"/>
            <w:vAlign w:val="bottom"/>
          </w:tcPr>
          <w:p>
            <w:pPr>
              <w:jc w:val="right"/>
              <w:ind w:right="41"/>
              <w:spacing w:after="0"/>
              <w:rPr>
                <w:sz w:val="20"/>
                <w:szCs w:val="20"/>
                <w:color w:val="auto"/>
              </w:rPr>
            </w:pPr>
            <w:r>
              <w:rPr>
                <w:rFonts w:ascii="Trebuchet MS" w:cs="Trebuchet MS" w:eastAsia="Trebuchet MS" w:hAnsi="Trebuchet MS"/>
                <w:sz w:val="16"/>
                <w:szCs w:val="16"/>
                <w:color w:val="4C4C4C"/>
              </w:rPr>
              <w:t>88,740</w:t>
            </w:r>
            <w:r>
              <w:rPr>
                <w:rFonts w:ascii="Trebuchet MS" w:cs="Trebuchet MS" w:eastAsia="Trebuchet MS" w:hAnsi="Trebuchet MS"/>
                <w:sz w:val="19"/>
                <w:szCs w:val="19"/>
                <w:color w:val="4C4C4C"/>
                <w:vertAlign w:val="superscript"/>
              </w:rPr>
              <w:t>(4)</w:t>
            </w:r>
          </w:p>
        </w:tc>
        <w:tc>
          <w:tcPr>
            <w:tcW w:w="780" w:type="dxa"/>
            <w:vAlign w:val="bottom"/>
          </w:tcPr>
          <w:p>
            <w:pPr>
              <w:jc w:val="right"/>
              <w:spacing w:after="0"/>
              <w:rPr>
                <w:sz w:val="20"/>
                <w:szCs w:val="20"/>
                <w:color w:val="auto"/>
              </w:rPr>
            </w:pPr>
            <w:r>
              <w:rPr>
                <w:rFonts w:ascii="Trebuchet MS" w:cs="Trebuchet MS" w:eastAsia="Trebuchet MS" w:hAnsi="Trebuchet MS"/>
                <w:sz w:val="16"/>
                <w:szCs w:val="16"/>
                <w:color w:val="4C4C4C"/>
              </w:rPr>
              <w:t>1.75</w:t>
            </w:r>
          </w:p>
        </w:tc>
        <w:tc>
          <w:tcPr>
            <w:tcW w:w="900" w:type="dxa"/>
            <w:vAlign w:val="bottom"/>
          </w:tcPr>
          <w:p>
            <w:pPr>
              <w:jc w:val="right"/>
              <w:spacing w:after="0"/>
              <w:rPr>
                <w:sz w:val="20"/>
                <w:szCs w:val="20"/>
                <w:color w:val="auto"/>
              </w:rPr>
            </w:pPr>
            <w:r>
              <w:rPr>
                <w:rFonts w:ascii="Trebuchet MS" w:cs="Trebuchet MS" w:eastAsia="Trebuchet MS" w:hAnsi="Trebuchet MS"/>
                <w:sz w:val="16"/>
                <w:szCs w:val="16"/>
                <w:color w:val="4C4C4C"/>
              </w:rPr>
              <w:t>8/3/2033</w:t>
            </w:r>
          </w:p>
        </w:tc>
        <w:tc>
          <w:tcPr>
            <w:tcW w:w="980" w:type="dxa"/>
            <w:vAlign w:val="bottom"/>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194"/>
        </w:trPr>
        <w:tc>
          <w:tcPr>
            <w:tcW w:w="15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rebuchet MS" w:cs="Trebuchet MS" w:eastAsia="Trebuchet MS" w:hAnsi="Trebuchet MS"/>
                <w:sz w:val="16"/>
                <w:szCs w:val="16"/>
                <w:color w:val="4C4C4C"/>
              </w:rPr>
              <w:t>7/26/2022</w:t>
            </w:r>
          </w:p>
        </w:tc>
        <w:tc>
          <w:tcPr>
            <w:tcW w:w="1240" w:type="dxa"/>
            <w:vAlign w:val="bottom"/>
          </w:tcPr>
          <w:p>
            <w:pPr>
              <w:jc w:val="right"/>
              <w:ind w:right="121"/>
              <w:spacing w:after="0"/>
              <w:rPr>
                <w:sz w:val="20"/>
                <w:szCs w:val="20"/>
                <w:color w:val="auto"/>
              </w:rPr>
            </w:pPr>
            <w:r>
              <w:rPr>
                <w:rFonts w:ascii="Trebuchet MS" w:cs="Trebuchet MS" w:eastAsia="Trebuchet MS" w:hAnsi="Trebuchet MS"/>
                <w:sz w:val="16"/>
                <w:szCs w:val="16"/>
                <w:color w:val="4C4C4C"/>
              </w:rPr>
              <w:t>158,116</w:t>
            </w:r>
          </w:p>
        </w:tc>
        <w:tc>
          <w:tcPr>
            <w:tcW w:w="1100" w:type="dxa"/>
            <w:vAlign w:val="bottom"/>
          </w:tcPr>
          <w:p>
            <w:pPr>
              <w:jc w:val="right"/>
              <w:ind w:right="161"/>
              <w:spacing w:after="0"/>
              <w:rPr>
                <w:sz w:val="20"/>
                <w:szCs w:val="20"/>
                <w:color w:val="auto"/>
              </w:rPr>
            </w:pPr>
            <w:r>
              <w:rPr>
                <w:rFonts w:ascii="Trebuchet MS" w:cs="Trebuchet MS" w:eastAsia="Trebuchet MS" w:hAnsi="Trebuchet MS"/>
                <w:sz w:val="16"/>
                <w:szCs w:val="16"/>
                <w:color w:val="4C4C4C"/>
              </w:rPr>
              <w:t>—</w:t>
            </w:r>
          </w:p>
        </w:tc>
        <w:tc>
          <w:tcPr>
            <w:tcW w:w="780" w:type="dxa"/>
            <w:vAlign w:val="bottom"/>
          </w:tcPr>
          <w:p>
            <w:pPr>
              <w:jc w:val="right"/>
              <w:spacing w:after="0"/>
              <w:rPr>
                <w:sz w:val="20"/>
                <w:szCs w:val="20"/>
                <w:color w:val="auto"/>
              </w:rPr>
            </w:pPr>
            <w:r>
              <w:rPr>
                <w:rFonts w:ascii="Trebuchet MS" w:cs="Trebuchet MS" w:eastAsia="Trebuchet MS" w:hAnsi="Trebuchet MS"/>
                <w:sz w:val="16"/>
                <w:szCs w:val="16"/>
                <w:color w:val="4C4C4C"/>
              </w:rPr>
              <w:t>3.92</w:t>
            </w:r>
          </w:p>
        </w:tc>
        <w:tc>
          <w:tcPr>
            <w:tcW w:w="900" w:type="dxa"/>
            <w:vAlign w:val="bottom"/>
          </w:tcPr>
          <w:p>
            <w:pPr>
              <w:jc w:val="right"/>
              <w:spacing w:after="0"/>
              <w:rPr>
                <w:sz w:val="20"/>
                <w:szCs w:val="20"/>
                <w:color w:val="auto"/>
              </w:rPr>
            </w:pPr>
            <w:r>
              <w:rPr>
                <w:rFonts w:ascii="Trebuchet MS" w:cs="Trebuchet MS" w:eastAsia="Trebuchet MS" w:hAnsi="Trebuchet MS"/>
                <w:sz w:val="16"/>
                <w:szCs w:val="16"/>
                <w:color w:val="4C4C4C"/>
              </w:rPr>
              <w:t>7/26/2032</w:t>
            </w:r>
          </w:p>
        </w:tc>
        <w:tc>
          <w:tcPr>
            <w:tcW w:w="980" w:type="dxa"/>
            <w:vAlign w:val="bottom"/>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176"/>
        </w:trPr>
        <w:tc>
          <w:tcPr>
            <w:tcW w:w="156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Trebuchet MS" w:cs="Trebuchet MS" w:eastAsia="Trebuchet MS" w:hAnsi="Trebuchet MS"/>
                <w:sz w:val="16"/>
                <w:szCs w:val="16"/>
                <w:color w:val="4C4C4C"/>
              </w:rPr>
              <w:t>8/20/2021</w:t>
            </w:r>
          </w:p>
        </w:tc>
        <w:tc>
          <w:tcPr>
            <w:tcW w:w="1240" w:type="dxa"/>
            <w:vAlign w:val="bottom"/>
          </w:tcPr>
          <w:p>
            <w:pPr>
              <w:jc w:val="right"/>
              <w:ind w:right="121"/>
              <w:spacing w:after="0" w:line="175" w:lineRule="exact"/>
              <w:rPr>
                <w:sz w:val="20"/>
                <w:szCs w:val="20"/>
                <w:color w:val="auto"/>
              </w:rPr>
            </w:pPr>
            <w:r>
              <w:rPr>
                <w:rFonts w:ascii="Trebuchet MS" w:cs="Trebuchet MS" w:eastAsia="Trebuchet MS" w:hAnsi="Trebuchet MS"/>
                <w:sz w:val="16"/>
                <w:szCs w:val="16"/>
                <w:color w:val="4C4C4C"/>
              </w:rPr>
              <w:t>522,900</w:t>
            </w:r>
          </w:p>
        </w:tc>
        <w:tc>
          <w:tcPr>
            <w:tcW w:w="1100" w:type="dxa"/>
            <w:vAlign w:val="bottom"/>
          </w:tcPr>
          <w:p>
            <w:pPr>
              <w:jc w:val="right"/>
              <w:ind w:right="161"/>
              <w:spacing w:after="0" w:line="175" w:lineRule="exact"/>
              <w:rPr>
                <w:sz w:val="20"/>
                <w:szCs w:val="20"/>
                <w:color w:val="auto"/>
              </w:rPr>
            </w:pPr>
            <w:r>
              <w:rPr>
                <w:rFonts w:ascii="Trebuchet MS" w:cs="Trebuchet MS" w:eastAsia="Trebuchet MS" w:hAnsi="Trebuchet MS"/>
                <w:sz w:val="16"/>
                <w:szCs w:val="16"/>
                <w:color w:val="4C4C4C"/>
              </w:rPr>
              <w:t>—</w:t>
            </w:r>
          </w:p>
        </w:tc>
        <w:tc>
          <w:tcPr>
            <w:tcW w:w="780" w:type="dxa"/>
            <w:vAlign w:val="bottom"/>
          </w:tcPr>
          <w:p>
            <w:pPr>
              <w:jc w:val="right"/>
              <w:spacing w:after="0" w:line="175" w:lineRule="exact"/>
              <w:rPr>
                <w:sz w:val="20"/>
                <w:szCs w:val="20"/>
                <w:color w:val="auto"/>
              </w:rPr>
            </w:pPr>
            <w:r>
              <w:rPr>
                <w:rFonts w:ascii="Trebuchet MS" w:cs="Trebuchet MS" w:eastAsia="Trebuchet MS" w:hAnsi="Trebuchet MS"/>
                <w:sz w:val="16"/>
                <w:szCs w:val="16"/>
                <w:color w:val="4C4C4C"/>
              </w:rPr>
              <w:t>4.98</w:t>
            </w:r>
          </w:p>
        </w:tc>
        <w:tc>
          <w:tcPr>
            <w:tcW w:w="900" w:type="dxa"/>
            <w:vAlign w:val="bottom"/>
          </w:tcPr>
          <w:p>
            <w:pPr>
              <w:jc w:val="right"/>
              <w:spacing w:after="0" w:line="175" w:lineRule="exact"/>
              <w:rPr>
                <w:sz w:val="20"/>
                <w:szCs w:val="20"/>
                <w:color w:val="auto"/>
              </w:rPr>
            </w:pPr>
            <w:r>
              <w:rPr>
                <w:rFonts w:ascii="Trebuchet MS" w:cs="Trebuchet MS" w:eastAsia="Trebuchet MS" w:hAnsi="Trebuchet MS"/>
                <w:sz w:val="16"/>
                <w:szCs w:val="16"/>
                <w:color w:val="4C4C4C"/>
              </w:rPr>
              <w:t>8/20/2031</w:t>
            </w:r>
          </w:p>
        </w:tc>
        <w:tc>
          <w:tcPr>
            <w:tcW w:w="980" w:type="dxa"/>
            <w:vAlign w:val="bottom"/>
          </w:tcPr>
          <w:p>
            <w:pPr>
              <w:jc w:val="right"/>
              <w:ind w:right="61"/>
              <w:spacing w:after="0" w:line="175" w:lineRule="exact"/>
              <w:rPr>
                <w:sz w:val="20"/>
                <w:szCs w:val="20"/>
                <w:color w:val="auto"/>
              </w:rPr>
            </w:pPr>
            <w:r>
              <w:rPr>
                <w:rFonts w:ascii="Trebuchet MS" w:cs="Trebuchet MS" w:eastAsia="Trebuchet MS" w:hAnsi="Trebuchet MS"/>
                <w:sz w:val="16"/>
                <w:szCs w:val="16"/>
                <w:color w:val="4C4C4C"/>
              </w:rPr>
              <w:t>—</w:t>
            </w:r>
          </w:p>
        </w:tc>
        <w:tc>
          <w:tcPr>
            <w:tcW w:w="820" w:type="dxa"/>
            <w:vAlign w:val="bottom"/>
          </w:tcPr>
          <w:p>
            <w:pPr>
              <w:jc w:val="right"/>
              <w:ind w:right="1"/>
              <w:spacing w:after="0" w:line="175" w:lineRule="exact"/>
              <w:rPr>
                <w:sz w:val="20"/>
                <w:szCs w:val="20"/>
                <w:color w:val="auto"/>
              </w:rPr>
            </w:pPr>
            <w:r>
              <w:rPr>
                <w:rFonts w:ascii="Trebuchet MS" w:cs="Trebuchet MS" w:eastAsia="Trebuchet MS" w:hAnsi="Trebuchet MS"/>
                <w:sz w:val="16"/>
                <w:szCs w:val="16"/>
                <w:color w:val="4C4C4C"/>
              </w:rPr>
              <w:t>—</w:t>
            </w:r>
          </w:p>
        </w:tc>
      </w:tr>
      <w:tr>
        <w:trPr>
          <w:trHeight w:val="228"/>
        </w:trPr>
        <w:tc>
          <w:tcPr>
            <w:tcW w:w="15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rebuchet MS" w:cs="Trebuchet MS" w:eastAsia="Trebuchet MS" w:hAnsi="Trebuchet MS"/>
                <w:sz w:val="16"/>
                <w:szCs w:val="16"/>
                <w:color w:val="4C4C4C"/>
              </w:rPr>
              <w:t>8/9/2018</w:t>
            </w:r>
          </w:p>
        </w:tc>
        <w:tc>
          <w:tcPr>
            <w:tcW w:w="1240" w:type="dxa"/>
            <w:vAlign w:val="bottom"/>
          </w:tcPr>
          <w:p>
            <w:pPr>
              <w:jc w:val="right"/>
              <w:spacing w:after="0"/>
              <w:rPr>
                <w:sz w:val="20"/>
                <w:szCs w:val="20"/>
                <w:color w:val="auto"/>
              </w:rPr>
            </w:pPr>
            <w:r>
              <w:rPr>
                <w:rFonts w:ascii="Trebuchet MS" w:cs="Trebuchet MS" w:eastAsia="Trebuchet MS" w:hAnsi="Trebuchet MS"/>
                <w:sz w:val="16"/>
                <w:szCs w:val="16"/>
                <w:color w:val="4C4C4C"/>
              </w:rPr>
              <w:t>64,327</w:t>
            </w:r>
            <w:r>
              <w:rPr>
                <w:rFonts w:ascii="Trebuchet MS" w:cs="Trebuchet MS" w:eastAsia="Trebuchet MS" w:hAnsi="Trebuchet MS"/>
                <w:sz w:val="19"/>
                <w:szCs w:val="19"/>
                <w:color w:val="4C4C4C"/>
                <w:vertAlign w:val="superscript"/>
              </w:rPr>
              <w:t>(11)</w:t>
            </w:r>
          </w:p>
        </w:tc>
        <w:tc>
          <w:tcPr>
            <w:tcW w:w="1100" w:type="dxa"/>
            <w:vAlign w:val="bottom"/>
          </w:tcPr>
          <w:p>
            <w:pPr>
              <w:jc w:val="right"/>
              <w:ind w:right="161"/>
              <w:spacing w:after="0"/>
              <w:rPr>
                <w:sz w:val="20"/>
                <w:szCs w:val="20"/>
                <w:color w:val="auto"/>
              </w:rPr>
            </w:pPr>
            <w:r>
              <w:rPr>
                <w:rFonts w:ascii="Trebuchet MS" w:cs="Trebuchet MS" w:eastAsia="Trebuchet MS" w:hAnsi="Trebuchet MS"/>
                <w:sz w:val="16"/>
                <w:szCs w:val="16"/>
                <w:color w:val="4C4C4C"/>
              </w:rPr>
              <w:t>—</w:t>
            </w:r>
          </w:p>
        </w:tc>
        <w:tc>
          <w:tcPr>
            <w:tcW w:w="780" w:type="dxa"/>
            <w:vAlign w:val="bottom"/>
          </w:tcPr>
          <w:p>
            <w:pPr>
              <w:jc w:val="right"/>
              <w:spacing w:after="0"/>
              <w:rPr>
                <w:sz w:val="20"/>
                <w:szCs w:val="20"/>
                <w:color w:val="auto"/>
              </w:rPr>
            </w:pPr>
            <w:r>
              <w:rPr>
                <w:rFonts w:ascii="Trebuchet MS" w:cs="Trebuchet MS" w:eastAsia="Trebuchet MS" w:hAnsi="Trebuchet MS"/>
                <w:sz w:val="16"/>
                <w:szCs w:val="16"/>
                <w:color w:val="4C4C4C"/>
              </w:rPr>
              <w:t>3.45</w:t>
            </w:r>
          </w:p>
        </w:tc>
        <w:tc>
          <w:tcPr>
            <w:tcW w:w="900" w:type="dxa"/>
            <w:vAlign w:val="bottom"/>
          </w:tcPr>
          <w:p>
            <w:pPr>
              <w:jc w:val="right"/>
              <w:spacing w:after="0"/>
              <w:rPr>
                <w:sz w:val="20"/>
                <w:szCs w:val="20"/>
                <w:color w:val="auto"/>
              </w:rPr>
            </w:pPr>
            <w:r>
              <w:rPr>
                <w:rFonts w:ascii="Trebuchet MS" w:cs="Trebuchet MS" w:eastAsia="Trebuchet MS" w:hAnsi="Trebuchet MS"/>
                <w:sz w:val="16"/>
                <w:szCs w:val="16"/>
                <w:color w:val="4C4C4C"/>
              </w:rPr>
              <w:t>8/9/2028</w:t>
            </w:r>
          </w:p>
        </w:tc>
        <w:tc>
          <w:tcPr>
            <w:tcW w:w="980" w:type="dxa"/>
            <w:vAlign w:val="bottom"/>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164"/>
        </w:trPr>
        <w:tc>
          <w:tcPr>
            <w:tcW w:w="1560" w:type="dxa"/>
            <w:vAlign w:val="bottom"/>
            <w:shd w:val="clear" w:color="auto" w:fill="E1E7EF"/>
          </w:tcPr>
          <w:p>
            <w:pPr>
              <w:ind w:left="40"/>
              <w:spacing w:after="0" w:line="164" w:lineRule="exact"/>
              <w:rPr>
                <w:sz w:val="20"/>
                <w:szCs w:val="20"/>
                <w:color w:val="auto"/>
              </w:rPr>
            </w:pPr>
            <w:r>
              <w:rPr>
                <w:rFonts w:ascii="Trebuchet MS" w:cs="Trebuchet MS" w:eastAsia="Trebuchet MS" w:hAnsi="Trebuchet MS"/>
                <w:sz w:val="16"/>
                <w:szCs w:val="16"/>
                <w:b w:val="1"/>
                <w:bCs w:val="1"/>
                <w:color w:val="4C4C4C"/>
              </w:rPr>
              <w:t>Paul D. Bloom</w:t>
            </w:r>
          </w:p>
        </w:tc>
        <w:tc>
          <w:tcPr>
            <w:tcW w:w="700" w:type="dxa"/>
            <w:vAlign w:val="bottom"/>
            <w:shd w:val="clear" w:color="auto" w:fill="E1E7EF"/>
          </w:tcPr>
          <w:p>
            <w:pPr>
              <w:spacing w:after="0"/>
              <w:rPr>
                <w:sz w:val="14"/>
                <w:szCs w:val="14"/>
                <w:color w:val="auto"/>
              </w:rPr>
            </w:pPr>
          </w:p>
        </w:tc>
        <w:tc>
          <w:tcPr>
            <w:tcW w:w="120" w:type="dxa"/>
            <w:vAlign w:val="bottom"/>
            <w:shd w:val="clear" w:color="auto" w:fill="E1E7EF"/>
          </w:tcPr>
          <w:p>
            <w:pPr>
              <w:spacing w:after="0"/>
              <w:rPr>
                <w:sz w:val="14"/>
                <w:szCs w:val="14"/>
                <w:color w:val="auto"/>
              </w:rPr>
            </w:pPr>
          </w:p>
        </w:tc>
        <w:tc>
          <w:tcPr>
            <w:tcW w:w="1240" w:type="dxa"/>
            <w:vAlign w:val="bottom"/>
            <w:shd w:val="clear" w:color="auto" w:fill="E1E7EF"/>
          </w:tcPr>
          <w:p>
            <w:pPr>
              <w:jc w:val="right"/>
              <w:ind w:right="121"/>
              <w:spacing w:after="0" w:line="164" w:lineRule="exact"/>
              <w:rPr>
                <w:sz w:val="20"/>
                <w:szCs w:val="20"/>
                <w:color w:val="auto"/>
              </w:rPr>
            </w:pPr>
            <w:r>
              <w:rPr>
                <w:rFonts w:ascii="Trebuchet MS" w:cs="Trebuchet MS" w:eastAsia="Trebuchet MS" w:hAnsi="Trebuchet MS"/>
                <w:sz w:val="16"/>
                <w:szCs w:val="16"/>
                <w:color w:val="4C4C4C"/>
              </w:rPr>
              <w:t>—</w:t>
            </w:r>
          </w:p>
        </w:tc>
        <w:tc>
          <w:tcPr>
            <w:tcW w:w="1100" w:type="dxa"/>
            <w:vAlign w:val="bottom"/>
            <w:shd w:val="clear" w:color="auto" w:fill="E1E7EF"/>
          </w:tcPr>
          <w:p>
            <w:pPr>
              <w:jc w:val="right"/>
              <w:ind w:right="161"/>
              <w:spacing w:after="0" w:line="164" w:lineRule="exact"/>
              <w:rPr>
                <w:sz w:val="20"/>
                <w:szCs w:val="20"/>
                <w:color w:val="auto"/>
              </w:rPr>
            </w:pPr>
            <w:r>
              <w:rPr>
                <w:rFonts w:ascii="Trebuchet MS" w:cs="Trebuchet MS" w:eastAsia="Trebuchet MS" w:hAnsi="Trebuchet MS"/>
                <w:sz w:val="16"/>
                <w:szCs w:val="16"/>
                <w:color w:val="4C4C4C"/>
              </w:rPr>
              <w:t>—</w:t>
            </w:r>
          </w:p>
        </w:tc>
        <w:tc>
          <w:tcPr>
            <w:tcW w:w="780" w:type="dxa"/>
            <w:vAlign w:val="bottom"/>
            <w:shd w:val="clear" w:color="auto" w:fill="E1E7EF"/>
          </w:tcPr>
          <w:p>
            <w:pPr>
              <w:jc w:val="right"/>
              <w:spacing w:after="0" w:line="164" w:lineRule="exact"/>
              <w:rPr>
                <w:sz w:val="20"/>
                <w:szCs w:val="20"/>
                <w:color w:val="auto"/>
              </w:rPr>
            </w:pPr>
            <w:r>
              <w:rPr>
                <w:rFonts w:ascii="Trebuchet MS" w:cs="Trebuchet MS" w:eastAsia="Trebuchet MS" w:hAnsi="Trebuchet MS"/>
                <w:sz w:val="16"/>
                <w:szCs w:val="16"/>
                <w:color w:val="4C4C4C"/>
              </w:rPr>
              <w:t>—</w:t>
            </w:r>
          </w:p>
        </w:tc>
        <w:tc>
          <w:tcPr>
            <w:tcW w:w="900" w:type="dxa"/>
            <w:vAlign w:val="bottom"/>
            <w:shd w:val="clear" w:color="auto" w:fill="E1E7EF"/>
          </w:tcPr>
          <w:p>
            <w:pPr>
              <w:jc w:val="right"/>
              <w:spacing w:after="0" w:line="164" w:lineRule="exact"/>
              <w:rPr>
                <w:sz w:val="20"/>
                <w:szCs w:val="20"/>
                <w:color w:val="auto"/>
              </w:rPr>
            </w:pPr>
            <w:r>
              <w:rPr>
                <w:rFonts w:ascii="Trebuchet MS" w:cs="Trebuchet MS" w:eastAsia="Trebuchet MS" w:hAnsi="Trebuchet MS"/>
                <w:sz w:val="16"/>
                <w:szCs w:val="16"/>
                <w:color w:val="4C4C4C"/>
              </w:rPr>
              <w:t>—</w:t>
            </w:r>
          </w:p>
        </w:tc>
        <w:tc>
          <w:tcPr>
            <w:tcW w:w="1800" w:type="dxa"/>
            <w:vAlign w:val="bottom"/>
            <w:gridSpan w:val="2"/>
            <w:shd w:val="clear" w:color="auto" w:fill="E1E7EF"/>
          </w:tcPr>
          <w:p>
            <w:pPr>
              <w:jc w:val="right"/>
              <w:ind w:right="1"/>
              <w:spacing w:after="0" w:line="163" w:lineRule="exact"/>
              <w:rPr>
                <w:sz w:val="20"/>
                <w:szCs w:val="20"/>
                <w:color w:val="auto"/>
              </w:rPr>
            </w:pPr>
            <w:r>
              <w:rPr>
                <w:rFonts w:ascii="Trebuchet MS" w:cs="Trebuchet MS" w:eastAsia="Trebuchet MS" w:hAnsi="Trebuchet MS"/>
                <w:sz w:val="15"/>
                <w:szCs w:val="15"/>
                <w:color w:val="4C4C4C"/>
              </w:rPr>
              <w:t>602,492</w:t>
            </w:r>
            <w:r>
              <w:rPr>
                <w:rFonts w:ascii="Trebuchet MS" w:cs="Trebuchet MS" w:eastAsia="Trebuchet MS" w:hAnsi="Trebuchet MS"/>
                <w:sz w:val="18"/>
                <w:szCs w:val="18"/>
                <w:color w:val="4C4C4C"/>
                <w:vertAlign w:val="superscript"/>
              </w:rPr>
              <w:t>(8)</w:t>
            </w:r>
            <w:r>
              <w:rPr>
                <w:rFonts w:ascii="Trebuchet MS" w:cs="Trebuchet MS" w:eastAsia="Trebuchet MS" w:hAnsi="Trebuchet MS"/>
                <w:sz w:val="15"/>
                <w:szCs w:val="15"/>
                <w:color w:val="4C4C4C"/>
              </w:rPr>
              <w:t xml:space="preserve"> 1,204,984</w:t>
            </w:r>
          </w:p>
        </w:tc>
      </w:tr>
      <w:tr>
        <w:trPr>
          <w:trHeight w:val="203"/>
        </w:trPr>
        <w:tc>
          <w:tcPr>
            <w:tcW w:w="1560" w:type="dxa"/>
            <w:vAlign w:val="bottom"/>
            <w:shd w:val="clear" w:color="auto" w:fill="E1E7EF"/>
          </w:tcPr>
          <w:p>
            <w:pPr>
              <w:spacing w:after="0"/>
              <w:rPr>
                <w:sz w:val="17"/>
                <w:szCs w:val="17"/>
                <w:color w:val="auto"/>
              </w:rPr>
            </w:pPr>
          </w:p>
        </w:tc>
        <w:tc>
          <w:tcPr>
            <w:tcW w:w="820" w:type="dxa"/>
            <w:vAlign w:val="bottom"/>
            <w:gridSpan w:val="2"/>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6/9/2025</w:t>
            </w:r>
          </w:p>
        </w:tc>
        <w:tc>
          <w:tcPr>
            <w:tcW w:w="1240" w:type="dxa"/>
            <w:vAlign w:val="bottom"/>
            <w:shd w:val="clear" w:color="auto" w:fill="E1E7EF"/>
          </w:tcPr>
          <w:p>
            <w:pPr>
              <w:jc w:val="right"/>
              <w:ind w:right="121"/>
              <w:spacing w:after="0"/>
              <w:rPr>
                <w:sz w:val="20"/>
                <w:szCs w:val="20"/>
                <w:color w:val="auto"/>
              </w:rPr>
            </w:pPr>
            <w:r>
              <w:rPr>
                <w:rFonts w:ascii="Trebuchet MS" w:cs="Trebuchet MS" w:eastAsia="Trebuchet MS" w:hAnsi="Trebuchet MS"/>
                <w:sz w:val="16"/>
                <w:szCs w:val="16"/>
                <w:color w:val="4C4C4C"/>
              </w:rPr>
              <w:t>—</w:t>
            </w:r>
          </w:p>
        </w:tc>
        <w:tc>
          <w:tcPr>
            <w:tcW w:w="1100" w:type="dxa"/>
            <w:vAlign w:val="bottom"/>
            <w:shd w:val="clear" w:color="auto" w:fill="E1E7EF"/>
          </w:tcPr>
          <w:p>
            <w:pPr>
              <w:jc w:val="right"/>
              <w:ind w:right="41"/>
              <w:spacing w:after="0" w:line="203" w:lineRule="exact"/>
              <w:rPr>
                <w:sz w:val="20"/>
                <w:szCs w:val="20"/>
                <w:color w:val="auto"/>
              </w:rPr>
            </w:pPr>
            <w:r>
              <w:rPr>
                <w:rFonts w:ascii="Trebuchet MS" w:cs="Trebuchet MS" w:eastAsia="Trebuchet MS" w:hAnsi="Trebuchet MS"/>
                <w:sz w:val="16"/>
                <w:szCs w:val="16"/>
                <w:color w:val="4C4C4C"/>
              </w:rPr>
              <w:t>626,618</w:t>
            </w:r>
            <w:r>
              <w:rPr>
                <w:rFonts w:ascii="Trebuchet MS" w:cs="Trebuchet MS" w:eastAsia="Trebuchet MS" w:hAnsi="Trebuchet MS"/>
                <w:sz w:val="19"/>
                <w:szCs w:val="19"/>
                <w:color w:val="4C4C4C"/>
                <w:vertAlign w:val="superscript"/>
              </w:rPr>
              <w:t>(2)</w:t>
            </w:r>
          </w:p>
        </w:tc>
        <w:tc>
          <w:tcPr>
            <w:tcW w:w="78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1.18</w:t>
            </w:r>
          </w:p>
        </w:tc>
        <w:tc>
          <w:tcPr>
            <w:tcW w:w="90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6/9/2035</w:t>
            </w:r>
          </w:p>
        </w:tc>
        <w:tc>
          <w:tcPr>
            <w:tcW w:w="980" w:type="dxa"/>
            <w:vAlign w:val="bottom"/>
            <w:shd w:val="clear" w:color="auto" w:fill="E1E7EF"/>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shd w:val="clear" w:color="auto" w:fill="E1E7EF"/>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03"/>
        </w:trPr>
        <w:tc>
          <w:tcPr>
            <w:tcW w:w="1560" w:type="dxa"/>
            <w:vAlign w:val="bottom"/>
            <w:shd w:val="clear" w:color="auto" w:fill="E1E7EF"/>
          </w:tcPr>
          <w:p>
            <w:pPr>
              <w:spacing w:after="0"/>
              <w:rPr>
                <w:sz w:val="17"/>
                <w:szCs w:val="17"/>
                <w:color w:val="auto"/>
              </w:rPr>
            </w:pPr>
          </w:p>
        </w:tc>
        <w:tc>
          <w:tcPr>
            <w:tcW w:w="820" w:type="dxa"/>
            <w:vAlign w:val="bottom"/>
            <w:gridSpan w:val="2"/>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5/22/2024</w:t>
            </w:r>
          </w:p>
        </w:tc>
        <w:tc>
          <w:tcPr>
            <w:tcW w:w="1240" w:type="dxa"/>
            <w:vAlign w:val="bottom"/>
            <w:shd w:val="clear" w:color="auto" w:fill="E1E7EF"/>
          </w:tcPr>
          <w:p>
            <w:pPr>
              <w:jc w:val="right"/>
              <w:ind w:right="121"/>
              <w:spacing w:after="0"/>
              <w:rPr>
                <w:sz w:val="20"/>
                <w:szCs w:val="20"/>
                <w:color w:val="auto"/>
              </w:rPr>
            </w:pPr>
            <w:r>
              <w:rPr>
                <w:rFonts w:ascii="Trebuchet MS" w:cs="Trebuchet MS" w:eastAsia="Trebuchet MS" w:hAnsi="Trebuchet MS"/>
                <w:sz w:val="16"/>
                <w:szCs w:val="16"/>
                <w:color w:val="4C4C4C"/>
              </w:rPr>
              <w:t>158,333</w:t>
            </w:r>
          </w:p>
        </w:tc>
        <w:tc>
          <w:tcPr>
            <w:tcW w:w="1100" w:type="dxa"/>
            <w:vAlign w:val="bottom"/>
            <w:shd w:val="clear" w:color="auto" w:fill="E1E7EF"/>
          </w:tcPr>
          <w:p>
            <w:pPr>
              <w:jc w:val="right"/>
              <w:ind w:right="41"/>
              <w:spacing w:after="0" w:line="203" w:lineRule="exact"/>
              <w:rPr>
                <w:sz w:val="20"/>
                <w:szCs w:val="20"/>
                <w:color w:val="auto"/>
              </w:rPr>
            </w:pPr>
            <w:r>
              <w:rPr>
                <w:rFonts w:ascii="Trebuchet MS" w:cs="Trebuchet MS" w:eastAsia="Trebuchet MS" w:hAnsi="Trebuchet MS"/>
                <w:sz w:val="16"/>
                <w:szCs w:val="16"/>
                <w:color w:val="4C4C4C"/>
              </w:rPr>
              <w:t>316,667</w:t>
            </w:r>
            <w:r>
              <w:rPr>
                <w:rFonts w:ascii="Trebuchet MS" w:cs="Trebuchet MS" w:eastAsia="Trebuchet MS" w:hAnsi="Trebuchet MS"/>
                <w:sz w:val="19"/>
                <w:szCs w:val="19"/>
                <w:color w:val="4C4C4C"/>
                <w:vertAlign w:val="superscript"/>
              </w:rPr>
              <w:t>(3)</w:t>
            </w:r>
          </w:p>
        </w:tc>
        <w:tc>
          <w:tcPr>
            <w:tcW w:w="78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0.71</w:t>
            </w:r>
          </w:p>
        </w:tc>
        <w:tc>
          <w:tcPr>
            <w:tcW w:w="90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5/21/2034</w:t>
            </w:r>
          </w:p>
        </w:tc>
        <w:tc>
          <w:tcPr>
            <w:tcW w:w="980" w:type="dxa"/>
            <w:vAlign w:val="bottom"/>
            <w:shd w:val="clear" w:color="auto" w:fill="E1E7EF"/>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shd w:val="clear" w:color="auto" w:fill="E1E7EF"/>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28"/>
        </w:trPr>
        <w:tc>
          <w:tcPr>
            <w:tcW w:w="1560" w:type="dxa"/>
            <w:vAlign w:val="bottom"/>
            <w:shd w:val="clear" w:color="auto" w:fill="E1E7EF"/>
          </w:tcPr>
          <w:p>
            <w:pPr>
              <w:spacing w:after="0"/>
              <w:rPr>
                <w:sz w:val="19"/>
                <w:szCs w:val="19"/>
                <w:color w:val="auto"/>
              </w:rPr>
            </w:pPr>
          </w:p>
        </w:tc>
        <w:tc>
          <w:tcPr>
            <w:tcW w:w="820" w:type="dxa"/>
            <w:vAlign w:val="bottom"/>
            <w:gridSpan w:val="2"/>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8/3/2023</w:t>
            </w:r>
          </w:p>
        </w:tc>
        <w:tc>
          <w:tcPr>
            <w:tcW w:w="1240" w:type="dxa"/>
            <w:vAlign w:val="bottom"/>
            <w:shd w:val="clear" w:color="auto" w:fill="E1E7EF"/>
          </w:tcPr>
          <w:p>
            <w:pPr>
              <w:jc w:val="right"/>
              <w:ind w:right="121"/>
              <w:spacing w:after="0"/>
              <w:rPr>
                <w:sz w:val="20"/>
                <w:szCs w:val="20"/>
                <w:color w:val="auto"/>
              </w:rPr>
            </w:pPr>
            <w:r>
              <w:rPr>
                <w:rFonts w:ascii="Trebuchet MS" w:cs="Trebuchet MS" w:eastAsia="Trebuchet MS" w:hAnsi="Trebuchet MS"/>
                <w:sz w:val="16"/>
                <w:szCs w:val="16"/>
                <w:color w:val="4C4C4C"/>
              </w:rPr>
              <w:t>138,148</w:t>
            </w:r>
          </w:p>
        </w:tc>
        <w:tc>
          <w:tcPr>
            <w:tcW w:w="1100" w:type="dxa"/>
            <w:vAlign w:val="bottom"/>
            <w:shd w:val="clear" w:color="auto" w:fill="E1E7EF"/>
          </w:tcPr>
          <w:p>
            <w:pPr>
              <w:jc w:val="right"/>
              <w:ind w:right="41"/>
              <w:spacing w:after="0"/>
              <w:rPr>
                <w:sz w:val="20"/>
                <w:szCs w:val="20"/>
                <w:color w:val="auto"/>
              </w:rPr>
            </w:pPr>
            <w:r>
              <w:rPr>
                <w:rFonts w:ascii="Trebuchet MS" w:cs="Trebuchet MS" w:eastAsia="Trebuchet MS" w:hAnsi="Trebuchet MS"/>
                <w:sz w:val="16"/>
                <w:szCs w:val="16"/>
                <w:color w:val="4C4C4C"/>
              </w:rPr>
              <w:t>69,074</w:t>
            </w:r>
            <w:r>
              <w:rPr>
                <w:rFonts w:ascii="Trebuchet MS" w:cs="Trebuchet MS" w:eastAsia="Trebuchet MS" w:hAnsi="Trebuchet MS"/>
                <w:sz w:val="19"/>
                <w:szCs w:val="19"/>
                <w:color w:val="4C4C4C"/>
                <w:vertAlign w:val="superscript"/>
              </w:rPr>
              <w:t>(4)</w:t>
            </w:r>
          </w:p>
        </w:tc>
        <w:tc>
          <w:tcPr>
            <w:tcW w:w="78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1.75</w:t>
            </w:r>
          </w:p>
        </w:tc>
        <w:tc>
          <w:tcPr>
            <w:tcW w:w="90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8/3/2033</w:t>
            </w:r>
          </w:p>
        </w:tc>
        <w:tc>
          <w:tcPr>
            <w:tcW w:w="980" w:type="dxa"/>
            <w:vAlign w:val="bottom"/>
            <w:shd w:val="clear" w:color="auto" w:fill="E1E7EF"/>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shd w:val="clear" w:color="auto" w:fill="E1E7EF"/>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03"/>
        </w:trPr>
        <w:tc>
          <w:tcPr>
            <w:tcW w:w="1560" w:type="dxa"/>
            <w:vAlign w:val="bottom"/>
            <w:shd w:val="clear" w:color="auto" w:fill="E1E7EF"/>
          </w:tcPr>
          <w:p>
            <w:pPr>
              <w:spacing w:after="0"/>
              <w:rPr>
                <w:sz w:val="17"/>
                <w:szCs w:val="17"/>
                <w:color w:val="auto"/>
              </w:rPr>
            </w:pPr>
          </w:p>
        </w:tc>
        <w:tc>
          <w:tcPr>
            <w:tcW w:w="820" w:type="dxa"/>
            <w:vAlign w:val="bottom"/>
            <w:gridSpan w:val="2"/>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7/26/2022</w:t>
            </w:r>
          </w:p>
        </w:tc>
        <w:tc>
          <w:tcPr>
            <w:tcW w:w="1240" w:type="dxa"/>
            <w:vAlign w:val="bottom"/>
            <w:shd w:val="clear" w:color="auto" w:fill="E1E7EF"/>
          </w:tcPr>
          <w:p>
            <w:pPr>
              <w:jc w:val="right"/>
              <w:ind w:right="121"/>
              <w:spacing w:after="0"/>
              <w:rPr>
                <w:sz w:val="20"/>
                <w:szCs w:val="20"/>
                <w:color w:val="auto"/>
              </w:rPr>
            </w:pPr>
            <w:r>
              <w:rPr>
                <w:rFonts w:ascii="Trebuchet MS" w:cs="Trebuchet MS" w:eastAsia="Trebuchet MS" w:hAnsi="Trebuchet MS"/>
                <w:sz w:val="16"/>
                <w:szCs w:val="16"/>
                <w:color w:val="4C4C4C"/>
              </w:rPr>
              <w:t>99,811</w:t>
            </w:r>
          </w:p>
        </w:tc>
        <w:tc>
          <w:tcPr>
            <w:tcW w:w="1100" w:type="dxa"/>
            <w:vAlign w:val="bottom"/>
            <w:shd w:val="clear" w:color="auto" w:fill="E1E7EF"/>
          </w:tcPr>
          <w:p>
            <w:pPr>
              <w:jc w:val="right"/>
              <w:ind w:right="161"/>
              <w:spacing w:after="0"/>
              <w:rPr>
                <w:sz w:val="20"/>
                <w:szCs w:val="20"/>
                <w:color w:val="auto"/>
              </w:rPr>
            </w:pPr>
            <w:r>
              <w:rPr>
                <w:rFonts w:ascii="Trebuchet MS" w:cs="Trebuchet MS" w:eastAsia="Trebuchet MS" w:hAnsi="Trebuchet MS"/>
                <w:sz w:val="16"/>
                <w:szCs w:val="16"/>
                <w:color w:val="4C4C4C"/>
              </w:rPr>
              <w:t>—</w:t>
            </w:r>
          </w:p>
        </w:tc>
        <w:tc>
          <w:tcPr>
            <w:tcW w:w="78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3.92</w:t>
            </w:r>
          </w:p>
        </w:tc>
        <w:tc>
          <w:tcPr>
            <w:tcW w:w="90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7/26/2032</w:t>
            </w:r>
          </w:p>
        </w:tc>
        <w:tc>
          <w:tcPr>
            <w:tcW w:w="980" w:type="dxa"/>
            <w:vAlign w:val="bottom"/>
            <w:shd w:val="clear" w:color="auto" w:fill="E1E7EF"/>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shd w:val="clear" w:color="auto" w:fill="E1E7EF"/>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03"/>
        </w:trPr>
        <w:tc>
          <w:tcPr>
            <w:tcW w:w="1560" w:type="dxa"/>
            <w:vAlign w:val="bottom"/>
            <w:shd w:val="clear" w:color="auto" w:fill="E1E7EF"/>
          </w:tcPr>
          <w:p>
            <w:pPr>
              <w:spacing w:after="0"/>
              <w:rPr>
                <w:sz w:val="17"/>
                <w:szCs w:val="17"/>
                <w:color w:val="auto"/>
              </w:rPr>
            </w:pPr>
          </w:p>
        </w:tc>
        <w:tc>
          <w:tcPr>
            <w:tcW w:w="820" w:type="dxa"/>
            <w:vAlign w:val="bottom"/>
            <w:gridSpan w:val="2"/>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8/20/2021</w:t>
            </w:r>
          </w:p>
        </w:tc>
        <w:tc>
          <w:tcPr>
            <w:tcW w:w="1240" w:type="dxa"/>
            <w:vAlign w:val="bottom"/>
            <w:shd w:val="clear" w:color="auto" w:fill="E1E7EF"/>
          </w:tcPr>
          <w:p>
            <w:pPr>
              <w:jc w:val="right"/>
              <w:ind w:right="121"/>
              <w:spacing w:after="0"/>
              <w:rPr>
                <w:sz w:val="20"/>
                <w:szCs w:val="20"/>
                <w:color w:val="auto"/>
              </w:rPr>
            </w:pPr>
            <w:r>
              <w:rPr>
                <w:rFonts w:ascii="Trebuchet MS" w:cs="Trebuchet MS" w:eastAsia="Trebuchet MS" w:hAnsi="Trebuchet MS"/>
                <w:sz w:val="16"/>
                <w:szCs w:val="16"/>
                <w:color w:val="4C4C4C"/>
              </w:rPr>
              <w:t>392,175</w:t>
            </w:r>
          </w:p>
        </w:tc>
        <w:tc>
          <w:tcPr>
            <w:tcW w:w="1100" w:type="dxa"/>
            <w:vAlign w:val="bottom"/>
            <w:shd w:val="clear" w:color="auto" w:fill="E1E7EF"/>
          </w:tcPr>
          <w:p>
            <w:pPr>
              <w:jc w:val="right"/>
              <w:ind w:right="161"/>
              <w:spacing w:after="0"/>
              <w:rPr>
                <w:sz w:val="20"/>
                <w:szCs w:val="20"/>
                <w:color w:val="auto"/>
              </w:rPr>
            </w:pPr>
            <w:r>
              <w:rPr>
                <w:rFonts w:ascii="Trebuchet MS" w:cs="Trebuchet MS" w:eastAsia="Trebuchet MS" w:hAnsi="Trebuchet MS"/>
                <w:sz w:val="16"/>
                <w:szCs w:val="16"/>
                <w:color w:val="4C4C4C"/>
              </w:rPr>
              <w:t>—</w:t>
            </w:r>
          </w:p>
        </w:tc>
        <w:tc>
          <w:tcPr>
            <w:tcW w:w="78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4.98</w:t>
            </w:r>
          </w:p>
        </w:tc>
        <w:tc>
          <w:tcPr>
            <w:tcW w:w="90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8/20/2031</w:t>
            </w:r>
          </w:p>
        </w:tc>
        <w:tc>
          <w:tcPr>
            <w:tcW w:w="980" w:type="dxa"/>
            <w:vAlign w:val="bottom"/>
            <w:shd w:val="clear" w:color="auto" w:fill="E1E7EF"/>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shd w:val="clear" w:color="auto" w:fill="E1E7EF"/>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164"/>
        </w:trPr>
        <w:tc>
          <w:tcPr>
            <w:tcW w:w="1560" w:type="dxa"/>
            <w:vAlign w:val="bottom"/>
          </w:tcPr>
          <w:p>
            <w:pPr>
              <w:ind w:left="40"/>
              <w:spacing w:after="0" w:line="164" w:lineRule="exact"/>
              <w:rPr>
                <w:sz w:val="20"/>
                <w:szCs w:val="20"/>
                <w:color w:val="auto"/>
              </w:rPr>
            </w:pPr>
            <w:r>
              <w:rPr>
                <w:rFonts w:ascii="Trebuchet MS" w:cs="Trebuchet MS" w:eastAsia="Trebuchet MS" w:hAnsi="Trebuchet MS"/>
                <w:sz w:val="16"/>
                <w:szCs w:val="16"/>
                <w:b w:val="1"/>
                <w:bCs w:val="1"/>
                <w:color w:val="4C4C4C"/>
              </w:rPr>
              <w:t>Andrew L. Shafer</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121"/>
              <w:spacing w:after="0" w:line="164" w:lineRule="exact"/>
              <w:rPr>
                <w:sz w:val="20"/>
                <w:szCs w:val="20"/>
                <w:color w:val="auto"/>
              </w:rPr>
            </w:pPr>
            <w:r>
              <w:rPr>
                <w:rFonts w:ascii="Trebuchet MS" w:cs="Trebuchet MS" w:eastAsia="Trebuchet MS" w:hAnsi="Trebuchet MS"/>
                <w:sz w:val="16"/>
                <w:szCs w:val="16"/>
                <w:color w:val="4C4C4C"/>
              </w:rPr>
              <w:t>—</w:t>
            </w:r>
          </w:p>
        </w:tc>
        <w:tc>
          <w:tcPr>
            <w:tcW w:w="1100" w:type="dxa"/>
            <w:vAlign w:val="bottom"/>
          </w:tcPr>
          <w:p>
            <w:pPr>
              <w:jc w:val="right"/>
              <w:ind w:right="161"/>
              <w:spacing w:after="0" w:line="164" w:lineRule="exact"/>
              <w:rPr>
                <w:sz w:val="20"/>
                <w:szCs w:val="20"/>
                <w:color w:val="auto"/>
              </w:rPr>
            </w:pPr>
            <w:r>
              <w:rPr>
                <w:rFonts w:ascii="Trebuchet MS" w:cs="Trebuchet MS" w:eastAsia="Trebuchet MS" w:hAnsi="Trebuchet MS"/>
                <w:sz w:val="16"/>
                <w:szCs w:val="16"/>
                <w:color w:val="4C4C4C"/>
              </w:rPr>
              <w:t>—</w:t>
            </w:r>
          </w:p>
        </w:tc>
        <w:tc>
          <w:tcPr>
            <w:tcW w:w="780" w:type="dxa"/>
            <w:vAlign w:val="bottom"/>
          </w:tcPr>
          <w:p>
            <w:pPr>
              <w:jc w:val="right"/>
              <w:spacing w:after="0" w:line="164" w:lineRule="exact"/>
              <w:rPr>
                <w:sz w:val="20"/>
                <w:szCs w:val="20"/>
                <w:color w:val="auto"/>
              </w:rPr>
            </w:pPr>
            <w:r>
              <w:rPr>
                <w:rFonts w:ascii="Trebuchet MS" w:cs="Trebuchet MS" w:eastAsia="Trebuchet MS" w:hAnsi="Trebuchet MS"/>
                <w:sz w:val="16"/>
                <w:szCs w:val="16"/>
                <w:color w:val="4C4C4C"/>
              </w:rPr>
              <w:t>—</w:t>
            </w:r>
          </w:p>
        </w:tc>
        <w:tc>
          <w:tcPr>
            <w:tcW w:w="900" w:type="dxa"/>
            <w:vAlign w:val="bottom"/>
          </w:tcPr>
          <w:p>
            <w:pPr>
              <w:jc w:val="right"/>
              <w:spacing w:after="0" w:line="164" w:lineRule="exact"/>
              <w:rPr>
                <w:sz w:val="20"/>
                <w:szCs w:val="20"/>
                <w:color w:val="auto"/>
              </w:rPr>
            </w:pPr>
            <w:r>
              <w:rPr>
                <w:rFonts w:ascii="Trebuchet MS" w:cs="Trebuchet MS" w:eastAsia="Trebuchet MS" w:hAnsi="Trebuchet MS"/>
                <w:sz w:val="16"/>
                <w:szCs w:val="16"/>
                <w:color w:val="4C4C4C"/>
              </w:rPr>
              <w:t>—</w:t>
            </w:r>
          </w:p>
        </w:tc>
        <w:tc>
          <w:tcPr>
            <w:tcW w:w="980" w:type="dxa"/>
            <w:vAlign w:val="bottom"/>
          </w:tcPr>
          <w:p>
            <w:pPr>
              <w:jc w:val="right"/>
              <w:spacing w:after="0" w:line="163" w:lineRule="exact"/>
              <w:rPr>
                <w:sz w:val="20"/>
                <w:szCs w:val="20"/>
                <w:color w:val="auto"/>
              </w:rPr>
            </w:pPr>
            <w:r>
              <w:rPr>
                <w:rFonts w:ascii="Trebuchet MS" w:cs="Trebuchet MS" w:eastAsia="Trebuchet MS" w:hAnsi="Trebuchet MS"/>
                <w:sz w:val="15"/>
                <w:szCs w:val="15"/>
                <w:color w:val="4C4C4C"/>
              </w:rPr>
              <w:t>190,728</w:t>
            </w:r>
            <w:r>
              <w:rPr>
                <w:rFonts w:ascii="Trebuchet MS" w:cs="Trebuchet MS" w:eastAsia="Trebuchet MS" w:hAnsi="Trebuchet MS"/>
                <w:sz w:val="18"/>
                <w:szCs w:val="18"/>
                <w:color w:val="4C4C4C"/>
                <w:vertAlign w:val="superscript"/>
              </w:rPr>
              <w:t>(9)</w:t>
            </w:r>
          </w:p>
        </w:tc>
        <w:tc>
          <w:tcPr>
            <w:tcW w:w="820" w:type="dxa"/>
            <w:vAlign w:val="bottom"/>
          </w:tcPr>
          <w:p>
            <w:pPr>
              <w:jc w:val="right"/>
              <w:ind w:right="1"/>
              <w:spacing w:after="0" w:line="164" w:lineRule="exact"/>
              <w:rPr>
                <w:sz w:val="20"/>
                <w:szCs w:val="20"/>
                <w:color w:val="auto"/>
              </w:rPr>
            </w:pPr>
            <w:r>
              <w:rPr>
                <w:rFonts w:ascii="Trebuchet MS" w:cs="Trebuchet MS" w:eastAsia="Trebuchet MS" w:hAnsi="Trebuchet MS"/>
                <w:sz w:val="16"/>
                <w:szCs w:val="16"/>
                <w:color w:val="4C4C4C"/>
              </w:rPr>
              <w:t>381,456</w:t>
            </w:r>
          </w:p>
        </w:tc>
      </w:tr>
      <w:tr>
        <w:trPr>
          <w:trHeight w:val="203"/>
        </w:trPr>
        <w:tc>
          <w:tcPr>
            <w:tcW w:w="15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rebuchet MS" w:cs="Trebuchet MS" w:eastAsia="Trebuchet MS" w:hAnsi="Trebuchet MS"/>
                <w:sz w:val="16"/>
                <w:szCs w:val="16"/>
                <w:color w:val="4C4C4C"/>
              </w:rPr>
              <w:t>6/9/2025</w:t>
            </w:r>
          </w:p>
        </w:tc>
        <w:tc>
          <w:tcPr>
            <w:tcW w:w="1240" w:type="dxa"/>
            <w:vAlign w:val="bottom"/>
          </w:tcPr>
          <w:p>
            <w:pPr>
              <w:jc w:val="right"/>
              <w:ind w:right="121"/>
              <w:spacing w:after="0"/>
              <w:rPr>
                <w:sz w:val="20"/>
                <w:szCs w:val="20"/>
                <w:color w:val="auto"/>
              </w:rPr>
            </w:pPr>
            <w:r>
              <w:rPr>
                <w:rFonts w:ascii="Trebuchet MS" w:cs="Trebuchet MS" w:eastAsia="Trebuchet MS" w:hAnsi="Trebuchet MS"/>
                <w:sz w:val="16"/>
                <w:szCs w:val="16"/>
                <w:color w:val="4C4C4C"/>
              </w:rPr>
              <w:t>—</w:t>
            </w:r>
          </w:p>
        </w:tc>
        <w:tc>
          <w:tcPr>
            <w:tcW w:w="1100" w:type="dxa"/>
            <w:vAlign w:val="bottom"/>
          </w:tcPr>
          <w:p>
            <w:pPr>
              <w:jc w:val="right"/>
              <w:ind w:right="41"/>
              <w:spacing w:after="0" w:line="203" w:lineRule="exact"/>
              <w:rPr>
                <w:sz w:val="20"/>
                <w:szCs w:val="20"/>
                <w:color w:val="auto"/>
              </w:rPr>
            </w:pPr>
            <w:r>
              <w:rPr>
                <w:rFonts w:ascii="Trebuchet MS" w:cs="Trebuchet MS" w:eastAsia="Trebuchet MS" w:hAnsi="Trebuchet MS"/>
                <w:sz w:val="16"/>
                <w:szCs w:val="16"/>
                <w:color w:val="4C4C4C"/>
              </w:rPr>
              <w:t>167,184</w:t>
            </w:r>
            <w:r>
              <w:rPr>
                <w:rFonts w:ascii="Trebuchet MS" w:cs="Trebuchet MS" w:eastAsia="Trebuchet MS" w:hAnsi="Trebuchet MS"/>
                <w:sz w:val="19"/>
                <w:szCs w:val="19"/>
                <w:color w:val="4C4C4C"/>
                <w:vertAlign w:val="superscript"/>
              </w:rPr>
              <w:t>(2)</w:t>
            </w:r>
          </w:p>
        </w:tc>
        <w:tc>
          <w:tcPr>
            <w:tcW w:w="780" w:type="dxa"/>
            <w:vAlign w:val="bottom"/>
          </w:tcPr>
          <w:p>
            <w:pPr>
              <w:jc w:val="right"/>
              <w:spacing w:after="0"/>
              <w:rPr>
                <w:sz w:val="20"/>
                <w:szCs w:val="20"/>
                <w:color w:val="auto"/>
              </w:rPr>
            </w:pPr>
            <w:r>
              <w:rPr>
                <w:rFonts w:ascii="Trebuchet MS" w:cs="Trebuchet MS" w:eastAsia="Trebuchet MS" w:hAnsi="Trebuchet MS"/>
                <w:sz w:val="16"/>
                <w:szCs w:val="16"/>
                <w:color w:val="4C4C4C"/>
              </w:rPr>
              <w:t>1.18</w:t>
            </w:r>
          </w:p>
        </w:tc>
        <w:tc>
          <w:tcPr>
            <w:tcW w:w="900" w:type="dxa"/>
            <w:vAlign w:val="bottom"/>
          </w:tcPr>
          <w:p>
            <w:pPr>
              <w:jc w:val="right"/>
              <w:spacing w:after="0"/>
              <w:rPr>
                <w:sz w:val="20"/>
                <w:szCs w:val="20"/>
                <w:color w:val="auto"/>
              </w:rPr>
            </w:pPr>
            <w:r>
              <w:rPr>
                <w:rFonts w:ascii="Trebuchet MS" w:cs="Trebuchet MS" w:eastAsia="Trebuchet MS" w:hAnsi="Trebuchet MS"/>
                <w:sz w:val="16"/>
                <w:szCs w:val="16"/>
                <w:color w:val="4C4C4C"/>
              </w:rPr>
              <w:t>6/9/2035</w:t>
            </w:r>
          </w:p>
        </w:tc>
        <w:tc>
          <w:tcPr>
            <w:tcW w:w="980" w:type="dxa"/>
            <w:vAlign w:val="bottom"/>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38"/>
        </w:trPr>
        <w:tc>
          <w:tcPr>
            <w:tcW w:w="15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rebuchet MS" w:cs="Trebuchet MS" w:eastAsia="Trebuchet MS" w:hAnsi="Trebuchet MS"/>
                <w:sz w:val="16"/>
                <w:szCs w:val="16"/>
                <w:color w:val="4C4C4C"/>
              </w:rPr>
              <w:t>5/22/2024</w:t>
            </w:r>
          </w:p>
        </w:tc>
        <w:tc>
          <w:tcPr>
            <w:tcW w:w="1240" w:type="dxa"/>
            <w:vAlign w:val="bottom"/>
          </w:tcPr>
          <w:p>
            <w:pPr>
              <w:jc w:val="right"/>
              <w:ind w:right="121"/>
              <w:spacing w:after="0"/>
              <w:rPr>
                <w:sz w:val="20"/>
                <w:szCs w:val="20"/>
                <w:color w:val="auto"/>
              </w:rPr>
            </w:pPr>
            <w:r>
              <w:rPr>
                <w:rFonts w:ascii="Trebuchet MS" w:cs="Trebuchet MS" w:eastAsia="Trebuchet MS" w:hAnsi="Trebuchet MS"/>
                <w:sz w:val="16"/>
                <w:szCs w:val="16"/>
                <w:color w:val="4C4C4C"/>
              </w:rPr>
              <w:t>67,500</w:t>
            </w:r>
          </w:p>
        </w:tc>
        <w:tc>
          <w:tcPr>
            <w:tcW w:w="1100" w:type="dxa"/>
            <w:vAlign w:val="bottom"/>
          </w:tcPr>
          <w:p>
            <w:pPr>
              <w:jc w:val="right"/>
              <w:ind w:right="41"/>
              <w:spacing w:after="0"/>
              <w:rPr>
                <w:sz w:val="20"/>
                <w:szCs w:val="20"/>
                <w:color w:val="auto"/>
              </w:rPr>
            </w:pPr>
            <w:r>
              <w:rPr>
                <w:rFonts w:ascii="Trebuchet MS" w:cs="Trebuchet MS" w:eastAsia="Trebuchet MS" w:hAnsi="Trebuchet MS"/>
                <w:sz w:val="16"/>
                <w:szCs w:val="16"/>
                <w:color w:val="4C4C4C"/>
              </w:rPr>
              <w:t>135,000</w:t>
            </w:r>
            <w:r>
              <w:rPr>
                <w:rFonts w:ascii="Trebuchet MS" w:cs="Trebuchet MS" w:eastAsia="Trebuchet MS" w:hAnsi="Trebuchet MS"/>
                <w:sz w:val="19"/>
                <w:szCs w:val="19"/>
                <w:color w:val="4C4C4C"/>
                <w:vertAlign w:val="superscript"/>
              </w:rPr>
              <w:t>(3)</w:t>
            </w:r>
          </w:p>
        </w:tc>
        <w:tc>
          <w:tcPr>
            <w:tcW w:w="780" w:type="dxa"/>
            <w:vAlign w:val="bottom"/>
          </w:tcPr>
          <w:p>
            <w:pPr>
              <w:jc w:val="right"/>
              <w:spacing w:after="0"/>
              <w:rPr>
                <w:sz w:val="20"/>
                <w:szCs w:val="20"/>
                <w:color w:val="auto"/>
              </w:rPr>
            </w:pPr>
            <w:r>
              <w:rPr>
                <w:rFonts w:ascii="Trebuchet MS" w:cs="Trebuchet MS" w:eastAsia="Trebuchet MS" w:hAnsi="Trebuchet MS"/>
                <w:sz w:val="16"/>
                <w:szCs w:val="16"/>
                <w:color w:val="4C4C4C"/>
              </w:rPr>
              <w:t>0.71</w:t>
            </w:r>
          </w:p>
        </w:tc>
        <w:tc>
          <w:tcPr>
            <w:tcW w:w="900" w:type="dxa"/>
            <w:vAlign w:val="bottom"/>
          </w:tcPr>
          <w:p>
            <w:pPr>
              <w:jc w:val="right"/>
              <w:spacing w:after="0"/>
              <w:rPr>
                <w:sz w:val="20"/>
                <w:szCs w:val="20"/>
                <w:color w:val="auto"/>
              </w:rPr>
            </w:pPr>
            <w:r>
              <w:rPr>
                <w:rFonts w:ascii="Trebuchet MS" w:cs="Trebuchet MS" w:eastAsia="Trebuchet MS" w:hAnsi="Trebuchet MS"/>
                <w:sz w:val="16"/>
                <w:szCs w:val="16"/>
                <w:color w:val="4C4C4C"/>
              </w:rPr>
              <w:t>5/21/2034</w:t>
            </w:r>
          </w:p>
        </w:tc>
        <w:tc>
          <w:tcPr>
            <w:tcW w:w="980" w:type="dxa"/>
            <w:vAlign w:val="bottom"/>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193"/>
        </w:trPr>
        <w:tc>
          <w:tcPr>
            <w:tcW w:w="15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rebuchet MS" w:cs="Trebuchet MS" w:eastAsia="Trebuchet MS" w:hAnsi="Trebuchet MS"/>
                <w:sz w:val="16"/>
                <w:szCs w:val="16"/>
                <w:color w:val="4C4C4C"/>
              </w:rPr>
              <w:t>11/1/2023</w:t>
            </w:r>
          </w:p>
        </w:tc>
        <w:tc>
          <w:tcPr>
            <w:tcW w:w="1240" w:type="dxa"/>
            <w:vAlign w:val="bottom"/>
          </w:tcPr>
          <w:p>
            <w:pPr>
              <w:jc w:val="right"/>
              <w:ind w:right="121"/>
              <w:spacing w:after="0"/>
              <w:rPr>
                <w:sz w:val="20"/>
                <w:szCs w:val="20"/>
                <w:color w:val="auto"/>
              </w:rPr>
            </w:pPr>
            <w:r>
              <w:rPr>
                <w:rFonts w:ascii="Trebuchet MS" w:cs="Trebuchet MS" w:eastAsia="Trebuchet MS" w:hAnsi="Trebuchet MS"/>
                <w:sz w:val="16"/>
                <w:szCs w:val="16"/>
                <w:color w:val="4C4C4C"/>
              </w:rPr>
              <w:t>181,819</w:t>
            </w:r>
          </w:p>
        </w:tc>
        <w:tc>
          <w:tcPr>
            <w:tcW w:w="1100" w:type="dxa"/>
            <w:vAlign w:val="bottom"/>
          </w:tcPr>
          <w:p>
            <w:pPr>
              <w:jc w:val="right"/>
              <w:ind w:right="161"/>
              <w:spacing w:after="0"/>
              <w:rPr>
                <w:sz w:val="20"/>
                <w:szCs w:val="20"/>
                <w:color w:val="auto"/>
              </w:rPr>
            </w:pPr>
            <w:r>
              <w:rPr>
                <w:rFonts w:ascii="Trebuchet MS" w:cs="Trebuchet MS" w:eastAsia="Trebuchet MS" w:hAnsi="Trebuchet MS"/>
                <w:sz w:val="16"/>
                <w:szCs w:val="16"/>
                <w:color w:val="4C4C4C"/>
              </w:rPr>
              <w:t>—</w:t>
            </w:r>
          </w:p>
        </w:tc>
        <w:tc>
          <w:tcPr>
            <w:tcW w:w="780" w:type="dxa"/>
            <w:vAlign w:val="bottom"/>
          </w:tcPr>
          <w:p>
            <w:pPr>
              <w:jc w:val="right"/>
              <w:spacing w:after="0"/>
              <w:rPr>
                <w:sz w:val="20"/>
                <w:szCs w:val="20"/>
                <w:color w:val="auto"/>
              </w:rPr>
            </w:pPr>
            <w:r>
              <w:rPr>
                <w:rFonts w:ascii="Trebuchet MS" w:cs="Trebuchet MS" w:eastAsia="Trebuchet MS" w:hAnsi="Trebuchet MS"/>
                <w:sz w:val="16"/>
                <w:szCs w:val="16"/>
                <w:color w:val="4C4C4C"/>
              </w:rPr>
              <w:t>1.75</w:t>
            </w:r>
          </w:p>
        </w:tc>
        <w:tc>
          <w:tcPr>
            <w:tcW w:w="900" w:type="dxa"/>
            <w:vAlign w:val="bottom"/>
          </w:tcPr>
          <w:p>
            <w:pPr>
              <w:jc w:val="right"/>
              <w:spacing w:after="0"/>
              <w:rPr>
                <w:sz w:val="20"/>
                <w:szCs w:val="20"/>
                <w:color w:val="auto"/>
              </w:rPr>
            </w:pPr>
            <w:r>
              <w:rPr>
                <w:rFonts w:ascii="Trebuchet MS" w:cs="Trebuchet MS" w:eastAsia="Trebuchet MS" w:hAnsi="Trebuchet MS"/>
                <w:sz w:val="16"/>
                <w:szCs w:val="16"/>
                <w:color w:val="4C4C4C"/>
              </w:rPr>
              <w:t>11/1/2033</w:t>
            </w:r>
          </w:p>
        </w:tc>
        <w:tc>
          <w:tcPr>
            <w:tcW w:w="980" w:type="dxa"/>
            <w:vAlign w:val="bottom"/>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164"/>
        </w:trPr>
        <w:tc>
          <w:tcPr>
            <w:tcW w:w="1560" w:type="dxa"/>
            <w:vAlign w:val="bottom"/>
            <w:shd w:val="clear" w:color="auto" w:fill="E1E7EF"/>
          </w:tcPr>
          <w:p>
            <w:pPr>
              <w:ind w:left="40"/>
              <w:spacing w:after="0" w:line="164" w:lineRule="exact"/>
              <w:rPr>
                <w:sz w:val="20"/>
                <w:szCs w:val="20"/>
                <w:color w:val="auto"/>
              </w:rPr>
            </w:pPr>
            <w:r>
              <w:rPr>
                <w:rFonts w:ascii="Trebuchet MS" w:cs="Trebuchet MS" w:eastAsia="Trebuchet MS" w:hAnsi="Trebuchet MS"/>
                <w:sz w:val="16"/>
                <w:szCs w:val="16"/>
                <w:b w:val="1"/>
                <w:bCs w:val="1"/>
                <w:color w:val="4C4C4C"/>
              </w:rPr>
              <w:t>L. Lynn Smull</w:t>
            </w:r>
          </w:p>
        </w:tc>
        <w:tc>
          <w:tcPr>
            <w:tcW w:w="700" w:type="dxa"/>
            <w:vAlign w:val="bottom"/>
            <w:shd w:val="clear" w:color="auto" w:fill="E1E7EF"/>
          </w:tcPr>
          <w:p>
            <w:pPr>
              <w:spacing w:after="0"/>
              <w:rPr>
                <w:sz w:val="14"/>
                <w:szCs w:val="14"/>
                <w:color w:val="auto"/>
              </w:rPr>
            </w:pPr>
          </w:p>
        </w:tc>
        <w:tc>
          <w:tcPr>
            <w:tcW w:w="120" w:type="dxa"/>
            <w:vAlign w:val="bottom"/>
            <w:shd w:val="clear" w:color="auto" w:fill="E1E7EF"/>
          </w:tcPr>
          <w:p>
            <w:pPr>
              <w:spacing w:after="0"/>
              <w:rPr>
                <w:sz w:val="14"/>
                <w:szCs w:val="14"/>
                <w:color w:val="auto"/>
              </w:rPr>
            </w:pPr>
          </w:p>
        </w:tc>
        <w:tc>
          <w:tcPr>
            <w:tcW w:w="1240" w:type="dxa"/>
            <w:vAlign w:val="bottom"/>
            <w:shd w:val="clear" w:color="auto" w:fill="E1E7EF"/>
          </w:tcPr>
          <w:p>
            <w:pPr>
              <w:jc w:val="right"/>
              <w:ind w:right="121"/>
              <w:spacing w:after="0" w:line="164" w:lineRule="exact"/>
              <w:rPr>
                <w:sz w:val="20"/>
                <w:szCs w:val="20"/>
                <w:color w:val="auto"/>
              </w:rPr>
            </w:pPr>
            <w:r>
              <w:rPr>
                <w:rFonts w:ascii="Trebuchet MS" w:cs="Trebuchet MS" w:eastAsia="Trebuchet MS" w:hAnsi="Trebuchet MS"/>
                <w:sz w:val="16"/>
                <w:szCs w:val="16"/>
                <w:color w:val="4C4C4C"/>
              </w:rPr>
              <w:t>—</w:t>
            </w:r>
          </w:p>
        </w:tc>
        <w:tc>
          <w:tcPr>
            <w:tcW w:w="1100" w:type="dxa"/>
            <w:vAlign w:val="bottom"/>
            <w:shd w:val="clear" w:color="auto" w:fill="E1E7EF"/>
          </w:tcPr>
          <w:p>
            <w:pPr>
              <w:jc w:val="right"/>
              <w:ind w:right="161"/>
              <w:spacing w:after="0" w:line="164" w:lineRule="exact"/>
              <w:rPr>
                <w:sz w:val="20"/>
                <w:szCs w:val="20"/>
                <w:color w:val="auto"/>
              </w:rPr>
            </w:pPr>
            <w:r>
              <w:rPr>
                <w:rFonts w:ascii="Trebuchet MS" w:cs="Trebuchet MS" w:eastAsia="Trebuchet MS" w:hAnsi="Trebuchet MS"/>
                <w:sz w:val="16"/>
                <w:szCs w:val="16"/>
                <w:color w:val="4C4C4C"/>
              </w:rPr>
              <w:t>—</w:t>
            </w:r>
          </w:p>
        </w:tc>
        <w:tc>
          <w:tcPr>
            <w:tcW w:w="780" w:type="dxa"/>
            <w:vAlign w:val="bottom"/>
            <w:shd w:val="clear" w:color="auto" w:fill="E1E7EF"/>
          </w:tcPr>
          <w:p>
            <w:pPr>
              <w:jc w:val="right"/>
              <w:spacing w:after="0" w:line="164" w:lineRule="exact"/>
              <w:rPr>
                <w:sz w:val="20"/>
                <w:szCs w:val="20"/>
                <w:color w:val="auto"/>
              </w:rPr>
            </w:pPr>
            <w:r>
              <w:rPr>
                <w:rFonts w:ascii="Trebuchet MS" w:cs="Trebuchet MS" w:eastAsia="Trebuchet MS" w:hAnsi="Trebuchet MS"/>
                <w:sz w:val="16"/>
                <w:szCs w:val="16"/>
                <w:color w:val="4C4C4C"/>
              </w:rPr>
              <w:t>—</w:t>
            </w:r>
          </w:p>
        </w:tc>
        <w:tc>
          <w:tcPr>
            <w:tcW w:w="900" w:type="dxa"/>
            <w:vAlign w:val="bottom"/>
            <w:shd w:val="clear" w:color="auto" w:fill="E1E7EF"/>
          </w:tcPr>
          <w:p>
            <w:pPr>
              <w:jc w:val="right"/>
              <w:spacing w:after="0" w:line="164" w:lineRule="exact"/>
              <w:rPr>
                <w:sz w:val="20"/>
                <w:szCs w:val="20"/>
                <w:color w:val="auto"/>
              </w:rPr>
            </w:pPr>
            <w:r>
              <w:rPr>
                <w:rFonts w:ascii="Trebuchet MS" w:cs="Trebuchet MS" w:eastAsia="Trebuchet MS" w:hAnsi="Trebuchet MS"/>
                <w:sz w:val="16"/>
                <w:szCs w:val="16"/>
                <w:color w:val="4C4C4C"/>
              </w:rPr>
              <w:t>—</w:t>
            </w:r>
          </w:p>
        </w:tc>
        <w:tc>
          <w:tcPr>
            <w:tcW w:w="1800" w:type="dxa"/>
            <w:vAlign w:val="bottom"/>
            <w:gridSpan w:val="2"/>
            <w:shd w:val="clear" w:color="auto" w:fill="E1E7EF"/>
          </w:tcPr>
          <w:p>
            <w:pPr>
              <w:jc w:val="right"/>
              <w:ind w:right="1"/>
              <w:spacing w:after="0" w:line="163" w:lineRule="exact"/>
              <w:rPr>
                <w:sz w:val="20"/>
                <w:szCs w:val="20"/>
                <w:color w:val="auto"/>
              </w:rPr>
            </w:pPr>
            <w:r>
              <w:rPr>
                <w:rFonts w:ascii="Trebuchet MS" w:cs="Trebuchet MS" w:eastAsia="Trebuchet MS" w:hAnsi="Trebuchet MS"/>
                <w:sz w:val="15"/>
                <w:szCs w:val="15"/>
                <w:color w:val="4C4C4C"/>
              </w:rPr>
              <w:t>401,687</w:t>
            </w:r>
            <w:r>
              <w:rPr>
                <w:rFonts w:ascii="Trebuchet MS" w:cs="Trebuchet MS" w:eastAsia="Trebuchet MS" w:hAnsi="Trebuchet MS"/>
                <w:sz w:val="18"/>
                <w:szCs w:val="18"/>
                <w:color w:val="4C4C4C"/>
                <w:vertAlign w:val="superscript"/>
              </w:rPr>
              <w:t>(10)</w:t>
            </w:r>
            <w:r>
              <w:rPr>
                <w:rFonts w:ascii="Trebuchet MS" w:cs="Trebuchet MS" w:eastAsia="Trebuchet MS" w:hAnsi="Trebuchet MS"/>
                <w:sz w:val="15"/>
                <w:szCs w:val="15"/>
                <w:color w:val="4C4C4C"/>
              </w:rPr>
              <w:t xml:space="preserve">   803,374</w:t>
            </w:r>
          </w:p>
        </w:tc>
      </w:tr>
      <w:tr>
        <w:trPr>
          <w:trHeight w:val="203"/>
        </w:trPr>
        <w:tc>
          <w:tcPr>
            <w:tcW w:w="1560" w:type="dxa"/>
            <w:vAlign w:val="bottom"/>
            <w:shd w:val="clear" w:color="auto" w:fill="E1E7EF"/>
          </w:tcPr>
          <w:p>
            <w:pPr>
              <w:spacing w:after="0"/>
              <w:rPr>
                <w:sz w:val="17"/>
                <w:szCs w:val="17"/>
                <w:color w:val="auto"/>
              </w:rPr>
            </w:pPr>
          </w:p>
        </w:tc>
        <w:tc>
          <w:tcPr>
            <w:tcW w:w="820" w:type="dxa"/>
            <w:vAlign w:val="bottom"/>
            <w:gridSpan w:val="2"/>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6/9/2025</w:t>
            </w:r>
          </w:p>
        </w:tc>
        <w:tc>
          <w:tcPr>
            <w:tcW w:w="1240" w:type="dxa"/>
            <w:vAlign w:val="bottom"/>
            <w:shd w:val="clear" w:color="auto" w:fill="E1E7EF"/>
          </w:tcPr>
          <w:p>
            <w:pPr>
              <w:jc w:val="right"/>
              <w:ind w:right="121"/>
              <w:spacing w:after="0"/>
              <w:rPr>
                <w:sz w:val="20"/>
                <w:szCs w:val="20"/>
                <w:color w:val="auto"/>
              </w:rPr>
            </w:pPr>
            <w:r>
              <w:rPr>
                <w:rFonts w:ascii="Trebuchet MS" w:cs="Trebuchet MS" w:eastAsia="Trebuchet MS" w:hAnsi="Trebuchet MS"/>
                <w:sz w:val="16"/>
                <w:szCs w:val="16"/>
                <w:color w:val="4C4C4C"/>
              </w:rPr>
              <w:t>—</w:t>
            </w:r>
          </w:p>
        </w:tc>
        <w:tc>
          <w:tcPr>
            <w:tcW w:w="1100" w:type="dxa"/>
            <w:vAlign w:val="bottom"/>
            <w:shd w:val="clear" w:color="auto" w:fill="E1E7EF"/>
          </w:tcPr>
          <w:p>
            <w:pPr>
              <w:jc w:val="right"/>
              <w:ind w:right="41"/>
              <w:spacing w:after="0" w:line="203" w:lineRule="exact"/>
              <w:rPr>
                <w:sz w:val="20"/>
                <w:szCs w:val="20"/>
                <w:color w:val="auto"/>
              </w:rPr>
            </w:pPr>
            <w:r>
              <w:rPr>
                <w:rFonts w:ascii="Trebuchet MS" w:cs="Trebuchet MS" w:eastAsia="Trebuchet MS" w:hAnsi="Trebuchet MS"/>
                <w:sz w:val="16"/>
                <w:szCs w:val="16"/>
                <w:color w:val="4C4C4C"/>
              </w:rPr>
              <w:t>185,761</w:t>
            </w:r>
            <w:r>
              <w:rPr>
                <w:rFonts w:ascii="Trebuchet MS" w:cs="Trebuchet MS" w:eastAsia="Trebuchet MS" w:hAnsi="Trebuchet MS"/>
                <w:sz w:val="19"/>
                <w:szCs w:val="19"/>
                <w:color w:val="4C4C4C"/>
                <w:vertAlign w:val="superscript"/>
              </w:rPr>
              <w:t>(2)</w:t>
            </w:r>
          </w:p>
        </w:tc>
        <w:tc>
          <w:tcPr>
            <w:tcW w:w="78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1.18</w:t>
            </w:r>
          </w:p>
        </w:tc>
        <w:tc>
          <w:tcPr>
            <w:tcW w:w="90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6/9/2035</w:t>
            </w:r>
          </w:p>
        </w:tc>
        <w:tc>
          <w:tcPr>
            <w:tcW w:w="980" w:type="dxa"/>
            <w:vAlign w:val="bottom"/>
            <w:shd w:val="clear" w:color="auto" w:fill="E1E7EF"/>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shd w:val="clear" w:color="auto" w:fill="E1E7EF"/>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03"/>
        </w:trPr>
        <w:tc>
          <w:tcPr>
            <w:tcW w:w="1560" w:type="dxa"/>
            <w:vAlign w:val="bottom"/>
            <w:shd w:val="clear" w:color="auto" w:fill="E1E7EF"/>
          </w:tcPr>
          <w:p>
            <w:pPr>
              <w:spacing w:after="0"/>
              <w:rPr>
                <w:sz w:val="17"/>
                <w:szCs w:val="17"/>
                <w:color w:val="auto"/>
              </w:rPr>
            </w:pPr>
          </w:p>
        </w:tc>
        <w:tc>
          <w:tcPr>
            <w:tcW w:w="820" w:type="dxa"/>
            <w:vAlign w:val="bottom"/>
            <w:gridSpan w:val="2"/>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5/22/2024</w:t>
            </w:r>
          </w:p>
        </w:tc>
        <w:tc>
          <w:tcPr>
            <w:tcW w:w="1240" w:type="dxa"/>
            <w:vAlign w:val="bottom"/>
            <w:shd w:val="clear" w:color="auto" w:fill="E1E7EF"/>
          </w:tcPr>
          <w:p>
            <w:pPr>
              <w:jc w:val="right"/>
              <w:ind w:right="121"/>
              <w:spacing w:after="0"/>
              <w:rPr>
                <w:sz w:val="20"/>
                <w:szCs w:val="20"/>
                <w:color w:val="auto"/>
              </w:rPr>
            </w:pPr>
            <w:r>
              <w:rPr>
                <w:rFonts w:ascii="Trebuchet MS" w:cs="Trebuchet MS" w:eastAsia="Trebuchet MS" w:hAnsi="Trebuchet MS"/>
                <w:sz w:val="16"/>
                <w:szCs w:val="16"/>
                <w:color w:val="4C4C4C"/>
              </w:rPr>
              <w:t>135,166</w:t>
            </w:r>
          </w:p>
        </w:tc>
        <w:tc>
          <w:tcPr>
            <w:tcW w:w="1100" w:type="dxa"/>
            <w:vAlign w:val="bottom"/>
            <w:shd w:val="clear" w:color="auto" w:fill="E1E7EF"/>
          </w:tcPr>
          <w:p>
            <w:pPr>
              <w:jc w:val="right"/>
              <w:ind w:right="41"/>
              <w:spacing w:after="0" w:line="203" w:lineRule="exact"/>
              <w:rPr>
                <w:sz w:val="20"/>
                <w:szCs w:val="20"/>
                <w:color w:val="auto"/>
              </w:rPr>
            </w:pPr>
            <w:r>
              <w:rPr>
                <w:rFonts w:ascii="Trebuchet MS" w:cs="Trebuchet MS" w:eastAsia="Trebuchet MS" w:hAnsi="Trebuchet MS"/>
                <w:sz w:val="16"/>
                <w:szCs w:val="16"/>
                <w:color w:val="4C4C4C"/>
              </w:rPr>
              <w:t>270,334</w:t>
            </w:r>
            <w:r>
              <w:rPr>
                <w:rFonts w:ascii="Trebuchet MS" w:cs="Trebuchet MS" w:eastAsia="Trebuchet MS" w:hAnsi="Trebuchet MS"/>
                <w:sz w:val="19"/>
                <w:szCs w:val="19"/>
                <w:color w:val="4C4C4C"/>
                <w:vertAlign w:val="superscript"/>
              </w:rPr>
              <w:t>(3)</w:t>
            </w:r>
          </w:p>
        </w:tc>
        <w:tc>
          <w:tcPr>
            <w:tcW w:w="78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0.71</w:t>
            </w:r>
          </w:p>
        </w:tc>
        <w:tc>
          <w:tcPr>
            <w:tcW w:w="90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5/21/2034</w:t>
            </w:r>
          </w:p>
        </w:tc>
        <w:tc>
          <w:tcPr>
            <w:tcW w:w="980" w:type="dxa"/>
            <w:vAlign w:val="bottom"/>
            <w:shd w:val="clear" w:color="auto" w:fill="E1E7EF"/>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shd w:val="clear" w:color="auto" w:fill="E1E7EF"/>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28"/>
        </w:trPr>
        <w:tc>
          <w:tcPr>
            <w:tcW w:w="1560" w:type="dxa"/>
            <w:vAlign w:val="bottom"/>
            <w:shd w:val="clear" w:color="auto" w:fill="E1E7EF"/>
          </w:tcPr>
          <w:p>
            <w:pPr>
              <w:spacing w:after="0"/>
              <w:rPr>
                <w:sz w:val="19"/>
                <w:szCs w:val="19"/>
                <w:color w:val="auto"/>
              </w:rPr>
            </w:pPr>
          </w:p>
        </w:tc>
        <w:tc>
          <w:tcPr>
            <w:tcW w:w="820" w:type="dxa"/>
            <w:vAlign w:val="bottom"/>
            <w:gridSpan w:val="2"/>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8/3/2023</w:t>
            </w:r>
          </w:p>
        </w:tc>
        <w:tc>
          <w:tcPr>
            <w:tcW w:w="1240" w:type="dxa"/>
            <w:vAlign w:val="bottom"/>
            <w:shd w:val="clear" w:color="auto" w:fill="E1E7EF"/>
          </w:tcPr>
          <w:p>
            <w:pPr>
              <w:jc w:val="right"/>
              <w:ind w:right="121"/>
              <w:spacing w:after="0"/>
              <w:rPr>
                <w:sz w:val="20"/>
                <w:szCs w:val="20"/>
                <w:color w:val="auto"/>
              </w:rPr>
            </w:pPr>
            <w:r>
              <w:rPr>
                <w:rFonts w:ascii="Trebuchet MS" w:cs="Trebuchet MS" w:eastAsia="Trebuchet MS" w:hAnsi="Trebuchet MS"/>
                <w:sz w:val="16"/>
                <w:szCs w:val="16"/>
                <w:color w:val="4C4C4C"/>
              </w:rPr>
              <w:t>138,148</w:t>
            </w:r>
          </w:p>
        </w:tc>
        <w:tc>
          <w:tcPr>
            <w:tcW w:w="1100" w:type="dxa"/>
            <w:vAlign w:val="bottom"/>
            <w:shd w:val="clear" w:color="auto" w:fill="E1E7EF"/>
          </w:tcPr>
          <w:p>
            <w:pPr>
              <w:jc w:val="right"/>
              <w:ind w:right="41"/>
              <w:spacing w:after="0"/>
              <w:rPr>
                <w:sz w:val="20"/>
                <w:szCs w:val="20"/>
                <w:color w:val="auto"/>
              </w:rPr>
            </w:pPr>
            <w:r>
              <w:rPr>
                <w:rFonts w:ascii="Trebuchet MS" w:cs="Trebuchet MS" w:eastAsia="Trebuchet MS" w:hAnsi="Trebuchet MS"/>
                <w:sz w:val="16"/>
                <w:szCs w:val="16"/>
                <w:color w:val="4C4C4C"/>
              </w:rPr>
              <w:t>69,074</w:t>
            </w:r>
            <w:r>
              <w:rPr>
                <w:rFonts w:ascii="Trebuchet MS" w:cs="Trebuchet MS" w:eastAsia="Trebuchet MS" w:hAnsi="Trebuchet MS"/>
                <w:sz w:val="19"/>
                <w:szCs w:val="19"/>
                <w:color w:val="4C4C4C"/>
                <w:vertAlign w:val="superscript"/>
              </w:rPr>
              <w:t>(4)</w:t>
            </w:r>
          </w:p>
        </w:tc>
        <w:tc>
          <w:tcPr>
            <w:tcW w:w="78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1.75</w:t>
            </w:r>
          </w:p>
        </w:tc>
        <w:tc>
          <w:tcPr>
            <w:tcW w:w="90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8/3/2033</w:t>
            </w:r>
          </w:p>
        </w:tc>
        <w:tc>
          <w:tcPr>
            <w:tcW w:w="980" w:type="dxa"/>
            <w:vAlign w:val="bottom"/>
            <w:shd w:val="clear" w:color="auto" w:fill="E1E7EF"/>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shd w:val="clear" w:color="auto" w:fill="E1E7EF"/>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03"/>
        </w:trPr>
        <w:tc>
          <w:tcPr>
            <w:tcW w:w="1560" w:type="dxa"/>
            <w:vAlign w:val="bottom"/>
            <w:shd w:val="clear" w:color="auto" w:fill="E1E7EF"/>
          </w:tcPr>
          <w:p>
            <w:pPr>
              <w:spacing w:after="0"/>
              <w:rPr>
                <w:sz w:val="17"/>
                <w:szCs w:val="17"/>
                <w:color w:val="auto"/>
              </w:rPr>
            </w:pPr>
          </w:p>
        </w:tc>
        <w:tc>
          <w:tcPr>
            <w:tcW w:w="820" w:type="dxa"/>
            <w:vAlign w:val="bottom"/>
            <w:gridSpan w:val="2"/>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7/26/2022</w:t>
            </w:r>
          </w:p>
        </w:tc>
        <w:tc>
          <w:tcPr>
            <w:tcW w:w="1240" w:type="dxa"/>
            <w:vAlign w:val="bottom"/>
            <w:shd w:val="clear" w:color="auto" w:fill="E1E7EF"/>
          </w:tcPr>
          <w:p>
            <w:pPr>
              <w:jc w:val="right"/>
              <w:ind w:right="121"/>
              <w:spacing w:after="0"/>
              <w:rPr>
                <w:sz w:val="20"/>
                <w:szCs w:val="20"/>
                <w:color w:val="auto"/>
              </w:rPr>
            </w:pPr>
            <w:r>
              <w:rPr>
                <w:rFonts w:ascii="Trebuchet MS" w:cs="Trebuchet MS" w:eastAsia="Trebuchet MS" w:hAnsi="Trebuchet MS"/>
                <w:sz w:val="16"/>
                <w:szCs w:val="16"/>
                <w:color w:val="4C4C4C"/>
              </w:rPr>
              <w:t>106,617</w:t>
            </w:r>
          </w:p>
        </w:tc>
        <w:tc>
          <w:tcPr>
            <w:tcW w:w="1100" w:type="dxa"/>
            <w:vAlign w:val="bottom"/>
            <w:shd w:val="clear" w:color="auto" w:fill="E1E7EF"/>
          </w:tcPr>
          <w:p>
            <w:pPr>
              <w:jc w:val="right"/>
              <w:ind w:right="161"/>
              <w:spacing w:after="0"/>
              <w:rPr>
                <w:sz w:val="20"/>
                <w:szCs w:val="20"/>
                <w:color w:val="auto"/>
              </w:rPr>
            </w:pPr>
            <w:r>
              <w:rPr>
                <w:rFonts w:ascii="Trebuchet MS" w:cs="Trebuchet MS" w:eastAsia="Trebuchet MS" w:hAnsi="Trebuchet MS"/>
                <w:sz w:val="16"/>
                <w:szCs w:val="16"/>
                <w:color w:val="4C4C4C"/>
              </w:rPr>
              <w:t>—</w:t>
            </w:r>
          </w:p>
        </w:tc>
        <w:tc>
          <w:tcPr>
            <w:tcW w:w="78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3.92</w:t>
            </w:r>
          </w:p>
        </w:tc>
        <w:tc>
          <w:tcPr>
            <w:tcW w:w="90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7/26/2032</w:t>
            </w:r>
          </w:p>
        </w:tc>
        <w:tc>
          <w:tcPr>
            <w:tcW w:w="980" w:type="dxa"/>
            <w:vAlign w:val="bottom"/>
            <w:shd w:val="clear" w:color="auto" w:fill="E1E7EF"/>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shd w:val="clear" w:color="auto" w:fill="E1E7EF"/>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230"/>
        </w:trPr>
        <w:tc>
          <w:tcPr>
            <w:tcW w:w="1560" w:type="dxa"/>
            <w:vAlign w:val="bottom"/>
            <w:shd w:val="clear" w:color="auto" w:fill="E1E7EF"/>
          </w:tcPr>
          <w:p>
            <w:pPr>
              <w:spacing w:after="0"/>
              <w:rPr>
                <w:sz w:val="19"/>
                <w:szCs w:val="19"/>
                <w:color w:val="auto"/>
              </w:rPr>
            </w:pPr>
          </w:p>
        </w:tc>
        <w:tc>
          <w:tcPr>
            <w:tcW w:w="820" w:type="dxa"/>
            <w:vAlign w:val="bottom"/>
            <w:gridSpan w:val="2"/>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8/20/2021</w:t>
            </w:r>
          </w:p>
        </w:tc>
        <w:tc>
          <w:tcPr>
            <w:tcW w:w="1240" w:type="dxa"/>
            <w:vAlign w:val="bottom"/>
            <w:shd w:val="clear" w:color="auto" w:fill="E1E7EF"/>
          </w:tcPr>
          <w:p>
            <w:pPr>
              <w:jc w:val="right"/>
              <w:ind w:right="121"/>
              <w:spacing w:after="0"/>
              <w:rPr>
                <w:sz w:val="20"/>
                <w:szCs w:val="20"/>
                <w:color w:val="auto"/>
              </w:rPr>
            </w:pPr>
            <w:r>
              <w:rPr>
                <w:rFonts w:ascii="Trebuchet MS" w:cs="Trebuchet MS" w:eastAsia="Trebuchet MS" w:hAnsi="Trebuchet MS"/>
                <w:sz w:val="16"/>
                <w:szCs w:val="16"/>
                <w:color w:val="4C4C4C"/>
              </w:rPr>
              <w:t>392,175</w:t>
            </w:r>
          </w:p>
        </w:tc>
        <w:tc>
          <w:tcPr>
            <w:tcW w:w="1100" w:type="dxa"/>
            <w:vAlign w:val="bottom"/>
            <w:shd w:val="clear" w:color="auto" w:fill="E1E7EF"/>
          </w:tcPr>
          <w:p>
            <w:pPr>
              <w:jc w:val="right"/>
              <w:ind w:right="161"/>
              <w:spacing w:after="0"/>
              <w:rPr>
                <w:sz w:val="20"/>
                <w:szCs w:val="20"/>
                <w:color w:val="auto"/>
              </w:rPr>
            </w:pPr>
            <w:r>
              <w:rPr>
                <w:rFonts w:ascii="Trebuchet MS" w:cs="Trebuchet MS" w:eastAsia="Trebuchet MS" w:hAnsi="Trebuchet MS"/>
                <w:sz w:val="16"/>
                <w:szCs w:val="16"/>
                <w:color w:val="4C4C4C"/>
              </w:rPr>
              <w:t>—</w:t>
            </w:r>
          </w:p>
        </w:tc>
        <w:tc>
          <w:tcPr>
            <w:tcW w:w="78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4.98</w:t>
            </w:r>
          </w:p>
        </w:tc>
        <w:tc>
          <w:tcPr>
            <w:tcW w:w="900" w:type="dxa"/>
            <w:vAlign w:val="bottom"/>
            <w:shd w:val="clear" w:color="auto" w:fill="E1E7EF"/>
          </w:tcPr>
          <w:p>
            <w:pPr>
              <w:jc w:val="right"/>
              <w:spacing w:after="0"/>
              <w:rPr>
                <w:sz w:val="20"/>
                <w:szCs w:val="20"/>
                <w:color w:val="auto"/>
              </w:rPr>
            </w:pPr>
            <w:r>
              <w:rPr>
                <w:rFonts w:ascii="Trebuchet MS" w:cs="Trebuchet MS" w:eastAsia="Trebuchet MS" w:hAnsi="Trebuchet MS"/>
                <w:sz w:val="16"/>
                <w:szCs w:val="16"/>
                <w:color w:val="4C4C4C"/>
              </w:rPr>
              <w:t>8/20/2031</w:t>
            </w:r>
          </w:p>
        </w:tc>
        <w:tc>
          <w:tcPr>
            <w:tcW w:w="980" w:type="dxa"/>
            <w:vAlign w:val="bottom"/>
            <w:shd w:val="clear" w:color="auto" w:fill="E1E7EF"/>
          </w:tcPr>
          <w:p>
            <w:pPr>
              <w:jc w:val="right"/>
              <w:ind w:right="61"/>
              <w:spacing w:after="0"/>
              <w:rPr>
                <w:sz w:val="20"/>
                <w:szCs w:val="20"/>
                <w:color w:val="auto"/>
              </w:rPr>
            </w:pPr>
            <w:r>
              <w:rPr>
                <w:rFonts w:ascii="Trebuchet MS" w:cs="Trebuchet MS" w:eastAsia="Trebuchet MS" w:hAnsi="Trebuchet MS"/>
                <w:sz w:val="16"/>
                <w:szCs w:val="16"/>
                <w:color w:val="4C4C4C"/>
              </w:rPr>
              <w:t>—</w:t>
            </w:r>
          </w:p>
        </w:tc>
        <w:tc>
          <w:tcPr>
            <w:tcW w:w="820" w:type="dxa"/>
            <w:vAlign w:val="bottom"/>
            <w:shd w:val="clear" w:color="auto" w:fill="E1E7EF"/>
          </w:tcPr>
          <w:p>
            <w:pPr>
              <w:jc w:val="right"/>
              <w:ind w:right="1"/>
              <w:spacing w:after="0"/>
              <w:rPr>
                <w:sz w:val="20"/>
                <w:szCs w:val="20"/>
                <w:color w:val="auto"/>
              </w:rPr>
            </w:pPr>
            <w:r>
              <w:rPr>
                <w:rFonts w:ascii="Trebuchet MS" w:cs="Trebuchet MS" w:eastAsia="Trebuchet MS" w:hAnsi="Trebuchet MS"/>
                <w:sz w:val="16"/>
                <w:szCs w:val="16"/>
                <w:color w:val="4C4C4C"/>
              </w:rPr>
              <w:t>—</w:t>
            </w:r>
          </w:p>
        </w:tc>
      </w:tr>
      <w:tr>
        <w:trPr>
          <w:trHeight w:val="189"/>
        </w:trPr>
        <w:tc>
          <w:tcPr>
            <w:tcW w:w="1560" w:type="dxa"/>
            <w:vAlign w:val="bottom"/>
            <w:tcBorders>
              <w:bottom w:val="single" w:sz="8" w:color="4C4C4C"/>
            </w:tcBorders>
          </w:tcPr>
          <w:p>
            <w:pPr>
              <w:spacing w:after="0"/>
              <w:rPr>
                <w:sz w:val="16"/>
                <w:szCs w:val="16"/>
                <w:color w:val="auto"/>
              </w:rPr>
            </w:pPr>
          </w:p>
        </w:tc>
        <w:tc>
          <w:tcPr>
            <w:tcW w:w="700" w:type="dxa"/>
            <w:vAlign w:val="bottom"/>
            <w:tcBorders>
              <w:bottom w:val="single" w:sz="8" w:color="4C4C4C"/>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169" w:lineRule="exact"/>
        <w:rPr>
          <w:sz w:val="20"/>
          <w:szCs w:val="20"/>
          <w:color w:val="auto"/>
        </w:rPr>
      </w:pPr>
    </w:p>
    <w:p>
      <w:pPr>
        <w:ind w:left="1620" w:right="799" w:hanging="360"/>
        <w:spacing w:after="0" w:line="204" w:lineRule="auto"/>
        <w:tabs>
          <w:tab w:leader="none" w:pos="1620" w:val="left"/>
        </w:tabs>
        <w:numPr>
          <w:ilvl w:val="0"/>
          <w:numId w:val="71"/>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Based on the closing price of a share of the Company’s common stock on the Nasdaq Capital Market of  $2.00 on December 31, 2025.</w:t>
      </w:r>
    </w:p>
    <w:p>
      <w:pPr>
        <w:spacing w:after="0" w:line="97" w:lineRule="exact"/>
        <w:rPr>
          <w:rFonts w:ascii="Trebuchet MS" w:cs="Trebuchet MS" w:eastAsia="Trebuchet MS" w:hAnsi="Trebuchet MS"/>
          <w:sz w:val="27"/>
          <w:szCs w:val="27"/>
          <w:color w:val="4C4C4C"/>
          <w:vertAlign w:val="superscript"/>
        </w:rPr>
      </w:pPr>
    </w:p>
    <w:p>
      <w:pPr>
        <w:ind w:left="1620" w:right="499" w:hanging="360"/>
        <w:spacing w:after="0" w:line="198" w:lineRule="auto"/>
        <w:tabs>
          <w:tab w:leader="none" w:pos="1620" w:val="left"/>
        </w:tabs>
        <w:numPr>
          <w:ilvl w:val="0"/>
          <w:numId w:val="71"/>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Assuming continued employment, the stock options will vest in increments of 33.33% on June 9, 2026, June 9, 2027 and June 9, 2028.</w:t>
      </w:r>
    </w:p>
    <w:p>
      <w:pPr>
        <w:spacing w:after="0" w:line="85" w:lineRule="exact"/>
        <w:rPr>
          <w:rFonts w:ascii="Trebuchet MS" w:cs="Trebuchet MS" w:eastAsia="Trebuchet MS" w:hAnsi="Trebuchet MS"/>
          <w:sz w:val="27"/>
          <w:szCs w:val="27"/>
          <w:color w:val="4C4C4C"/>
          <w:vertAlign w:val="superscript"/>
        </w:rPr>
      </w:pPr>
    </w:p>
    <w:p>
      <w:pPr>
        <w:ind w:left="1620" w:right="459" w:hanging="360"/>
        <w:spacing w:after="0" w:line="215" w:lineRule="auto"/>
        <w:tabs>
          <w:tab w:leader="none" w:pos="1620" w:val="left"/>
        </w:tabs>
        <w:numPr>
          <w:ilvl w:val="0"/>
          <w:numId w:val="71"/>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Assuming continued employment, the stock options will vest in increments of 33.33% on May 22, 2025, May 22, 2026 and May 22, 2027.</w:t>
      </w:r>
    </w:p>
    <w:p>
      <w:pPr>
        <w:spacing w:after="0" w:line="99" w:lineRule="exact"/>
        <w:rPr>
          <w:rFonts w:ascii="Trebuchet MS" w:cs="Trebuchet MS" w:eastAsia="Trebuchet MS" w:hAnsi="Trebuchet MS"/>
          <w:sz w:val="27"/>
          <w:szCs w:val="27"/>
          <w:color w:val="4C4C4C"/>
          <w:vertAlign w:val="superscript"/>
        </w:rPr>
      </w:pPr>
    </w:p>
    <w:p>
      <w:pPr>
        <w:ind w:left="1620" w:right="1139" w:hanging="360"/>
        <w:spacing w:after="0" w:line="198" w:lineRule="auto"/>
        <w:tabs>
          <w:tab w:leader="none" w:pos="1620" w:val="left"/>
        </w:tabs>
        <w:numPr>
          <w:ilvl w:val="0"/>
          <w:numId w:val="71"/>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Assuming continued employment, the stock options will vest in increments of 33.33% on August 3, 2024, August 3, 2025 and August 3, 2026.</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COMPENSATION TABLES</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620" w:right="419" w:hanging="360"/>
        <w:spacing w:after="0" w:line="228" w:lineRule="auto"/>
        <w:tabs>
          <w:tab w:leader="none" w:pos="1620" w:val="left"/>
        </w:tabs>
        <w:numPr>
          <w:ilvl w:val="0"/>
          <w:numId w:val="72"/>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Assuming continued employment, the restricted stock awards will vest as follows: 398,333 on May 22, 2026; 157,563 on June 9, 2026; 247,642 on August 3, 2026; 3,333 on September 1, 2026; 398,334 on May 22, 2027; 157,563 on June 9, 2027, 3,334 on September 1, 2027; and 157,563 on June 9, 2028.</w:t>
      </w:r>
    </w:p>
    <w:p>
      <w:pPr>
        <w:spacing w:after="0" w:line="70" w:lineRule="exact"/>
        <w:rPr>
          <w:rFonts w:ascii="Trebuchet MS" w:cs="Trebuchet MS" w:eastAsia="Trebuchet MS" w:hAnsi="Trebuchet MS"/>
          <w:sz w:val="27"/>
          <w:szCs w:val="27"/>
          <w:color w:val="4C4C4C"/>
          <w:vertAlign w:val="superscript"/>
        </w:rPr>
      </w:pPr>
    </w:p>
    <w:p>
      <w:pPr>
        <w:ind w:left="1620" w:right="799" w:hanging="360"/>
        <w:spacing w:after="0" w:line="217" w:lineRule="auto"/>
        <w:tabs>
          <w:tab w:leader="none" w:pos="1620" w:val="left"/>
        </w:tabs>
        <w:numPr>
          <w:ilvl w:val="0"/>
          <w:numId w:val="72"/>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Assuming continued employment, the restricted stock awards will vest as follows: 31,958 on May 22, 2026; 63,028 on June 9, 2026; 18,223 on August 3, 2026; 31,957 on May 22, 2027; 63,028 on June 9, 2027; and 63,028 on June 9, 2028.</w:t>
      </w:r>
    </w:p>
    <w:p>
      <w:pPr>
        <w:spacing w:after="0" w:line="84" w:lineRule="exact"/>
        <w:rPr>
          <w:rFonts w:ascii="Trebuchet MS" w:cs="Trebuchet MS" w:eastAsia="Trebuchet MS" w:hAnsi="Trebuchet MS"/>
          <w:sz w:val="27"/>
          <w:szCs w:val="27"/>
          <w:color w:val="4C4C4C"/>
          <w:vertAlign w:val="superscript"/>
        </w:rPr>
      </w:pPr>
    </w:p>
    <w:p>
      <w:pPr>
        <w:jc w:val="both"/>
        <w:ind w:left="1620" w:right="599" w:hanging="360"/>
        <w:spacing w:after="0" w:line="228" w:lineRule="auto"/>
        <w:tabs>
          <w:tab w:leader="none" w:pos="1620" w:val="left"/>
        </w:tabs>
        <w:numPr>
          <w:ilvl w:val="0"/>
          <w:numId w:val="72"/>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Assuming continued employment, the restricted stock awards will vest as follows: 183,333 on May 22, 2026; 70,028 on June 9, 2026; 88,740 on August 3, 2026; 3,333 on September 1, 2026; 183,334 on May 22, 2027; 70,028 on June 9, 2027; 3,334 on September 1, 2027; and 70,028 on June 9, 2028.</w:t>
      </w:r>
    </w:p>
    <w:p>
      <w:pPr>
        <w:spacing w:after="0" w:line="70" w:lineRule="exact"/>
        <w:rPr>
          <w:rFonts w:ascii="Trebuchet MS" w:cs="Trebuchet MS" w:eastAsia="Trebuchet MS" w:hAnsi="Trebuchet MS"/>
          <w:sz w:val="27"/>
          <w:szCs w:val="27"/>
          <w:color w:val="4C4C4C"/>
          <w:vertAlign w:val="superscript"/>
        </w:rPr>
      </w:pPr>
    </w:p>
    <w:p>
      <w:pPr>
        <w:jc w:val="both"/>
        <w:ind w:left="1620" w:right="599" w:hanging="360"/>
        <w:spacing w:after="0" w:line="228" w:lineRule="auto"/>
        <w:tabs>
          <w:tab w:leader="none" w:pos="1620" w:val="left"/>
        </w:tabs>
        <w:numPr>
          <w:ilvl w:val="0"/>
          <w:numId w:val="72"/>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Assuming continued employment, the restricted stock awards will vest as follows: 158,333 on May 22, 2026; 70,028 on June 9, 2026; 69,074 on August 3, 2026; 3,333 on September 1, 2026; 158,334 on May 22, 2027; 70,028 on June 9, 2027; 3,334 on September 1, 2027; and 70,028 on June 9, 2028.</w:t>
      </w:r>
    </w:p>
    <w:p>
      <w:pPr>
        <w:spacing w:after="0" w:line="70" w:lineRule="exact"/>
        <w:rPr>
          <w:rFonts w:ascii="Trebuchet MS" w:cs="Trebuchet MS" w:eastAsia="Trebuchet MS" w:hAnsi="Trebuchet MS"/>
          <w:sz w:val="27"/>
          <w:szCs w:val="27"/>
          <w:color w:val="4C4C4C"/>
          <w:vertAlign w:val="superscript"/>
        </w:rPr>
      </w:pPr>
    </w:p>
    <w:p>
      <w:pPr>
        <w:jc w:val="both"/>
        <w:ind w:left="1620" w:right="759" w:hanging="360"/>
        <w:spacing w:after="0" w:line="217" w:lineRule="auto"/>
        <w:tabs>
          <w:tab w:leader="none" w:pos="1620" w:val="left"/>
        </w:tabs>
        <w:numPr>
          <w:ilvl w:val="0"/>
          <w:numId w:val="72"/>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Assuming continued employment, the restricted stock awards will vest as follows: 67,500 on May 22, 2026; 18,576 on June 9, 2026; 67,500 on May 22, 2027; 18,576 on June 9, 2027; and 18,576 on June 9, 2028.</w:t>
      </w:r>
    </w:p>
    <w:p>
      <w:pPr>
        <w:spacing w:after="0" w:line="84" w:lineRule="exact"/>
        <w:rPr>
          <w:rFonts w:ascii="Trebuchet MS" w:cs="Trebuchet MS" w:eastAsia="Trebuchet MS" w:hAnsi="Trebuchet MS"/>
          <w:sz w:val="27"/>
          <w:szCs w:val="27"/>
          <w:color w:val="4C4C4C"/>
          <w:vertAlign w:val="superscript"/>
        </w:rPr>
      </w:pPr>
    </w:p>
    <w:p>
      <w:pPr>
        <w:ind w:left="1620" w:right="699" w:hanging="360"/>
        <w:spacing w:after="0" w:line="217" w:lineRule="auto"/>
        <w:tabs>
          <w:tab w:leader="none" w:pos="1620" w:val="left"/>
        </w:tabs>
        <w:numPr>
          <w:ilvl w:val="0"/>
          <w:numId w:val="72"/>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Assuming continued employment, the restricted stock awards will vest as follows: 135,167 on May 22, 2026; 20,759 on June 9, 2026; 88,740 on August 3, 2026; 135,167 on May 22, 2027; 20,759 on June 9, 2027; and 20,759 on June 9, 2028.</w:t>
      </w:r>
    </w:p>
    <w:p>
      <w:pPr>
        <w:spacing w:after="0" w:line="71" w:lineRule="exact"/>
        <w:rPr>
          <w:rFonts w:ascii="Trebuchet MS" w:cs="Trebuchet MS" w:eastAsia="Trebuchet MS" w:hAnsi="Trebuchet MS"/>
          <w:sz w:val="27"/>
          <w:szCs w:val="27"/>
          <w:color w:val="4C4C4C"/>
          <w:vertAlign w:val="superscript"/>
        </w:rPr>
      </w:pPr>
    </w:p>
    <w:p>
      <w:pPr>
        <w:ind w:left="1620" w:right="659" w:hanging="360"/>
        <w:spacing w:after="0" w:line="198" w:lineRule="auto"/>
        <w:tabs>
          <w:tab w:leader="none" w:pos="1620" w:val="left"/>
        </w:tabs>
        <w:numPr>
          <w:ilvl w:val="0"/>
          <w:numId w:val="72"/>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Represents a stock appreciation right (SAR) award that may be settled upon vesting in cash or shares of common stock, in the Company’s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780" w:hanging="520"/>
        <w:spacing w:after="0"/>
        <w:tabs>
          <w:tab w:leader="none" w:pos="1780" w:val="left"/>
        </w:tabs>
        <w:numPr>
          <w:ilvl w:val="0"/>
          <w:numId w:val="73"/>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308" w:lineRule="exact"/>
        <w:rPr>
          <w:sz w:val="20"/>
          <w:szCs w:val="20"/>
          <w:color w:val="auto"/>
        </w:rPr>
      </w:pPr>
    </w:p>
    <w:p>
      <w:pPr>
        <w:ind w:left="7920"/>
        <w:spacing w:after="0"/>
        <w:rPr>
          <w:sz w:val="20"/>
          <w:szCs w:val="20"/>
          <w:color w:val="auto"/>
        </w:rPr>
      </w:pPr>
      <w:r>
        <w:rPr>
          <w:rFonts w:ascii="Arial" w:cs="Arial" w:eastAsia="Arial" w:hAnsi="Arial"/>
          <w:sz w:val="12"/>
          <w:szCs w:val="12"/>
          <w:color w:val="346094"/>
        </w:rPr>
        <w:t>COMPENSATION TABLES</w:t>
      </w:r>
    </w:p>
    <w:p>
      <w:pPr>
        <w:spacing w:after="0" w:line="33"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87"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Option Exercises and Stock Vested Table for 2025</w:t>
      </w:r>
    </w:p>
    <w:p>
      <w:pPr>
        <w:spacing w:after="0" w:line="205" w:lineRule="exact"/>
        <w:rPr>
          <w:sz w:val="20"/>
          <w:szCs w:val="20"/>
          <w:color w:val="auto"/>
        </w:rPr>
      </w:pPr>
    </w:p>
    <w:p>
      <w:pPr>
        <w:ind w:left="1260" w:right="579"/>
        <w:spacing w:after="0" w:line="259" w:lineRule="auto"/>
        <w:rPr>
          <w:sz w:val="20"/>
          <w:szCs w:val="20"/>
          <w:color w:val="auto"/>
        </w:rPr>
      </w:pPr>
      <w:r>
        <w:rPr>
          <w:rFonts w:ascii="Arial" w:cs="Arial" w:eastAsia="Arial" w:hAnsi="Arial"/>
          <w:sz w:val="18"/>
          <w:szCs w:val="18"/>
          <w:color w:val="4C4C4C"/>
        </w:rPr>
        <w:t>The following table summarizes certain information regarding exercise of stock options and vesting of restricted stock during 2025 for each of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123825</wp:posOffset>
            </wp:positionV>
            <wp:extent cx="521208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75" w:lineRule="exact"/>
        <w:rPr>
          <w:sz w:val="20"/>
          <w:szCs w:val="20"/>
          <w:color w:val="auto"/>
        </w:rPr>
      </w:pPr>
    </w:p>
    <w:tbl>
      <w:tblPr>
        <w:tblLayout w:type="fixed"/>
        <w:tblInd w:w="1270" w:type="dxa"/>
        <w:tblCellMar>
          <w:top w:w="0" w:type="dxa"/>
          <w:left w:w="0" w:type="dxa"/>
          <w:bottom w:w="0" w:type="dxa"/>
          <w:right w:w="0" w:type="dxa"/>
        </w:tblCellMar>
      </w:tblPr>
      <w:tr>
        <w:trPr>
          <w:trHeight w:val="257"/>
        </w:trPr>
        <w:tc>
          <w:tcPr>
            <w:tcW w:w="3000" w:type="dxa"/>
            <w:vAlign w:val="bottom"/>
            <w:tcBorders>
              <w:left w:val="single" w:sz="8" w:color="346094"/>
            </w:tcBorders>
          </w:tcPr>
          <w:p>
            <w:pPr>
              <w:spacing w:after="0"/>
              <w:rPr>
                <w:sz w:val="22"/>
                <w:szCs w:val="22"/>
                <w:color w:val="auto"/>
              </w:rPr>
            </w:pPr>
          </w:p>
        </w:tc>
        <w:tc>
          <w:tcPr>
            <w:tcW w:w="2780" w:type="dxa"/>
            <w:vAlign w:val="bottom"/>
            <w:gridSpan w:val="3"/>
          </w:tcPr>
          <w:p>
            <w:pPr>
              <w:ind w:left="1320"/>
              <w:spacing w:after="0"/>
              <w:rPr>
                <w:sz w:val="20"/>
                <w:szCs w:val="20"/>
                <w:color w:val="auto"/>
              </w:rPr>
            </w:pPr>
            <w:r>
              <w:rPr>
                <w:rFonts w:ascii="Arial" w:cs="Arial" w:eastAsia="Arial" w:hAnsi="Arial"/>
                <w:sz w:val="16"/>
                <w:szCs w:val="16"/>
                <w:b w:val="1"/>
                <w:bCs w:val="1"/>
                <w:color w:val="FFFFFF"/>
              </w:rPr>
              <w:t>Option awards</w:t>
            </w: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6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FFFFFF"/>
              </w:rPr>
              <w:t>Stock awards</w:t>
            </w:r>
          </w:p>
        </w:tc>
        <w:tc>
          <w:tcPr>
            <w:tcW w:w="60" w:type="dxa"/>
            <w:vAlign w:val="bottom"/>
          </w:tcPr>
          <w:p>
            <w:pPr>
              <w:ind w:left="2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20"/>
        </w:trPr>
        <w:tc>
          <w:tcPr>
            <w:tcW w:w="3000" w:type="dxa"/>
            <w:vAlign w:val="bottom"/>
            <w:tcBorders>
              <w:left w:val="single" w:sz="8" w:color="346094"/>
            </w:tcBorders>
          </w:tcPr>
          <w:p>
            <w:pPr>
              <w:spacing w:after="0"/>
              <w:rPr>
                <w:sz w:val="19"/>
                <w:szCs w:val="19"/>
                <w:color w:val="auto"/>
              </w:rPr>
            </w:pPr>
          </w:p>
        </w:tc>
        <w:tc>
          <w:tcPr>
            <w:tcW w:w="1900" w:type="dxa"/>
            <w:vAlign w:val="bottom"/>
            <w:gridSpan w:val="2"/>
          </w:tcPr>
          <w:p>
            <w:pPr>
              <w:jc w:val="center"/>
              <w:ind w:left="623"/>
              <w:spacing w:after="0"/>
              <w:rPr>
                <w:sz w:val="20"/>
                <w:szCs w:val="20"/>
                <w:color w:val="auto"/>
              </w:rPr>
            </w:pPr>
            <w:r>
              <w:rPr>
                <w:rFonts w:ascii="Arial" w:cs="Arial" w:eastAsia="Arial" w:hAnsi="Arial"/>
                <w:sz w:val="16"/>
                <w:szCs w:val="16"/>
                <w:b w:val="1"/>
                <w:bCs w:val="1"/>
                <w:color w:val="FFFFFF"/>
                <w:w w:val="99"/>
              </w:rPr>
              <w:t>Number of</w:t>
            </w:r>
          </w:p>
        </w:tc>
        <w:tc>
          <w:tcPr>
            <w:tcW w:w="880" w:type="dxa"/>
            <w:vAlign w:val="bottom"/>
            <w:vMerge w:val="restart"/>
          </w:tcPr>
          <w:p>
            <w:pPr>
              <w:jc w:val="center"/>
              <w:ind w:left="143"/>
              <w:spacing w:after="0"/>
              <w:rPr>
                <w:sz w:val="20"/>
                <w:szCs w:val="20"/>
                <w:color w:val="auto"/>
              </w:rPr>
            </w:pPr>
            <w:r>
              <w:rPr>
                <w:rFonts w:ascii="Arial" w:cs="Arial" w:eastAsia="Arial" w:hAnsi="Arial"/>
                <w:sz w:val="16"/>
                <w:szCs w:val="16"/>
                <w:b w:val="1"/>
                <w:bCs w:val="1"/>
                <w:color w:val="FFFFFF"/>
                <w:w w:val="98"/>
              </w:rPr>
              <w:t>Value</w:t>
            </w:r>
          </w:p>
        </w:tc>
        <w:tc>
          <w:tcPr>
            <w:tcW w:w="240" w:type="dxa"/>
            <w:vAlign w:val="bottom"/>
          </w:tcPr>
          <w:p>
            <w:pPr>
              <w:spacing w:after="0"/>
              <w:rPr>
                <w:sz w:val="19"/>
                <w:szCs w:val="19"/>
                <w:color w:val="auto"/>
              </w:rPr>
            </w:pPr>
          </w:p>
        </w:tc>
        <w:tc>
          <w:tcPr>
            <w:tcW w:w="11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FFFFFF"/>
              </w:rPr>
              <w:t>Number of</w:t>
            </w:r>
          </w:p>
        </w:tc>
        <w:tc>
          <w:tcPr>
            <w:tcW w:w="340" w:type="dxa"/>
            <w:vAlign w:val="bottom"/>
          </w:tcPr>
          <w:p>
            <w:pPr>
              <w:spacing w:after="0"/>
              <w:rPr>
                <w:sz w:val="19"/>
                <w:szCs w:val="19"/>
                <w:color w:val="auto"/>
              </w:rPr>
            </w:pPr>
          </w:p>
        </w:tc>
        <w:tc>
          <w:tcPr>
            <w:tcW w:w="68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FFFFFF"/>
                <w:w w:val="93"/>
              </w:rPr>
              <w:t>Value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Borders>
              <w:left w:val="single" w:sz="8" w:color="346094"/>
            </w:tcBorders>
          </w:tcPr>
          <w:p>
            <w:pPr>
              <w:spacing w:after="0"/>
              <w:rPr>
                <w:sz w:val="15"/>
                <w:szCs w:val="15"/>
                <w:color w:val="auto"/>
              </w:rPr>
            </w:pPr>
          </w:p>
        </w:tc>
        <w:tc>
          <w:tcPr>
            <w:tcW w:w="1640" w:type="dxa"/>
            <w:vAlign w:val="bottom"/>
          </w:tcPr>
          <w:p>
            <w:pPr>
              <w:jc w:val="center"/>
              <w:ind w:left="883"/>
              <w:spacing w:after="0" w:line="175" w:lineRule="exact"/>
              <w:rPr>
                <w:sz w:val="20"/>
                <w:szCs w:val="20"/>
                <w:color w:val="auto"/>
              </w:rPr>
            </w:pPr>
            <w:r>
              <w:rPr>
                <w:rFonts w:ascii="Arial" w:cs="Arial" w:eastAsia="Arial" w:hAnsi="Arial"/>
                <w:sz w:val="16"/>
                <w:szCs w:val="16"/>
                <w:b w:val="1"/>
                <w:bCs w:val="1"/>
                <w:color w:val="FFFFFF"/>
                <w:w w:val="92"/>
              </w:rPr>
              <w:t>shares</w:t>
            </w: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FFFFFF"/>
                <w:w w:val="92"/>
              </w:rPr>
              <w:t>shares</w:t>
            </w:r>
          </w:p>
        </w:tc>
        <w:tc>
          <w:tcPr>
            <w:tcW w:w="3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Borders>
              <w:left w:val="single" w:sz="8" w:color="346094"/>
            </w:tcBorders>
          </w:tcPr>
          <w:p>
            <w:pPr>
              <w:spacing w:after="0"/>
              <w:rPr>
                <w:sz w:val="15"/>
                <w:szCs w:val="15"/>
                <w:color w:val="auto"/>
              </w:rPr>
            </w:pPr>
          </w:p>
        </w:tc>
        <w:tc>
          <w:tcPr>
            <w:tcW w:w="1640" w:type="dxa"/>
            <w:vAlign w:val="bottom"/>
          </w:tcPr>
          <w:p>
            <w:pPr>
              <w:jc w:val="center"/>
              <w:ind w:left="903"/>
              <w:spacing w:after="0" w:line="175" w:lineRule="exact"/>
              <w:rPr>
                <w:sz w:val="20"/>
                <w:szCs w:val="20"/>
                <w:color w:val="auto"/>
              </w:rPr>
            </w:pPr>
            <w:r>
              <w:rPr>
                <w:rFonts w:ascii="Arial" w:cs="Arial" w:eastAsia="Arial" w:hAnsi="Arial"/>
                <w:sz w:val="16"/>
                <w:szCs w:val="16"/>
                <w:b w:val="1"/>
                <w:bCs w:val="1"/>
                <w:color w:val="FFFFFF"/>
                <w:w w:val="98"/>
              </w:rPr>
              <w:t>acquired</w:t>
            </w:r>
          </w:p>
        </w:tc>
        <w:tc>
          <w:tcPr>
            <w:tcW w:w="260" w:type="dxa"/>
            <w:vAlign w:val="bottom"/>
          </w:tcPr>
          <w:p>
            <w:pPr>
              <w:spacing w:after="0"/>
              <w:rPr>
                <w:sz w:val="15"/>
                <w:szCs w:val="15"/>
                <w:color w:val="auto"/>
              </w:rPr>
            </w:pPr>
          </w:p>
        </w:tc>
        <w:tc>
          <w:tcPr>
            <w:tcW w:w="11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FFFFFF"/>
              </w:rPr>
              <w:t>realized on</w:t>
            </w:r>
          </w:p>
        </w:tc>
        <w:tc>
          <w:tcPr>
            <w:tcW w:w="1120" w:type="dxa"/>
            <w:vAlign w:val="bottom"/>
            <w:gridSpan w:val="2"/>
          </w:tcPr>
          <w:p>
            <w:pPr>
              <w:jc w:val="right"/>
              <w:ind w:right="199"/>
              <w:spacing w:after="0" w:line="175" w:lineRule="exact"/>
              <w:rPr>
                <w:sz w:val="20"/>
                <w:szCs w:val="20"/>
                <w:color w:val="auto"/>
              </w:rPr>
            </w:pPr>
            <w:r>
              <w:rPr>
                <w:rFonts w:ascii="Arial" w:cs="Arial" w:eastAsia="Arial" w:hAnsi="Arial"/>
                <w:sz w:val="16"/>
                <w:szCs w:val="16"/>
                <w:b w:val="1"/>
                <w:bCs w:val="1"/>
                <w:color w:val="FFFFFF"/>
              </w:rPr>
              <w:t>acquired</w:t>
            </w:r>
          </w:p>
        </w:tc>
        <w:tc>
          <w:tcPr>
            <w:tcW w:w="10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FFFFFF"/>
              </w:rPr>
              <w:t>realized on</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000" w:type="dxa"/>
            <w:vAlign w:val="bottom"/>
            <w:tcBorders>
              <w:left w:val="single" w:sz="8" w:color="346094"/>
            </w:tcBorders>
          </w:tcPr>
          <w:p>
            <w:pPr>
              <w:spacing w:after="0"/>
              <w:rPr>
                <w:sz w:val="14"/>
                <w:szCs w:val="14"/>
                <w:color w:val="auto"/>
              </w:rPr>
            </w:pPr>
          </w:p>
        </w:tc>
        <w:tc>
          <w:tcPr>
            <w:tcW w:w="1900" w:type="dxa"/>
            <w:vAlign w:val="bottom"/>
            <w:gridSpan w:val="2"/>
          </w:tcPr>
          <w:p>
            <w:pPr>
              <w:jc w:val="center"/>
              <w:ind w:left="623"/>
              <w:spacing w:after="0" w:line="171" w:lineRule="exact"/>
              <w:rPr>
                <w:sz w:val="20"/>
                <w:szCs w:val="20"/>
                <w:color w:val="auto"/>
              </w:rPr>
            </w:pPr>
            <w:r>
              <w:rPr>
                <w:rFonts w:ascii="Arial" w:cs="Arial" w:eastAsia="Arial" w:hAnsi="Arial"/>
                <w:sz w:val="16"/>
                <w:szCs w:val="16"/>
                <w:b w:val="1"/>
                <w:bCs w:val="1"/>
                <w:color w:val="FFFFFF"/>
                <w:w w:val="99"/>
              </w:rPr>
              <w:t>on exercise</w:t>
            </w:r>
          </w:p>
        </w:tc>
        <w:tc>
          <w:tcPr>
            <w:tcW w:w="880" w:type="dxa"/>
            <w:vAlign w:val="bottom"/>
          </w:tcPr>
          <w:p>
            <w:pPr>
              <w:jc w:val="center"/>
              <w:ind w:left="123"/>
              <w:spacing w:after="0" w:line="171" w:lineRule="exact"/>
              <w:rPr>
                <w:sz w:val="20"/>
                <w:szCs w:val="20"/>
                <w:color w:val="auto"/>
              </w:rPr>
            </w:pPr>
            <w:r>
              <w:rPr>
                <w:rFonts w:ascii="Arial" w:cs="Arial" w:eastAsia="Arial" w:hAnsi="Arial"/>
                <w:sz w:val="16"/>
                <w:szCs w:val="16"/>
                <w:b w:val="1"/>
                <w:bCs w:val="1"/>
                <w:color w:val="FFFFFF"/>
                <w:w w:val="99"/>
              </w:rPr>
              <w:t>exercise</w:t>
            </w:r>
          </w:p>
        </w:tc>
        <w:tc>
          <w:tcPr>
            <w:tcW w:w="240" w:type="dxa"/>
            <w:vAlign w:val="bottom"/>
          </w:tcPr>
          <w:p>
            <w:pPr>
              <w:spacing w:after="0"/>
              <w:rPr>
                <w:sz w:val="14"/>
                <w:szCs w:val="14"/>
                <w:color w:val="auto"/>
              </w:rPr>
            </w:pPr>
          </w:p>
        </w:tc>
        <w:tc>
          <w:tcPr>
            <w:tcW w:w="1120" w:type="dxa"/>
            <w:vAlign w:val="bottom"/>
            <w:gridSpan w:val="2"/>
          </w:tcPr>
          <w:p>
            <w:pPr>
              <w:jc w:val="center"/>
              <w:spacing w:after="0" w:line="171" w:lineRule="exact"/>
              <w:rPr>
                <w:sz w:val="20"/>
                <w:szCs w:val="20"/>
                <w:color w:val="auto"/>
              </w:rPr>
            </w:pPr>
            <w:r>
              <w:rPr>
                <w:rFonts w:ascii="Arial" w:cs="Arial" w:eastAsia="Arial" w:hAnsi="Arial"/>
                <w:sz w:val="16"/>
                <w:szCs w:val="16"/>
                <w:b w:val="1"/>
                <w:bCs w:val="1"/>
                <w:color w:val="FFFFFF"/>
                <w:w w:val="94"/>
              </w:rPr>
              <w:t>on vesting</w:t>
            </w:r>
          </w:p>
        </w:tc>
        <w:tc>
          <w:tcPr>
            <w:tcW w:w="1020" w:type="dxa"/>
            <w:vAlign w:val="bottom"/>
            <w:gridSpan w:val="2"/>
          </w:tcPr>
          <w:p>
            <w:pPr>
              <w:jc w:val="center"/>
              <w:ind w:left="4"/>
              <w:spacing w:after="0" w:line="171" w:lineRule="exact"/>
              <w:rPr>
                <w:sz w:val="20"/>
                <w:szCs w:val="20"/>
                <w:color w:val="auto"/>
              </w:rPr>
            </w:pPr>
            <w:r>
              <w:rPr>
                <w:rFonts w:ascii="Arial" w:cs="Arial" w:eastAsia="Arial" w:hAnsi="Arial"/>
                <w:sz w:val="16"/>
                <w:szCs w:val="16"/>
                <w:b w:val="1"/>
                <w:bCs w:val="1"/>
                <w:color w:val="FFFFFF"/>
                <w:w w:val="96"/>
              </w:rPr>
              <w:t>vesting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000" w:type="dxa"/>
            <w:vAlign w:val="bottom"/>
            <w:tcBorders>
              <w:left w:val="single" w:sz="8" w:color="346094"/>
            </w:tcBorders>
          </w:tcPr>
          <w:p>
            <w:pPr>
              <w:ind w:left="60"/>
              <w:spacing w:after="0"/>
              <w:rPr>
                <w:sz w:val="20"/>
                <w:szCs w:val="20"/>
                <w:color w:val="auto"/>
              </w:rPr>
            </w:pPr>
            <w:r>
              <w:rPr>
                <w:rFonts w:ascii="Arial" w:cs="Arial" w:eastAsia="Arial" w:hAnsi="Arial"/>
                <w:sz w:val="16"/>
                <w:szCs w:val="16"/>
                <w:b w:val="1"/>
                <w:bCs w:val="1"/>
                <w:color w:val="FFFFFF"/>
              </w:rPr>
              <w:t>Name</w:t>
            </w:r>
          </w:p>
        </w:tc>
        <w:tc>
          <w:tcPr>
            <w:tcW w:w="1640" w:type="dxa"/>
            <w:vAlign w:val="bottom"/>
          </w:tcPr>
          <w:p>
            <w:pPr>
              <w:jc w:val="center"/>
              <w:ind w:left="903"/>
              <w:spacing w:after="0"/>
              <w:rPr>
                <w:sz w:val="20"/>
                <w:szCs w:val="20"/>
                <w:color w:val="auto"/>
              </w:rPr>
            </w:pPr>
            <w:r>
              <w:rPr>
                <w:rFonts w:ascii="Arial" w:cs="Arial" w:eastAsia="Arial" w:hAnsi="Arial"/>
                <w:sz w:val="16"/>
                <w:szCs w:val="16"/>
                <w:b w:val="1"/>
                <w:bCs w:val="1"/>
                <w:color w:val="FFFFFF"/>
              </w:rPr>
              <w:t>(#)</w:t>
            </w:r>
          </w:p>
        </w:tc>
        <w:tc>
          <w:tcPr>
            <w:tcW w:w="260" w:type="dxa"/>
            <w:vAlign w:val="bottom"/>
          </w:tcPr>
          <w:p>
            <w:pPr>
              <w:spacing w:after="0"/>
              <w:rPr>
                <w:sz w:val="19"/>
                <w:szCs w:val="19"/>
                <w:color w:val="auto"/>
              </w:rPr>
            </w:pPr>
          </w:p>
        </w:tc>
        <w:tc>
          <w:tcPr>
            <w:tcW w:w="880" w:type="dxa"/>
            <w:vAlign w:val="bottom"/>
          </w:tcPr>
          <w:p>
            <w:pPr>
              <w:jc w:val="center"/>
              <w:ind w:left="143"/>
              <w:spacing w:after="0" w:line="229" w:lineRule="exact"/>
              <w:rPr>
                <w:sz w:val="20"/>
                <w:szCs w:val="20"/>
                <w:color w:val="auto"/>
              </w:rPr>
            </w:pPr>
            <w:r>
              <w:rPr>
                <w:rFonts w:ascii="Arial" w:cs="Arial" w:eastAsia="Arial" w:hAnsi="Arial"/>
                <w:sz w:val="16"/>
                <w:szCs w:val="16"/>
                <w:b w:val="1"/>
                <w:bCs w:val="1"/>
                <w:color w:val="FFFFFF"/>
                <w:w w:val="91"/>
              </w:rPr>
              <w:t>($)</w:t>
            </w:r>
            <w:r>
              <w:rPr>
                <w:rFonts w:ascii="Trebuchet MS" w:cs="Trebuchet MS" w:eastAsia="Trebuchet MS" w:hAnsi="Trebuchet MS"/>
                <w:sz w:val="25"/>
                <w:szCs w:val="25"/>
                <w:b w:val="1"/>
                <w:bCs w:val="1"/>
                <w:color w:val="FFFFFF"/>
                <w:w w:val="91"/>
                <w:vertAlign w:val="superscript"/>
              </w:rPr>
              <w:t>(1)</w:t>
            </w:r>
          </w:p>
        </w:tc>
        <w:tc>
          <w:tcPr>
            <w:tcW w:w="24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FFFFFF"/>
              </w:rPr>
              <w:t>(#)</w:t>
            </w:r>
          </w:p>
        </w:tc>
        <w:tc>
          <w:tcPr>
            <w:tcW w:w="340" w:type="dxa"/>
            <w:vAlign w:val="bottom"/>
          </w:tcPr>
          <w:p>
            <w:pPr>
              <w:spacing w:after="0"/>
              <w:rPr>
                <w:sz w:val="19"/>
                <w:szCs w:val="19"/>
                <w:color w:val="auto"/>
              </w:rPr>
            </w:pPr>
          </w:p>
        </w:tc>
        <w:tc>
          <w:tcPr>
            <w:tcW w:w="680" w:type="dxa"/>
            <w:vAlign w:val="bottom"/>
          </w:tcPr>
          <w:p>
            <w:pPr>
              <w:jc w:val="center"/>
              <w:ind w:right="179"/>
              <w:spacing w:after="0" w:line="229" w:lineRule="exact"/>
              <w:rPr>
                <w:sz w:val="20"/>
                <w:szCs w:val="20"/>
                <w:color w:val="auto"/>
              </w:rPr>
            </w:pPr>
            <w:r>
              <w:rPr>
                <w:rFonts w:ascii="Arial" w:cs="Arial" w:eastAsia="Arial" w:hAnsi="Arial"/>
                <w:sz w:val="16"/>
                <w:szCs w:val="16"/>
                <w:b w:val="1"/>
                <w:bCs w:val="1"/>
                <w:color w:val="FFFFFF"/>
                <w:w w:val="91"/>
              </w:rPr>
              <w:t>($)</w:t>
            </w:r>
            <w:r>
              <w:rPr>
                <w:rFonts w:ascii="Trebuchet MS" w:cs="Trebuchet MS" w:eastAsia="Trebuchet MS" w:hAnsi="Trebuchet MS"/>
                <w:sz w:val="25"/>
                <w:szCs w:val="25"/>
                <w:b w:val="1"/>
                <w:bCs w:val="1"/>
                <w:color w:val="FFFFFF"/>
                <w:w w:val="91"/>
                <w:vertAlign w:val="superscript"/>
              </w:rPr>
              <w:t>(2)</w:t>
            </w:r>
          </w:p>
        </w:tc>
        <w:tc>
          <w:tcPr>
            <w:tcW w:w="60" w:type="dxa"/>
            <w:vAlign w:val="bottom"/>
          </w:tcPr>
          <w:p>
            <w:pPr>
              <w:ind w:left="2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89"/>
        </w:trPr>
        <w:tc>
          <w:tcPr>
            <w:tcW w:w="3000" w:type="dxa"/>
            <w:vAlign w:val="bottom"/>
          </w:tcPr>
          <w:p>
            <w:pPr>
              <w:ind w:left="60"/>
              <w:spacing w:after="0"/>
              <w:rPr>
                <w:sz w:val="20"/>
                <w:szCs w:val="20"/>
                <w:color w:val="auto"/>
              </w:rPr>
            </w:pPr>
            <w:r>
              <w:rPr>
                <w:rFonts w:ascii="Arial" w:cs="Arial" w:eastAsia="Arial" w:hAnsi="Arial"/>
                <w:sz w:val="16"/>
                <w:szCs w:val="16"/>
                <w:color w:val="4C4C4C"/>
              </w:rPr>
              <w:t>Patrick R Gruber</w:t>
            </w:r>
          </w:p>
        </w:tc>
        <w:tc>
          <w:tcPr>
            <w:tcW w:w="1640" w:type="dxa"/>
            <w:vAlign w:val="bottom"/>
            <w:vMerge w:val="restart"/>
          </w:tcPr>
          <w:p>
            <w:pPr>
              <w:ind w:left="1280"/>
              <w:spacing w:after="0"/>
              <w:rPr>
                <w:sz w:val="20"/>
                <w:szCs w:val="20"/>
                <w:color w:val="auto"/>
              </w:rPr>
            </w:pPr>
            <w:r>
              <w:rPr>
                <w:rFonts w:ascii="Arial" w:cs="Arial" w:eastAsia="Arial" w:hAnsi="Arial"/>
                <w:sz w:val="16"/>
                <w:szCs w:val="16"/>
                <w:color w:val="4C4C4C"/>
              </w:rPr>
              <w:t>​</w:t>
            </w:r>
          </w:p>
        </w:tc>
        <w:tc>
          <w:tcPr>
            <w:tcW w:w="260" w:type="dxa"/>
            <w:vAlign w:val="bottom"/>
          </w:tcPr>
          <w:p>
            <w:pPr>
              <w:ind w:left="20"/>
              <w:spacing w:after="0"/>
              <w:rPr>
                <w:sz w:val="20"/>
                <w:szCs w:val="20"/>
                <w:color w:val="auto"/>
              </w:rPr>
            </w:pPr>
            <w:r>
              <w:rPr>
                <w:rFonts w:ascii="Arial" w:cs="Arial" w:eastAsia="Arial" w:hAnsi="Arial"/>
                <w:sz w:val="16"/>
                <w:szCs w:val="16"/>
                <w:color w:val="4C4C4C"/>
              </w:rPr>
              <w:t>—</w:t>
            </w:r>
          </w:p>
        </w:tc>
        <w:tc>
          <w:tcPr>
            <w:tcW w:w="880" w:type="dxa"/>
            <w:vAlign w:val="bottom"/>
            <w:vMerge w:val="restart"/>
          </w:tcPr>
          <w:p>
            <w:pPr>
              <w:ind w:left="520"/>
              <w:spacing w:after="0"/>
              <w:rPr>
                <w:sz w:val="20"/>
                <w:szCs w:val="20"/>
                <w:color w:val="auto"/>
              </w:rPr>
            </w:pPr>
            <w:r>
              <w:rPr>
                <w:rFonts w:ascii="Arial" w:cs="Arial" w:eastAsia="Arial" w:hAnsi="Arial"/>
                <w:sz w:val="16"/>
                <w:szCs w:val="16"/>
                <w:color w:val="4C4C4C"/>
              </w:rPr>
              <w:t>​</w:t>
            </w:r>
          </w:p>
        </w:tc>
        <w:tc>
          <w:tcPr>
            <w:tcW w:w="240" w:type="dxa"/>
            <w:vAlign w:val="bottom"/>
          </w:tcPr>
          <w:p>
            <w:pPr>
              <w:spacing w:after="0"/>
              <w:rPr>
                <w:sz w:val="20"/>
                <w:szCs w:val="20"/>
                <w:color w:val="auto"/>
              </w:rPr>
            </w:pPr>
            <w:r>
              <w:rPr>
                <w:rFonts w:ascii="Arial" w:cs="Arial" w:eastAsia="Arial" w:hAnsi="Arial"/>
                <w:sz w:val="16"/>
                <w:szCs w:val="16"/>
                <w:color w:val="4C4C4C"/>
              </w:rPr>
              <w:t>—</w:t>
            </w: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4C4C4C"/>
              </w:rPr>
              <w:t>868,081</w:t>
            </w:r>
          </w:p>
        </w:tc>
        <w:tc>
          <w:tcPr>
            <w:tcW w:w="1020" w:type="dxa"/>
            <w:vAlign w:val="bottom"/>
            <w:gridSpan w:val="2"/>
          </w:tcPr>
          <w:p>
            <w:pPr>
              <w:ind w:left="280"/>
              <w:spacing w:after="0"/>
              <w:rPr>
                <w:sz w:val="20"/>
                <w:szCs w:val="20"/>
                <w:color w:val="auto"/>
              </w:rPr>
            </w:pPr>
            <w:r>
              <w:rPr>
                <w:rFonts w:ascii="Arial" w:cs="Arial" w:eastAsia="Arial" w:hAnsi="Arial"/>
                <w:sz w:val="16"/>
                <w:szCs w:val="16"/>
                <w:color w:val="4C4C4C"/>
              </w:rPr>
              <w:t>1,062,162</w:t>
            </w:r>
          </w:p>
        </w:tc>
        <w:tc>
          <w:tcPr>
            <w:tcW w:w="60" w:type="dxa"/>
            <w:vAlign w:val="bottom"/>
            <w:vMerge w:val="restart"/>
          </w:tcPr>
          <w:p>
            <w:pPr>
              <w:ind w:left="2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30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ind w:left="400"/>
              <w:spacing w:after="0" w:line="68" w:lineRule="exact"/>
              <w:rPr>
                <w:sz w:val="20"/>
                <w:szCs w:val="20"/>
                <w:color w:val="auto"/>
              </w:rPr>
            </w:pPr>
            <w:r>
              <w:rPr>
                <w:rFonts w:ascii="Arial" w:cs="Arial" w:eastAsia="Arial" w:hAnsi="Arial"/>
                <w:sz w:val="7"/>
                <w:szCs w:val="7"/>
                <w:color w:val="4C4C4C"/>
              </w:rPr>
              <w:t>​</w:t>
            </w:r>
          </w:p>
        </w:tc>
        <w:tc>
          <w:tcPr>
            <w:tcW w:w="640" w:type="dxa"/>
            <w:vAlign w:val="bottom"/>
          </w:tcPr>
          <w:p>
            <w:pPr>
              <w:spacing w:after="0"/>
              <w:rPr>
                <w:sz w:val="5"/>
                <w:szCs w:val="5"/>
                <w:color w:val="auto"/>
              </w:rPr>
            </w:pPr>
          </w:p>
        </w:tc>
        <w:tc>
          <w:tcPr>
            <w:tcW w:w="340" w:type="dxa"/>
            <w:vAlign w:val="bottom"/>
          </w:tcPr>
          <w:p>
            <w:pPr>
              <w:ind w:left="280"/>
              <w:spacing w:after="0" w:line="68" w:lineRule="exact"/>
              <w:rPr>
                <w:sz w:val="20"/>
                <w:szCs w:val="20"/>
                <w:color w:val="auto"/>
              </w:rPr>
            </w:pPr>
            <w:r>
              <w:rPr>
                <w:rFonts w:ascii="Arial" w:cs="Arial" w:eastAsia="Arial" w:hAnsi="Arial"/>
                <w:sz w:val="7"/>
                <w:szCs w:val="7"/>
                <w:color w:val="4C4C4C"/>
              </w:rPr>
              <w:t>​</w:t>
            </w:r>
          </w:p>
        </w:tc>
        <w:tc>
          <w:tcPr>
            <w:tcW w:w="6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000" w:type="dxa"/>
            <w:vAlign w:val="bottom"/>
          </w:tcPr>
          <w:p>
            <w:pPr>
              <w:ind w:left="60"/>
              <w:spacing w:after="0"/>
              <w:rPr>
                <w:sz w:val="20"/>
                <w:szCs w:val="20"/>
                <w:color w:val="auto"/>
              </w:rPr>
            </w:pPr>
            <w:r>
              <w:rPr>
                <w:rFonts w:ascii="Arial" w:cs="Arial" w:eastAsia="Arial" w:hAnsi="Arial"/>
                <w:sz w:val="16"/>
                <w:szCs w:val="16"/>
                <w:color w:val="4C4C4C"/>
              </w:rPr>
              <w:t>Oluwagbemileke (Leke) Agiri</w:t>
            </w:r>
          </w:p>
        </w:tc>
        <w:tc>
          <w:tcPr>
            <w:tcW w:w="1900" w:type="dxa"/>
            <w:vAlign w:val="bottom"/>
            <w:gridSpan w:val="2"/>
          </w:tcPr>
          <w:p>
            <w:pPr>
              <w:ind w:left="1300"/>
              <w:spacing w:after="0"/>
              <w:rPr>
                <w:sz w:val="20"/>
                <w:szCs w:val="20"/>
                <w:color w:val="auto"/>
              </w:rPr>
            </w:pPr>
            <w:r>
              <w:rPr>
                <w:rFonts w:ascii="Arial" w:cs="Arial" w:eastAsia="Arial" w:hAnsi="Arial"/>
                <w:sz w:val="16"/>
                <w:szCs w:val="16"/>
                <w:color w:val="4C4C4C"/>
              </w:rPr>
              <w:t>68,404</w:t>
            </w:r>
          </w:p>
        </w:tc>
        <w:tc>
          <w:tcPr>
            <w:tcW w:w="1120" w:type="dxa"/>
            <w:vAlign w:val="bottom"/>
            <w:gridSpan w:val="2"/>
          </w:tcPr>
          <w:p>
            <w:pPr>
              <w:ind w:left="520"/>
              <w:spacing w:after="0"/>
              <w:rPr>
                <w:sz w:val="20"/>
                <w:szCs w:val="20"/>
                <w:color w:val="auto"/>
              </w:rPr>
            </w:pPr>
            <w:r>
              <w:rPr>
                <w:rFonts w:ascii="Arial" w:cs="Arial" w:eastAsia="Arial" w:hAnsi="Arial"/>
                <w:sz w:val="16"/>
                <w:szCs w:val="16"/>
                <w:color w:val="4C4C4C"/>
              </w:rPr>
              <w:t>77,374</w:t>
            </w:r>
          </w:p>
        </w:tc>
        <w:tc>
          <w:tcPr>
            <w:tcW w:w="480" w:type="dxa"/>
            <w:vAlign w:val="bottom"/>
            <w:vMerge w:val="restart"/>
          </w:tcPr>
          <w:p>
            <w:pPr>
              <w:ind w:left="400"/>
              <w:spacing w:after="0"/>
              <w:rPr>
                <w:sz w:val="20"/>
                <w:szCs w:val="20"/>
                <w:color w:val="auto"/>
              </w:rPr>
            </w:pPr>
            <w:r>
              <w:rPr>
                <w:rFonts w:ascii="Arial" w:cs="Arial" w:eastAsia="Arial" w:hAnsi="Arial"/>
                <w:sz w:val="16"/>
                <w:szCs w:val="16"/>
                <w:color w:val="4C4C4C"/>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4C4C4C"/>
                <w:w w:val="98"/>
              </w:rPr>
              <w:t>56,792</w:t>
            </w:r>
          </w:p>
        </w:tc>
        <w:tc>
          <w:tcPr>
            <w:tcW w:w="340" w:type="dxa"/>
            <w:vAlign w:val="bottom"/>
            <w:vMerge w:val="restart"/>
          </w:tcPr>
          <w:p>
            <w:pPr>
              <w:ind w:left="28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rPr>
                <w:sz w:val="20"/>
                <w:szCs w:val="20"/>
                <w:color w:val="auto"/>
              </w:rPr>
            </w:pPr>
            <w:r>
              <w:rPr>
                <w:rFonts w:ascii="Arial" w:cs="Arial" w:eastAsia="Arial" w:hAnsi="Arial"/>
                <w:sz w:val="16"/>
                <w:szCs w:val="16"/>
                <w:color w:val="4C4C4C"/>
              </w:rPr>
              <w:t>68,366</w:t>
            </w:r>
          </w:p>
        </w:tc>
        <w:tc>
          <w:tcPr>
            <w:tcW w:w="60" w:type="dxa"/>
            <w:vAlign w:val="bottom"/>
            <w:vMerge w:val="restart"/>
          </w:tcPr>
          <w:p>
            <w:pPr>
              <w:ind w:left="2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8"/>
        </w:trPr>
        <w:tc>
          <w:tcPr>
            <w:tcW w:w="3000" w:type="dxa"/>
            <w:vAlign w:val="bottom"/>
          </w:tcPr>
          <w:p>
            <w:pPr>
              <w:spacing w:after="0"/>
              <w:rPr>
                <w:sz w:val="5"/>
                <w:szCs w:val="5"/>
                <w:color w:val="auto"/>
              </w:rPr>
            </w:pPr>
          </w:p>
        </w:tc>
        <w:tc>
          <w:tcPr>
            <w:tcW w:w="1640" w:type="dxa"/>
            <w:vAlign w:val="bottom"/>
          </w:tcPr>
          <w:p>
            <w:pPr>
              <w:ind w:left="1280"/>
              <w:spacing w:after="0" w:line="68" w:lineRule="exact"/>
              <w:rPr>
                <w:sz w:val="20"/>
                <w:szCs w:val="20"/>
                <w:color w:val="auto"/>
              </w:rPr>
            </w:pPr>
            <w:r>
              <w:rPr>
                <w:rFonts w:ascii="Arial" w:cs="Arial" w:eastAsia="Arial" w:hAnsi="Arial"/>
                <w:sz w:val="7"/>
                <w:szCs w:val="7"/>
                <w:color w:val="4C4C4C"/>
              </w:rPr>
              <w:t>​</w:t>
            </w:r>
          </w:p>
        </w:tc>
        <w:tc>
          <w:tcPr>
            <w:tcW w:w="260" w:type="dxa"/>
            <w:vAlign w:val="bottom"/>
          </w:tcPr>
          <w:p>
            <w:pPr>
              <w:spacing w:after="0"/>
              <w:rPr>
                <w:sz w:val="5"/>
                <w:szCs w:val="5"/>
                <w:color w:val="auto"/>
              </w:rPr>
            </w:pPr>
          </w:p>
        </w:tc>
        <w:tc>
          <w:tcPr>
            <w:tcW w:w="880" w:type="dxa"/>
            <w:vAlign w:val="bottom"/>
          </w:tcPr>
          <w:p>
            <w:pPr>
              <w:ind w:left="520"/>
              <w:spacing w:after="0" w:line="68" w:lineRule="exact"/>
              <w:rPr>
                <w:sz w:val="20"/>
                <w:szCs w:val="20"/>
                <w:color w:val="auto"/>
              </w:rPr>
            </w:pPr>
            <w:r>
              <w:rPr>
                <w:rFonts w:ascii="Arial" w:cs="Arial" w:eastAsia="Arial" w:hAnsi="Arial"/>
                <w:sz w:val="7"/>
                <w:szCs w:val="7"/>
                <w:color w:val="4C4C4C"/>
              </w:rPr>
              <w:t>​</w:t>
            </w:r>
          </w:p>
        </w:tc>
        <w:tc>
          <w:tcPr>
            <w:tcW w:w="2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000" w:type="dxa"/>
            <w:vAlign w:val="bottom"/>
          </w:tcPr>
          <w:p>
            <w:pPr>
              <w:ind w:left="60"/>
              <w:spacing w:after="0"/>
              <w:rPr>
                <w:sz w:val="20"/>
                <w:szCs w:val="20"/>
                <w:color w:val="auto"/>
              </w:rPr>
            </w:pPr>
            <w:r>
              <w:rPr>
                <w:rFonts w:ascii="Arial" w:cs="Arial" w:eastAsia="Arial" w:hAnsi="Arial"/>
                <w:sz w:val="16"/>
                <w:szCs w:val="16"/>
                <w:color w:val="4C4C4C"/>
              </w:rPr>
              <w:t>Christopher M. Ryan</w:t>
            </w:r>
          </w:p>
        </w:tc>
        <w:tc>
          <w:tcPr>
            <w:tcW w:w="1640" w:type="dxa"/>
            <w:vAlign w:val="bottom"/>
          </w:tcPr>
          <w:p>
            <w:pPr>
              <w:ind w:left="1280"/>
              <w:spacing w:after="0"/>
              <w:rPr>
                <w:sz w:val="20"/>
                <w:szCs w:val="20"/>
                <w:color w:val="auto"/>
              </w:rPr>
            </w:pPr>
            <w:r>
              <w:rPr>
                <w:rFonts w:ascii="Arial" w:cs="Arial" w:eastAsia="Arial" w:hAnsi="Arial"/>
                <w:sz w:val="16"/>
                <w:szCs w:val="16"/>
                <w:color w:val="4C4C4C"/>
              </w:rPr>
              <w:t>​</w:t>
            </w:r>
          </w:p>
        </w:tc>
        <w:tc>
          <w:tcPr>
            <w:tcW w:w="260" w:type="dxa"/>
            <w:vAlign w:val="bottom"/>
          </w:tcPr>
          <w:p>
            <w:pPr>
              <w:ind w:left="20"/>
              <w:spacing w:after="0"/>
              <w:rPr>
                <w:sz w:val="20"/>
                <w:szCs w:val="20"/>
                <w:color w:val="auto"/>
              </w:rPr>
            </w:pPr>
            <w:r>
              <w:rPr>
                <w:rFonts w:ascii="Arial" w:cs="Arial" w:eastAsia="Arial" w:hAnsi="Arial"/>
                <w:sz w:val="16"/>
                <w:szCs w:val="16"/>
                <w:color w:val="4C4C4C"/>
              </w:rPr>
              <w:t>—</w:t>
            </w:r>
          </w:p>
        </w:tc>
        <w:tc>
          <w:tcPr>
            <w:tcW w:w="880" w:type="dxa"/>
            <w:vAlign w:val="bottom"/>
          </w:tcPr>
          <w:p>
            <w:pPr>
              <w:ind w:left="520"/>
              <w:spacing w:after="0"/>
              <w:rPr>
                <w:sz w:val="20"/>
                <w:szCs w:val="20"/>
                <w:color w:val="auto"/>
              </w:rPr>
            </w:pPr>
            <w:r>
              <w:rPr>
                <w:rFonts w:ascii="Arial" w:cs="Arial" w:eastAsia="Arial" w:hAnsi="Arial"/>
                <w:sz w:val="16"/>
                <w:szCs w:val="16"/>
                <w:color w:val="4C4C4C"/>
              </w:rPr>
              <w:t>​</w:t>
            </w:r>
          </w:p>
        </w:tc>
        <w:tc>
          <w:tcPr>
            <w:tcW w:w="240" w:type="dxa"/>
            <w:vAlign w:val="bottom"/>
          </w:tcPr>
          <w:p>
            <w:pPr>
              <w:spacing w:after="0"/>
              <w:rPr>
                <w:sz w:val="20"/>
                <w:szCs w:val="20"/>
                <w:color w:val="auto"/>
              </w:rPr>
            </w:pPr>
            <w:r>
              <w:rPr>
                <w:rFonts w:ascii="Arial" w:cs="Arial" w:eastAsia="Arial" w:hAnsi="Arial"/>
                <w:sz w:val="16"/>
                <w:szCs w:val="16"/>
                <w:color w:val="4C4C4C"/>
              </w:rPr>
              <w:t>—</w:t>
            </w: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4C4C4C"/>
              </w:rPr>
              <w:t>​353,643</w:t>
            </w:r>
          </w:p>
        </w:tc>
        <w:tc>
          <w:tcPr>
            <w:tcW w:w="340" w:type="dxa"/>
            <w:vAlign w:val="bottom"/>
          </w:tcPr>
          <w:p>
            <w:pPr>
              <w:ind w:left="28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rPr>
                <w:sz w:val="20"/>
                <w:szCs w:val="20"/>
                <w:color w:val="auto"/>
              </w:rPr>
            </w:pPr>
            <w:r>
              <w:rPr>
                <w:rFonts w:ascii="Arial" w:cs="Arial" w:eastAsia="Arial" w:hAnsi="Arial"/>
                <w:sz w:val="16"/>
                <w:szCs w:val="16"/>
                <w:color w:val="4C4C4C"/>
              </w:rPr>
              <w:t>427,924</w:t>
            </w:r>
          </w:p>
        </w:tc>
        <w:tc>
          <w:tcPr>
            <w:tcW w:w="60" w:type="dxa"/>
            <w:vAlign w:val="bottom"/>
          </w:tcPr>
          <w:p>
            <w:pPr>
              <w:ind w:left="2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257"/>
        </w:trPr>
        <w:tc>
          <w:tcPr>
            <w:tcW w:w="3000" w:type="dxa"/>
            <w:vAlign w:val="bottom"/>
          </w:tcPr>
          <w:p>
            <w:pPr>
              <w:ind w:left="60"/>
              <w:spacing w:after="0"/>
              <w:rPr>
                <w:sz w:val="20"/>
                <w:szCs w:val="20"/>
                <w:color w:val="auto"/>
              </w:rPr>
            </w:pPr>
            <w:r>
              <w:rPr>
                <w:rFonts w:ascii="Arial" w:cs="Arial" w:eastAsia="Arial" w:hAnsi="Arial"/>
                <w:sz w:val="16"/>
                <w:szCs w:val="16"/>
                <w:color w:val="4C4C4C"/>
              </w:rPr>
              <w:t>Paul D. Bloom</w:t>
            </w:r>
          </w:p>
        </w:tc>
        <w:tc>
          <w:tcPr>
            <w:tcW w:w="1640" w:type="dxa"/>
            <w:vAlign w:val="bottom"/>
          </w:tcPr>
          <w:p>
            <w:pPr>
              <w:ind w:left="1280"/>
              <w:spacing w:after="0"/>
              <w:rPr>
                <w:sz w:val="20"/>
                <w:szCs w:val="20"/>
                <w:color w:val="auto"/>
              </w:rPr>
            </w:pPr>
            <w:r>
              <w:rPr>
                <w:rFonts w:ascii="Arial" w:cs="Arial" w:eastAsia="Arial" w:hAnsi="Arial"/>
                <w:sz w:val="16"/>
                <w:szCs w:val="16"/>
                <w:color w:val="4C4C4C"/>
              </w:rPr>
              <w:t>​</w:t>
            </w:r>
          </w:p>
        </w:tc>
        <w:tc>
          <w:tcPr>
            <w:tcW w:w="260" w:type="dxa"/>
            <w:vAlign w:val="bottom"/>
          </w:tcPr>
          <w:p>
            <w:pPr>
              <w:ind w:left="20"/>
              <w:spacing w:after="0"/>
              <w:rPr>
                <w:sz w:val="20"/>
                <w:szCs w:val="20"/>
                <w:color w:val="auto"/>
              </w:rPr>
            </w:pPr>
            <w:r>
              <w:rPr>
                <w:rFonts w:ascii="Arial" w:cs="Arial" w:eastAsia="Arial" w:hAnsi="Arial"/>
                <w:sz w:val="16"/>
                <w:szCs w:val="16"/>
                <w:color w:val="4C4C4C"/>
              </w:rPr>
              <w:t>—</w:t>
            </w:r>
          </w:p>
        </w:tc>
        <w:tc>
          <w:tcPr>
            <w:tcW w:w="880" w:type="dxa"/>
            <w:vAlign w:val="bottom"/>
          </w:tcPr>
          <w:p>
            <w:pPr>
              <w:ind w:left="520"/>
              <w:spacing w:after="0"/>
              <w:rPr>
                <w:sz w:val="20"/>
                <w:szCs w:val="20"/>
                <w:color w:val="auto"/>
              </w:rPr>
            </w:pPr>
            <w:r>
              <w:rPr>
                <w:rFonts w:ascii="Arial" w:cs="Arial" w:eastAsia="Arial" w:hAnsi="Arial"/>
                <w:sz w:val="16"/>
                <w:szCs w:val="16"/>
                <w:color w:val="4C4C4C"/>
              </w:rPr>
              <w:t>​</w:t>
            </w:r>
          </w:p>
        </w:tc>
        <w:tc>
          <w:tcPr>
            <w:tcW w:w="240" w:type="dxa"/>
            <w:vAlign w:val="bottom"/>
          </w:tcPr>
          <w:p>
            <w:pPr>
              <w:spacing w:after="0"/>
              <w:rPr>
                <w:sz w:val="20"/>
                <w:szCs w:val="20"/>
                <w:color w:val="auto"/>
              </w:rPr>
            </w:pPr>
            <w:r>
              <w:rPr>
                <w:rFonts w:ascii="Arial" w:cs="Arial" w:eastAsia="Arial" w:hAnsi="Arial"/>
                <w:sz w:val="16"/>
                <w:szCs w:val="16"/>
                <w:color w:val="4C4C4C"/>
              </w:rPr>
              <w:t>—</w:t>
            </w: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4C4C4C"/>
              </w:rPr>
              <w:t>​280,127</w:t>
            </w:r>
          </w:p>
        </w:tc>
        <w:tc>
          <w:tcPr>
            <w:tcW w:w="340" w:type="dxa"/>
            <w:vAlign w:val="bottom"/>
          </w:tcPr>
          <w:p>
            <w:pPr>
              <w:ind w:left="28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rPr>
                <w:sz w:val="20"/>
                <w:szCs w:val="20"/>
                <w:color w:val="auto"/>
              </w:rPr>
            </w:pPr>
            <w:r>
              <w:rPr>
                <w:rFonts w:ascii="Arial" w:cs="Arial" w:eastAsia="Arial" w:hAnsi="Arial"/>
                <w:sz w:val="16"/>
                <w:szCs w:val="16"/>
                <w:color w:val="4C4C4C"/>
              </w:rPr>
              <w:t>334,326</w:t>
            </w:r>
          </w:p>
        </w:tc>
        <w:tc>
          <w:tcPr>
            <w:tcW w:w="60" w:type="dxa"/>
            <w:vAlign w:val="bottom"/>
          </w:tcPr>
          <w:p>
            <w:pPr>
              <w:ind w:left="2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257"/>
        </w:trPr>
        <w:tc>
          <w:tcPr>
            <w:tcW w:w="3000" w:type="dxa"/>
            <w:vAlign w:val="bottom"/>
          </w:tcPr>
          <w:p>
            <w:pPr>
              <w:ind w:left="60"/>
              <w:spacing w:after="0"/>
              <w:rPr>
                <w:sz w:val="20"/>
                <w:szCs w:val="20"/>
                <w:color w:val="auto"/>
              </w:rPr>
            </w:pPr>
            <w:r>
              <w:rPr>
                <w:rFonts w:ascii="Arial" w:cs="Arial" w:eastAsia="Arial" w:hAnsi="Arial"/>
                <w:sz w:val="16"/>
                <w:szCs w:val="16"/>
                <w:color w:val="4C4C4C"/>
              </w:rPr>
              <w:t>Andrew L. Shafer</w:t>
            </w:r>
          </w:p>
        </w:tc>
        <w:tc>
          <w:tcPr>
            <w:tcW w:w="1640" w:type="dxa"/>
            <w:vAlign w:val="bottom"/>
          </w:tcPr>
          <w:p>
            <w:pPr>
              <w:ind w:left="1280"/>
              <w:spacing w:after="0"/>
              <w:rPr>
                <w:sz w:val="20"/>
                <w:szCs w:val="20"/>
                <w:color w:val="auto"/>
              </w:rPr>
            </w:pPr>
            <w:r>
              <w:rPr>
                <w:rFonts w:ascii="Arial" w:cs="Arial" w:eastAsia="Arial" w:hAnsi="Arial"/>
                <w:sz w:val="16"/>
                <w:szCs w:val="16"/>
                <w:color w:val="4C4C4C"/>
              </w:rPr>
              <w:t>​</w:t>
            </w:r>
          </w:p>
        </w:tc>
        <w:tc>
          <w:tcPr>
            <w:tcW w:w="260" w:type="dxa"/>
            <w:vAlign w:val="bottom"/>
          </w:tcPr>
          <w:p>
            <w:pPr>
              <w:ind w:left="20"/>
              <w:spacing w:after="0"/>
              <w:rPr>
                <w:sz w:val="20"/>
                <w:szCs w:val="20"/>
                <w:color w:val="auto"/>
              </w:rPr>
            </w:pPr>
            <w:r>
              <w:rPr>
                <w:rFonts w:ascii="Arial" w:cs="Arial" w:eastAsia="Arial" w:hAnsi="Arial"/>
                <w:sz w:val="16"/>
                <w:szCs w:val="16"/>
                <w:color w:val="4C4C4C"/>
              </w:rPr>
              <w:t>—</w:t>
            </w:r>
          </w:p>
        </w:tc>
        <w:tc>
          <w:tcPr>
            <w:tcW w:w="880" w:type="dxa"/>
            <w:vAlign w:val="bottom"/>
          </w:tcPr>
          <w:p>
            <w:pPr>
              <w:ind w:left="520"/>
              <w:spacing w:after="0"/>
              <w:rPr>
                <w:sz w:val="20"/>
                <w:szCs w:val="20"/>
                <w:color w:val="auto"/>
              </w:rPr>
            </w:pPr>
            <w:r>
              <w:rPr>
                <w:rFonts w:ascii="Arial" w:cs="Arial" w:eastAsia="Arial" w:hAnsi="Arial"/>
                <w:sz w:val="16"/>
                <w:szCs w:val="16"/>
                <w:color w:val="4C4C4C"/>
              </w:rPr>
              <w:t>​</w:t>
            </w:r>
          </w:p>
        </w:tc>
        <w:tc>
          <w:tcPr>
            <w:tcW w:w="240" w:type="dxa"/>
            <w:vAlign w:val="bottom"/>
          </w:tcPr>
          <w:p>
            <w:pPr>
              <w:spacing w:after="0"/>
              <w:rPr>
                <w:sz w:val="20"/>
                <w:szCs w:val="20"/>
                <w:color w:val="auto"/>
              </w:rPr>
            </w:pPr>
            <w:r>
              <w:rPr>
                <w:rFonts w:ascii="Arial" w:cs="Arial" w:eastAsia="Arial" w:hAnsi="Arial"/>
                <w:sz w:val="16"/>
                <w:szCs w:val="16"/>
                <w:color w:val="4C4C4C"/>
              </w:rPr>
              <w:t>—</w:t>
            </w: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4C4C4C"/>
              </w:rPr>
              <w:t>​128,107</w:t>
            </w:r>
          </w:p>
        </w:tc>
        <w:tc>
          <w:tcPr>
            <w:tcW w:w="340" w:type="dxa"/>
            <w:vAlign w:val="bottom"/>
          </w:tcPr>
          <w:p>
            <w:pPr>
              <w:ind w:left="28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rPr>
                <w:sz w:val="20"/>
                <w:szCs w:val="20"/>
                <w:color w:val="auto"/>
              </w:rPr>
            </w:pPr>
            <w:r>
              <w:rPr>
                <w:rFonts w:ascii="Arial" w:cs="Arial" w:eastAsia="Arial" w:hAnsi="Arial"/>
                <w:sz w:val="16"/>
                <w:szCs w:val="16"/>
                <w:color w:val="4C4C4C"/>
              </w:rPr>
              <w:t>214,720</w:t>
            </w:r>
          </w:p>
        </w:tc>
        <w:tc>
          <w:tcPr>
            <w:tcW w:w="60" w:type="dxa"/>
            <w:vAlign w:val="bottom"/>
          </w:tcPr>
          <w:p>
            <w:pPr>
              <w:ind w:left="2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270"/>
        </w:trPr>
        <w:tc>
          <w:tcPr>
            <w:tcW w:w="3000" w:type="dxa"/>
            <w:vAlign w:val="bottom"/>
          </w:tcPr>
          <w:p>
            <w:pPr>
              <w:ind w:left="60"/>
              <w:spacing w:after="0"/>
              <w:rPr>
                <w:sz w:val="20"/>
                <w:szCs w:val="20"/>
                <w:color w:val="auto"/>
              </w:rPr>
            </w:pPr>
            <w:r>
              <w:rPr>
                <w:rFonts w:ascii="Arial" w:cs="Arial" w:eastAsia="Arial" w:hAnsi="Arial"/>
                <w:sz w:val="16"/>
                <w:szCs w:val="16"/>
                <w:color w:val="4C4C4C"/>
              </w:rPr>
              <w:t>L. Lynn Smull</w:t>
            </w:r>
          </w:p>
        </w:tc>
        <w:tc>
          <w:tcPr>
            <w:tcW w:w="1640" w:type="dxa"/>
            <w:vAlign w:val="bottom"/>
          </w:tcPr>
          <w:p>
            <w:pPr>
              <w:ind w:left="1280"/>
              <w:spacing w:after="0"/>
              <w:rPr>
                <w:sz w:val="20"/>
                <w:szCs w:val="20"/>
                <w:color w:val="auto"/>
              </w:rPr>
            </w:pPr>
            <w:r>
              <w:rPr>
                <w:rFonts w:ascii="Arial" w:cs="Arial" w:eastAsia="Arial" w:hAnsi="Arial"/>
                <w:sz w:val="16"/>
                <w:szCs w:val="16"/>
                <w:color w:val="4C4C4C"/>
              </w:rPr>
              <w:t>​</w:t>
            </w:r>
          </w:p>
        </w:tc>
        <w:tc>
          <w:tcPr>
            <w:tcW w:w="260" w:type="dxa"/>
            <w:vAlign w:val="bottom"/>
          </w:tcPr>
          <w:p>
            <w:pPr>
              <w:ind w:left="20"/>
              <w:spacing w:after="0"/>
              <w:rPr>
                <w:sz w:val="20"/>
                <w:szCs w:val="20"/>
                <w:color w:val="auto"/>
              </w:rPr>
            </w:pPr>
            <w:r>
              <w:rPr>
                <w:rFonts w:ascii="Arial" w:cs="Arial" w:eastAsia="Arial" w:hAnsi="Arial"/>
                <w:sz w:val="16"/>
                <w:szCs w:val="16"/>
                <w:color w:val="4C4C4C"/>
              </w:rPr>
              <w:t>—</w:t>
            </w:r>
          </w:p>
        </w:tc>
        <w:tc>
          <w:tcPr>
            <w:tcW w:w="880" w:type="dxa"/>
            <w:vAlign w:val="bottom"/>
          </w:tcPr>
          <w:p>
            <w:pPr>
              <w:ind w:left="520"/>
              <w:spacing w:after="0"/>
              <w:rPr>
                <w:sz w:val="20"/>
                <w:szCs w:val="20"/>
                <w:color w:val="auto"/>
              </w:rPr>
            </w:pPr>
            <w:r>
              <w:rPr>
                <w:rFonts w:ascii="Arial" w:cs="Arial" w:eastAsia="Arial" w:hAnsi="Arial"/>
                <w:sz w:val="16"/>
                <w:szCs w:val="16"/>
                <w:color w:val="4C4C4C"/>
              </w:rPr>
              <w:t>​</w:t>
            </w:r>
          </w:p>
        </w:tc>
        <w:tc>
          <w:tcPr>
            <w:tcW w:w="240" w:type="dxa"/>
            <w:vAlign w:val="bottom"/>
          </w:tcPr>
          <w:p>
            <w:pPr>
              <w:spacing w:after="0"/>
              <w:rPr>
                <w:sz w:val="20"/>
                <w:szCs w:val="20"/>
                <w:color w:val="auto"/>
              </w:rPr>
            </w:pPr>
            <w:r>
              <w:rPr>
                <w:rFonts w:ascii="Arial" w:cs="Arial" w:eastAsia="Arial" w:hAnsi="Arial"/>
                <w:sz w:val="16"/>
                <w:szCs w:val="16"/>
                <w:color w:val="4C4C4C"/>
              </w:rPr>
              <w:t>—</w:t>
            </w: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4C4C4C"/>
              </w:rPr>
              <w:t>​256,995</w:t>
            </w:r>
          </w:p>
        </w:tc>
        <w:tc>
          <w:tcPr>
            <w:tcW w:w="340" w:type="dxa"/>
            <w:vAlign w:val="bottom"/>
          </w:tcPr>
          <w:p>
            <w:pPr>
              <w:ind w:left="280"/>
              <w:spacing w:after="0"/>
              <w:rPr>
                <w:sz w:val="20"/>
                <w:szCs w:val="20"/>
                <w:color w:val="auto"/>
              </w:rPr>
            </w:pPr>
            <w:r>
              <w:rPr>
                <w:rFonts w:ascii="Arial" w:cs="Arial" w:eastAsia="Arial" w:hAnsi="Arial"/>
                <w:sz w:val="16"/>
                <w:szCs w:val="16"/>
                <w:color w:val="4C4C4C"/>
              </w:rPr>
              <w:t>​</w:t>
            </w:r>
          </w:p>
        </w:tc>
        <w:tc>
          <w:tcPr>
            <w:tcW w:w="680" w:type="dxa"/>
            <w:vAlign w:val="bottom"/>
          </w:tcPr>
          <w:p>
            <w:pPr>
              <w:jc w:val="right"/>
              <w:spacing w:after="0"/>
              <w:rPr>
                <w:sz w:val="20"/>
                <w:szCs w:val="20"/>
                <w:color w:val="auto"/>
              </w:rPr>
            </w:pPr>
            <w:r>
              <w:rPr>
                <w:rFonts w:ascii="Arial" w:cs="Arial" w:eastAsia="Arial" w:hAnsi="Arial"/>
                <w:sz w:val="16"/>
                <w:szCs w:val="16"/>
                <w:color w:val="4C4C4C"/>
              </w:rPr>
              <w:t>308,490</w:t>
            </w:r>
          </w:p>
        </w:tc>
        <w:tc>
          <w:tcPr>
            <w:tcW w:w="60" w:type="dxa"/>
            <w:vAlign w:val="bottom"/>
          </w:tcPr>
          <w:p>
            <w:pPr>
              <w:ind w:left="2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-1602105</wp:posOffset>
            </wp:positionV>
            <wp:extent cx="5177790" cy="6172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77790" cy="61722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-822325</wp:posOffset>
            </wp:positionV>
            <wp:extent cx="5212080"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102870</wp:posOffset>
            </wp:positionV>
            <wp:extent cx="14312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11" w:lineRule="exact"/>
        <w:rPr>
          <w:sz w:val="20"/>
          <w:szCs w:val="20"/>
          <w:color w:val="auto"/>
        </w:rPr>
      </w:pPr>
    </w:p>
    <w:p>
      <w:pPr>
        <w:ind w:left="1620" w:right="959" w:hanging="360"/>
        <w:spacing w:after="0" w:line="213" w:lineRule="auto"/>
        <w:tabs>
          <w:tab w:leader="none" w:pos="1620" w:val="left"/>
        </w:tabs>
        <w:numPr>
          <w:ilvl w:val="0"/>
          <w:numId w:val="74"/>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The value realized on exercise is calculated by multiplying the number of shares of stock acquired upon exercise of the options by the market value of the underlying shares on the vesting date and deducting the exercise price of the options.</w:t>
      </w:r>
    </w:p>
    <w:p>
      <w:pPr>
        <w:spacing w:after="0" w:line="69" w:lineRule="exact"/>
        <w:rPr>
          <w:rFonts w:ascii="Trebuchet MS" w:cs="Trebuchet MS" w:eastAsia="Trebuchet MS" w:hAnsi="Trebuchet MS"/>
          <w:sz w:val="27"/>
          <w:szCs w:val="27"/>
          <w:color w:val="4C4C4C"/>
          <w:vertAlign w:val="superscript"/>
        </w:rPr>
      </w:pPr>
    </w:p>
    <w:p>
      <w:pPr>
        <w:ind w:left="1620" w:right="599" w:hanging="360"/>
        <w:spacing w:after="0" w:line="198" w:lineRule="auto"/>
        <w:tabs>
          <w:tab w:leader="none" w:pos="1620" w:val="left"/>
        </w:tabs>
        <w:numPr>
          <w:ilvl w:val="0"/>
          <w:numId w:val="74"/>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The value realized on vesting is calculated by multiplying the number of shares of stock by the market value of the underlying shares on the vesting date.</w:t>
      </w:r>
    </w:p>
    <w:p>
      <w:pPr>
        <w:spacing w:after="0" w:line="190"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Pension Benefits</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We currently have no defined benefit pension plans covering any of the named executive officers.</w:t>
      </w:r>
    </w:p>
    <w:p>
      <w:pPr>
        <w:spacing w:after="0" w:line="197"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Nonqualified Deferred Compensation</w:t>
      </w:r>
    </w:p>
    <w:p>
      <w:pPr>
        <w:spacing w:after="0" w:line="205" w:lineRule="exact"/>
        <w:rPr>
          <w:sz w:val="20"/>
          <w:szCs w:val="20"/>
          <w:color w:val="auto"/>
        </w:rPr>
      </w:pPr>
    </w:p>
    <w:p>
      <w:pPr>
        <w:ind w:left="1260" w:right="1239"/>
        <w:spacing w:after="0" w:line="259" w:lineRule="auto"/>
        <w:rPr>
          <w:sz w:val="20"/>
          <w:szCs w:val="20"/>
          <w:color w:val="auto"/>
        </w:rPr>
      </w:pPr>
      <w:r>
        <w:rPr>
          <w:rFonts w:ascii="Arial" w:cs="Arial" w:eastAsia="Arial" w:hAnsi="Arial"/>
          <w:sz w:val="18"/>
          <w:szCs w:val="18"/>
          <w:color w:val="4C4C4C"/>
        </w:rPr>
        <w:t>We currently have no nonqualified deferred compensation plans covering any of the named executive officers.</w:t>
      </w:r>
    </w:p>
    <w:p>
      <w:pPr>
        <w:spacing w:after="0" w:line="173"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Employment Arrangements</w:t>
      </w:r>
    </w:p>
    <w:p>
      <w:pPr>
        <w:spacing w:after="0" w:line="225"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Patrick R. Gruber</w:t>
      </w:r>
    </w:p>
    <w:p>
      <w:pPr>
        <w:spacing w:after="0" w:line="185" w:lineRule="exact"/>
        <w:rPr>
          <w:sz w:val="20"/>
          <w:szCs w:val="20"/>
          <w:color w:val="auto"/>
        </w:rPr>
      </w:pPr>
    </w:p>
    <w:p>
      <w:pPr>
        <w:ind w:left="1260" w:right="419"/>
        <w:spacing w:after="0" w:line="258" w:lineRule="auto"/>
        <w:rPr>
          <w:sz w:val="20"/>
          <w:szCs w:val="20"/>
          <w:color w:val="auto"/>
        </w:rPr>
      </w:pPr>
      <w:r>
        <w:rPr>
          <w:rFonts w:ascii="Arial" w:cs="Arial" w:eastAsia="Arial" w:hAnsi="Arial"/>
          <w:sz w:val="18"/>
          <w:szCs w:val="18"/>
          <w:color w:val="4C4C4C"/>
        </w:rPr>
        <w:t>In August 2024, we entered into an amended and restated employment agreement with Mr. Gruber. Under his amended and restated employment agreement, Mr. Gruber’s base salary was initially set at $650,000 per year (which may be increased, but not decreased, during the term of the agreement), subject to annual review and adjustment by our Board. Mr. Gruber is eligible to receive an annual bonus of up to 100% of his base salary based on the achievement of certain business goals set by our Board, and he may receive additional bonus amounts at the discretion of our Board. Pursuant to the terms of the amended and restated employment agreement, Mr. Gruber is eligible to receive an annual grant of equity awards having a target value equal to the median target award value granted to the Chief Executive Officers of the Company’s peer group, and he is eligible to receive additional stock awards at the discretion of our Board. Mr. Gruber is also entitled to participate in or receive benefits under all of our existing and future incentive programs and will continue to be eligible to participate in all employee benefit plans, including retirement plans, health care plans and fringe benefit plans, that are afforded generally to our executive officers.</w:t>
      </w:r>
    </w:p>
    <w:p>
      <w:pPr>
        <w:spacing w:after="0" w:line="158"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color w:val="4C4C4C"/>
        </w:rPr>
        <w:t>If Mr. Gruber’s employment is terminated without cause or by him for good reason, then he would be eligible to receive cash severance equal to 24 months of base salary plus 2.0x his annual target bonus, plus a pro-rata bonus for his year of termination (calculated based on his average actual bonus payout for</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COMPENSATION TABLES</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color w:val="4C4C4C"/>
        </w:rPr>
        <w:t>the prior three years), 18 months of free COBRA coverage, and immediate vesting of all outstanding equity awards. All severance benefits are contingent on Mr. Gruber’s execution of a release of claims in favor of the Company. If Mr. Gruber dies or becomes disabled while employed by the Company, then he would receive a payment equal to 12 months of base salary.</w:t>
      </w:r>
    </w:p>
    <w:p>
      <w:pPr>
        <w:spacing w:after="0" w:line="147"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4C4C4C"/>
        </w:rPr>
        <w:t>Mr. Gruber’s amended and restated employment agreement also includes a non-compete, a non-solicitation of clients and customers, and a non-solicitation of employees, each of which is effective at all times while Mr. Gruber is employed and for two years after his termination of employment for any reason. As consideration for the non-competition covenant, the Company granted Mr. Gruber 10,000 shares of restricted stock plus the right to receive a non-compete payment, which would become due in the event his employment terminates for any reason other than cause, death, or disability, equal to 18 months of base salary plus 1.5x his target annual bonus, which cash payment would be required to be repaid if Mr. Gruber violates any restrictive covenant. In addition, if his employment terminates due to retirement or resignation, his outstanding equity awards will vest in full over a period of 18 months following termination of employment, provided that if he violates any of the restrictive covenants then such vesting will immediately cease.</w:t>
      </w:r>
    </w:p>
    <w:p>
      <w:pPr>
        <w:spacing w:after="0" w:line="162" w:lineRule="exact"/>
        <w:rPr>
          <w:sz w:val="20"/>
          <w:szCs w:val="20"/>
          <w:color w:val="auto"/>
        </w:rPr>
      </w:pPr>
    </w:p>
    <w:p>
      <w:pPr>
        <w:ind w:left="1260" w:right="839"/>
        <w:spacing w:after="0" w:line="242" w:lineRule="auto"/>
        <w:rPr>
          <w:sz w:val="20"/>
          <w:szCs w:val="20"/>
          <w:color w:val="auto"/>
        </w:rPr>
      </w:pPr>
      <w:r>
        <w:rPr>
          <w:rFonts w:ascii="Arial" w:cs="Arial" w:eastAsia="Arial" w:hAnsi="Arial"/>
          <w:sz w:val="18"/>
          <w:szCs w:val="18"/>
          <w:color w:val="4C4C4C"/>
        </w:rPr>
        <w:t>Mr. Gruber’s amended and restated employment agreement also includes provisions intended to encourage a smooth transition in the event of his retirement. Specifically, it provides that if he</w:t>
      </w:r>
    </w:p>
    <w:p>
      <w:pPr>
        <w:ind w:left="1540" w:hanging="280"/>
        <w:spacing w:after="0" w:line="224" w:lineRule="auto"/>
        <w:tabs>
          <w:tab w:leader="none" w:pos="1540" w:val="left"/>
        </w:tabs>
        <w:numPr>
          <w:ilvl w:val="0"/>
          <w:numId w:val="75"/>
        </w:numPr>
        <w:rPr>
          <w:rFonts w:ascii="Arial" w:cs="Arial" w:eastAsia="Arial" w:hAnsi="Arial"/>
          <w:sz w:val="18"/>
          <w:szCs w:val="18"/>
          <w:color w:val="4C4C4C"/>
        </w:rPr>
      </w:pPr>
      <w:r>
        <w:rPr>
          <w:rFonts w:ascii="Arial" w:cs="Arial" w:eastAsia="Arial" w:hAnsi="Arial"/>
          <w:sz w:val="18"/>
          <w:szCs w:val="18"/>
          <w:color w:val="4C4C4C"/>
        </w:rPr>
        <w:t>retires following his 65</w:t>
      </w:r>
      <w:r>
        <w:rPr>
          <w:rFonts w:ascii="Trebuchet MS" w:cs="Trebuchet MS" w:eastAsia="Trebuchet MS" w:hAnsi="Trebuchet MS"/>
          <w:sz w:val="26"/>
          <w:szCs w:val="26"/>
          <w:color w:val="4C4C4C"/>
          <w:vertAlign w:val="superscript"/>
        </w:rPr>
        <w:t>th</w:t>
      </w:r>
      <w:r>
        <w:rPr>
          <w:rFonts w:ascii="Arial" w:cs="Arial" w:eastAsia="Arial" w:hAnsi="Arial"/>
          <w:sz w:val="18"/>
          <w:szCs w:val="18"/>
          <w:color w:val="4C4C4C"/>
        </w:rPr>
        <w:t xml:space="preserve"> birthday after providing at least six months’ notice of his retirement,</w:t>
      </w:r>
    </w:p>
    <w:p>
      <w:pPr>
        <w:spacing w:after="0" w:line="1" w:lineRule="exact"/>
        <w:rPr>
          <w:rFonts w:ascii="Arial" w:cs="Arial" w:eastAsia="Arial" w:hAnsi="Arial"/>
          <w:sz w:val="18"/>
          <w:szCs w:val="18"/>
          <w:color w:val="4C4C4C"/>
        </w:rPr>
      </w:pPr>
    </w:p>
    <w:p>
      <w:pPr>
        <w:ind w:left="1260" w:right="419"/>
        <w:spacing w:after="0" w:line="252" w:lineRule="auto"/>
        <w:tabs>
          <w:tab w:leader="none" w:pos="1541" w:val="left"/>
        </w:tabs>
        <w:numPr>
          <w:ilvl w:val="0"/>
          <w:numId w:val="75"/>
        </w:numPr>
        <w:rPr>
          <w:rFonts w:ascii="Arial" w:cs="Arial" w:eastAsia="Arial" w:hAnsi="Arial"/>
          <w:sz w:val="18"/>
          <w:szCs w:val="18"/>
          <w:color w:val="4C4C4C"/>
        </w:rPr>
      </w:pPr>
      <w:r>
        <w:rPr>
          <w:rFonts w:ascii="Arial" w:cs="Arial" w:eastAsia="Arial" w:hAnsi="Arial"/>
          <w:sz w:val="18"/>
          <w:szCs w:val="18"/>
          <w:color w:val="4C4C4C"/>
        </w:rPr>
        <w:t>remains employed through the date his successor is appointed (even if such date is more than six months after he provides notice of his retirement), (3) properly transitions his duties to his successor, and (4) agrees to provide consulting services for 2 years after retirement (the “Retirement Criteria”), then he will be eligible to receive the same cash benefits and COBRA benefits he would have been entitled to if his employment had terminated for good reason, as described above, contingent on his execution of a standard release of claims in favor of the Company.</w:t>
      </w:r>
    </w:p>
    <w:p>
      <w:pPr>
        <w:spacing w:after="0" w:line="156" w:lineRule="exact"/>
        <w:rPr>
          <w:sz w:val="20"/>
          <w:szCs w:val="20"/>
          <w:color w:val="auto"/>
        </w:rPr>
      </w:pPr>
    </w:p>
    <w:p>
      <w:pPr>
        <w:ind w:left="1260" w:right="459"/>
        <w:spacing w:after="0" w:line="269" w:lineRule="auto"/>
        <w:rPr>
          <w:sz w:val="20"/>
          <w:szCs w:val="20"/>
          <w:color w:val="auto"/>
        </w:rPr>
      </w:pPr>
      <w:r>
        <w:rPr>
          <w:rFonts w:ascii="Arial" w:cs="Arial" w:eastAsia="Arial" w:hAnsi="Arial"/>
          <w:sz w:val="18"/>
          <w:szCs w:val="18"/>
          <w:color w:val="4C4C4C"/>
        </w:rPr>
        <w:t>Mr. Gruber’s employment agreement also provides certain benefits to Mr. Gruber in circumstances involving a change in control, as described below in the section entitled “— Potential Payments upon Termination and Change of Control.”</w:t>
      </w:r>
    </w:p>
    <w:p>
      <w:pPr>
        <w:spacing w:after="0" w:line="141" w:lineRule="exact"/>
        <w:rPr>
          <w:sz w:val="20"/>
          <w:szCs w:val="20"/>
          <w:color w:val="auto"/>
        </w:rPr>
      </w:pPr>
    </w:p>
    <w:p>
      <w:pPr>
        <w:ind w:left="1260" w:right="499"/>
        <w:spacing w:after="0" w:line="258" w:lineRule="auto"/>
        <w:rPr>
          <w:sz w:val="20"/>
          <w:szCs w:val="20"/>
          <w:color w:val="auto"/>
        </w:rPr>
      </w:pPr>
      <w:r>
        <w:rPr>
          <w:rFonts w:ascii="Arial" w:cs="Arial" w:eastAsia="Arial" w:hAnsi="Arial"/>
          <w:sz w:val="18"/>
          <w:szCs w:val="18"/>
          <w:color w:val="4C4C4C"/>
        </w:rPr>
        <w:t>As previously disclosed, Mr. Gruber retired effective March 31, 2026. Under his employment agreement described above, he received cash severance equal to 24 months of base salary plus 2.0x his annual target bonus, plus a pro-rata bonus for his year of termination (calculated based on his average actual bonus payout for the prior three years), 18 months of free COBRA coverage, and his outstanding equity awards will vest in full over a period of 18 months following his retirement. He also received the non-compete payment of 18 months of base salary plus 1.5x his target annual bonus, which is required to be repaid if Mr. Gruber violates any restrictive covenant in his employment agreement.</w:t>
      </w:r>
    </w:p>
    <w:p>
      <w:pPr>
        <w:spacing w:after="0" w:line="182"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Oluwagbemileke (Leke) Agiri</w:t>
      </w:r>
    </w:p>
    <w:p>
      <w:pPr>
        <w:spacing w:after="0" w:line="185"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color w:val="4C4C4C"/>
        </w:rPr>
        <w:t>We entered into an employment agreement with Mr. Agiri on January 1, 2026. Under the employment agreement, Mr. Agiri’s base salary was initially set at $380,000 per year (which may be increased, but not decreased, during the term), subject to annual review. Mr. Agiri is eligible to receive an annual bonus of up to 65% of his base salary based on the achievement of certain business goals set by our Board on an annual basis and may receive additional bonus amounts at the discretion of our Board. Pursuant to the terms of the employment agreement, Mr. Agiri is eligible to receive an annual incentive equity award at the discretion of our Board. Mr. Agiri is also entitled to participate in or receive benefits under all of our existing and future incentive programs and will continue to be eligible to participate in all employee benefit plans, including retirement plans, health care plans and fringe benefit plans, that are afforded generally to our executive officers.</w:t>
      </w:r>
    </w:p>
    <w:p>
      <w:pPr>
        <w:spacing w:after="0" w:line="166"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4C4C4C"/>
        </w:rPr>
        <w:t>If Mr. Agiri’s employment is terminated without cause or by him for good reason, then he would be eligible to receive 12 months of free COBRA coverage. All severance benefits are contingent on Mr. Agiri’s execution of a release of claims in favor of the Company. If Mr. Agiri dies or becomes disabled while employed by the Company, then he would receive a payment equal to six months of base salary.</w:t>
      </w:r>
    </w:p>
    <w:p>
      <w:pPr>
        <w:spacing w:after="0" w:line="363" w:lineRule="exact"/>
        <w:rPr>
          <w:sz w:val="20"/>
          <w:szCs w:val="20"/>
          <w:color w:val="auto"/>
        </w:rPr>
      </w:pPr>
    </w:p>
    <w:p>
      <w:pPr>
        <w:ind w:left="1780" w:hanging="520"/>
        <w:spacing w:after="0"/>
        <w:tabs>
          <w:tab w:leader="none" w:pos="1780" w:val="left"/>
        </w:tabs>
        <w:numPr>
          <w:ilvl w:val="0"/>
          <w:numId w:val="76"/>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7920"/>
        <w:spacing w:after="0"/>
        <w:rPr>
          <w:sz w:val="20"/>
          <w:szCs w:val="20"/>
          <w:color w:val="auto"/>
        </w:rPr>
      </w:pPr>
      <w:r>
        <w:rPr>
          <w:rFonts w:ascii="Arial" w:cs="Arial" w:eastAsia="Arial" w:hAnsi="Arial"/>
          <w:sz w:val="12"/>
          <w:szCs w:val="12"/>
          <w:color w:val="346094"/>
        </w:rPr>
        <w:t>COMPENSATION TABLES</w:t>
      </w:r>
    </w:p>
    <w:p>
      <w:pPr>
        <w:spacing w:after="0" w:line="33"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04"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4C4C4C"/>
        </w:rPr>
        <w:t>Mr. Agiri’s employment agreement also includes a non-compete, a non-solicitation of clients and customers, and a non-solicitation of employees, each of which is effective at all times while Mr. Agiri is employed and for 12 months after his termination of employment for any reason (except that, if his termination occurs during the CIC Protection Period (as defined below), then the period is shortened to 6 months). As consideration for the non-competition covenant, the Company granted Mr. Agiri 10,000 shares of restricted stock plus the right to receive a non-compete payment, which would become due in the event his employment terminates for any reason other than cause, death, or disability, equal to 12 months of base salary plus 1.0x his target annual bonus (or 6 months of base salary plus 0.5x his target annual bonus in the event his termination occurs during the CIC Protection Period), which cash payment would be required to be repaid if Mr. Agiri violates any restrictive covenant. In addition, if his employment terminates for any reason other than for Cause or due to death or disability, then his outstanding equity awards will continue to vest for a period of 12 months following termination of employment, provided that if he violates any of the restrictive covenants then such vesting will immediately cease.</w:t>
      </w:r>
    </w:p>
    <w:p>
      <w:pPr>
        <w:spacing w:after="0" w:line="150" w:lineRule="exact"/>
        <w:rPr>
          <w:sz w:val="20"/>
          <w:szCs w:val="20"/>
          <w:color w:val="auto"/>
        </w:rPr>
      </w:pPr>
    </w:p>
    <w:p>
      <w:pPr>
        <w:ind w:left="1260" w:right="479"/>
        <w:spacing w:after="0" w:line="269" w:lineRule="auto"/>
        <w:rPr>
          <w:sz w:val="20"/>
          <w:szCs w:val="20"/>
          <w:color w:val="auto"/>
        </w:rPr>
      </w:pPr>
      <w:r>
        <w:rPr>
          <w:rFonts w:ascii="Arial" w:cs="Arial" w:eastAsia="Arial" w:hAnsi="Arial"/>
          <w:sz w:val="18"/>
          <w:szCs w:val="18"/>
          <w:color w:val="4C4C4C"/>
        </w:rPr>
        <w:t>Mr. Agiri’s employment agreement also provides certain benefits to Mr. Agiri in circumstances involving a change in control, as described below in the section entitled “— Potential Payments upon Termination and Change of Control.”</w:t>
      </w:r>
    </w:p>
    <w:p>
      <w:pPr>
        <w:spacing w:after="0" w:line="155" w:lineRule="exact"/>
        <w:rPr>
          <w:sz w:val="20"/>
          <w:szCs w:val="20"/>
          <w:color w:val="auto"/>
        </w:rPr>
      </w:pPr>
    </w:p>
    <w:p>
      <w:pPr>
        <w:ind w:left="1260" w:right="419"/>
        <w:spacing w:after="0" w:line="267" w:lineRule="auto"/>
        <w:rPr>
          <w:sz w:val="20"/>
          <w:szCs w:val="20"/>
          <w:color w:val="auto"/>
        </w:rPr>
      </w:pPr>
      <w:r>
        <w:rPr>
          <w:rFonts w:ascii="Arial" w:cs="Arial" w:eastAsia="Arial" w:hAnsi="Arial"/>
          <w:sz w:val="18"/>
          <w:szCs w:val="18"/>
          <w:color w:val="4C4C4C"/>
        </w:rPr>
        <w:t>Prior to January 1, 2026, Mr. Agiri’s employment terms were governed by an offer letter entered into in July 2022. Under the offer letter agreement, Mr. Agiri’s base salary was initially set at $240,000, subject to annual review and adjustment by our Board. Mr. Agiri is eligible to receive an annual bonus of up to 25% of his base salary and an annual incentive award in equity, each of which may or may not be granted in the sole discretion of our Board.</w:t>
      </w:r>
    </w:p>
    <w:p>
      <w:pPr>
        <w:spacing w:after="0" w:line="145" w:lineRule="exact"/>
        <w:rPr>
          <w:sz w:val="20"/>
          <w:szCs w:val="20"/>
          <w:color w:val="auto"/>
        </w:rPr>
      </w:pPr>
    </w:p>
    <w:p>
      <w:pPr>
        <w:ind w:left="1260" w:right="479"/>
        <w:spacing w:after="0" w:line="260" w:lineRule="auto"/>
        <w:rPr>
          <w:sz w:val="20"/>
          <w:szCs w:val="20"/>
          <w:color w:val="auto"/>
        </w:rPr>
      </w:pPr>
      <w:r>
        <w:rPr>
          <w:rFonts w:ascii="Arial" w:cs="Arial" w:eastAsia="Arial" w:hAnsi="Arial"/>
          <w:sz w:val="18"/>
          <w:szCs w:val="18"/>
          <w:color w:val="4C4C4C"/>
        </w:rPr>
        <w:t>If Mr. Agiri’s employment with the Company had terminated for any reason prior to January 1, 2026, he would have received payment for all unpaid salary and unused paid time off accrued and earned as of the date of termination of employment, and his benefits would be continued under the Company’s then existing benefit plans and policies for so long as provided under the terms of such plans and policies and as required by applicable law.</w:t>
      </w:r>
    </w:p>
    <w:p>
      <w:pPr>
        <w:spacing w:after="0" w:line="148" w:lineRule="exact"/>
        <w:rPr>
          <w:sz w:val="20"/>
          <w:szCs w:val="20"/>
          <w:color w:val="auto"/>
        </w:rPr>
      </w:pPr>
    </w:p>
    <w:p>
      <w:pPr>
        <w:ind w:left="1260" w:right="539"/>
        <w:spacing w:after="0" w:line="269" w:lineRule="auto"/>
        <w:rPr>
          <w:sz w:val="20"/>
          <w:szCs w:val="20"/>
          <w:color w:val="auto"/>
        </w:rPr>
      </w:pPr>
      <w:r>
        <w:rPr>
          <w:rFonts w:ascii="Arial" w:cs="Arial" w:eastAsia="Arial" w:hAnsi="Arial"/>
          <w:sz w:val="18"/>
          <w:szCs w:val="18"/>
          <w:color w:val="4C4C4C"/>
        </w:rPr>
        <w:t>Mr. Agiri would also have been entitled to certain payments and benefits in circumstances involving a change in control, as described below in the section entitled “— Potential Payments upon Termination and Change of Control.”</w:t>
      </w:r>
    </w:p>
    <w:p>
      <w:pPr>
        <w:spacing w:after="0" w:line="171"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 xml:space="preserve">Christopher </w:t>
      </w:r>
      <w:r>
        <w:rPr>
          <w:rFonts w:ascii="Arial" w:cs="Arial" w:eastAsia="Arial" w:hAnsi="Arial"/>
          <w:sz w:val="20"/>
          <w:szCs w:val="20"/>
          <w:i w:val="1"/>
          <w:iCs w:val="1"/>
          <w:color w:val="346094"/>
        </w:rPr>
        <w:t>M</w:t>
      </w:r>
      <w:r>
        <w:rPr>
          <w:rFonts w:ascii="Trebuchet MS" w:cs="Trebuchet MS" w:eastAsia="Trebuchet MS" w:hAnsi="Trebuchet MS"/>
          <w:sz w:val="22"/>
          <w:szCs w:val="22"/>
          <w:i w:val="1"/>
          <w:iCs w:val="1"/>
          <w:color w:val="346094"/>
        </w:rPr>
        <w:t>. Ryan</w:t>
      </w:r>
    </w:p>
    <w:p>
      <w:pPr>
        <w:spacing w:after="0" w:line="187" w:lineRule="exact"/>
        <w:rPr>
          <w:sz w:val="20"/>
          <w:szCs w:val="20"/>
          <w:color w:val="auto"/>
        </w:rPr>
      </w:pPr>
    </w:p>
    <w:p>
      <w:pPr>
        <w:ind w:left="1260" w:right="519"/>
        <w:spacing w:after="0" w:line="258" w:lineRule="auto"/>
        <w:rPr>
          <w:sz w:val="20"/>
          <w:szCs w:val="20"/>
          <w:color w:val="auto"/>
        </w:rPr>
      </w:pPr>
      <w:r>
        <w:rPr>
          <w:rFonts w:ascii="Arial" w:cs="Arial" w:eastAsia="Arial" w:hAnsi="Arial"/>
          <w:sz w:val="18"/>
          <w:szCs w:val="18"/>
          <w:color w:val="4C4C4C"/>
        </w:rPr>
        <w:t>In August 2024, we entered into an amended and restated employment agreement with Mr. Ryan. Under the amended and restated employment agreement, Mr. Ryan’s base salary was initially set at $431,600 per year (which may be increased, but not decreased, during the term), subject to annual review and adjustment by our Board. Mr. Ryan is eligible to receive an annual bonus of up to 80% of his base salary based on the achievement of certain business goals set by our Board on an annual basis and may receive additional bonus amounts at the discretion of our Board. Pursuant to the terms of the employment agreement, Mr. Ryan is eligible to receive an annual incentive award with a fair market value equal to $200,000 on the date of grant, consisting of restricted stock and/or stock options, and is eligible to receive additional stock awards at the discretion of our Board.</w:t>
      </w:r>
    </w:p>
    <w:p>
      <w:pPr>
        <w:spacing w:after="0" w:line="6"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4C4C4C"/>
        </w:rPr>
        <w:t>Mr. Ryan is also entitled to participate in or receive benefits under all of our existing and future incentive programs and will continue to be eligible to participate in all employee benefit plans, including retirement plans, health care plans and fringe benefit plans, that are afforded generally to our executive officers.</w:t>
      </w:r>
    </w:p>
    <w:p>
      <w:pPr>
        <w:spacing w:after="0" w:line="162"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color w:val="4C4C4C"/>
        </w:rPr>
        <w:t>If Mr. Ryan’s employment is terminated without cause or by him for good reason, then he would be eligible to receive cash severance equal to 12 months of base salary plus 1.0x his target bonus, plus a pro-rata bonus for his year of termination (calculated based on his average actual bonus payout for the prior three years), 18 months of free COBRA coverage, and immediate vesting of all outstanding equity awards. All severance benefits are contingent on Mr. Ryan’s execution of a release of claims in favor of the Company. If Mr. Ryan dies or becomes disabled while employed by the Company, then he would receive a payment equal to 12 months of base salary.</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COMPENSATION TABLES</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04"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4C4C4C"/>
        </w:rPr>
        <w:t>Mr. Ryan’s amended and restated employment agreement also includes a non-compete, a non-solicitation of clients and customers, and a non-solicitation of employees, each of which is effective at all times while Mr. Ryan is employed and for two years after his termination of employment for any reason. As consideration for the non-competition covenant, the Company granted Mr. Ryan 10,000 shares of restricted stock plus the right to receive a non-compete payment, which would become due in the event his employment terminates for any reason other than cause, death, or disability, equal to 18 months of base salary plus 1.0x his target annual bonus, which cash payment would be required to be repaid if Mr. Ryan violates any restrictive covenant. In addition, if his employment terminates due to retirement or resignation, his outstanding equity awards will continue to vest for a period of 18 months following termination of employment, provided that if he violates any of the restrictive covenants then such vesting will immediately cease.</w:t>
      </w:r>
    </w:p>
    <w:p>
      <w:pPr>
        <w:spacing w:after="0" w:line="148" w:lineRule="exact"/>
        <w:rPr>
          <w:sz w:val="20"/>
          <w:szCs w:val="20"/>
          <w:color w:val="auto"/>
        </w:rPr>
      </w:pPr>
    </w:p>
    <w:p>
      <w:pPr>
        <w:ind w:left="1260" w:right="419"/>
        <w:spacing w:after="0" w:line="262" w:lineRule="auto"/>
        <w:rPr>
          <w:sz w:val="20"/>
          <w:szCs w:val="20"/>
          <w:color w:val="auto"/>
        </w:rPr>
      </w:pPr>
      <w:r>
        <w:rPr>
          <w:rFonts w:ascii="Arial" w:cs="Arial" w:eastAsia="Arial" w:hAnsi="Arial"/>
          <w:sz w:val="18"/>
          <w:szCs w:val="18"/>
          <w:color w:val="4C4C4C"/>
        </w:rPr>
        <w:t>Mr. Ryan’s amended and restated employment agreement also includes the same provision as in Mr. Gruber’s agreement that is intended to promote a smooth transition of his duties upon retirement. If he meets the Retirement Criteria, then he will be eligible to receive the same cash benefits and COBRA benefits he would have been entitled to if his employment had terminated for good reason, as described above, contingent on his execution of a standard release of claims in favor of the Company.</w:t>
      </w:r>
    </w:p>
    <w:p>
      <w:pPr>
        <w:spacing w:after="0" w:line="382" w:lineRule="exact"/>
        <w:rPr>
          <w:sz w:val="20"/>
          <w:szCs w:val="20"/>
          <w:color w:val="auto"/>
        </w:rPr>
      </w:pPr>
    </w:p>
    <w:p>
      <w:pPr>
        <w:ind w:left="1260" w:right="459"/>
        <w:spacing w:after="0" w:line="269" w:lineRule="auto"/>
        <w:rPr>
          <w:sz w:val="20"/>
          <w:szCs w:val="20"/>
          <w:color w:val="auto"/>
        </w:rPr>
      </w:pPr>
      <w:r>
        <w:rPr>
          <w:rFonts w:ascii="Arial" w:cs="Arial" w:eastAsia="Arial" w:hAnsi="Arial"/>
          <w:sz w:val="18"/>
          <w:szCs w:val="18"/>
          <w:color w:val="4C4C4C"/>
        </w:rPr>
        <w:t>Mr. Ryan’s employment agreement also provides certain benefits to Mr. Ryan in circumstances involving a change in control, as described below in the section entitled “— Potential Payments upon Termination and Change of Control.”</w:t>
      </w:r>
    </w:p>
    <w:p>
      <w:pPr>
        <w:spacing w:after="0" w:line="141" w:lineRule="exact"/>
        <w:rPr>
          <w:sz w:val="20"/>
          <w:szCs w:val="20"/>
          <w:color w:val="auto"/>
        </w:rPr>
      </w:pPr>
    </w:p>
    <w:p>
      <w:pPr>
        <w:ind w:left="1260" w:right="419"/>
        <w:spacing w:after="0" w:line="258" w:lineRule="auto"/>
        <w:rPr>
          <w:sz w:val="20"/>
          <w:szCs w:val="20"/>
          <w:color w:val="auto"/>
        </w:rPr>
      </w:pPr>
      <w:r>
        <w:rPr>
          <w:rFonts w:ascii="Arial" w:cs="Arial" w:eastAsia="Arial" w:hAnsi="Arial"/>
          <w:sz w:val="18"/>
          <w:szCs w:val="18"/>
          <w:color w:val="4C4C4C"/>
        </w:rPr>
        <w:t>Mr. Ryan will retire effective June 5, 2026, following the 2026 Annual Meeting. Under his employment agreement, he will be entitled to receive cash severance equal to 12 months of base salary plus 1.0x his target bonus, plus a pro-rata bonus for his year of termination (calculated based on his average actual bonus payout for the prior three years), 18 months of free COBRA coverage, and all of his outstanding equity awards will vest over a period of 18 months following his retirement. He will also be entitled to receive the non-compete payment of 18 months of base salary plus 1.5x his target annual bonus, which is required to be repaid if Mr. Ryan violates any restrictive covenant in his employment agreement.</w:t>
      </w:r>
    </w:p>
    <w:p>
      <w:pPr>
        <w:spacing w:after="0" w:line="182"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Paul D. Bloom</w:t>
      </w:r>
    </w:p>
    <w:p>
      <w:pPr>
        <w:spacing w:after="0" w:line="185"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4C4C4C"/>
        </w:rPr>
        <w:t>On January 1, 2026, we entered into an amended and restated employment agreement with Mr. Bloom in anticipation of his promotion to Chief Executive Officer upon Mr. Gruber’s retirement. This agreement provides that Mr. Bloom would continue to serve as the Company’s President until Mr Gruber’s retirement on April 1, 2026, at which time he became the Company’s Chief Executive Officer. This agreement also provides that Mr. Bloom is entitled to a base salary of  $550,000 (which may be increased, but not decreased, during the term), a target annual bonus equal to 100% of his base salary, and he may be eligible to receive equity awards at the discretion of the Board. The remainder of Mr. Blooms employment agreement remained materially the same from his previous employment agreement described below.</w:t>
      </w:r>
    </w:p>
    <w:p>
      <w:pPr>
        <w:spacing w:after="0" w:line="146" w:lineRule="exact"/>
        <w:rPr>
          <w:sz w:val="20"/>
          <w:szCs w:val="20"/>
          <w:color w:val="auto"/>
        </w:rPr>
      </w:pPr>
    </w:p>
    <w:p>
      <w:pPr>
        <w:ind w:left="1260" w:right="439"/>
        <w:spacing w:after="0" w:line="260" w:lineRule="auto"/>
        <w:rPr>
          <w:sz w:val="20"/>
          <w:szCs w:val="20"/>
          <w:color w:val="auto"/>
        </w:rPr>
      </w:pPr>
      <w:r>
        <w:rPr>
          <w:rFonts w:ascii="Arial" w:cs="Arial" w:eastAsia="Arial" w:hAnsi="Arial"/>
          <w:sz w:val="18"/>
          <w:szCs w:val="18"/>
          <w:color w:val="4C4C4C"/>
        </w:rPr>
        <w:t>Prior to January 1, 2026, Mr. Bloom’s employment with the Company was governed by an employment agreement entered into in August 2024. Under the employment agreement, Mr. Bloom’s base salary was initially set at $407,000 per year (which may be increased, but not decreased, during the term), subject to annual review and adjustment by our Board. Mr. Bloom is eligible to receive an annual bonus of up to 80% of his base salary based on the achievement of certain business goals set by our Board on an annual basis and may receive additional bonus amounts at the discretion of our Board. Pursuant to the terms of the employment agreement, Mr. Bloom is eligible to receive an annual incentive equity award at the discretion of our Board. Mr. Bloom is also entitled to participate in or receive benefits under all of our existing and future incentive programs and will continue to be eligible to participate in all employee benefit plans, including retirement plans, health care plans and fringe benefit plans, that are afforded generally to our executive officers.</w:t>
      </w:r>
    </w:p>
    <w:p>
      <w:pPr>
        <w:spacing w:after="0" w:line="166" w:lineRule="exact"/>
        <w:rPr>
          <w:sz w:val="20"/>
          <w:szCs w:val="20"/>
          <w:color w:val="auto"/>
        </w:rPr>
      </w:pPr>
    </w:p>
    <w:p>
      <w:pPr>
        <w:ind w:left="1260" w:right="479"/>
        <w:spacing w:after="0" w:line="268" w:lineRule="auto"/>
        <w:rPr>
          <w:sz w:val="20"/>
          <w:szCs w:val="20"/>
          <w:color w:val="auto"/>
        </w:rPr>
      </w:pPr>
      <w:r>
        <w:rPr>
          <w:rFonts w:ascii="Arial" w:cs="Arial" w:eastAsia="Arial" w:hAnsi="Arial"/>
          <w:sz w:val="18"/>
          <w:szCs w:val="18"/>
          <w:color w:val="4C4C4C"/>
        </w:rPr>
        <w:t>If Mr. Bloom’s employment is terminated without cause or by him for good reason, then he would be eligible to receive cash severance equal to six months of base salary, and 18 months of free COBRA coverage. All severance benefits are contingent on Mr. Bloom’s execution of a release of claims in favor</w:t>
      </w:r>
    </w:p>
    <w:p>
      <w:pPr>
        <w:spacing w:after="0" w:line="360" w:lineRule="exact"/>
        <w:rPr>
          <w:sz w:val="20"/>
          <w:szCs w:val="20"/>
          <w:color w:val="auto"/>
        </w:rPr>
      </w:pPr>
    </w:p>
    <w:p>
      <w:pPr>
        <w:ind w:left="1780" w:hanging="520"/>
        <w:spacing w:after="0"/>
        <w:tabs>
          <w:tab w:leader="none" w:pos="1780" w:val="left"/>
        </w:tabs>
        <w:numPr>
          <w:ilvl w:val="0"/>
          <w:numId w:val="77"/>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7920"/>
        <w:spacing w:after="0"/>
        <w:rPr>
          <w:sz w:val="20"/>
          <w:szCs w:val="20"/>
          <w:color w:val="auto"/>
        </w:rPr>
      </w:pPr>
      <w:r>
        <w:rPr>
          <w:rFonts w:ascii="Arial" w:cs="Arial" w:eastAsia="Arial" w:hAnsi="Arial"/>
          <w:sz w:val="12"/>
          <w:szCs w:val="12"/>
          <w:color w:val="346094"/>
        </w:rPr>
        <w:t>COMPENSATION TABLES</w:t>
      </w:r>
    </w:p>
    <w:p>
      <w:pPr>
        <w:spacing w:after="0" w:line="33"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90"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4C4C4C"/>
        </w:rPr>
        <w:t>of the Company. If Mr. Bloom dies or becomes disabled while employed by the Company, then he would receive a payment equal to six months of base salary.</w:t>
      </w:r>
    </w:p>
    <w:p>
      <w:pPr>
        <w:spacing w:after="0" w:line="151" w:lineRule="exact"/>
        <w:rPr>
          <w:sz w:val="20"/>
          <w:szCs w:val="20"/>
          <w:color w:val="auto"/>
        </w:rPr>
      </w:pPr>
    </w:p>
    <w:p>
      <w:pPr>
        <w:ind w:left="1260" w:right="659"/>
        <w:spacing w:after="0" w:line="248" w:lineRule="auto"/>
        <w:rPr>
          <w:sz w:val="20"/>
          <w:szCs w:val="20"/>
          <w:color w:val="auto"/>
        </w:rPr>
      </w:pPr>
      <w:r>
        <w:rPr>
          <w:rFonts w:ascii="Arial" w:cs="Arial" w:eastAsia="Arial" w:hAnsi="Arial"/>
          <w:sz w:val="18"/>
          <w:szCs w:val="18"/>
          <w:color w:val="4C4C4C"/>
        </w:rPr>
        <w:t>Mr. Bloom’s employment agreement also includes a non-compete, a non-solicitation of clients and customers, and a non-solicitation of employees, each of which is effective at all times while</w:t>
      </w:r>
    </w:p>
    <w:p>
      <w:pPr>
        <w:spacing w:after="0" w:line="2" w:lineRule="exact"/>
        <w:rPr>
          <w:sz w:val="20"/>
          <w:szCs w:val="20"/>
          <w:color w:val="auto"/>
        </w:rPr>
      </w:pPr>
    </w:p>
    <w:p>
      <w:pPr>
        <w:ind w:left="1260" w:right="639"/>
        <w:spacing w:after="0" w:line="239" w:lineRule="auto"/>
        <w:rPr>
          <w:sz w:val="20"/>
          <w:szCs w:val="20"/>
          <w:color w:val="auto"/>
        </w:rPr>
      </w:pPr>
      <w:r>
        <w:rPr>
          <w:rFonts w:ascii="Arial" w:cs="Arial" w:eastAsia="Arial" w:hAnsi="Arial"/>
          <w:sz w:val="18"/>
          <w:szCs w:val="18"/>
          <w:color w:val="4C4C4C"/>
        </w:rPr>
        <w:t>Mr. Bloom is employed and for two years after his termination of employment for any reason. As consideration for the non-competition covenant, the Company granted Mr. Bloom 10,000 shares of restricted stock plus the right to receive a non-compete payment, which would become due in the event his employment terminates for any reason other than cause, death, or disability, equal to</w:t>
      </w:r>
    </w:p>
    <w:p>
      <w:pPr>
        <w:ind w:left="1260" w:right="419"/>
        <w:spacing w:after="0" w:line="241" w:lineRule="auto"/>
        <w:rPr>
          <w:sz w:val="20"/>
          <w:szCs w:val="20"/>
          <w:color w:val="auto"/>
        </w:rPr>
      </w:pPr>
      <w:r>
        <w:rPr>
          <w:rFonts w:ascii="Arial" w:cs="Arial" w:eastAsia="Arial" w:hAnsi="Arial"/>
          <w:sz w:val="18"/>
          <w:szCs w:val="18"/>
          <w:color w:val="4C4C4C"/>
        </w:rPr>
        <w:t>18 months of base salary plus 1.0x his target annual bonus, which cash payment would be required to be repaid if Mr. Bloom violates any restrictive covenant. In addition, if his employment terminates for any reason other than for Cause or due to death or disability, then his outstanding equity awards will continue to vest for a period of 18 months following termination of employment, provided that if he violates any of the restrictive covenants then such vesting will immediately cease.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Mr. Bloom’s employment agreement also includes the same provision as in Mr. Gruber’s and</w:t>
      </w:r>
    </w:p>
    <w:p>
      <w:pPr>
        <w:spacing w:after="0" w:line="7"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4C4C4C"/>
        </w:rPr>
        <w:t>Mr. Ryan’s agreement that is intended to promote a smooth transition of his duties upon retirement. If he meets the Retirement Criteria (except that, he shall only be required to provide consulting services for six months instead of 24 months), then he will be eligible to receive the same cash benefits and COBRA benefits he would have been entitled to if his employment had terminated for good reason, as described above, contingent on his execution of a standard release of claims in favor of the Company.</w:t>
      </w:r>
    </w:p>
    <w:p>
      <w:pPr>
        <w:spacing w:after="0" w:line="371"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4C4C4C"/>
        </w:rPr>
        <w:t>Mr. Bloom may also be entitled to certain payments and benefits in circumstances involving a change in control, as described below in the section entitled “— Potential Payments upon Termination and Change of Control.”</w:t>
      </w:r>
    </w:p>
    <w:p>
      <w:pPr>
        <w:spacing w:after="0" w:line="206"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Andrew L. Shafer</w:t>
      </w:r>
    </w:p>
    <w:p>
      <w:pPr>
        <w:spacing w:after="0" w:line="172" w:lineRule="exact"/>
        <w:rPr>
          <w:sz w:val="20"/>
          <w:szCs w:val="20"/>
          <w:color w:val="auto"/>
        </w:rPr>
      </w:pPr>
    </w:p>
    <w:p>
      <w:pPr>
        <w:ind w:left="1260" w:right="479"/>
        <w:spacing w:after="0" w:line="244" w:lineRule="auto"/>
        <w:rPr>
          <w:sz w:val="20"/>
          <w:szCs w:val="20"/>
          <w:color w:val="auto"/>
        </w:rPr>
      </w:pPr>
      <w:r>
        <w:rPr>
          <w:rFonts w:ascii="Arial" w:cs="Arial" w:eastAsia="Arial" w:hAnsi="Arial"/>
          <w:sz w:val="18"/>
          <w:szCs w:val="18"/>
          <w:color w:val="4C4C4C"/>
        </w:rPr>
        <w:t>In October 2023, we entered into an offer letter agreement with Mr. Shafer. Under the offer letter agreement, Mr. Shafer’s base salary was initially set at $400,000, subject to annual review and adjustment by our Board. Mr. Shafer is eligible to receive an annual bonus of up to 65% of his base salary and an annual incentive award in equity, each of which may or may not be granted in the sole discretion of our Board.</w:t>
      </w:r>
    </w:p>
    <w:p>
      <w:pPr>
        <w:spacing w:after="0" w:line="163" w:lineRule="exact"/>
        <w:rPr>
          <w:sz w:val="20"/>
          <w:szCs w:val="20"/>
          <w:color w:val="auto"/>
        </w:rPr>
      </w:pPr>
    </w:p>
    <w:p>
      <w:pPr>
        <w:ind w:left="1260" w:right="519"/>
        <w:spacing w:after="0" w:line="243" w:lineRule="auto"/>
        <w:rPr>
          <w:sz w:val="20"/>
          <w:szCs w:val="20"/>
          <w:color w:val="auto"/>
        </w:rPr>
      </w:pPr>
      <w:r>
        <w:rPr>
          <w:rFonts w:ascii="Arial" w:cs="Arial" w:eastAsia="Arial" w:hAnsi="Arial"/>
          <w:sz w:val="18"/>
          <w:szCs w:val="18"/>
          <w:color w:val="4C4C4C"/>
        </w:rPr>
        <w:t>Mr. Shafer is an at-will employee of the Company and his employment relationship can be terminated by either him or us for any reason, at any time, with or without notice and with or without cause. Upon termination of Mr. Shafer’s employment with the Company for any reason, he will receive payment for all unpaid salary and unused paid time off accrued and earned as of the date of termination of employment, and his benefits will be continued under the Company’s then existing benefit plans and policies for so long as provided under the terms of such plans and policies and as required by applicable law.</w:t>
      </w:r>
    </w:p>
    <w:p>
      <w:pPr>
        <w:spacing w:after="0" w:line="153" w:lineRule="exact"/>
        <w:rPr>
          <w:sz w:val="20"/>
          <w:szCs w:val="20"/>
          <w:color w:val="auto"/>
        </w:rPr>
      </w:pPr>
    </w:p>
    <w:p>
      <w:pPr>
        <w:ind w:left="1260" w:right="1019"/>
        <w:spacing w:after="0" w:line="254" w:lineRule="auto"/>
        <w:rPr>
          <w:sz w:val="20"/>
          <w:szCs w:val="20"/>
          <w:color w:val="auto"/>
        </w:rPr>
      </w:pPr>
      <w:r>
        <w:rPr>
          <w:rFonts w:ascii="Arial" w:cs="Arial" w:eastAsia="Arial" w:hAnsi="Arial"/>
          <w:sz w:val="18"/>
          <w:szCs w:val="18"/>
          <w:color w:val="4C4C4C"/>
        </w:rPr>
        <w:t>Mr. Shafer may also be entitled to certain payments and benefits in circumstances involving a change in control, as described below in the section entitled “— Potential Payments upon Termination and Change of Control.”</w:t>
      </w:r>
    </w:p>
    <w:p>
      <w:pPr>
        <w:spacing w:after="0" w:line="185"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L. Lynn Smull</w:t>
      </w:r>
    </w:p>
    <w:p>
      <w:pPr>
        <w:spacing w:after="0" w:line="172" w:lineRule="exact"/>
        <w:rPr>
          <w:sz w:val="20"/>
          <w:szCs w:val="20"/>
          <w:color w:val="auto"/>
        </w:rPr>
      </w:pPr>
    </w:p>
    <w:p>
      <w:pPr>
        <w:ind w:left="1260" w:right="499"/>
        <w:spacing w:after="0" w:line="248" w:lineRule="auto"/>
        <w:rPr>
          <w:sz w:val="20"/>
          <w:szCs w:val="20"/>
          <w:color w:val="auto"/>
        </w:rPr>
      </w:pPr>
      <w:r>
        <w:rPr>
          <w:rFonts w:ascii="Arial" w:cs="Arial" w:eastAsia="Arial" w:hAnsi="Arial"/>
          <w:sz w:val="18"/>
          <w:szCs w:val="18"/>
          <w:color w:val="4C4C4C"/>
        </w:rPr>
        <w:t>In November 2019, we entered into an offer letter agreement with Mr. Smull. Under the offer letter agreement, Mr. Smull’s base salary was initially set at $300,000, subject to annual review and adjustment by our Board. Mr. Smull is eligible to receive an annual bonus of up to 40% of his base salary and an annual incentive award in equity of up to 30% of his annual salary, each of which may or may not be granted in the sole discretion of our Board.</w:t>
      </w:r>
    </w:p>
    <w:p>
      <w:pPr>
        <w:spacing w:after="0" w:line="146" w:lineRule="exact"/>
        <w:rPr>
          <w:sz w:val="20"/>
          <w:szCs w:val="20"/>
          <w:color w:val="auto"/>
        </w:rPr>
      </w:pPr>
    </w:p>
    <w:p>
      <w:pPr>
        <w:ind w:left="1260" w:right="459"/>
        <w:spacing w:after="0" w:line="244" w:lineRule="auto"/>
        <w:rPr>
          <w:sz w:val="20"/>
          <w:szCs w:val="20"/>
          <w:color w:val="auto"/>
        </w:rPr>
      </w:pPr>
      <w:r>
        <w:rPr>
          <w:rFonts w:ascii="Arial" w:cs="Arial" w:eastAsia="Arial" w:hAnsi="Arial"/>
          <w:sz w:val="18"/>
          <w:szCs w:val="18"/>
          <w:color w:val="4C4C4C"/>
        </w:rPr>
        <w:t>Mr. Smull is an at-will employee of the Company and his employment relationship can be terminated by either him or us for any reason, at any time, with or without notice and with or without cause. Upon termination of Mr. Smull’s employment with the Company for any reason, he will receive payment for all unpaid salary and unused paid time off accrued and earned as of the date of termination of employment,</w:t>
      </w:r>
    </w:p>
    <w:p>
      <w:pPr>
        <w:sectPr>
          <w:pgSz w:w="11900" w:h="16838" w:orient="portrait"/>
          <w:cols w:equalWidth="0" w:num="1">
            <w:col w:w="9879"/>
          </w:cols>
          <w:pgMar w:left="580" w:top="97" w:right="1440" w:bottom="1440" w:gutter="0" w:footer="0" w:header="0"/>
        </w:sectPr>
      </w:pPr>
    </w:p>
    <w:p>
      <w:pPr>
        <w:spacing w:after="0" w:line="394"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COMPENSATION TABLES</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260" w:right="439"/>
        <w:spacing w:after="0" w:line="258" w:lineRule="auto"/>
        <w:rPr>
          <w:sz w:val="20"/>
          <w:szCs w:val="20"/>
          <w:color w:val="auto"/>
        </w:rPr>
      </w:pPr>
      <w:r>
        <w:rPr>
          <w:rFonts w:ascii="Arial" w:cs="Arial" w:eastAsia="Arial" w:hAnsi="Arial"/>
          <w:sz w:val="18"/>
          <w:szCs w:val="18"/>
          <w:color w:val="4C4C4C"/>
        </w:rPr>
        <w:t>and his benefits will be continued under the Company’s then existing benefit plans and policies for so long as provided under the terms of such plans and policies and as required by applicable law. In the event that Mr. Smull is terminated for any reason (other than a change in control), Mr. Smull will be entitled to a payment of three months of his annual base salary.</w:t>
      </w:r>
    </w:p>
    <w:p>
      <w:pPr>
        <w:spacing w:after="0" w:line="151" w:lineRule="exact"/>
        <w:rPr>
          <w:sz w:val="20"/>
          <w:szCs w:val="20"/>
          <w:color w:val="auto"/>
        </w:rPr>
      </w:pPr>
    </w:p>
    <w:p>
      <w:pPr>
        <w:ind w:left="1260" w:right="499"/>
        <w:spacing w:after="0" w:line="269" w:lineRule="auto"/>
        <w:rPr>
          <w:sz w:val="20"/>
          <w:szCs w:val="20"/>
          <w:color w:val="auto"/>
        </w:rPr>
      </w:pPr>
      <w:r>
        <w:rPr>
          <w:rFonts w:ascii="Arial" w:cs="Arial" w:eastAsia="Arial" w:hAnsi="Arial"/>
          <w:sz w:val="18"/>
          <w:szCs w:val="18"/>
          <w:color w:val="4C4C4C"/>
        </w:rPr>
        <w:t>Mr. Smull may also be entitled certain payments and benefits in circumstances involving a change in control, as described below in the section entitled “— Potential Payments upon Termination and Change of Control.”</w:t>
      </w:r>
    </w:p>
    <w:p>
      <w:pPr>
        <w:spacing w:after="0" w:line="155"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4C4C4C"/>
        </w:rPr>
        <w:t>Mr. Smull retired effective January 1, 2026. Upon his retirement, he received (i) payment for all unpaid salary and unused paid time off accrued and earned as of the date of termination of employment, (ii) cash severance equal to 12 months of base salary plus 1.0x his annual target bonus, 12 months of free COBRA coverage, and his outstanding equity awards vested in full.</w:t>
      </w:r>
    </w:p>
    <w:p>
      <w:pPr>
        <w:spacing w:after="0" w:line="170"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Potential Payments upon Termination and Change of Control</w:t>
      </w:r>
    </w:p>
    <w:p>
      <w:pPr>
        <w:spacing w:after="0" w:line="205"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4C4C4C"/>
        </w:rPr>
        <w:t>Each of our named executive officers is eligible for severance benefits in the event their employment is terminated in connection with a change in control. These benefits are either provided under the terms of the named executive officer’s employment agreement or under our CIC Plan, depending on the named executive officer.</w:t>
      </w:r>
    </w:p>
    <w:p>
      <w:pPr>
        <w:spacing w:after="0" w:line="179"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Employment Agreement CIC Benefits</w:t>
      </w:r>
    </w:p>
    <w:p>
      <w:pPr>
        <w:spacing w:after="0" w:line="193"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4C4C4C"/>
        </w:rPr>
        <w:t>Pursuant to the amended and restated employment agreements with Messrs. Gruber and Ryan, in the event of a termination of employment following a change of control, each of these executives is entitled to have all of his outstanding unvested stock options and other equity awards immediately vest as of the date of his termination. If their employment terminates in connection with a change of control, then they would be entitled to receive the same severance benefits set forth in their employment agreements for a termination of employment unrelated to a change of control — neither is entitled to any enhanced severance benefits as a result of a change in control. Notably,</w:t>
      </w:r>
    </w:p>
    <w:p>
      <w:pPr>
        <w:spacing w:after="0" w:line="3" w:lineRule="exact"/>
        <w:rPr>
          <w:sz w:val="20"/>
          <w:szCs w:val="20"/>
          <w:color w:val="auto"/>
        </w:rPr>
      </w:pPr>
    </w:p>
    <w:p>
      <w:pPr>
        <w:ind w:left="1260" w:right="519"/>
        <w:spacing w:after="0" w:line="276" w:lineRule="auto"/>
        <w:rPr>
          <w:sz w:val="20"/>
          <w:szCs w:val="20"/>
          <w:color w:val="auto"/>
        </w:rPr>
      </w:pPr>
      <w:r>
        <w:rPr>
          <w:rFonts w:ascii="Arial" w:cs="Arial" w:eastAsia="Arial" w:hAnsi="Arial"/>
          <w:sz w:val="18"/>
          <w:szCs w:val="18"/>
          <w:color w:val="4C4C4C"/>
        </w:rPr>
        <w:t>Mr. Gruber’s and Mr. Ryan’s amended and restated employment agreement eliminated their right to single-trigger severance and equity award vesting upon a change in control.</w:t>
      </w:r>
    </w:p>
    <w:p>
      <w:pPr>
        <w:spacing w:after="0" w:line="134" w:lineRule="exact"/>
        <w:rPr>
          <w:sz w:val="20"/>
          <w:szCs w:val="20"/>
          <w:color w:val="auto"/>
        </w:rPr>
      </w:pPr>
    </w:p>
    <w:p>
      <w:pPr>
        <w:ind w:left="1260" w:right="559"/>
        <w:spacing w:after="0" w:line="260" w:lineRule="auto"/>
        <w:rPr>
          <w:sz w:val="20"/>
          <w:szCs w:val="20"/>
          <w:color w:val="auto"/>
        </w:rPr>
      </w:pPr>
      <w:r>
        <w:rPr>
          <w:rFonts w:ascii="Arial" w:cs="Arial" w:eastAsia="Arial" w:hAnsi="Arial"/>
          <w:sz w:val="18"/>
          <w:szCs w:val="18"/>
          <w:color w:val="4C4C4C"/>
        </w:rPr>
        <w:t>Pursuant to the employment agreements with Messrs. Agiri and Bloom, in the event of a change of control, each of these executives (if still employed by the Company) is entitled to have all of his outstanding unvested stock options and other equity awards immediately vest as of the date of his termination. If their employment is terminated within 30 days before, or 12 months after, a change in control, then they would be eligible to receive cash severance equal to 12 months of base salary plus 1.0x their target bonus and 18 months (12 months for Mr. Agiri) of free COBRA coverage in lieu of the severance otherwise due upon such events. As a condition of entering into the employment agreement, Messrs. Agiri and Bloom each ceased to be eligible for the CIC Plan.</w:t>
      </w:r>
    </w:p>
    <w:p>
      <w:pPr>
        <w:spacing w:after="0" w:line="150" w:lineRule="exact"/>
        <w:rPr>
          <w:sz w:val="20"/>
          <w:szCs w:val="20"/>
          <w:color w:val="auto"/>
        </w:rPr>
      </w:pPr>
    </w:p>
    <w:p>
      <w:pPr>
        <w:ind w:left="1260" w:right="779"/>
        <w:spacing w:after="0" w:line="268" w:lineRule="auto"/>
        <w:rPr>
          <w:sz w:val="20"/>
          <w:szCs w:val="20"/>
          <w:color w:val="auto"/>
        </w:rPr>
      </w:pPr>
      <w:r>
        <w:rPr>
          <w:rFonts w:ascii="Arial" w:cs="Arial" w:eastAsia="Arial" w:hAnsi="Arial"/>
          <w:sz w:val="18"/>
          <w:szCs w:val="18"/>
          <w:color w:val="4C4C4C"/>
        </w:rPr>
        <w:t>Change of control is defined in the amended and restated employment agreements for Messrs. Gruber and Ryan and the employment agreement for Messrs. Agiri and Bloom as having the same meaning as in the Company’s Amended and Restated 2010 Stock Incentive Plan, or any successor plan, as such plan may be amended from time to time.</w:t>
      </w:r>
    </w:p>
    <w:p>
      <w:pPr>
        <w:spacing w:after="0" w:line="166"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CIC Plan Benefits</w:t>
      </w:r>
    </w:p>
    <w:p>
      <w:pPr>
        <w:spacing w:after="0" w:line="193"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color w:val="4C4C4C"/>
        </w:rPr>
        <w:t>As of December 31, 2025, Messrs. Agiri, Smull and Shafer were participants in the CIC Plan. Under the CIC Plan, if a Change in Control (as defined in the CIC Plan) occurs and their employment is terminated by the Company without Cause (as defined in the CIC Plan) or they resign from the Company for Good Reason (as defined in the CIC Plan) within 30 days prior to or 12 months following the Change in Control, then they would be entitled to the following payments and benefits in addition to any earned and accrued base salary, vacation time and other accrued benefits that have not been paid as of the effective date of termination:</w:t>
      </w:r>
    </w:p>
    <w:p>
      <w:pPr>
        <w:spacing w:after="0" w:line="387" w:lineRule="exact"/>
        <w:rPr>
          <w:sz w:val="20"/>
          <w:szCs w:val="20"/>
          <w:color w:val="auto"/>
        </w:rPr>
      </w:pPr>
    </w:p>
    <w:p>
      <w:pPr>
        <w:ind w:left="1780" w:hanging="520"/>
        <w:spacing w:after="0"/>
        <w:tabs>
          <w:tab w:leader="none" w:pos="1780" w:val="left"/>
        </w:tabs>
        <w:numPr>
          <w:ilvl w:val="0"/>
          <w:numId w:val="78"/>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7920"/>
        <w:spacing w:after="0"/>
        <w:rPr>
          <w:sz w:val="20"/>
          <w:szCs w:val="20"/>
          <w:color w:val="auto"/>
        </w:rPr>
      </w:pPr>
      <w:r>
        <w:rPr>
          <w:rFonts w:ascii="Arial" w:cs="Arial" w:eastAsia="Arial" w:hAnsi="Arial"/>
          <w:sz w:val="12"/>
          <w:szCs w:val="12"/>
          <w:color w:val="346094"/>
        </w:rPr>
        <w:t>COMPENSATION TABLES</w:t>
      </w:r>
    </w:p>
    <w:p>
      <w:pPr>
        <w:spacing w:after="0" w:line="33"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800" w:right="419" w:hanging="180"/>
        <w:spacing w:after="0" w:line="255" w:lineRule="auto"/>
        <w:tabs>
          <w:tab w:leader="none" w:pos="1800" w:val="left"/>
        </w:tabs>
        <w:numPr>
          <w:ilvl w:val="0"/>
          <w:numId w:val="79"/>
        </w:numPr>
        <w:rPr>
          <w:rFonts w:ascii="Arial" w:cs="Arial" w:eastAsia="Arial" w:hAnsi="Arial"/>
          <w:sz w:val="18"/>
          <w:szCs w:val="18"/>
          <w:color w:val="4C4C4C"/>
        </w:rPr>
      </w:pPr>
      <w:r>
        <w:rPr>
          <w:rFonts w:ascii="Arial" w:cs="Arial" w:eastAsia="Arial" w:hAnsi="Arial"/>
          <w:sz w:val="18"/>
          <w:szCs w:val="18"/>
          <w:color w:val="4C4C4C"/>
        </w:rPr>
        <w:t>any unvested equity awards held by the participant will become fully vested and exercisable or payable (which, for performance-based equity awards, means vesting as if the performance goals had been attained at the target performance level),</w:t>
      </w:r>
    </w:p>
    <w:p>
      <w:pPr>
        <w:spacing w:after="0" w:line="70" w:lineRule="exact"/>
        <w:rPr>
          <w:rFonts w:ascii="Arial" w:cs="Arial" w:eastAsia="Arial" w:hAnsi="Arial"/>
          <w:sz w:val="18"/>
          <w:szCs w:val="18"/>
          <w:color w:val="4C4C4C"/>
        </w:rPr>
      </w:pPr>
    </w:p>
    <w:p>
      <w:pPr>
        <w:ind w:left="1800" w:right="659" w:hanging="180"/>
        <w:spacing w:after="0" w:line="289" w:lineRule="auto"/>
        <w:tabs>
          <w:tab w:leader="none" w:pos="1800" w:val="left"/>
        </w:tabs>
        <w:numPr>
          <w:ilvl w:val="0"/>
          <w:numId w:val="79"/>
        </w:numPr>
        <w:rPr>
          <w:rFonts w:ascii="Arial" w:cs="Arial" w:eastAsia="Arial" w:hAnsi="Arial"/>
          <w:sz w:val="18"/>
          <w:szCs w:val="18"/>
          <w:color w:val="4C4C4C"/>
        </w:rPr>
      </w:pPr>
      <w:r>
        <w:rPr>
          <w:rFonts w:ascii="Arial" w:cs="Arial" w:eastAsia="Arial" w:hAnsi="Arial"/>
          <w:sz w:val="18"/>
          <w:szCs w:val="18"/>
          <w:color w:val="4C4C4C"/>
        </w:rPr>
        <w:t>monthly salary continuation benefits for 12 months (or 6 months for Mr. Agiri) following the effective date of termination,</w:t>
      </w:r>
    </w:p>
    <w:p>
      <w:pPr>
        <w:spacing w:after="0" w:line="66" w:lineRule="exact"/>
        <w:rPr>
          <w:rFonts w:ascii="Arial" w:cs="Arial" w:eastAsia="Arial" w:hAnsi="Arial"/>
          <w:sz w:val="18"/>
          <w:szCs w:val="18"/>
          <w:color w:val="4C4C4C"/>
        </w:rPr>
      </w:pPr>
    </w:p>
    <w:p>
      <w:pPr>
        <w:ind w:left="1800" w:right="1059" w:hanging="180"/>
        <w:spacing w:after="0" w:line="273" w:lineRule="auto"/>
        <w:tabs>
          <w:tab w:leader="none" w:pos="1800" w:val="left"/>
        </w:tabs>
        <w:numPr>
          <w:ilvl w:val="0"/>
          <w:numId w:val="79"/>
        </w:numPr>
        <w:rPr>
          <w:rFonts w:ascii="Arial" w:cs="Arial" w:eastAsia="Arial" w:hAnsi="Arial"/>
          <w:sz w:val="18"/>
          <w:szCs w:val="18"/>
          <w:color w:val="4C4C4C"/>
        </w:rPr>
      </w:pPr>
      <w:r>
        <w:rPr>
          <w:rFonts w:ascii="Arial" w:cs="Arial" w:eastAsia="Arial" w:hAnsi="Arial"/>
          <w:sz w:val="18"/>
          <w:szCs w:val="18"/>
          <w:color w:val="4C4C4C"/>
        </w:rPr>
        <w:t>payment of the target annual bonus for the fiscal year during which the termination of employment occurs, for Messrs. Smull and Shafer and</w:t>
      </w:r>
    </w:p>
    <w:p>
      <w:pPr>
        <w:spacing w:after="0" w:line="69" w:lineRule="exact"/>
        <w:rPr>
          <w:rFonts w:ascii="Arial" w:cs="Arial" w:eastAsia="Arial" w:hAnsi="Arial"/>
          <w:sz w:val="18"/>
          <w:szCs w:val="18"/>
          <w:color w:val="4C4C4C"/>
        </w:rPr>
      </w:pPr>
    </w:p>
    <w:p>
      <w:pPr>
        <w:ind w:left="1800" w:right="439" w:hanging="180"/>
        <w:spacing w:after="0" w:line="250" w:lineRule="auto"/>
        <w:tabs>
          <w:tab w:leader="none" w:pos="1800" w:val="left"/>
        </w:tabs>
        <w:numPr>
          <w:ilvl w:val="0"/>
          <w:numId w:val="79"/>
        </w:numPr>
        <w:rPr>
          <w:rFonts w:ascii="Arial" w:cs="Arial" w:eastAsia="Arial" w:hAnsi="Arial"/>
          <w:sz w:val="18"/>
          <w:szCs w:val="18"/>
          <w:color w:val="4C4C4C"/>
        </w:rPr>
      </w:pPr>
      <w:r>
        <w:rPr>
          <w:rFonts w:ascii="Arial" w:cs="Arial" w:eastAsia="Arial" w:hAnsi="Arial"/>
          <w:sz w:val="18"/>
          <w:szCs w:val="18"/>
          <w:color w:val="4C4C4C"/>
        </w:rPr>
        <w:t>reimbursement by the Company for the proportionate cost of the premiums due for COBRA (as defined in the CIC Plan) continuation coverage under the Company’s group health plans for the participant, and the participant’s spouse and dependent children for the shorter of</w:t>
      </w:r>
    </w:p>
    <w:p>
      <w:pPr>
        <w:ind w:left="1800" w:right="879"/>
        <w:spacing w:after="0" w:line="263" w:lineRule="auto"/>
        <w:rPr>
          <w:rFonts w:ascii="Arial" w:cs="Arial" w:eastAsia="Arial" w:hAnsi="Arial"/>
          <w:sz w:val="18"/>
          <w:szCs w:val="18"/>
          <w:color w:val="4C4C4C"/>
        </w:rPr>
      </w:pPr>
      <w:r>
        <w:rPr>
          <w:rFonts w:ascii="Arial" w:cs="Arial" w:eastAsia="Arial" w:hAnsi="Arial"/>
          <w:sz w:val="18"/>
          <w:szCs w:val="18"/>
          <w:color w:val="4C4C4C"/>
        </w:rPr>
        <w:t>12 months (or 6 months for Mr. Agiri) following cessation of employment and the date on which the participant is no longer entitled to COBRA continuation coverage under the Company’s group health plans.</w:t>
      </w:r>
    </w:p>
    <w:p>
      <w:pPr>
        <w:spacing w:after="0" w:line="132"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4C4C4C"/>
        </w:rPr>
        <w:t>Messrs. Agiri, Shafer and Smull’s right to receive the Change in Control benefits under the CIC Plan is subject to and contingent upon the participant’s timely execution, without subsequent revocation, of a Release (as defined in the CIC Plan).</w:t>
      </w:r>
    </w:p>
    <w:p>
      <w:pPr>
        <w:spacing w:after="0" w:line="153" w:lineRule="exact"/>
        <w:rPr>
          <w:sz w:val="20"/>
          <w:szCs w:val="20"/>
          <w:color w:val="auto"/>
        </w:rPr>
      </w:pPr>
    </w:p>
    <w:p>
      <w:pPr>
        <w:ind w:left="1260" w:right="559"/>
        <w:spacing w:after="0" w:line="244" w:lineRule="auto"/>
        <w:rPr>
          <w:sz w:val="20"/>
          <w:szCs w:val="20"/>
          <w:color w:val="auto"/>
        </w:rPr>
      </w:pPr>
      <w:r>
        <w:rPr>
          <w:rFonts w:ascii="Arial" w:cs="Arial" w:eastAsia="Arial" w:hAnsi="Arial"/>
          <w:sz w:val="18"/>
          <w:szCs w:val="18"/>
          <w:color w:val="4C4C4C"/>
        </w:rPr>
        <w:t>The following table summarizes the potential payments and benefits payable to Messrs. Gruber, Ryan and Bloom upon (i) a termination of employment without cause or resignation for good reason and (ii) termination due to death or disability, in each case assuming that such termination and change of control, where applicable, occurred on December 31, 2025. Such benefits are provided under the terms of their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132715</wp:posOffset>
            </wp:positionV>
            <wp:extent cx="25400" cy="5829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400" cy="582930"/>
                    </a:xfrm>
                    <a:prstGeom prst="rect">
                      <a:avLst/>
                    </a:prstGeom>
                    <a:noFill/>
                  </pic:spPr>
                </pic:pic>
              </a:graphicData>
            </a:graphic>
          </wp:anchor>
        </w:drawing>
      </w:r>
    </w:p>
    <w:p>
      <w:pPr>
        <w:spacing w:after="0" w:line="189" w:lineRule="exact"/>
        <w:rPr>
          <w:sz w:val="20"/>
          <w:szCs w:val="20"/>
          <w:color w:val="auto"/>
        </w:rPr>
      </w:pPr>
    </w:p>
    <w:tbl>
      <w:tblPr>
        <w:tblLayout w:type="fixed"/>
        <w:tblInd w:w="1260" w:type="dxa"/>
        <w:tblCellMar>
          <w:top w:w="0" w:type="dxa"/>
          <w:left w:w="0" w:type="dxa"/>
          <w:bottom w:w="0" w:type="dxa"/>
          <w:right w:w="0" w:type="dxa"/>
        </w:tblCellMar>
      </w:tblPr>
      <w:tr>
        <w:trPr>
          <w:trHeight w:val="198"/>
        </w:trPr>
        <w:tc>
          <w:tcPr>
            <w:tcW w:w="140" w:type="dxa"/>
            <w:vAlign w:val="bottom"/>
            <w:shd w:val="clear" w:color="auto" w:fill="346094"/>
          </w:tcPr>
          <w:p>
            <w:pPr>
              <w:spacing w:after="0"/>
              <w:rPr>
                <w:sz w:val="17"/>
                <w:szCs w:val="17"/>
                <w:color w:val="auto"/>
              </w:rPr>
            </w:pPr>
          </w:p>
        </w:tc>
        <w:tc>
          <w:tcPr>
            <w:tcW w:w="1800" w:type="dxa"/>
            <w:vAlign w:val="bottom"/>
            <w:shd w:val="clear" w:color="auto" w:fill="346094"/>
          </w:tcPr>
          <w:p>
            <w:pPr>
              <w:spacing w:after="0"/>
              <w:rPr>
                <w:sz w:val="17"/>
                <w:szCs w:val="17"/>
                <w:color w:val="auto"/>
              </w:rPr>
            </w:pPr>
          </w:p>
        </w:tc>
        <w:tc>
          <w:tcPr>
            <w:tcW w:w="380" w:type="dxa"/>
            <w:vAlign w:val="bottom"/>
            <w:shd w:val="clear" w:color="auto" w:fill="346094"/>
          </w:tcPr>
          <w:p>
            <w:pPr>
              <w:spacing w:after="0"/>
              <w:rPr>
                <w:sz w:val="17"/>
                <w:szCs w:val="17"/>
                <w:color w:val="auto"/>
              </w:rPr>
            </w:pPr>
          </w:p>
        </w:tc>
        <w:tc>
          <w:tcPr>
            <w:tcW w:w="840" w:type="dxa"/>
            <w:vAlign w:val="bottom"/>
            <w:shd w:val="clear" w:color="auto" w:fill="346094"/>
          </w:tcPr>
          <w:p>
            <w:pPr>
              <w:spacing w:after="0"/>
              <w:rPr>
                <w:sz w:val="17"/>
                <w:szCs w:val="17"/>
                <w:color w:val="auto"/>
              </w:rPr>
            </w:pPr>
          </w:p>
        </w:tc>
        <w:tc>
          <w:tcPr>
            <w:tcW w:w="220" w:type="dxa"/>
            <w:vAlign w:val="bottom"/>
            <w:shd w:val="clear" w:color="auto" w:fill="346094"/>
          </w:tcPr>
          <w:p>
            <w:pPr>
              <w:spacing w:after="0"/>
              <w:rPr>
                <w:sz w:val="17"/>
                <w:szCs w:val="17"/>
                <w:color w:val="auto"/>
              </w:rPr>
            </w:pPr>
          </w:p>
        </w:tc>
        <w:tc>
          <w:tcPr>
            <w:tcW w:w="760" w:type="dxa"/>
            <w:vAlign w:val="bottom"/>
            <w:shd w:val="clear" w:color="auto" w:fill="346094"/>
          </w:tcPr>
          <w:p>
            <w:pPr>
              <w:spacing w:after="0"/>
              <w:rPr>
                <w:sz w:val="17"/>
                <w:szCs w:val="17"/>
                <w:color w:val="auto"/>
              </w:rPr>
            </w:pPr>
          </w:p>
        </w:tc>
        <w:tc>
          <w:tcPr>
            <w:tcW w:w="1680" w:type="dxa"/>
            <w:vAlign w:val="bottom"/>
            <w:shd w:val="clear" w:color="auto" w:fill="346094"/>
          </w:tcPr>
          <w:p>
            <w:pPr>
              <w:spacing w:after="0"/>
              <w:rPr>
                <w:sz w:val="17"/>
                <w:szCs w:val="17"/>
                <w:color w:val="auto"/>
              </w:rPr>
            </w:pPr>
          </w:p>
        </w:tc>
        <w:tc>
          <w:tcPr>
            <w:tcW w:w="960" w:type="dxa"/>
            <w:vAlign w:val="bottom"/>
            <w:shd w:val="clear" w:color="auto" w:fill="346094"/>
          </w:tcPr>
          <w:p>
            <w:pPr>
              <w:spacing w:after="0"/>
              <w:rPr>
                <w:sz w:val="17"/>
                <w:szCs w:val="17"/>
                <w:color w:val="auto"/>
              </w:rPr>
            </w:pPr>
          </w:p>
        </w:tc>
        <w:tc>
          <w:tcPr>
            <w:tcW w:w="180" w:type="dxa"/>
            <w:vAlign w:val="bottom"/>
            <w:shd w:val="clear" w:color="auto" w:fill="346094"/>
          </w:tcPr>
          <w:p>
            <w:pPr>
              <w:spacing w:after="0"/>
              <w:rPr>
                <w:sz w:val="17"/>
                <w:szCs w:val="17"/>
                <w:color w:val="auto"/>
              </w:rPr>
            </w:pPr>
          </w:p>
        </w:tc>
        <w:tc>
          <w:tcPr>
            <w:tcW w:w="1200" w:type="dxa"/>
            <w:vAlign w:val="bottom"/>
            <w:shd w:val="clear" w:color="auto" w:fill="346094"/>
          </w:tcPr>
          <w:p>
            <w:pPr>
              <w:jc w:val="center"/>
              <w:spacing w:after="0"/>
              <w:rPr>
                <w:sz w:val="20"/>
                <w:szCs w:val="20"/>
                <w:color w:val="auto"/>
              </w:rPr>
            </w:pPr>
            <w:r>
              <w:rPr>
                <w:rFonts w:ascii="Arial" w:cs="Arial" w:eastAsia="Arial" w:hAnsi="Arial"/>
                <w:sz w:val="14"/>
                <w:szCs w:val="14"/>
                <w:b w:val="1"/>
                <w:bCs w:val="1"/>
                <w:color w:val="FFFFFF"/>
              </w:rPr>
              <w:t>Termination Due</w:t>
            </w:r>
          </w:p>
        </w:tc>
        <w:tc>
          <w:tcPr>
            <w:tcW w:w="40" w:type="dxa"/>
            <w:vAlign w:val="bottom"/>
            <w:shd w:val="clear" w:color="auto" w:fill="34609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346094"/>
          </w:tcPr>
          <w:p>
            <w:pPr>
              <w:spacing w:after="0"/>
              <w:rPr>
                <w:sz w:val="14"/>
                <w:szCs w:val="14"/>
                <w:color w:val="auto"/>
              </w:rPr>
            </w:pPr>
          </w:p>
        </w:tc>
        <w:tc>
          <w:tcPr>
            <w:tcW w:w="1800" w:type="dxa"/>
            <w:vAlign w:val="bottom"/>
            <w:shd w:val="clear" w:color="auto" w:fill="346094"/>
          </w:tcPr>
          <w:p>
            <w:pPr>
              <w:spacing w:after="0"/>
              <w:rPr>
                <w:sz w:val="14"/>
                <w:szCs w:val="14"/>
                <w:color w:val="auto"/>
              </w:rPr>
            </w:pPr>
          </w:p>
        </w:tc>
        <w:tc>
          <w:tcPr>
            <w:tcW w:w="380" w:type="dxa"/>
            <w:vAlign w:val="bottom"/>
            <w:shd w:val="clear" w:color="auto" w:fill="346094"/>
          </w:tcPr>
          <w:p>
            <w:pPr>
              <w:spacing w:after="0"/>
              <w:rPr>
                <w:sz w:val="14"/>
                <w:szCs w:val="14"/>
                <w:color w:val="auto"/>
              </w:rPr>
            </w:pPr>
          </w:p>
        </w:tc>
        <w:tc>
          <w:tcPr>
            <w:tcW w:w="840" w:type="dxa"/>
            <w:vAlign w:val="bottom"/>
            <w:shd w:val="clear" w:color="auto" w:fill="346094"/>
          </w:tcPr>
          <w:p>
            <w:pPr>
              <w:spacing w:after="0"/>
              <w:rPr>
                <w:sz w:val="14"/>
                <w:szCs w:val="14"/>
                <w:color w:val="auto"/>
              </w:rPr>
            </w:pPr>
          </w:p>
        </w:tc>
        <w:tc>
          <w:tcPr>
            <w:tcW w:w="220" w:type="dxa"/>
            <w:vAlign w:val="bottom"/>
            <w:shd w:val="clear" w:color="auto" w:fill="346094"/>
          </w:tcPr>
          <w:p>
            <w:pPr>
              <w:spacing w:after="0"/>
              <w:rPr>
                <w:sz w:val="14"/>
                <w:szCs w:val="14"/>
                <w:color w:val="auto"/>
              </w:rPr>
            </w:pPr>
          </w:p>
        </w:tc>
        <w:tc>
          <w:tcPr>
            <w:tcW w:w="760" w:type="dxa"/>
            <w:vAlign w:val="bottom"/>
            <w:shd w:val="clear" w:color="auto" w:fill="346094"/>
          </w:tcPr>
          <w:p>
            <w:pPr>
              <w:spacing w:after="0"/>
              <w:rPr>
                <w:sz w:val="14"/>
                <w:szCs w:val="14"/>
                <w:color w:val="auto"/>
              </w:rPr>
            </w:pPr>
          </w:p>
        </w:tc>
        <w:tc>
          <w:tcPr>
            <w:tcW w:w="1680" w:type="dxa"/>
            <w:vAlign w:val="bottom"/>
            <w:shd w:val="clear" w:color="auto" w:fill="346094"/>
          </w:tcPr>
          <w:p>
            <w:pPr>
              <w:spacing w:after="0"/>
              <w:rPr>
                <w:sz w:val="14"/>
                <w:szCs w:val="14"/>
                <w:color w:val="auto"/>
              </w:rPr>
            </w:pPr>
          </w:p>
        </w:tc>
        <w:tc>
          <w:tcPr>
            <w:tcW w:w="960" w:type="dxa"/>
            <w:vAlign w:val="bottom"/>
            <w:shd w:val="clear" w:color="auto" w:fill="346094"/>
          </w:tcPr>
          <w:p>
            <w:pPr>
              <w:spacing w:after="0"/>
              <w:rPr>
                <w:sz w:val="14"/>
                <w:szCs w:val="14"/>
                <w:color w:val="auto"/>
              </w:rPr>
            </w:pPr>
          </w:p>
        </w:tc>
        <w:tc>
          <w:tcPr>
            <w:tcW w:w="180" w:type="dxa"/>
            <w:vAlign w:val="bottom"/>
            <w:shd w:val="clear" w:color="auto" w:fill="346094"/>
          </w:tcPr>
          <w:p>
            <w:pPr>
              <w:spacing w:after="0"/>
              <w:rPr>
                <w:sz w:val="14"/>
                <w:szCs w:val="14"/>
                <w:color w:val="auto"/>
              </w:rPr>
            </w:pPr>
          </w:p>
        </w:tc>
        <w:tc>
          <w:tcPr>
            <w:tcW w:w="1200" w:type="dxa"/>
            <w:vAlign w:val="bottom"/>
            <w:shd w:val="clear" w:color="auto" w:fill="346094"/>
          </w:tcPr>
          <w:p>
            <w:pPr>
              <w:jc w:val="center"/>
              <w:spacing w:after="0"/>
              <w:rPr>
                <w:sz w:val="20"/>
                <w:szCs w:val="20"/>
                <w:color w:val="auto"/>
              </w:rPr>
            </w:pPr>
            <w:r>
              <w:rPr>
                <w:rFonts w:ascii="Arial" w:cs="Arial" w:eastAsia="Arial" w:hAnsi="Arial"/>
                <w:sz w:val="14"/>
                <w:szCs w:val="14"/>
                <w:b w:val="1"/>
                <w:bCs w:val="1"/>
                <w:color w:val="FFFFFF"/>
              </w:rPr>
              <w:t>to Death or</w:t>
            </w:r>
          </w:p>
        </w:tc>
        <w:tc>
          <w:tcPr>
            <w:tcW w:w="40" w:type="dxa"/>
            <w:vAlign w:val="bottom"/>
            <w:shd w:val="clear" w:color="auto" w:fill="34609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0" w:type="dxa"/>
            <w:vAlign w:val="bottom"/>
            <w:shd w:val="clear" w:color="auto" w:fill="346094"/>
          </w:tcPr>
          <w:p>
            <w:pPr>
              <w:ind w:left="20"/>
              <w:spacing w:after="0"/>
              <w:rPr>
                <w:sz w:val="20"/>
                <w:szCs w:val="20"/>
                <w:color w:val="auto"/>
              </w:rPr>
            </w:pPr>
            <w:r>
              <w:rPr>
                <w:rFonts w:ascii="Arial" w:cs="Arial" w:eastAsia="Arial" w:hAnsi="Arial"/>
                <w:sz w:val="14"/>
                <w:szCs w:val="14"/>
                <w:b w:val="1"/>
                <w:bCs w:val="1"/>
                <w:color w:val="FFFFFF"/>
              </w:rPr>
              <w:t>​</w:t>
            </w:r>
          </w:p>
        </w:tc>
        <w:tc>
          <w:tcPr>
            <w:tcW w:w="1800" w:type="dxa"/>
            <w:vAlign w:val="bottom"/>
            <w:shd w:val="clear" w:color="auto" w:fill="346094"/>
          </w:tcPr>
          <w:p>
            <w:pPr>
              <w:spacing w:after="0"/>
              <w:rPr>
                <w:sz w:val="15"/>
                <w:szCs w:val="15"/>
                <w:color w:val="auto"/>
              </w:rPr>
            </w:pPr>
          </w:p>
        </w:tc>
        <w:tc>
          <w:tcPr>
            <w:tcW w:w="4840" w:type="dxa"/>
            <w:vAlign w:val="bottom"/>
            <w:gridSpan w:val="6"/>
            <w:shd w:val="clear" w:color="auto" w:fill="346094"/>
          </w:tcPr>
          <w:p>
            <w:pPr>
              <w:ind w:left="240"/>
              <w:spacing w:after="0"/>
              <w:rPr>
                <w:sz w:val="20"/>
                <w:szCs w:val="20"/>
                <w:color w:val="auto"/>
              </w:rPr>
            </w:pPr>
            <w:r>
              <w:rPr>
                <w:rFonts w:ascii="Arial" w:cs="Arial" w:eastAsia="Arial" w:hAnsi="Arial"/>
                <w:sz w:val="14"/>
                <w:szCs w:val="14"/>
                <w:b w:val="1"/>
                <w:bCs w:val="1"/>
                <w:color w:val="FFFFFF"/>
              </w:rPr>
              <w:t>​ ​   Termination Without Cause or Resignation for Good Reason</w:t>
            </w:r>
          </w:p>
        </w:tc>
        <w:tc>
          <w:tcPr>
            <w:tcW w:w="180" w:type="dxa"/>
            <w:vAlign w:val="bottom"/>
            <w:shd w:val="clear" w:color="auto" w:fill="346094"/>
          </w:tcPr>
          <w:p>
            <w:pPr>
              <w:jc w:val="right"/>
              <w:spacing w:after="0"/>
              <w:rPr>
                <w:sz w:val="20"/>
                <w:szCs w:val="20"/>
                <w:color w:val="auto"/>
              </w:rPr>
            </w:pPr>
            <w:r>
              <w:rPr>
                <w:rFonts w:ascii="Arial" w:cs="Arial" w:eastAsia="Arial" w:hAnsi="Arial"/>
                <w:sz w:val="14"/>
                <w:szCs w:val="14"/>
                <w:b w:val="1"/>
                <w:bCs w:val="1"/>
                <w:color w:val="FFFFFF"/>
              </w:rPr>
              <w:t>​ ​</w:t>
            </w:r>
          </w:p>
        </w:tc>
        <w:tc>
          <w:tcPr>
            <w:tcW w:w="1200" w:type="dxa"/>
            <w:vAlign w:val="bottom"/>
            <w:shd w:val="clear" w:color="auto" w:fill="346094"/>
          </w:tcPr>
          <w:p>
            <w:pPr>
              <w:jc w:val="center"/>
              <w:spacing w:after="0"/>
              <w:rPr>
                <w:sz w:val="20"/>
                <w:szCs w:val="20"/>
                <w:color w:val="auto"/>
              </w:rPr>
            </w:pPr>
            <w:r>
              <w:rPr>
                <w:rFonts w:ascii="Arial" w:cs="Arial" w:eastAsia="Arial" w:hAnsi="Arial"/>
                <w:sz w:val="14"/>
                <w:szCs w:val="14"/>
                <w:b w:val="1"/>
                <w:bCs w:val="1"/>
                <w:color w:val="FFFFFF"/>
                <w:w w:val="99"/>
              </w:rPr>
              <w:t>Disability</w:t>
            </w:r>
          </w:p>
        </w:tc>
        <w:tc>
          <w:tcPr>
            <w:tcW w:w="40" w:type="dxa"/>
            <w:vAlign w:val="bottom"/>
            <w:shd w:val="clear" w:color="auto" w:fill="346094"/>
          </w:tcPr>
          <w:p>
            <w:pPr>
              <w:ind w:left="20"/>
              <w:spacing w:after="0"/>
              <w:rPr>
                <w:sz w:val="20"/>
                <w:szCs w:val="20"/>
                <w:color w:val="auto"/>
              </w:rPr>
            </w:pPr>
            <w:r>
              <w:rPr>
                <w:rFonts w:ascii="Arial" w:cs="Arial" w:eastAsia="Arial" w:hAnsi="Arial"/>
                <w:sz w:val="1"/>
                <w:szCs w:val="1"/>
                <w:b w:val="1"/>
                <w:bCs w:val="1"/>
                <w:color w:val="FFFFFF"/>
                <w:w w:val="4294942296"/>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center"/>
              <w:ind w:right="24"/>
              <w:spacing w:after="0"/>
              <w:rPr>
                <w:sz w:val="20"/>
                <w:szCs w:val="20"/>
                <w:color w:val="auto"/>
              </w:rPr>
            </w:pPr>
            <w:r>
              <w:rPr>
                <w:rFonts w:ascii="Arial" w:cs="Arial" w:eastAsia="Arial" w:hAnsi="Arial"/>
                <w:sz w:val="14"/>
                <w:szCs w:val="14"/>
                <w:b w:val="1"/>
                <w:bCs w:val="1"/>
                <w:color w:val="FFFFFF"/>
                <w:w w:val="99"/>
              </w:rPr>
              <w:t>Salary</w:t>
            </w:r>
          </w:p>
        </w:tc>
        <w:tc>
          <w:tcPr>
            <w:tcW w:w="220" w:type="dxa"/>
            <w:vAlign w:val="bottom"/>
          </w:tcPr>
          <w:p>
            <w:pPr>
              <w:spacing w:after="0"/>
              <w:rPr>
                <w:sz w:val="15"/>
                <w:szCs w:val="15"/>
                <w:color w:val="auto"/>
              </w:rPr>
            </w:pPr>
          </w:p>
        </w:tc>
        <w:tc>
          <w:tcPr>
            <w:tcW w:w="760" w:type="dxa"/>
            <w:vAlign w:val="bottom"/>
          </w:tcPr>
          <w:p>
            <w:pPr>
              <w:jc w:val="right"/>
              <w:ind w:right="225"/>
              <w:spacing w:after="0"/>
              <w:rPr>
                <w:sz w:val="20"/>
                <w:szCs w:val="20"/>
                <w:color w:val="auto"/>
              </w:rPr>
            </w:pPr>
            <w:r>
              <w:rPr>
                <w:rFonts w:ascii="Arial" w:cs="Arial" w:eastAsia="Arial" w:hAnsi="Arial"/>
                <w:sz w:val="14"/>
                <w:szCs w:val="14"/>
                <w:b w:val="1"/>
                <w:bCs w:val="1"/>
                <w:color w:val="FFFFFF"/>
              </w:rPr>
              <w:t>Bonus</w:t>
            </w:r>
          </w:p>
        </w:tc>
        <w:tc>
          <w:tcPr>
            <w:tcW w:w="1680" w:type="dxa"/>
            <w:vAlign w:val="bottom"/>
          </w:tcPr>
          <w:p>
            <w:pPr>
              <w:ind w:left="120"/>
              <w:spacing w:after="0"/>
              <w:rPr>
                <w:sz w:val="20"/>
                <w:szCs w:val="20"/>
                <w:color w:val="auto"/>
              </w:rPr>
            </w:pPr>
            <w:r>
              <w:rPr>
                <w:rFonts w:ascii="Arial" w:cs="Arial" w:eastAsia="Arial" w:hAnsi="Arial"/>
                <w:sz w:val="14"/>
                <w:szCs w:val="14"/>
                <w:b w:val="1"/>
                <w:bCs w:val="1"/>
                <w:color w:val="FFFFFF"/>
              </w:rPr>
              <w:t>Value of Accelerated</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FFFFFF"/>
              </w:rPr>
              <w:t>​Name</w:t>
            </w:r>
          </w:p>
        </w:tc>
        <w:tc>
          <w:tcPr>
            <w:tcW w:w="380" w:type="dxa"/>
            <w:vAlign w:val="bottom"/>
          </w:tcPr>
          <w:p>
            <w:pPr>
              <w:ind w:left="240"/>
              <w:spacing w:after="0"/>
              <w:rPr>
                <w:sz w:val="20"/>
                <w:szCs w:val="20"/>
                <w:color w:val="auto"/>
              </w:rPr>
            </w:pPr>
            <w:r>
              <w:rPr>
                <w:rFonts w:ascii="Arial" w:cs="Arial" w:eastAsia="Arial" w:hAnsi="Arial"/>
                <w:sz w:val="14"/>
                <w:szCs w:val="14"/>
                <w:b w:val="1"/>
                <w:bCs w:val="1"/>
                <w:color w:val="FFFFFF"/>
              </w:rPr>
              <w:t>​ ​</w:t>
            </w:r>
          </w:p>
        </w:tc>
        <w:tc>
          <w:tcPr>
            <w:tcW w:w="840" w:type="dxa"/>
            <w:vAlign w:val="bottom"/>
          </w:tcPr>
          <w:p>
            <w:pPr>
              <w:jc w:val="center"/>
              <w:ind w:right="24"/>
              <w:spacing w:after="0"/>
              <w:rPr>
                <w:sz w:val="20"/>
                <w:szCs w:val="20"/>
                <w:color w:val="auto"/>
              </w:rPr>
            </w:pPr>
            <w:r>
              <w:rPr>
                <w:rFonts w:ascii="Arial" w:cs="Arial" w:eastAsia="Arial" w:hAnsi="Arial"/>
                <w:sz w:val="14"/>
                <w:szCs w:val="14"/>
                <w:b w:val="1"/>
                <w:bCs w:val="1"/>
                <w:color w:val="FFFFFF"/>
              </w:rPr>
              <w:t>($)</w:t>
            </w:r>
          </w:p>
        </w:tc>
        <w:tc>
          <w:tcPr>
            <w:tcW w:w="220" w:type="dxa"/>
            <w:vAlign w:val="bottom"/>
          </w:tcPr>
          <w:p>
            <w:pPr>
              <w:spacing w:after="0"/>
              <w:rPr>
                <w:sz w:val="17"/>
                <w:szCs w:val="17"/>
                <w:color w:val="auto"/>
              </w:rPr>
            </w:pPr>
          </w:p>
        </w:tc>
        <w:tc>
          <w:tcPr>
            <w:tcW w:w="760" w:type="dxa"/>
            <w:vAlign w:val="bottom"/>
          </w:tcPr>
          <w:p>
            <w:pPr>
              <w:jc w:val="right"/>
              <w:ind w:right="345"/>
              <w:spacing w:after="0"/>
              <w:rPr>
                <w:sz w:val="20"/>
                <w:szCs w:val="20"/>
                <w:color w:val="auto"/>
              </w:rPr>
            </w:pPr>
            <w:r>
              <w:rPr>
                <w:rFonts w:ascii="Arial" w:cs="Arial" w:eastAsia="Arial" w:hAnsi="Arial"/>
                <w:sz w:val="14"/>
                <w:szCs w:val="14"/>
                <w:b w:val="1"/>
                <w:bCs w:val="1"/>
                <w:color w:val="FFFFFF"/>
              </w:rPr>
              <w:t>($)</w:t>
            </w:r>
          </w:p>
        </w:tc>
        <w:tc>
          <w:tcPr>
            <w:tcW w:w="1680" w:type="dxa"/>
            <w:vAlign w:val="bottom"/>
          </w:tcPr>
          <w:p>
            <w:pPr>
              <w:ind w:left="160"/>
              <w:spacing w:after="0" w:line="200" w:lineRule="exact"/>
              <w:rPr>
                <w:sz w:val="20"/>
                <w:szCs w:val="20"/>
                <w:color w:val="auto"/>
              </w:rPr>
            </w:pPr>
            <w:r>
              <w:rPr>
                <w:rFonts w:ascii="Arial" w:cs="Arial" w:eastAsia="Arial" w:hAnsi="Arial"/>
                <w:sz w:val="14"/>
                <w:szCs w:val="14"/>
                <w:b w:val="1"/>
                <w:bCs w:val="1"/>
                <w:color w:val="FFFFFF"/>
              </w:rPr>
              <w:t>Equity Awards ($)</w:t>
            </w:r>
            <w:r>
              <w:rPr>
                <w:rFonts w:ascii="Trebuchet MS" w:cs="Trebuchet MS" w:eastAsia="Trebuchet MS" w:hAnsi="Trebuchet MS"/>
                <w:sz w:val="21"/>
                <w:szCs w:val="21"/>
                <w:b w:val="1"/>
                <w:bCs w:val="1"/>
                <w:color w:val="FFFFFF"/>
                <w:vertAlign w:val="superscript"/>
              </w:rPr>
              <w:t>(1)</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FFFFFF"/>
              </w:rPr>
              <w:t>Benefits ($) ​ ​</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FFFFFF"/>
              </w:rPr>
              <w:t>Salary ($)</w:t>
            </w:r>
          </w:p>
        </w:tc>
        <w:tc>
          <w:tcPr>
            <w:tcW w:w="40" w:type="dxa"/>
            <w:vAlign w:val="bottom"/>
          </w:tcPr>
          <w:p>
            <w:pPr>
              <w:ind w:left="20"/>
              <w:spacing w:after="0"/>
              <w:rPr>
                <w:sz w:val="20"/>
                <w:szCs w:val="20"/>
                <w:color w:val="auto"/>
              </w:rPr>
            </w:pPr>
            <w:r>
              <w:rPr>
                <w:rFonts w:ascii="Arial" w:cs="Arial" w:eastAsia="Arial" w:hAnsi="Arial"/>
                <w:sz w:val="1"/>
                <w:szCs w:val="1"/>
                <w:b w:val="1"/>
                <w:bCs w:val="1"/>
                <w:color w:val="FFFFFF"/>
                <w:w w:val="4294942296"/>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940" w:type="dxa"/>
            <w:vAlign w:val="bottom"/>
            <w:gridSpan w:val="2"/>
          </w:tcPr>
          <w:p>
            <w:pPr>
              <w:ind w:left="40"/>
              <w:spacing w:after="0" w:line="175" w:lineRule="exact"/>
              <w:rPr>
                <w:sz w:val="20"/>
                <w:szCs w:val="20"/>
                <w:color w:val="auto"/>
              </w:rPr>
            </w:pPr>
            <w:r>
              <w:rPr>
                <w:rFonts w:ascii="Arial" w:cs="Arial" w:eastAsia="Arial" w:hAnsi="Arial"/>
                <w:sz w:val="16"/>
                <w:szCs w:val="16"/>
                <w:color w:val="4C4C4C"/>
              </w:rPr>
              <w:t>Patrick R. Gruber</w:t>
            </w:r>
          </w:p>
        </w:tc>
        <w:tc>
          <w:tcPr>
            <w:tcW w:w="380" w:type="dxa"/>
            <w:vAlign w:val="bottom"/>
          </w:tcPr>
          <w:p>
            <w:pPr>
              <w:spacing w:after="0"/>
              <w:rPr>
                <w:sz w:val="15"/>
                <w:szCs w:val="15"/>
                <w:color w:val="auto"/>
              </w:rPr>
            </w:pPr>
          </w:p>
        </w:tc>
        <w:tc>
          <w:tcPr>
            <w:tcW w:w="840" w:type="dxa"/>
            <w:vAlign w:val="bottom"/>
          </w:tcPr>
          <w:p>
            <w:pPr>
              <w:jc w:val="center"/>
              <w:ind w:right="4"/>
              <w:spacing w:after="0" w:line="175" w:lineRule="exact"/>
              <w:rPr>
                <w:sz w:val="20"/>
                <w:szCs w:val="20"/>
                <w:color w:val="auto"/>
              </w:rPr>
            </w:pPr>
            <w:r>
              <w:rPr>
                <w:rFonts w:ascii="Arial" w:cs="Arial" w:eastAsia="Arial" w:hAnsi="Arial"/>
                <w:sz w:val="16"/>
                <w:szCs w:val="16"/>
                <w:color w:val="4C4C4C"/>
              </w:rPr>
              <w:t>2,406,250</w:t>
            </w:r>
          </w:p>
        </w:tc>
        <w:tc>
          <w:tcPr>
            <w:tcW w:w="980" w:type="dxa"/>
            <w:vAlign w:val="bottom"/>
            <w:gridSpan w:val="2"/>
          </w:tcPr>
          <w:p>
            <w:pPr>
              <w:jc w:val="right"/>
              <w:ind w:right="65"/>
              <w:spacing w:after="0" w:line="175" w:lineRule="exact"/>
              <w:rPr>
                <w:sz w:val="20"/>
                <w:szCs w:val="20"/>
                <w:color w:val="auto"/>
              </w:rPr>
            </w:pPr>
            <w:r>
              <w:rPr>
                <w:rFonts w:ascii="Arial" w:cs="Arial" w:eastAsia="Arial" w:hAnsi="Arial"/>
                <w:sz w:val="16"/>
                <w:szCs w:val="16"/>
                <w:color w:val="4C4C4C"/>
              </w:rPr>
              <w:t>3,185,088</w:t>
            </w:r>
          </w:p>
        </w:tc>
        <w:tc>
          <w:tcPr>
            <w:tcW w:w="1680" w:type="dxa"/>
            <w:vAlign w:val="bottom"/>
          </w:tcPr>
          <w:p>
            <w:pPr>
              <w:ind w:left="860"/>
              <w:spacing w:after="0" w:line="175" w:lineRule="exact"/>
              <w:rPr>
                <w:sz w:val="20"/>
                <w:szCs w:val="20"/>
                <w:color w:val="auto"/>
              </w:rPr>
            </w:pPr>
            <w:r>
              <w:rPr>
                <w:rFonts w:ascii="Arial" w:cs="Arial" w:eastAsia="Arial" w:hAnsi="Arial"/>
                <w:sz w:val="16"/>
                <w:szCs w:val="16"/>
                <w:color w:val="4C4C4C"/>
              </w:rPr>
              <w:t>7,210,145</w:t>
            </w:r>
          </w:p>
        </w:tc>
        <w:tc>
          <w:tcPr>
            <w:tcW w:w="960" w:type="dxa"/>
            <w:vAlign w:val="bottom"/>
          </w:tcPr>
          <w:p>
            <w:pPr>
              <w:ind w:left="440"/>
              <w:spacing w:after="0" w:line="175" w:lineRule="exact"/>
              <w:rPr>
                <w:sz w:val="20"/>
                <w:szCs w:val="20"/>
                <w:color w:val="auto"/>
              </w:rPr>
            </w:pPr>
            <w:r>
              <w:rPr>
                <w:rFonts w:ascii="Arial" w:cs="Arial" w:eastAsia="Arial" w:hAnsi="Arial"/>
                <w:sz w:val="16"/>
                <w:szCs w:val="16"/>
                <w:color w:val="4C4C4C"/>
              </w:rPr>
              <w:t>63,271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4C4C4C"/>
              </w:rPr>
              <w:t>​ ​</w:t>
            </w:r>
          </w:p>
        </w:tc>
        <w:tc>
          <w:tcPr>
            <w:tcW w:w="1200" w:type="dxa"/>
            <w:vAlign w:val="bottom"/>
          </w:tcPr>
          <w:p>
            <w:pPr>
              <w:jc w:val="right"/>
              <w:spacing w:after="0" w:line="175" w:lineRule="exact"/>
              <w:rPr>
                <w:sz w:val="20"/>
                <w:szCs w:val="20"/>
                <w:color w:val="auto"/>
              </w:rPr>
            </w:pPr>
            <w:r>
              <w:rPr>
                <w:rFonts w:ascii="Arial" w:cs="Arial" w:eastAsia="Arial" w:hAnsi="Arial"/>
                <w:sz w:val="16"/>
                <w:szCs w:val="16"/>
                <w:color w:val="4C4C4C"/>
              </w:rPr>
              <w:t>687,500</w:t>
            </w:r>
          </w:p>
        </w:tc>
        <w:tc>
          <w:tcPr>
            <w:tcW w:w="60" w:type="dxa"/>
            <w:vAlign w:val="bottom"/>
            <w:gridSpan w:val="2"/>
            <w:vMerge w:val="restart"/>
          </w:tcPr>
          <w:p>
            <w:pPr>
              <w:ind w:left="2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67"/>
        </w:trPr>
        <w:tc>
          <w:tcPr>
            <w:tcW w:w="140" w:type="dxa"/>
            <w:vAlign w:val="bottom"/>
          </w:tcPr>
          <w:p>
            <w:pPr>
              <w:ind w:left="20"/>
              <w:spacing w:after="0" w:line="68" w:lineRule="exact"/>
              <w:rPr>
                <w:sz w:val="20"/>
                <w:szCs w:val="20"/>
                <w:color w:val="auto"/>
              </w:rPr>
            </w:pPr>
            <w:r>
              <w:rPr>
                <w:rFonts w:ascii="Arial" w:cs="Arial" w:eastAsia="Arial" w:hAnsi="Arial"/>
                <w:sz w:val="7"/>
                <w:szCs w:val="7"/>
                <w:color w:val="4C4C4C"/>
              </w:rPr>
              <w:t>​</w:t>
            </w:r>
          </w:p>
        </w:tc>
        <w:tc>
          <w:tcPr>
            <w:tcW w:w="1800" w:type="dxa"/>
            <w:vAlign w:val="bottom"/>
          </w:tcPr>
          <w:p>
            <w:pPr>
              <w:spacing w:after="0"/>
              <w:rPr>
                <w:sz w:val="5"/>
                <w:szCs w:val="5"/>
                <w:color w:val="auto"/>
              </w:rPr>
            </w:pPr>
          </w:p>
        </w:tc>
        <w:tc>
          <w:tcPr>
            <w:tcW w:w="1220" w:type="dxa"/>
            <w:vAlign w:val="bottom"/>
            <w:gridSpan w:val="2"/>
          </w:tcPr>
          <w:p>
            <w:pPr>
              <w:ind w:left="240"/>
              <w:spacing w:after="0" w:line="68" w:lineRule="exact"/>
              <w:rPr>
                <w:sz w:val="20"/>
                <w:szCs w:val="20"/>
                <w:color w:val="auto"/>
              </w:rPr>
            </w:pPr>
            <w:r>
              <w:rPr>
                <w:rFonts w:ascii="Arial" w:cs="Arial" w:eastAsia="Arial" w:hAnsi="Arial"/>
                <w:sz w:val="7"/>
                <w:szCs w:val="7"/>
                <w:color w:val="4C4C4C"/>
              </w:rPr>
              <w:t>​ ​​</w:t>
            </w:r>
          </w:p>
        </w:tc>
        <w:tc>
          <w:tcPr>
            <w:tcW w:w="220" w:type="dxa"/>
            <w:vAlign w:val="bottom"/>
          </w:tcPr>
          <w:p>
            <w:pPr>
              <w:ind w:left="120"/>
              <w:spacing w:after="0" w:line="68" w:lineRule="exact"/>
              <w:rPr>
                <w:sz w:val="20"/>
                <w:szCs w:val="20"/>
                <w:color w:val="auto"/>
              </w:rPr>
            </w:pPr>
            <w:r>
              <w:rPr>
                <w:rFonts w:ascii="Arial" w:cs="Arial" w:eastAsia="Arial" w:hAnsi="Arial"/>
                <w:sz w:val="7"/>
                <w:szCs w:val="7"/>
                <w:color w:val="4C4C4C"/>
              </w:rPr>
              <w:t>​</w:t>
            </w:r>
          </w:p>
        </w:tc>
        <w:tc>
          <w:tcPr>
            <w:tcW w:w="760" w:type="dxa"/>
            <w:vAlign w:val="bottom"/>
          </w:tcPr>
          <w:p>
            <w:pPr>
              <w:spacing w:after="0"/>
              <w:rPr>
                <w:sz w:val="5"/>
                <w:szCs w:val="5"/>
                <w:color w:val="auto"/>
              </w:rPr>
            </w:pPr>
          </w:p>
        </w:tc>
        <w:tc>
          <w:tcPr>
            <w:tcW w:w="1680" w:type="dxa"/>
            <w:vAlign w:val="bottom"/>
          </w:tcPr>
          <w:p>
            <w:pPr>
              <w:ind w:left="860"/>
              <w:spacing w:after="0" w:line="68" w:lineRule="exact"/>
              <w:rPr>
                <w:sz w:val="20"/>
                <w:szCs w:val="20"/>
                <w:color w:val="auto"/>
              </w:rPr>
            </w:pPr>
            <w:r>
              <w:rPr>
                <w:rFonts w:ascii="Arial" w:cs="Arial" w:eastAsia="Arial" w:hAnsi="Arial"/>
                <w:sz w:val="7"/>
                <w:szCs w:val="7"/>
                <w:color w:val="4C4C4C"/>
              </w:rPr>
              <w:t>​</w:t>
            </w:r>
          </w:p>
        </w:tc>
        <w:tc>
          <w:tcPr>
            <w:tcW w:w="960" w:type="dxa"/>
            <w:vAlign w:val="bottom"/>
          </w:tcPr>
          <w:p>
            <w:pPr>
              <w:ind w:left="440"/>
              <w:spacing w:after="0" w:line="68" w:lineRule="exact"/>
              <w:rPr>
                <w:sz w:val="20"/>
                <w:szCs w:val="20"/>
                <w:color w:val="auto"/>
              </w:rPr>
            </w:pPr>
            <w:r>
              <w:rPr>
                <w:rFonts w:ascii="Arial" w:cs="Arial" w:eastAsia="Arial" w:hAnsi="Arial"/>
                <w:sz w:val="7"/>
                <w:szCs w:val="7"/>
                <w:color w:val="4C4C4C"/>
              </w:rPr>
              <w:t>​</w:t>
            </w:r>
          </w:p>
        </w:tc>
        <w:tc>
          <w:tcPr>
            <w:tcW w:w="180" w:type="dxa"/>
            <w:vAlign w:val="bottom"/>
            <w:vMerge w:val="continue"/>
          </w:tcPr>
          <w:p>
            <w:pPr>
              <w:spacing w:after="0"/>
              <w:rPr>
                <w:sz w:val="5"/>
                <w:szCs w:val="5"/>
                <w:color w:val="auto"/>
              </w:rPr>
            </w:pPr>
          </w:p>
        </w:tc>
        <w:tc>
          <w:tcPr>
            <w:tcW w:w="1200" w:type="dxa"/>
            <w:vAlign w:val="bottom"/>
          </w:tcPr>
          <w:p>
            <w:pPr>
              <w:ind w:left="600"/>
              <w:spacing w:after="0" w:line="68" w:lineRule="exact"/>
              <w:rPr>
                <w:sz w:val="20"/>
                <w:szCs w:val="20"/>
                <w:color w:val="auto"/>
              </w:rPr>
            </w:pPr>
            <w:r>
              <w:rPr>
                <w:rFonts w:ascii="Arial" w:cs="Arial" w:eastAsia="Arial" w:hAnsi="Arial"/>
                <w:sz w:val="7"/>
                <w:szCs w:val="7"/>
                <w:color w:val="4C4C4C"/>
              </w:rPr>
              <w:t>​</w:t>
            </w: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940" w:type="dxa"/>
            <w:vAlign w:val="bottom"/>
            <w:gridSpan w:val="2"/>
          </w:tcPr>
          <w:p>
            <w:pPr>
              <w:ind w:left="20"/>
              <w:spacing w:after="0"/>
              <w:rPr>
                <w:sz w:val="20"/>
                <w:szCs w:val="20"/>
                <w:color w:val="auto"/>
              </w:rPr>
            </w:pPr>
            <w:r>
              <w:rPr>
                <w:rFonts w:ascii="Arial" w:cs="Arial" w:eastAsia="Arial" w:hAnsi="Arial"/>
                <w:sz w:val="16"/>
                <w:szCs w:val="16"/>
                <w:color w:val="4C4C4C"/>
              </w:rPr>
              <w:t>​  Christopher M. Ryan</w:t>
            </w:r>
          </w:p>
        </w:tc>
        <w:tc>
          <w:tcPr>
            <w:tcW w:w="1220" w:type="dxa"/>
            <w:vAlign w:val="bottom"/>
            <w:gridSpan w:val="2"/>
          </w:tcPr>
          <w:p>
            <w:pPr>
              <w:ind w:left="240"/>
              <w:spacing w:after="0"/>
              <w:rPr>
                <w:sz w:val="20"/>
                <w:szCs w:val="20"/>
                <w:color w:val="auto"/>
              </w:rPr>
            </w:pPr>
            <w:r>
              <w:rPr>
                <w:rFonts w:ascii="Arial" w:cs="Arial" w:eastAsia="Arial" w:hAnsi="Arial"/>
                <w:sz w:val="16"/>
                <w:szCs w:val="16"/>
                <w:color w:val="4C4C4C"/>
              </w:rPr>
              <w:t>​ ​​1,141,365</w:t>
            </w:r>
          </w:p>
        </w:tc>
        <w:tc>
          <w:tcPr>
            <w:tcW w:w="980" w:type="dxa"/>
            <w:vAlign w:val="bottom"/>
            <w:gridSpan w:val="2"/>
          </w:tcPr>
          <w:p>
            <w:pPr>
              <w:jc w:val="right"/>
              <w:ind w:right="65"/>
              <w:spacing w:after="0"/>
              <w:rPr>
                <w:sz w:val="20"/>
                <w:szCs w:val="20"/>
                <w:color w:val="auto"/>
              </w:rPr>
            </w:pPr>
            <w:r>
              <w:rPr>
                <w:rFonts w:ascii="Arial" w:cs="Arial" w:eastAsia="Arial" w:hAnsi="Arial"/>
                <w:sz w:val="16"/>
                <w:szCs w:val="16"/>
                <w:color w:val="4C4C4C"/>
              </w:rPr>
              <w:t>​2,009,900</w:t>
            </w:r>
          </w:p>
        </w:tc>
        <w:tc>
          <w:tcPr>
            <w:tcW w:w="1680" w:type="dxa"/>
            <w:vAlign w:val="bottom"/>
          </w:tcPr>
          <w:p>
            <w:pPr>
              <w:ind w:left="860"/>
              <w:spacing w:after="0"/>
              <w:rPr>
                <w:sz w:val="20"/>
                <w:szCs w:val="20"/>
                <w:color w:val="auto"/>
              </w:rPr>
            </w:pPr>
            <w:r>
              <w:rPr>
                <w:rFonts w:ascii="Arial" w:cs="Arial" w:eastAsia="Arial" w:hAnsi="Arial"/>
                <w:sz w:val="16"/>
                <w:szCs w:val="16"/>
                <w:color w:val="4C4C4C"/>
              </w:rPr>
              <w:t>​3,172,850</w:t>
            </w:r>
          </w:p>
        </w:tc>
        <w:tc>
          <w:tcPr>
            <w:tcW w:w="1140" w:type="dxa"/>
            <w:vAlign w:val="bottom"/>
            <w:gridSpan w:val="2"/>
          </w:tcPr>
          <w:p>
            <w:pPr>
              <w:ind w:left="440"/>
              <w:spacing w:after="0"/>
              <w:rPr>
                <w:sz w:val="20"/>
                <w:szCs w:val="20"/>
                <w:color w:val="auto"/>
              </w:rPr>
            </w:pPr>
            <w:r>
              <w:rPr>
                <w:rFonts w:ascii="Arial" w:cs="Arial" w:eastAsia="Arial" w:hAnsi="Arial"/>
                <w:sz w:val="16"/>
                <w:szCs w:val="16"/>
                <w:color w:val="4C4C4C"/>
              </w:rPr>
              <w:t>​36,668 ​ ​</w:t>
            </w:r>
          </w:p>
        </w:tc>
        <w:tc>
          <w:tcPr>
            <w:tcW w:w="1260" w:type="dxa"/>
            <w:vAlign w:val="bottom"/>
            <w:gridSpan w:val="3"/>
          </w:tcPr>
          <w:p>
            <w:pPr>
              <w:ind w:left="600"/>
              <w:spacing w:after="0"/>
              <w:rPr>
                <w:sz w:val="20"/>
                <w:szCs w:val="20"/>
                <w:color w:val="auto"/>
              </w:rPr>
            </w:pPr>
            <w:r>
              <w:rPr>
                <w:rFonts w:ascii="Arial" w:cs="Arial" w:eastAsia="Arial" w:hAnsi="Arial"/>
                <w:sz w:val="16"/>
                <w:szCs w:val="16"/>
                <w:color w:val="4C4C4C"/>
              </w:rPr>
              <w:t>​456,546 ​</w:t>
            </w:r>
          </w:p>
        </w:tc>
        <w:tc>
          <w:tcPr>
            <w:tcW w:w="0" w:type="dxa"/>
            <w:vAlign w:val="bottom"/>
          </w:tcPr>
          <w:p>
            <w:pPr>
              <w:spacing w:after="0"/>
              <w:rPr>
                <w:sz w:val="1"/>
                <w:szCs w:val="1"/>
                <w:color w:val="auto"/>
              </w:rPr>
            </w:pPr>
          </w:p>
        </w:tc>
      </w:tr>
      <w:tr>
        <w:trPr>
          <w:trHeight w:val="175"/>
        </w:trPr>
        <w:tc>
          <w:tcPr>
            <w:tcW w:w="140" w:type="dxa"/>
            <w:vAlign w:val="bottom"/>
            <w:vMerge w:val="restart"/>
          </w:tcPr>
          <w:p>
            <w:pPr>
              <w:ind w:left="20"/>
              <w:spacing w:after="0"/>
              <w:rPr>
                <w:sz w:val="20"/>
                <w:szCs w:val="20"/>
                <w:color w:val="auto"/>
              </w:rPr>
            </w:pPr>
            <w:r>
              <w:rPr>
                <w:rFonts w:ascii="Arial" w:cs="Arial" w:eastAsia="Arial" w:hAnsi="Arial"/>
                <w:sz w:val="16"/>
                <w:szCs w:val="16"/>
                <w:color w:val="4C4C4C"/>
              </w:rPr>
              <w:t>​</w:t>
            </w:r>
          </w:p>
        </w:tc>
        <w:tc>
          <w:tcPr>
            <w:tcW w:w="1800" w:type="dxa"/>
            <w:vAlign w:val="bottom"/>
          </w:tcPr>
          <w:p>
            <w:pPr>
              <w:ind w:left="60"/>
              <w:spacing w:after="0" w:line="175" w:lineRule="exact"/>
              <w:rPr>
                <w:sz w:val="20"/>
                <w:szCs w:val="20"/>
                <w:color w:val="auto"/>
              </w:rPr>
            </w:pPr>
            <w:r>
              <w:rPr>
                <w:rFonts w:ascii="Arial" w:cs="Arial" w:eastAsia="Arial" w:hAnsi="Arial"/>
                <w:sz w:val="16"/>
                <w:szCs w:val="16"/>
                <w:color w:val="4C4C4C"/>
              </w:rPr>
              <w:t>Paul D. Bloom</w:t>
            </w:r>
          </w:p>
        </w:tc>
        <w:tc>
          <w:tcPr>
            <w:tcW w:w="380" w:type="dxa"/>
            <w:vAlign w:val="bottom"/>
          </w:tcPr>
          <w:p>
            <w:pPr>
              <w:spacing w:after="0"/>
              <w:rPr>
                <w:sz w:val="15"/>
                <w:szCs w:val="15"/>
                <w:color w:val="auto"/>
              </w:rPr>
            </w:pPr>
          </w:p>
        </w:tc>
        <w:tc>
          <w:tcPr>
            <w:tcW w:w="840" w:type="dxa"/>
            <w:vAlign w:val="bottom"/>
          </w:tcPr>
          <w:p>
            <w:pPr>
              <w:jc w:val="center"/>
              <w:ind w:right="4"/>
              <w:spacing w:after="0" w:line="175" w:lineRule="exact"/>
              <w:rPr>
                <w:sz w:val="20"/>
                <w:szCs w:val="20"/>
                <w:color w:val="auto"/>
              </w:rPr>
            </w:pPr>
            <w:r>
              <w:rPr>
                <w:rFonts w:ascii="Arial" w:cs="Arial" w:eastAsia="Arial" w:hAnsi="Arial"/>
                <w:sz w:val="16"/>
                <w:szCs w:val="16"/>
                <w:color w:val="4C4C4C"/>
              </w:rPr>
              <w:t>1,100,000</w:t>
            </w:r>
          </w:p>
        </w:tc>
        <w:tc>
          <w:tcPr>
            <w:tcW w:w="220" w:type="dxa"/>
            <w:vAlign w:val="bottom"/>
            <w:vMerge w:val="restart"/>
          </w:tcPr>
          <w:p>
            <w:pPr>
              <w:ind w:left="120"/>
              <w:spacing w:after="0"/>
              <w:rPr>
                <w:sz w:val="20"/>
                <w:szCs w:val="20"/>
                <w:color w:val="auto"/>
              </w:rPr>
            </w:pPr>
            <w:r>
              <w:rPr>
                <w:rFonts w:ascii="Arial" w:cs="Arial" w:eastAsia="Arial" w:hAnsi="Arial"/>
                <w:sz w:val="16"/>
                <w:szCs w:val="16"/>
                <w:color w:val="4C4C4C"/>
              </w:rPr>
              <w:t>​</w:t>
            </w:r>
          </w:p>
        </w:tc>
        <w:tc>
          <w:tcPr>
            <w:tcW w:w="760" w:type="dxa"/>
            <w:vAlign w:val="bottom"/>
          </w:tcPr>
          <w:p>
            <w:pPr>
              <w:jc w:val="right"/>
              <w:ind w:right="65"/>
              <w:spacing w:after="0" w:line="175" w:lineRule="exact"/>
              <w:rPr>
                <w:sz w:val="20"/>
                <w:szCs w:val="20"/>
                <w:color w:val="auto"/>
              </w:rPr>
            </w:pPr>
            <w:r>
              <w:rPr>
                <w:rFonts w:ascii="Arial" w:cs="Arial" w:eastAsia="Arial" w:hAnsi="Arial"/>
                <w:sz w:val="16"/>
                <w:szCs w:val="16"/>
                <w:color w:val="4C4C4C"/>
              </w:rPr>
              <w:t>550,000</w:t>
            </w:r>
          </w:p>
        </w:tc>
        <w:tc>
          <w:tcPr>
            <w:tcW w:w="1680" w:type="dxa"/>
            <w:vAlign w:val="bottom"/>
          </w:tcPr>
          <w:p>
            <w:pPr>
              <w:ind w:left="860"/>
              <w:spacing w:after="0" w:line="175" w:lineRule="exact"/>
              <w:rPr>
                <w:sz w:val="20"/>
                <w:szCs w:val="20"/>
                <w:color w:val="auto"/>
              </w:rPr>
            </w:pPr>
            <w:r>
              <w:rPr>
                <w:rFonts w:ascii="Arial" w:cs="Arial" w:eastAsia="Arial" w:hAnsi="Arial"/>
                <w:sz w:val="16"/>
                <w:szCs w:val="16"/>
                <w:color w:val="4C4C4C"/>
              </w:rPr>
              <w:t>2,922,822</w:t>
            </w:r>
          </w:p>
        </w:tc>
        <w:tc>
          <w:tcPr>
            <w:tcW w:w="960" w:type="dxa"/>
            <w:vAlign w:val="bottom"/>
          </w:tcPr>
          <w:p>
            <w:pPr>
              <w:ind w:left="440"/>
              <w:spacing w:after="0" w:line="175" w:lineRule="exact"/>
              <w:rPr>
                <w:sz w:val="20"/>
                <w:szCs w:val="20"/>
                <w:color w:val="auto"/>
              </w:rPr>
            </w:pPr>
            <w:r>
              <w:rPr>
                <w:rFonts w:ascii="Arial" w:cs="Arial" w:eastAsia="Arial" w:hAnsi="Arial"/>
                <w:sz w:val="16"/>
                <w:szCs w:val="16"/>
                <w:color w:val="4C4C4C"/>
              </w:rPr>
              <w:t>63,271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4C4C4C"/>
              </w:rPr>
              <w:t>​ ​</w:t>
            </w:r>
          </w:p>
        </w:tc>
        <w:tc>
          <w:tcPr>
            <w:tcW w:w="1200" w:type="dxa"/>
            <w:vAlign w:val="bottom"/>
          </w:tcPr>
          <w:p>
            <w:pPr>
              <w:jc w:val="right"/>
              <w:spacing w:after="0" w:line="175" w:lineRule="exact"/>
              <w:rPr>
                <w:sz w:val="20"/>
                <w:szCs w:val="20"/>
                <w:color w:val="auto"/>
              </w:rPr>
            </w:pPr>
            <w:r>
              <w:rPr>
                <w:rFonts w:ascii="Arial" w:cs="Arial" w:eastAsia="Arial" w:hAnsi="Arial"/>
                <w:sz w:val="16"/>
                <w:szCs w:val="16"/>
                <w:color w:val="4C4C4C"/>
              </w:rPr>
              <w:t>550,000</w:t>
            </w:r>
          </w:p>
        </w:tc>
        <w:tc>
          <w:tcPr>
            <w:tcW w:w="60" w:type="dxa"/>
            <w:vAlign w:val="bottom"/>
            <w:gridSpan w:val="2"/>
            <w:vMerge w:val="restart"/>
          </w:tcPr>
          <w:p>
            <w:pPr>
              <w:ind w:left="2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194"/>
        </w:trPr>
        <w:tc>
          <w:tcPr>
            <w:tcW w:w="140" w:type="dxa"/>
            <w:vAlign w:val="bottom"/>
            <w:vMerge w:val="continue"/>
          </w:tcPr>
          <w:p>
            <w:pPr>
              <w:spacing w:after="0"/>
              <w:rPr>
                <w:sz w:val="16"/>
                <w:szCs w:val="16"/>
                <w:color w:val="auto"/>
              </w:rPr>
            </w:pPr>
          </w:p>
        </w:tc>
        <w:tc>
          <w:tcPr>
            <w:tcW w:w="180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6"/>
                <w:szCs w:val="16"/>
                <w:color w:val="4C4C4C"/>
              </w:rPr>
              <w:t>​ ​​</w:t>
            </w:r>
          </w:p>
        </w:tc>
        <w:tc>
          <w:tcPr>
            <w:tcW w:w="22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680" w:type="dxa"/>
            <w:vAlign w:val="bottom"/>
          </w:tcPr>
          <w:p>
            <w:pPr>
              <w:ind w:left="860"/>
              <w:spacing w:after="0"/>
              <w:rPr>
                <w:sz w:val="20"/>
                <w:szCs w:val="20"/>
                <w:color w:val="auto"/>
              </w:rPr>
            </w:pPr>
            <w:r>
              <w:rPr>
                <w:rFonts w:ascii="Arial" w:cs="Arial" w:eastAsia="Arial" w:hAnsi="Arial"/>
                <w:sz w:val="16"/>
                <w:szCs w:val="16"/>
                <w:color w:val="4C4C4C"/>
              </w:rPr>
              <w:t>​</w:t>
            </w:r>
          </w:p>
        </w:tc>
        <w:tc>
          <w:tcPr>
            <w:tcW w:w="960" w:type="dxa"/>
            <w:vAlign w:val="bottom"/>
          </w:tcPr>
          <w:p>
            <w:pPr>
              <w:ind w:left="440"/>
              <w:spacing w:after="0"/>
              <w:rPr>
                <w:sz w:val="20"/>
                <w:szCs w:val="20"/>
                <w:color w:val="auto"/>
              </w:rPr>
            </w:pPr>
            <w:r>
              <w:rPr>
                <w:rFonts w:ascii="Arial" w:cs="Arial" w:eastAsia="Arial" w:hAnsi="Arial"/>
                <w:sz w:val="16"/>
                <w:szCs w:val="16"/>
                <w:color w:val="4C4C4C"/>
              </w:rPr>
              <w:t>​</w:t>
            </w:r>
          </w:p>
        </w:tc>
        <w:tc>
          <w:tcPr>
            <w:tcW w:w="180" w:type="dxa"/>
            <w:vAlign w:val="bottom"/>
            <w:vMerge w:val="continue"/>
          </w:tcPr>
          <w:p>
            <w:pPr>
              <w:spacing w:after="0"/>
              <w:rPr>
                <w:sz w:val="16"/>
                <w:szCs w:val="16"/>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4C4C4C"/>
              </w:rPr>
              <w:t>​</w:t>
            </w:r>
          </w:p>
        </w:tc>
        <w:tc>
          <w:tcPr>
            <w:tcW w:w="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-782955</wp:posOffset>
            </wp:positionV>
            <wp:extent cx="5186045" cy="2400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86045" cy="24003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-388620</wp:posOffset>
            </wp:positionV>
            <wp:extent cx="521208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wp:posOffset>
            </wp:positionV>
            <wp:extent cx="14312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58" w:lineRule="exact"/>
        <w:rPr>
          <w:sz w:val="20"/>
          <w:szCs w:val="20"/>
          <w:color w:val="auto"/>
        </w:rPr>
      </w:pPr>
    </w:p>
    <w:p>
      <w:pPr>
        <w:ind w:left="1620" w:hanging="360"/>
        <w:spacing w:after="0"/>
        <w:tabs>
          <w:tab w:leader="none" w:pos="1620" w:val="left"/>
        </w:tabs>
        <w:numPr>
          <w:ilvl w:val="0"/>
          <w:numId w:val="80"/>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Amounts calculated based on the closing price of our common stock on December 31, 2025.</w:t>
      </w:r>
    </w:p>
    <w:p>
      <w:pPr>
        <w:spacing w:after="0" w:line="178" w:lineRule="exact"/>
        <w:rPr>
          <w:sz w:val="20"/>
          <w:szCs w:val="20"/>
          <w:color w:val="auto"/>
        </w:rPr>
      </w:pPr>
    </w:p>
    <w:p>
      <w:pPr>
        <w:ind w:left="1260" w:right="639"/>
        <w:spacing w:after="0" w:line="241" w:lineRule="auto"/>
        <w:rPr>
          <w:sz w:val="20"/>
          <w:szCs w:val="20"/>
          <w:color w:val="auto"/>
        </w:rPr>
      </w:pPr>
      <w:r>
        <w:rPr>
          <w:rFonts w:ascii="Arial" w:cs="Arial" w:eastAsia="Arial" w:hAnsi="Arial"/>
          <w:sz w:val="18"/>
          <w:szCs w:val="18"/>
          <w:color w:val="4C4C4C"/>
        </w:rPr>
        <w:t>The following table summarizes the potential payments and benefits payable to Messrs. Gruber, Ryan and Bloom upon (i) termination due to retirement upon meeting the Retirement criteria, and</w:t>
      </w:r>
    </w:p>
    <w:p>
      <w:pPr>
        <w:spacing w:after="0" w:line="1" w:lineRule="exact"/>
        <w:rPr>
          <w:sz w:val="20"/>
          <w:szCs w:val="20"/>
          <w:color w:val="auto"/>
        </w:rPr>
      </w:pPr>
    </w:p>
    <w:p>
      <w:pPr>
        <w:ind w:left="1260" w:right="459"/>
        <w:spacing w:after="0" w:line="243" w:lineRule="auto"/>
        <w:tabs>
          <w:tab w:leader="none" w:pos="1549" w:val="left"/>
        </w:tabs>
        <w:numPr>
          <w:ilvl w:val="0"/>
          <w:numId w:val="81"/>
        </w:numPr>
        <w:rPr>
          <w:rFonts w:ascii="Arial" w:cs="Arial" w:eastAsia="Arial" w:hAnsi="Arial"/>
          <w:sz w:val="18"/>
          <w:szCs w:val="18"/>
          <w:color w:val="4C4C4C"/>
        </w:rPr>
      </w:pPr>
      <w:r>
        <w:rPr>
          <w:rFonts w:ascii="Arial" w:cs="Arial" w:eastAsia="Arial" w:hAnsi="Arial"/>
          <w:sz w:val="18"/>
          <w:szCs w:val="18"/>
          <w:color w:val="4C4C4C"/>
        </w:rPr>
        <w:t>a termination without cause or resignation for good reason within 30 days before or 12 months after a change of control, in each case assuming that such termination and change of control, where applicable, occurred on December 31, 2025. Such benefits are provided under the terms of their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140970</wp:posOffset>
            </wp:positionV>
            <wp:extent cx="25400" cy="8915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400" cy="891540"/>
                    </a:xfrm>
                    <a:prstGeom prst="rect">
                      <a:avLst/>
                    </a:prstGeom>
                    <a:noFill/>
                  </pic:spPr>
                </pic:pic>
              </a:graphicData>
            </a:graphic>
          </wp:anchor>
        </w:drawing>
      </w:r>
    </w:p>
    <w:p>
      <w:pPr>
        <w:spacing w:after="0" w:line="202" w:lineRule="exact"/>
        <w:rPr>
          <w:sz w:val="20"/>
          <w:szCs w:val="20"/>
          <w:color w:val="auto"/>
        </w:rPr>
      </w:pPr>
    </w:p>
    <w:tbl>
      <w:tblPr>
        <w:tblLayout w:type="fixed"/>
        <w:tblInd w:w="1260" w:type="dxa"/>
        <w:tblCellMar>
          <w:top w:w="0" w:type="dxa"/>
          <w:left w:w="0" w:type="dxa"/>
          <w:bottom w:w="0" w:type="dxa"/>
          <w:right w:w="0" w:type="dxa"/>
        </w:tblCellMar>
      </w:tblPr>
      <w:tr>
        <w:trPr>
          <w:trHeight w:val="193"/>
        </w:trPr>
        <w:tc>
          <w:tcPr>
            <w:tcW w:w="120" w:type="dxa"/>
            <w:vAlign w:val="bottom"/>
            <w:shd w:val="clear" w:color="auto" w:fill="346094"/>
          </w:tcPr>
          <w:p>
            <w:pPr>
              <w:spacing w:after="0"/>
              <w:rPr>
                <w:sz w:val="16"/>
                <w:szCs w:val="16"/>
                <w:color w:val="auto"/>
              </w:rPr>
            </w:pPr>
          </w:p>
        </w:tc>
        <w:tc>
          <w:tcPr>
            <w:tcW w:w="1080" w:type="dxa"/>
            <w:vAlign w:val="bottom"/>
            <w:shd w:val="clear" w:color="auto" w:fill="346094"/>
          </w:tcPr>
          <w:p>
            <w:pPr>
              <w:spacing w:after="0"/>
              <w:rPr>
                <w:sz w:val="16"/>
                <w:szCs w:val="16"/>
                <w:color w:val="auto"/>
              </w:rPr>
            </w:pPr>
          </w:p>
        </w:tc>
        <w:tc>
          <w:tcPr>
            <w:tcW w:w="3440" w:type="dxa"/>
            <w:vAlign w:val="bottom"/>
            <w:gridSpan w:val="7"/>
            <w:shd w:val="clear" w:color="auto" w:fill="346094"/>
          </w:tcPr>
          <w:p>
            <w:pPr>
              <w:jc w:val="center"/>
              <w:spacing w:after="0"/>
              <w:rPr>
                <w:sz w:val="20"/>
                <w:szCs w:val="20"/>
                <w:color w:val="auto"/>
              </w:rPr>
            </w:pPr>
            <w:r>
              <w:rPr>
                <w:rFonts w:ascii="Arial" w:cs="Arial" w:eastAsia="Arial" w:hAnsi="Arial"/>
                <w:sz w:val="14"/>
                <w:szCs w:val="14"/>
                <w:b w:val="1"/>
                <w:bCs w:val="1"/>
                <w:color w:val="FFFFFF"/>
              </w:rPr>
              <w:t>Termination due to Retirement</w:t>
            </w:r>
          </w:p>
        </w:tc>
        <w:tc>
          <w:tcPr>
            <w:tcW w:w="3560" w:type="dxa"/>
            <w:vAlign w:val="bottom"/>
            <w:gridSpan w:val="4"/>
            <w:shd w:val="clear" w:color="auto" w:fill="346094"/>
          </w:tcPr>
          <w:p>
            <w:pPr>
              <w:jc w:val="right"/>
              <w:ind w:right="198"/>
              <w:spacing w:after="0"/>
              <w:rPr>
                <w:sz w:val="20"/>
                <w:szCs w:val="20"/>
                <w:color w:val="auto"/>
              </w:rPr>
            </w:pPr>
            <w:r>
              <w:rPr>
                <w:rFonts w:ascii="Arial" w:cs="Arial" w:eastAsia="Arial" w:hAnsi="Arial"/>
                <w:sz w:val="14"/>
                <w:szCs w:val="14"/>
                <w:b w:val="1"/>
                <w:bCs w:val="1"/>
                <w:color w:val="FFFFFF"/>
              </w:rPr>
              <w:t>Termination Without Cause or Resignation for</w:t>
            </w:r>
          </w:p>
        </w:tc>
        <w:tc>
          <w:tcPr>
            <w:tcW w:w="0" w:type="dxa"/>
            <w:vAlign w:val="bottom"/>
          </w:tcPr>
          <w:p>
            <w:pPr>
              <w:spacing w:after="0"/>
              <w:rPr>
                <w:sz w:val="1"/>
                <w:szCs w:val="1"/>
                <w:color w:val="auto"/>
              </w:rPr>
            </w:pPr>
          </w:p>
        </w:tc>
      </w:tr>
      <w:tr>
        <w:trPr>
          <w:trHeight w:val="162"/>
        </w:trPr>
        <w:tc>
          <w:tcPr>
            <w:tcW w:w="120" w:type="dxa"/>
            <w:vAlign w:val="bottom"/>
            <w:shd w:val="clear" w:color="auto" w:fill="346094"/>
          </w:tcPr>
          <w:p>
            <w:pPr>
              <w:spacing w:after="0"/>
              <w:rPr>
                <w:sz w:val="14"/>
                <w:szCs w:val="14"/>
                <w:color w:val="auto"/>
              </w:rPr>
            </w:pPr>
          </w:p>
        </w:tc>
        <w:tc>
          <w:tcPr>
            <w:tcW w:w="1080" w:type="dxa"/>
            <w:vAlign w:val="bottom"/>
            <w:shd w:val="clear" w:color="auto" w:fill="346094"/>
          </w:tcPr>
          <w:p>
            <w:pPr>
              <w:spacing w:after="0"/>
              <w:rPr>
                <w:sz w:val="14"/>
                <w:szCs w:val="14"/>
                <w:color w:val="auto"/>
              </w:rPr>
            </w:pPr>
          </w:p>
        </w:tc>
        <w:tc>
          <w:tcPr>
            <w:tcW w:w="800" w:type="dxa"/>
            <w:vAlign w:val="bottom"/>
            <w:shd w:val="clear" w:color="auto" w:fill="346094"/>
          </w:tcPr>
          <w:p>
            <w:pPr>
              <w:spacing w:after="0"/>
              <w:rPr>
                <w:sz w:val="14"/>
                <w:szCs w:val="14"/>
                <w:color w:val="auto"/>
              </w:rPr>
            </w:pPr>
          </w:p>
        </w:tc>
        <w:tc>
          <w:tcPr>
            <w:tcW w:w="200" w:type="dxa"/>
            <w:vAlign w:val="bottom"/>
            <w:shd w:val="clear" w:color="auto" w:fill="346094"/>
          </w:tcPr>
          <w:p>
            <w:pPr>
              <w:spacing w:after="0"/>
              <w:rPr>
                <w:sz w:val="14"/>
                <w:szCs w:val="14"/>
                <w:color w:val="auto"/>
              </w:rPr>
            </w:pPr>
          </w:p>
        </w:tc>
        <w:tc>
          <w:tcPr>
            <w:tcW w:w="1620" w:type="dxa"/>
            <w:vAlign w:val="bottom"/>
            <w:gridSpan w:val="3"/>
            <w:shd w:val="clear" w:color="auto" w:fill="346094"/>
          </w:tcPr>
          <w:p>
            <w:pPr>
              <w:jc w:val="center"/>
              <w:ind w:right="75"/>
              <w:spacing w:after="0"/>
              <w:rPr>
                <w:sz w:val="20"/>
                <w:szCs w:val="20"/>
                <w:color w:val="auto"/>
              </w:rPr>
            </w:pPr>
            <w:r>
              <w:rPr>
                <w:rFonts w:ascii="Arial" w:cs="Arial" w:eastAsia="Arial" w:hAnsi="Arial"/>
                <w:sz w:val="14"/>
                <w:szCs w:val="14"/>
                <w:b w:val="1"/>
                <w:bCs w:val="1"/>
                <w:color w:val="FFFFFF"/>
              </w:rPr>
              <w:t>Upon Meeting the</w:t>
            </w:r>
          </w:p>
        </w:tc>
        <w:tc>
          <w:tcPr>
            <w:tcW w:w="100" w:type="dxa"/>
            <w:vAlign w:val="bottom"/>
            <w:shd w:val="clear" w:color="auto" w:fill="346094"/>
          </w:tcPr>
          <w:p>
            <w:pPr>
              <w:spacing w:after="0"/>
              <w:rPr>
                <w:sz w:val="14"/>
                <w:szCs w:val="14"/>
                <w:color w:val="auto"/>
              </w:rPr>
            </w:pPr>
          </w:p>
        </w:tc>
        <w:tc>
          <w:tcPr>
            <w:tcW w:w="720" w:type="dxa"/>
            <w:vAlign w:val="bottom"/>
            <w:shd w:val="clear" w:color="auto" w:fill="346094"/>
          </w:tcPr>
          <w:p>
            <w:pPr>
              <w:spacing w:after="0"/>
              <w:rPr>
                <w:sz w:val="14"/>
                <w:szCs w:val="14"/>
                <w:color w:val="auto"/>
              </w:rPr>
            </w:pPr>
          </w:p>
        </w:tc>
        <w:tc>
          <w:tcPr>
            <w:tcW w:w="3560" w:type="dxa"/>
            <w:vAlign w:val="bottom"/>
            <w:gridSpan w:val="4"/>
            <w:shd w:val="clear" w:color="auto" w:fill="346094"/>
          </w:tcPr>
          <w:p>
            <w:pPr>
              <w:ind w:left="500"/>
              <w:spacing w:after="0"/>
              <w:rPr>
                <w:sz w:val="20"/>
                <w:szCs w:val="20"/>
                <w:color w:val="auto"/>
              </w:rPr>
            </w:pPr>
            <w:r>
              <w:rPr>
                <w:rFonts w:ascii="Arial" w:cs="Arial" w:eastAsia="Arial" w:hAnsi="Arial"/>
                <w:sz w:val="14"/>
                <w:szCs w:val="14"/>
                <w:b w:val="1"/>
                <w:bCs w:val="1"/>
                <w:color w:val="FFFFFF"/>
              </w:rPr>
              <w:t>Good Reason Within 30 Days Before or</w:t>
            </w:r>
          </w:p>
        </w:tc>
        <w:tc>
          <w:tcPr>
            <w:tcW w:w="0" w:type="dxa"/>
            <w:vAlign w:val="bottom"/>
          </w:tcPr>
          <w:p>
            <w:pPr>
              <w:spacing w:after="0"/>
              <w:rPr>
                <w:sz w:val="1"/>
                <w:szCs w:val="1"/>
                <w:color w:val="auto"/>
              </w:rPr>
            </w:pPr>
          </w:p>
        </w:tc>
      </w:tr>
      <w:tr>
        <w:trPr>
          <w:trHeight w:val="185"/>
        </w:trPr>
        <w:tc>
          <w:tcPr>
            <w:tcW w:w="120" w:type="dxa"/>
            <w:vAlign w:val="bottom"/>
            <w:shd w:val="clear" w:color="auto" w:fill="346094"/>
          </w:tcPr>
          <w:p>
            <w:pPr>
              <w:ind w:left="20"/>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346094"/>
          </w:tcPr>
          <w:p>
            <w:pPr>
              <w:spacing w:after="0"/>
              <w:rPr>
                <w:sz w:val="16"/>
                <w:szCs w:val="16"/>
                <w:color w:val="auto"/>
              </w:rPr>
            </w:pPr>
          </w:p>
        </w:tc>
        <w:tc>
          <w:tcPr>
            <w:tcW w:w="800" w:type="dxa"/>
            <w:vAlign w:val="bottom"/>
            <w:shd w:val="clear" w:color="auto" w:fill="346094"/>
          </w:tcPr>
          <w:p>
            <w:pPr>
              <w:ind w:left="40"/>
              <w:spacing w:after="0"/>
              <w:rPr>
                <w:sz w:val="20"/>
                <w:szCs w:val="20"/>
                <w:color w:val="auto"/>
              </w:rPr>
            </w:pPr>
            <w:r>
              <w:rPr>
                <w:rFonts w:ascii="Arial" w:cs="Arial" w:eastAsia="Arial" w:hAnsi="Arial"/>
                <w:sz w:val="14"/>
                <w:szCs w:val="14"/>
                <w:b w:val="1"/>
                <w:bCs w:val="1"/>
                <w:color w:val="FFFFFF"/>
              </w:rPr>
              <w:t>​ ​</w:t>
            </w:r>
          </w:p>
        </w:tc>
        <w:tc>
          <w:tcPr>
            <w:tcW w:w="200" w:type="dxa"/>
            <w:vAlign w:val="bottom"/>
            <w:shd w:val="clear" w:color="auto" w:fill="346094"/>
          </w:tcPr>
          <w:p>
            <w:pPr>
              <w:spacing w:after="0"/>
              <w:rPr>
                <w:sz w:val="16"/>
                <w:szCs w:val="16"/>
                <w:color w:val="auto"/>
              </w:rPr>
            </w:pPr>
          </w:p>
        </w:tc>
        <w:tc>
          <w:tcPr>
            <w:tcW w:w="1620" w:type="dxa"/>
            <w:vAlign w:val="bottom"/>
            <w:gridSpan w:val="3"/>
            <w:shd w:val="clear" w:color="auto" w:fill="346094"/>
          </w:tcPr>
          <w:p>
            <w:pPr>
              <w:jc w:val="center"/>
              <w:ind w:right="75"/>
              <w:spacing w:after="0"/>
              <w:rPr>
                <w:sz w:val="20"/>
                <w:szCs w:val="20"/>
                <w:color w:val="auto"/>
              </w:rPr>
            </w:pPr>
            <w:r>
              <w:rPr>
                <w:rFonts w:ascii="Arial" w:cs="Arial" w:eastAsia="Arial" w:hAnsi="Arial"/>
                <w:sz w:val="14"/>
                <w:szCs w:val="14"/>
                <w:b w:val="1"/>
                <w:bCs w:val="1"/>
                <w:color w:val="FFFFFF"/>
              </w:rPr>
              <w:t>Retirement Criteria</w:t>
            </w:r>
          </w:p>
        </w:tc>
        <w:tc>
          <w:tcPr>
            <w:tcW w:w="100" w:type="dxa"/>
            <w:vAlign w:val="bottom"/>
            <w:shd w:val="clear" w:color="auto" w:fill="346094"/>
          </w:tcPr>
          <w:p>
            <w:pPr>
              <w:spacing w:after="0"/>
              <w:rPr>
                <w:sz w:val="16"/>
                <w:szCs w:val="16"/>
                <w:color w:val="auto"/>
              </w:rPr>
            </w:pPr>
          </w:p>
        </w:tc>
        <w:tc>
          <w:tcPr>
            <w:tcW w:w="720" w:type="dxa"/>
            <w:vAlign w:val="bottom"/>
            <w:shd w:val="clear" w:color="auto" w:fill="346094"/>
          </w:tcPr>
          <w:p>
            <w:pPr>
              <w:spacing w:after="0"/>
              <w:rPr>
                <w:sz w:val="16"/>
                <w:szCs w:val="16"/>
                <w:color w:val="auto"/>
              </w:rPr>
            </w:pPr>
          </w:p>
        </w:tc>
        <w:tc>
          <w:tcPr>
            <w:tcW w:w="3560" w:type="dxa"/>
            <w:vAlign w:val="bottom"/>
            <w:gridSpan w:val="4"/>
            <w:shd w:val="clear" w:color="auto" w:fill="346094"/>
          </w:tcPr>
          <w:p>
            <w:pPr>
              <w:ind w:left="560"/>
              <w:spacing w:after="0"/>
              <w:rPr>
                <w:sz w:val="20"/>
                <w:szCs w:val="20"/>
                <w:color w:val="auto"/>
              </w:rPr>
            </w:pPr>
            <w:r>
              <w:rPr>
                <w:rFonts w:ascii="Arial" w:cs="Arial" w:eastAsia="Arial" w:hAnsi="Arial"/>
                <w:sz w:val="14"/>
                <w:szCs w:val="14"/>
                <w:b w:val="1"/>
                <w:bCs w:val="1"/>
                <w:color w:val="FFFFFF"/>
              </w:rPr>
              <w:t>12 Months After a Change of Control</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FFFFFF"/>
              </w:rPr>
              <w:t>Accelerated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FFFFFF"/>
              </w:rPr>
              <w:t>Accelerated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ind w:left="260"/>
              <w:spacing w:after="0" w:line="139" w:lineRule="exact"/>
              <w:rPr>
                <w:sz w:val="20"/>
                <w:szCs w:val="20"/>
                <w:color w:val="auto"/>
              </w:rPr>
            </w:pPr>
            <w:r>
              <w:rPr>
                <w:rFonts w:ascii="Arial" w:cs="Arial" w:eastAsia="Arial" w:hAnsi="Arial"/>
                <w:sz w:val="14"/>
                <w:szCs w:val="14"/>
                <w:b w:val="1"/>
                <w:bCs w:val="1"/>
                <w:color w:val="FFFFFF"/>
              </w:rPr>
              <w:t>Salary</w:t>
            </w:r>
          </w:p>
        </w:tc>
        <w:tc>
          <w:tcPr>
            <w:tcW w:w="200" w:type="dxa"/>
            <w:vAlign w:val="bottom"/>
          </w:tcPr>
          <w:p>
            <w:pPr>
              <w:spacing w:after="0"/>
              <w:rPr>
                <w:sz w:val="12"/>
                <w:szCs w:val="12"/>
                <w:color w:val="auto"/>
              </w:rPr>
            </w:pPr>
          </w:p>
        </w:tc>
        <w:tc>
          <w:tcPr>
            <w:tcW w:w="580" w:type="dxa"/>
            <w:vAlign w:val="bottom"/>
          </w:tcPr>
          <w:p>
            <w:pPr>
              <w:jc w:val="right"/>
              <w:ind w:right="88"/>
              <w:spacing w:after="0" w:line="139" w:lineRule="exact"/>
              <w:rPr>
                <w:sz w:val="20"/>
                <w:szCs w:val="20"/>
                <w:color w:val="auto"/>
              </w:rPr>
            </w:pPr>
            <w:r>
              <w:rPr>
                <w:rFonts w:ascii="Arial" w:cs="Arial" w:eastAsia="Arial" w:hAnsi="Arial"/>
                <w:sz w:val="14"/>
                <w:szCs w:val="14"/>
                <w:b w:val="1"/>
                <w:bCs w:val="1"/>
                <w:color w:val="FFFFFF"/>
                <w:w w:val="91"/>
              </w:rPr>
              <w:t>Bonus</w:t>
            </w:r>
          </w:p>
        </w:tc>
        <w:tc>
          <w:tcPr>
            <w:tcW w:w="14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4"/>
                <w:szCs w:val="14"/>
                <w:b w:val="1"/>
                <w:bCs w:val="1"/>
                <w:color w:val="FFFFFF"/>
                <w:w w:val="98"/>
              </w:rPr>
              <w:t>Awards</w:t>
            </w:r>
          </w:p>
        </w:tc>
        <w:tc>
          <w:tcPr>
            <w:tcW w:w="100" w:type="dxa"/>
            <w:vAlign w:val="bottom"/>
          </w:tcPr>
          <w:p>
            <w:pPr>
              <w:spacing w:after="0"/>
              <w:rPr>
                <w:sz w:val="12"/>
                <w:szCs w:val="12"/>
                <w:color w:val="auto"/>
              </w:rPr>
            </w:pPr>
          </w:p>
        </w:tc>
        <w:tc>
          <w:tcPr>
            <w:tcW w:w="720" w:type="dxa"/>
            <w:vAlign w:val="bottom"/>
          </w:tcPr>
          <w:p>
            <w:pPr>
              <w:ind w:left="60"/>
              <w:spacing w:after="0" w:line="139" w:lineRule="exact"/>
              <w:rPr>
                <w:sz w:val="20"/>
                <w:szCs w:val="20"/>
                <w:color w:val="auto"/>
              </w:rPr>
            </w:pPr>
            <w:r>
              <w:rPr>
                <w:rFonts w:ascii="Arial" w:cs="Arial" w:eastAsia="Arial" w:hAnsi="Arial"/>
                <w:sz w:val="14"/>
                <w:szCs w:val="14"/>
                <w:b w:val="1"/>
                <w:bCs w:val="1"/>
                <w:color w:val="FFFFFF"/>
              </w:rPr>
              <w:t>Benefits</w:t>
            </w:r>
          </w:p>
        </w:tc>
        <w:tc>
          <w:tcPr>
            <w:tcW w:w="840" w:type="dxa"/>
            <w:vAlign w:val="bottom"/>
          </w:tcPr>
          <w:p>
            <w:pPr>
              <w:ind w:left="200"/>
              <w:spacing w:after="0" w:line="139" w:lineRule="exact"/>
              <w:rPr>
                <w:sz w:val="20"/>
                <w:szCs w:val="20"/>
                <w:color w:val="auto"/>
              </w:rPr>
            </w:pPr>
            <w:r>
              <w:rPr>
                <w:rFonts w:ascii="Arial" w:cs="Arial" w:eastAsia="Arial" w:hAnsi="Arial"/>
                <w:sz w:val="14"/>
                <w:szCs w:val="14"/>
                <w:b w:val="1"/>
                <w:bCs w:val="1"/>
                <w:color w:val="FFFFFF"/>
              </w:rPr>
              <w:t>Salary</w:t>
            </w:r>
          </w:p>
        </w:tc>
        <w:tc>
          <w:tcPr>
            <w:tcW w:w="880" w:type="dxa"/>
            <w:vAlign w:val="bottom"/>
          </w:tcPr>
          <w:p>
            <w:pPr>
              <w:ind w:left="200"/>
              <w:spacing w:after="0" w:line="139" w:lineRule="exact"/>
              <w:rPr>
                <w:sz w:val="20"/>
                <w:szCs w:val="20"/>
                <w:color w:val="auto"/>
              </w:rPr>
            </w:pPr>
            <w:r>
              <w:rPr>
                <w:rFonts w:ascii="Arial" w:cs="Arial" w:eastAsia="Arial" w:hAnsi="Arial"/>
                <w:sz w:val="14"/>
                <w:szCs w:val="14"/>
                <w:b w:val="1"/>
                <w:bCs w:val="1"/>
                <w:color w:val="FFFFFF"/>
              </w:rPr>
              <w:t>Bonus</w:t>
            </w: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FFFFFF"/>
                <w:w w:val="94"/>
              </w:rPr>
              <w:t>Awards</w:t>
            </w:r>
          </w:p>
        </w:tc>
        <w:tc>
          <w:tcPr>
            <w:tcW w:w="740" w:type="dxa"/>
            <w:vAlign w:val="bottom"/>
          </w:tcPr>
          <w:p>
            <w:pPr>
              <w:ind w:left="120"/>
              <w:spacing w:after="0" w:line="139" w:lineRule="exact"/>
              <w:rPr>
                <w:sz w:val="20"/>
                <w:szCs w:val="20"/>
                <w:color w:val="auto"/>
              </w:rPr>
            </w:pPr>
            <w:r>
              <w:rPr>
                <w:rFonts w:ascii="Arial" w:cs="Arial" w:eastAsia="Arial" w:hAnsi="Arial"/>
                <w:sz w:val="14"/>
                <w:szCs w:val="14"/>
                <w:b w:val="1"/>
                <w:bCs w:val="1"/>
                <w:color w:val="FFFFFF"/>
              </w:rPr>
              <w:t>Benefits</w:t>
            </w:r>
          </w:p>
        </w:tc>
        <w:tc>
          <w:tcPr>
            <w:tcW w:w="0" w:type="dxa"/>
            <w:vAlign w:val="bottom"/>
          </w:tcPr>
          <w:p>
            <w:pPr>
              <w:spacing w:after="0"/>
              <w:rPr>
                <w:sz w:val="1"/>
                <w:szCs w:val="1"/>
                <w:color w:val="auto"/>
              </w:rPr>
            </w:pPr>
          </w:p>
        </w:tc>
      </w:tr>
      <w:tr>
        <w:trPr>
          <w:trHeight w:val="203"/>
        </w:trPr>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FFFFFF"/>
              </w:rPr>
              <w:t>​Name</w:t>
            </w:r>
          </w:p>
        </w:tc>
        <w:tc>
          <w:tcPr>
            <w:tcW w:w="800" w:type="dxa"/>
            <w:vAlign w:val="bottom"/>
          </w:tcPr>
          <w:p>
            <w:pPr>
              <w:ind w:left="40"/>
              <w:spacing w:after="0"/>
              <w:rPr>
                <w:sz w:val="20"/>
                <w:szCs w:val="20"/>
                <w:color w:val="auto"/>
              </w:rPr>
            </w:pPr>
            <w:r>
              <w:rPr>
                <w:rFonts w:ascii="Arial" w:cs="Arial" w:eastAsia="Arial" w:hAnsi="Arial"/>
                <w:sz w:val="14"/>
                <w:szCs w:val="14"/>
                <w:b w:val="1"/>
                <w:bCs w:val="1"/>
                <w:color w:val="FFFFFF"/>
              </w:rPr>
              <w:t>​ ​   ($)</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FFFFFF"/>
              </w:rPr>
              <w:t>​ ​</w:t>
            </w:r>
          </w:p>
        </w:tc>
        <w:tc>
          <w:tcPr>
            <w:tcW w:w="580" w:type="dxa"/>
            <w:vAlign w:val="bottom"/>
          </w:tcPr>
          <w:p>
            <w:pPr>
              <w:jc w:val="right"/>
              <w:ind w:right="168"/>
              <w:spacing w:after="0"/>
              <w:rPr>
                <w:sz w:val="20"/>
                <w:szCs w:val="20"/>
                <w:color w:val="auto"/>
              </w:rPr>
            </w:pPr>
            <w:r>
              <w:rPr>
                <w:rFonts w:ascii="Arial" w:cs="Arial" w:eastAsia="Arial" w:hAnsi="Arial"/>
                <w:sz w:val="14"/>
                <w:szCs w:val="14"/>
                <w:b w:val="1"/>
                <w:bCs w:val="1"/>
                <w:color w:val="FFFFFF"/>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FFFFFF"/>
              </w:rPr>
              <w:t>​ ​</w:t>
            </w:r>
          </w:p>
        </w:tc>
        <w:tc>
          <w:tcPr>
            <w:tcW w:w="900" w:type="dxa"/>
            <w:vAlign w:val="bottom"/>
          </w:tcPr>
          <w:p>
            <w:pPr>
              <w:jc w:val="center"/>
              <w:spacing w:after="0" w:line="203" w:lineRule="exact"/>
              <w:rPr>
                <w:sz w:val="20"/>
                <w:szCs w:val="20"/>
                <w:color w:val="auto"/>
              </w:rPr>
            </w:pPr>
            <w:r>
              <w:rPr>
                <w:rFonts w:ascii="Arial" w:cs="Arial" w:eastAsia="Arial" w:hAnsi="Arial"/>
                <w:sz w:val="14"/>
                <w:szCs w:val="14"/>
                <w:b w:val="1"/>
                <w:bCs w:val="1"/>
                <w:color w:val="FFFFFF"/>
                <w:w w:val="95"/>
              </w:rPr>
              <w:t>($)</w:t>
            </w:r>
            <w:r>
              <w:rPr>
                <w:rFonts w:ascii="Trebuchet MS" w:cs="Trebuchet MS" w:eastAsia="Trebuchet MS" w:hAnsi="Trebuchet MS"/>
                <w:sz w:val="21"/>
                <w:szCs w:val="21"/>
                <w:b w:val="1"/>
                <w:bCs w:val="1"/>
                <w:color w:val="FFFFFF"/>
                <w:w w:val="95"/>
                <w:vertAlign w:val="superscript"/>
              </w:rPr>
              <w:t>(1)</w:t>
            </w:r>
          </w:p>
        </w:tc>
        <w:tc>
          <w:tcPr>
            <w:tcW w:w="100" w:type="dxa"/>
            <w:vAlign w:val="bottom"/>
          </w:tcPr>
          <w:p>
            <w:pPr>
              <w:spacing w:after="0"/>
              <w:rPr>
                <w:sz w:val="20"/>
                <w:szCs w:val="20"/>
                <w:color w:val="auto"/>
              </w:rPr>
            </w:pPr>
            <w:r>
              <w:rPr>
                <w:rFonts w:ascii="Arial" w:cs="Arial" w:eastAsia="Arial" w:hAnsi="Arial"/>
                <w:sz w:val="14"/>
                <w:szCs w:val="14"/>
                <w:b w:val="1"/>
                <w:bCs w:val="1"/>
                <w:color w:val="FFFFFF"/>
              </w:rPr>
              <w:t>​</w:t>
            </w:r>
          </w:p>
        </w:tc>
        <w:tc>
          <w:tcPr>
            <w:tcW w:w="720" w:type="dxa"/>
            <w:vAlign w:val="bottom"/>
          </w:tcPr>
          <w:p>
            <w:pPr>
              <w:ind w:left="240"/>
              <w:spacing w:after="0"/>
              <w:rPr>
                <w:sz w:val="20"/>
                <w:szCs w:val="20"/>
                <w:color w:val="auto"/>
              </w:rPr>
            </w:pPr>
            <w:r>
              <w:rPr>
                <w:rFonts w:ascii="Arial" w:cs="Arial" w:eastAsia="Arial" w:hAnsi="Arial"/>
                <w:sz w:val="14"/>
                <w:szCs w:val="14"/>
                <w:b w:val="1"/>
                <w:bCs w:val="1"/>
                <w:color w:val="FFFFFF"/>
              </w:rPr>
              <w:t>($)</w:t>
            </w:r>
          </w:p>
        </w:tc>
        <w:tc>
          <w:tcPr>
            <w:tcW w:w="840" w:type="dxa"/>
            <w:vAlign w:val="bottom"/>
          </w:tcPr>
          <w:p>
            <w:pPr>
              <w:ind w:left="300"/>
              <w:spacing w:after="0"/>
              <w:rPr>
                <w:sz w:val="20"/>
                <w:szCs w:val="20"/>
                <w:color w:val="auto"/>
              </w:rPr>
            </w:pPr>
            <w:r>
              <w:rPr>
                <w:rFonts w:ascii="Arial" w:cs="Arial" w:eastAsia="Arial" w:hAnsi="Arial"/>
                <w:sz w:val="14"/>
                <w:szCs w:val="14"/>
                <w:b w:val="1"/>
                <w:bCs w:val="1"/>
                <w:color w:val="FFFFFF"/>
              </w:rPr>
              <w:t>($)</w:t>
            </w:r>
          </w:p>
        </w:tc>
        <w:tc>
          <w:tcPr>
            <w:tcW w:w="880" w:type="dxa"/>
            <w:vAlign w:val="bottom"/>
          </w:tcPr>
          <w:p>
            <w:pPr>
              <w:ind w:left="320"/>
              <w:spacing w:after="0"/>
              <w:rPr>
                <w:sz w:val="20"/>
                <w:szCs w:val="20"/>
                <w:color w:val="auto"/>
              </w:rPr>
            </w:pPr>
            <w:r>
              <w:rPr>
                <w:rFonts w:ascii="Arial" w:cs="Arial" w:eastAsia="Arial" w:hAnsi="Arial"/>
                <w:sz w:val="14"/>
                <w:szCs w:val="14"/>
                <w:b w:val="1"/>
                <w:bCs w:val="1"/>
                <w:color w:val="FFFFFF"/>
              </w:rPr>
              <w:t>($)</w:t>
            </w:r>
          </w:p>
        </w:tc>
        <w:tc>
          <w:tcPr>
            <w:tcW w:w="1100" w:type="dxa"/>
            <w:vAlign w:val="bottom"/>
          </w:tcPr>
          <w:p>
            <w:pPr>
              <w:jc w:val="center"/>
              <w:spacing w:after="0" w:line="203" w:lineRule="exact"/>
              <w:rPr>
                <w:sz w:val="20"/>
                <w:szCs w:val="20"/>
                <w:color w:val="auto"/>
              </w:rPr>
            </w:pPr>
            <w:r>
              <w:rPr>
                <w:rFonts w:ascii="Arial" w:cs="Arial" w:eastAsia="Arial" w:hAnsi="Arial"/>
                <w:sz w:val="14"/>
                <w:szCs w:val="14"/>
                <w:b w:val="1"/>
                <w:bCs w:val="1"/>
                <w:color w:val="FFFFFF"/>
                <w:w w:val="95"/>
              </w:rPr>
              <w:t>($)</w:t>
            </w:r>
            <w:r>
              <w:rPr>
                <w:rFonts w:ascii="Trebuchet MS" w:cs="Trebuchet MS" w:eastAsia="Trebuchet MS" w:hAnsi="Trebuchet MS"/>
                <w:sz w:val="21"/>
                <w:szCs w:val="21"/>
                <w:b w:val="1"/>
                <w:bCs w:val="1"/>
                <w:color w:val="FFFFFF"/>
                <w:w w:val="95"/>
                <w:vertAlign w:val="superscript"/>
              </w:rPr>
              <w:t>(1)</w:t>
            </w:r>
          </w:p>
        </w:tc>
        <w:tc>
          <w:tcPr>
            <w:tcW w:w="740" w:type="dxa"/>
            <w:vAlign w:val="bottom"/>
          </w:tcPr>
          <w:p>
            <w:pPr>
              <w:jc w:val="right"/>
              <w:ind w:right="19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76"/>
        </w:trPr>
        <w:tc>
          <w:tcPr>
            <w:tcW w:w="1200" w:type="dxa"/>
            <w:vAlign w:val="bottom"/>
            <w:gridSpan w:val="2"/>
          </w:tcPr>
          <w:p>
            <w:pPr>
              <w:ind w:left="40"/>
              <w:spacing w:after="0"/>
              <w:rPr>
                <w:sz w:val="20"/>
                <w:szCs w:val="20"/>
                <w:color w:val="auto"/>
              </w:rPr>
            </w:pPr>
            <w:r>
              <w:rPr>
                <w:rFonts w:ascii="Arial" w:cs="Arial" w:eastAsia="Arial" w:hAnsi="Arial"/>
                <w:sz w:val="14"/>
                <w:szCs w:val="14"/>
                <w:color w:val="4C4C4C"/>
              </w:rPr>
              <w:t>Patrick R. Gruber</w:t>
            </w:r>
          </w:p>
        </w:tc>
        <w:tc>
          <w:tcPr>
            <w:tcW w:w="800" w:type="dxa"/>
            <w:vAlign w:val="bottom"/>
          </w:tcPr>
          <w:p>
            <w:pPr>
              <w:ind w:left="160"/>
              <w:spacing w:after="0"/>
              <w:rPr>
                <w:sz w:val="20"/>
                <w:szCs w:val="20"/>
                <w:color w:val="auto"/>
              </w:rPr>
            </w:pPr>
            <w:r>
              <w:rPr>
                <w:rFonts w:ascii="Arial" w:cs="Arial" w:eastAsia="Arial" w:hAnsi="Arial"/>
                <w:sz w:val="14"/>
                <w:szCs w:val="14"/>
                <w:color w:val="4C4C4C"/>
                <w:w w:val="99"/>
              </w:rPr>
              <w:t>2,406,250</w:t>
            </w:r>
          </w:p>
        </w:tc>
        <w:tc>
          <w:tcPr>
            <w:tcW w:w="780" w:type="dxa"/>
            <w:vAlign w:val="bottom"/>
            <w:gridSpan w:val="2"/>
          </w:tcPr>
          <w:p>
            <w:pPr>
              <w:jc w:val="right"/>
              <w:spacing w:after="0"/>
              <w:rPr>
                <w:sz w:val="20"/>
                <w:szCs w:val="20"/>
                <w:color w:val="auto"/>
              </w:rPr>
            </w:pPr>
            <w:r>
              <w:rPr>
                <w:rFonts w:ascii="Arial" w:cs="Arial" w:eastAsia="Arial" w:hAnsi="Arial"/>
                <w:sz w:val="14"/>
                <w:szCs w:val="14"/>
                <w:color w:val="4C4C4C"/>
              </w:rPr>
              <w:t>3,185,088</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4C4C4C"/>
              </w:rPr>
              <w:t>​ ​</w:t>
            </w:r>
          </w:p>
        </w:tc>
        <w:tc>
          <w:tcPr>
            <w:tcW w:w="900" w:type="dxa"/>
            <w:vAlign w:val="bottom"/>
          </w:tcPr>
          <w:p>
            <w:pPr>
              <w:ind w:left="240"/>
              <w:spacing w:after="0"/>
              <w:rPr>
                <w:sz w:val="20"/>
                <w:szCs w:val="20"/>
                <w:color w:val="auto"/>
              </w:rPr>
            </w:pPr>
            <w:r>
              <w:rPr>
                <w:rFonts w:ascii="Arial" w:cs="Arial" w:eastAsia="Arial" w:hAnsi="Arial"/>
                <w:sz w:val="14"/>
                <w:szCs w:val="14"/>
                <w:color w:val="4C4C4C"/>
              </w:rPr>
              <w:t>7,210,145</w:t>
            </w:r>
          </w:p>
        </w:tc>
        <w:tc>
          <w:tcPr>
            <w:tcW w:w="100" w:type="dxa"/>
            <w:vAlign w:val="bottom"/>
            <w:vMerge w:val="restart"/>
          </w:tcPr>
          <w:p>
            <w:pPr>
              <w:spacing w:after="0"/>
              <w:rPr>
                <w:sz w:val="20"/>
                <w:szCs w:val="20"/>
                <w:color w:val="auto"/>
              </w:rPr>
            </w:pPr>
            <w:r>
              <w:rPr>
                <w:rFonts w:ascii="Arial" w:cs="Arial" w:eastAsia="Arial" w:hAnsi="Arial"/>
                <w:sz w:val="14"/>
                <w:szCs w:val="14"/>
                <w:color w:val="4C4C4C"/>
              </w:rPr>
              <w:t>​</w:t>
            </w:r>
          </w:p>
        </w:tc>
        <w:tc>
          <w:tcPr>
            <w:tcW w:w="720" w:type="dxa"/>
            <w:vAlign w:val="bottom"/>
          </w:tcPr>
          <w:p>
            <w:pPr>
              <w:ind w:left="200"/>
              <w:spacing w:after="0"/>
              <w:rPr>
                <w:sz w:val="20"/>
                <w:szCs w:val="20"/>
                <w:color w:val="auto"/>
              </w:rPr>
            </w:pPr>
            <w:r>
              <w:rPr>
                <w:rFonts w:ascii="Arial" w:cs="Arial" w:eastAsia="Arial" w:hAnsi="Arial"/>
                <w:sz w:val="14"/>
                <w:szCs w:val="14"/>
                <w:color w:val="4C4C4C"/>
              </w:rPr>
              <w:t>63,271</w:t>
            </w:r>
          </w:p>
        </w:tc>
        <w:tc>
          <w:tcPr>
            <w:tcW w:w="840" w:type="dxa"/>
            <w:vAlign w:val="bottom"/>
          </w:tcPr>
          <w:p>
            <w:pPr>
              <w:ind w:left="80"/>
              <w:spacing w:after="0"/>
              <w:rPr>
                <w:sz w:val="20"/>
                <w:szCs w:val="20"/>
                <w:color w:val="auto"/>
              </w:rPr>
            </w:pPr>
            <w:r>
              <w:rPr>
                <w:rFonts w:ascii="Arial" w:cs="Arial" w:eastAsia="Arial" w:hAnsi="Arial"/>
                <w:sz w:val="14"/>
                <w:szCs w:val="14"/>
                <w:color w:val="4C4C4C"/>
              </w:rPr>
              <w:t>2,406,250</w:t>
            </w:r>
          </w:p>
        </w:tc>
        <w:tc>
          <w:tcPr>
            <w:tcW w:w="880" w:type="dxa"/>
            <w:vAlign w:val="bottom"/>
          </w:tcPr>
          <w:p>
            <w:pPr>
              <w:ind w:left="100"/>
              <w:spacing w:after="0"/>
              <w:rPr>
                <w:sz w:val="20"/>
                <w:szCs w:val="20"/>
                <w:color w:val="auto"/>
              </w:rPr>
            </w:pPr>
            <w:r>
              <w:rPr>
                <w:rFonts w:ascii="Arial" w:cs="Arial" w:eastAsia="Arial" w:hAnsi="Arial"/>
                <w:sz w:val="14"/>
                <w:szCs w:val="14"/>
                <w:color w:val="4C4C4C"/>
              </w:rPr>
              <w:t>3,185,088</w:t>
            </w:r>
          </w:p>
        </w:tc>
        <w:tc>
          <w:tcPr>
            <w:tcW w:w="1100" w:type="dxa"/>
            <w:vAlign w:val="bottom"/>
          </w:tcPr>
          <w:p>
            <w:pPr>
              <w:ind w:left="340"/>
              <w:spacing w:after="0"/>
              <w:rPr>
                <w:sz w:val="20"/>
                <w:szCs w:val="20"/>
                <w:color w:val="auto"/>
              </w:rPr>
            </w:pPr>
            <w:r>
              <w:rPr>
                <w:rFonts w:ascii="Arial" w:cs="Arial" w:eastAsia="Arial" w:hAnsi="Arial"/>
                <w:sz w:val="14"/>
                <w:szCs w:val="14"/>
                <w:color w:val="4C4C4C"/>
              </w:rPr>
              <w:t>7,210,145</w:t>
            </w:r>
          </w:p>
        </w:tc>
        <w:tc>
          <w:tcPr>
            <w:tcW w:w="740" w:type="dxa"/>
            <w:vAlign w:val="bottom"/>
          </w:tcPr>
          <w:p>
            <w:pPr>
              <w:ind w:left="260"/>
              <w:spacing w:after="0"/>
              <w:rPr>
                <w:sz w:val="20"/>
                <w:szCs w:val="20"/>
                <w:color w:val="auto"/>
              </w:rPr>
            </w:pPr>
            <w:r>
              <w:rPr>
                <w:rFonts w:ascii="Arial" w:cs="Arial" w:eastAsia="Arial" w:hAnsi="Arial"/>
                <w:sz w:val="14"/>
                <w:szCs w:val="14"/>
                <w:color w:val="4C4C4C"/>
              </w:rPr>
              <w:t>63,271</w:t>
            </w:r>
          </w:p>
        </w:tc>
        <w:tc>
          <w:tcPr>
            <w:tcW w:w="0" w:type="dxa"/>
            <w:vAlign w:val="bottom"/>
          </w:tcPr>
          <w:p>
            <w:pPr>
              <w:spacing w:after="0"/>
              <w:rPr>
                <w:sz w:val="1"/>
                <w:szCs w:val="1"/>
                <w:color w:val="auto"/>
              </w:rPr>
            </w:pPr>
          </w:p>
        </w:tc>
      </w:tr>
      <w:tr>
        <w:trPr>
          <w:trHeight w:val="54"/>
        </w:trPr>
        <w:tc>
          <w:tcPr>
            <w:tcW w:w="120" w:type="dxa"/>
            <w:vAlign w:val="bottom"/>
          </w:tcPr>
          <w:p>
            <w:pPr>
              <w:ind w:left="20"/>
              <w:spacing w:after="0" w:line="54" w:lineRule="exact"/>
              <w:rPr>
                <w:sz w:val="20"/>
                <w:szCs w:val="20"/>
                <w:color w:val="auto"/>
              </w:rPr>
            </w:pPr>
            <w:r>
              <w:rPr>
                <w:rFonts w:ascii="Arial" w:cs="Arial" w:eastAsia="Arial" w:hAnsi="Arial"/>
                <w:sz w:val="6"/>
                <w:szCs w:val="6"/>
                <w:color w:val="4C4C4C"/>
              </w:rPr>
              <w:t>​</w:t>
            </w:r>
          </w:p>
        </w:tc>
        <w:tc>
          <w:tcPr>
            <w:tcW w:w="1080" w:type="dxa"/>
            <w:vAlign w:val="bottom"/>
          </w:tcPr>
          <w:p>
            <w:pPr>
              <w:spacing w:after="0"/>
              <w:rPr>
                <w:sz w:val="4"/>
                <w:szCs w:val="4"/>
                <w:color w:val="auto"/>
              </w:rPr>
            </w:pPr>
          </w:p>
        </w:tc>
        <w:tc>
          <w:tcPr>
            <w:tcW w:w="800" w:type="dxa"/>
            <w:vAlign w:val="bottom"/>
          </w:tcPr>
          <w:p>
            <w:pPr>
              <w:ind w:left="40"/>
              <w:spacing w:after="0" w:line="54" w:lineRule="exact"/>
              <w:rPr>
                <w:sz w:val="20"/>
                <w:szCs w:val="20"/>
                <w:color w:val="auto"/>
              </w:rPr>
            </w:pPr>
            <w:r>
              <w:rPr>
                <w:rFonts w:ascii="Arial" w:cs="Arial" w:eastAsia="Arial" w:hAnsi="Arial"/>
                <w:sz w:val="6"/>
                <w:szCs w:val="6"/>
                <w:color w:val="4C4C4C"/>
              </w:rPr>
              <w:t>​ ​​</w:t>
            </w:r>
          </w:p>
        </w:tc>
        <w:tc>
          <w:tcPr>
            <w:tcW w:w="200" w:type="dxa"/>
            <w:vAlign w:val="bottom"/>
          </w:tcPr>
          <w:p>
            <w:pPr>
              <w:ind w:left="20"/>
              <w:spacing w:after="0" w:line="54" w:lineRule="exact"/>
              <w:rPr>
                <w:sz w:val="20"/>
                <w:szCs w:val="20"/>
                <w:color w:val="auto"/>
              </w:rPr>
            </w:pPr>
            <w:r>
              <w:rPr>
                <w:rFonts w:ascii="Arial" w:cs="Arial" w:eastAsia="Arial" w:hAnsi="Arial"/>
                <w:sz w:val="6"/>
                <w:szCs w:val="6"/>
                <w:color w:val="4C4C4C"/>
              </w:rPr>
              <w:t>​ ​​</w:t>
            </w:r>
          </w:p>
        </w:tc>
        <w:tc>
          <w:tcPr>
            <w:tcW w:w="5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900" w:type="dxa"/>
            <w:vAlign w:val="bottom"/>
          </w:tcPr>
          <w:p>
            <w:pPr>
              <w:ind w:left="240"/>
              <w:spacing w:after="0" w:line="54" w:lineRule="exact"/>
              <w:rPr>
                <w:sz w:val="20"/>
                <w:szCs w:val="20"/>
                <w:color w:val="auto"/>
              </w:rPr>
            </w:pPr>
            <w:r>
              <w:rPr>
                <w:rFonts w:ascii="Arial" w:cs="Arial" w:eastAsia="Arial" w:hAnsi="Arial"/>
                <w:sz w:val="6"/>
                <w:szCs w:val="6"/>
                <w:color w:val="4C4C4C"/>
              </w:rPr>
              <w:t>​</w:t>
            </w:r>
          </w:p>
        </w:tc>
        <w:tc>
          <w:tcPr>
            <w:tcW w:w="100" w:type="dxa"/>
            <w:vAlign w:val="bottom"/>
            <w:vMerge w:val="continue"/>
          </w:tcPr>
          <w:p>
            <w:pPr>
              <w:spacing w:after="0"/>
              <w:rPr>
                <w:sz w:val="4"/>
                <w:szCs w:val="4"/>
                <w:color w:val="auto"/>
              </w:rPr>
            </w:pPr>
          </w:p>
        </w:tc>
        <w:tc>
          <w:tcPr>
            <w:tcW w:w="720" w:type="dxa"/>
            <w:vAlign w:val="bottom"/>
          </w:tcPr>
          <w:p>
            <w:pPr>
              <w:ind w:left="200"/>
              <w:spacing w:after="0" w:line="54" w:lineRule="exact"/>
              <w:rPr>
                <w:sz w:val="20"/>
                <w:szCs w:val="20"/>
                <w:color w:val="auto"/>
              </w:rPr>
            </w:pPr>
            <w:r>
              <w:rPr>
                <w:rFonts w:ascii="Arial" w:cs="Arial" w:eastAsia="Arial" w:hAnsi="Arial"/>
                <w:sz w:val="6"/>
                <w:szCs w:val="6"/>
                <w:color w:val="4C4C4C"/>
              </w:rPr>
              <w:t>​</w:t>
            </w:r>
          </w:p>
        </w:tc>
        <w:tc>
          <w:tcPr>
            <w:tcW w:w="840" w:type="dxa"/>
            <w:vAlign w:val="bottom"/>
          </w:tcPr>
          <w:p>
            <w:pPr>
              <w:ind w:left="80"/>
              <w:spacing w:after="0" w:line="54" w:lineRule="exact"/>
              <w:rPr>
                <w:sz w:val="20"/>
                <w:szCs w:val="20"/>
                <w:color w:val="auto"/>
              </w:rPr>
            </w:pPr>
            <w:r>
              <w:rPr>
                <w:rFonts w:ascii="Arial" w:cs="Arial" w:eastAsia="Arial" w:hAnsi="Arial"/>
                <w:sz w:val="6"/>
                <w:szCs w:val="6"/>
                <w:color w:val="4C4C4C"/>
              </w:rPr>
              <w:t>​</w:t>
            </w:r>
          </w:p>
        </w:tc>
        <w:tc>
          <w:tcPr>
            <w:tcW w:w="880" w:type="dxa"/>
            <w:vAlign w:val="bottom"/>
          </w:tcPr>
          <w:p>
            <w:pPr>
              <w:ind w:left="100"/>
              <w:spacing w:after="0" w:line="54" w:lineRule="exact"/>
              <w:rPr>
                <w:sz w:val="20"/>
                <w:szCs w:val="20"/>
                <w:color w:val="auto"/>
              </w:rPr>
            </w:pPr>
            <w:r>
              <w:rPr>
                <w:rFonts w:ascii="Arial" w:cs="Arial" w:eastAsia="Arial" w:hAnsi="Arial"/>
                <w:sz w:val="6"/>
                <w:szCs w:val="6"/>
                <w:color w:val="4C4C4C"/>
              </w:rPr>
              <w:t>​</w:t>
            </w:r>
          </w:p>
        </w:tc>
        <w:tc>
          <w:tcPr>
            <w:tcW w:w="1100" w:type="dxa"/>
            <w:vAlign w:val="bottom"/>
          </w:tcPr>
          <w:p>
            <w:pPr>
              <w:ind w:left="340"/>
              <w:spacing w:after="0" w:line="54" w:lineRule="exact"/>
              <w:rPr>
                <w:sz w:val="20"/>
                <w:szCs w:val="20"/>
                <w:color w:val="auto"/>
              </w:rPr>
            </w:pPr>
            <w:r>
              <w:rPr>
                <w:rFonts w:ascii="Arial" w:cs="Arial" w:eastAsia="Arial" w:hAnsi="Arial"/>
                <w:sz w:val="6"/>
                <w:szCs w:val="6"/>
                <w:color w:val="4C4C4C"/>
              </w:rPr>
              <w:t>​</w:t>
            </w:r>
          </w:p>
        </w:tc>
        <w:tc>
          <w:tcPr>
            <w:tcW w:w="740" w:type="dxa"/>
            <w:vAlign w:val="bottom"/>
          </w:tcPr>
          <w:p>
            <w:pPr>
              <w:ind w:left="260"/>
              <w:spacing w:after="0" w:line="54" w:lineRule="exact"/>
              <w:rPr>
                <w:sz w:val="20"/>
                <w:szCs w:val="20"/>
                <w:color w:val="auto"/>
              </w:rPr>
            </w:pPr>
            <w:r>
              <w:rPr>
                <w:rFonts w:ascii="Arial" w:cs="Arial" w:eastAsia="Arial" w:hAnsi="Arial"/>
                <w:sz w:val="6"/>
                <w:szCs w:val="6"/>
                <w:color w:val="4C4C4C"/>
              </w:rPr>
              <w:t>​</w:t>
            </w:r>
          </w:p>
        </w:tc>
        <w:tc>
          <w:tcPr>
            <w:tcW w:w="0" w:type="dxa"/>
            <w:vAlign w:val="bottom"/>
          </w:tcPr>
          <w:p>
            <w:pPr>
              <w:spacing w:after="0"/>
              <w:rPr>
                <w:sz w:val="1"/>
                <w:szCs w:val="1"/>
                <w:color w:val="auto"/>
              </w:rPr>
            </w:pPr>
          </w:p>
        </w:tc>
      </w:tr>
      <w:tr>
        <w:trPr>
          <w:trHeight w:val="202"/>
        </w:trPr>
        <w:tc>
          <w:tcPr>
            <w:tcW w:w="120" w:type="dxa"/>
            <w:vAlign w:val="bottom"/>
            <w:shd w:val="clear" w:color="auto" w:fill="E1E7EF"/>
          </w:tcPr>
          <w:p>
            <w:pPr>
              <w:spacing w:after="0"/>
              <w:rPr>
                <w:sz w:val="17"/>
                <w:szCs w:val="17"/>
                <w:color w:val="auto"/>
              </w:rPr>
            </w:pPr>
          </w:p>
        </w:tc>
        <w:tc>
          <w:tcPr>
            <w:tcW w:w="1080" w:type="dxa"/>
            <w:vAlign w:val="bottom"/>
            <w:shd w:val="clear" w:color="auto" w:fill="E1E7EF"/>
          </w:tcPr>
          <w:p>
            <w:pPr>
              <w:ind w:left="60"/>
              <w:spacing w:after="0"/>
              <w:rPr>
                <w:sz w:val="20"/>
                <w:szCs w:val="20"/>
                <w:color w:val="auto"/>
              </w:rPr>
            </w:pPr>
            <w:r>
              <w:rPr>
                <w:rFonts w:ascii="Arial" w:cs="Arial" w:eastAsia="Arial" w:hAnsi="Arial"/>
                <w:sz w:val="14"/>
                <w:szCs w:val="14"/>
                <w:color w:val="4C4C4C"/>
              </w:rPr>
              <w:t>Christopher M.</w:t>
            </w:r>
          </w:p>
        </w:tc>
        <w:tc>
          <w:tcPr>
            <w:tcW w:w="800" w:type="dxa"/>
            <w:vAlign w:val="bottom"/>
            <w:shd w:val="clear" w:color="auto" w:fill="E1E7EF"/>
          </w:tcPr>
          <w:p>
            <w:pPr>
              <w:spacing w:after="0"/>
              <w:rPr>
                <w:sz w:val="17"/>
                <w:szCs w:val="17"/>
                <w:color w:val="auto"/>
              </w:rPr>
            </w:pPr>
          </w:p>
        </w:tc>
        <w:tc>
          <w:tcPr>
            <w:tcW w:w="200" w:type="dxa"/>
            <w:vAlign w:val="bottom"/>
            <w:shd w:val="clear" w:color="auto" w:fill="E1E7EF"/>
          </w:tcPr>
          <w:p>
            <w:pPr>
              <w:spacing w:after="0"/>
              <w:rPr>
                <w:sz w:val="17"/>
                <w:szCs w:val="17"/>
                <w:color w:val="auto"/>
              </w:rPr>
            </w:pPr>
          </w:p>
        </w:tc>
        <w:tc>
          <w:tcPr>
            <w:tcW w:w="580" w:type="dxa"/>
            <w:vAlign w:val="bottom"/>
            <w:shd w:val="clear" w:color="auto" w:fill="E1E7EF"/>
          </w:tcPr>
          <w:p>
            <w:pPr>
              <w:spacing w:after="0"/>
              <w:rPr>
                <w:sz w:val="17"/>
                <w:szCs w:val="17"/>
                <w:color w:val="auto"/>
              </w:rPr>
            </w:pPr>
          </w:p>
        </w:tc>
        <w:tc>
          <w:tcPr>
            <w:tcW w:w="140" w:type="dxa"/>
            <w:vAlign w:val="bottom"/>
            <w:shd w:val="clear" w:color="auto" w:fill="E1E7EF"/>
          </w:tcPr>
          <w:p>
            <w:pPr>
              <w:spacing w:after="0"/>
              <w:rPr>
                <w:sz w:val="17"/>
                <w:szCs w:val="17"/>
                <w:color w:val="auto"/>
              </w:rPr>
            </w:pPr>
          </w:p>
        </w:tc>
        <w:tc>
          <w:tcPr>
            <w:tcW w:w="900" w:type="dxa"/>
            <w:vAlign w:val="bottom"/>
            <w:shd w:val="clear" w:color="auto" w:fill="E1E7EF"/>
          </w:tcPr>
          <w:p>
            <w:pPr>
              <w:spacing w:after="0"/>
              <w:rPr>
                <w:sz w:val="17"/>
                <w:szCs w:val="17"/>
                <w:color w:val="auto"/>
              </w:rPr>
            </w:pPr>
          </w:p>
        </w:tc>
        <w:tc>
          <w:tcPr>
            <w:tcW w:w="100" w:type="dxa"/>
            <w:vAlign w:val="bottom"/>
            <w:shd w:val="clear" w:color="auto" w:fill="E1E7EF"/>
          </w:tcPr>
          <w:p>
            <w:pPr>
              <w:spacing w:after="0"/>
              <w:rPr>
                <w:sz w:val="17"/>
                <w:szCs w:val="17"/>
                <w:color w:val="auto"/>
              </w:rPr>
            </w:pPr>
          </w:p>
        </w:tc>
        <w:tc>
          <w:tcPr>
            <w:tcW w:w="720" w:type="dxa"/>
            <w:vAlign w:val="bottom"/>
            <w:shd w:val="clear" w:color="auto" w:fill="E1E7EF"/>
          </w:tcPr>
          <w:p>
            <w:pPr>
              <w:spacing w:after="0"/>
              <w:rPr>
                <w:sz w:val="17"/>
                <w:szCs w:val="17"/>
                <w:color w:val="auto"/>
              </w:rPr>
            </w:pPr>
          </w:p>
        </w:tc>
        <w:tc>
          <w:tcPr>
            <w:tcW w:w="840" w:type="dxa"/>
            <w:vAlign w:val="bottom"/>
            <w:shd w:val="clear" w:color="auto" w:fill="E1E7EF"/>
          </w:tcPr>
          <w:p>
            <w:pPr>
              <w:spacing w:after="0"/>
              <w:rPr>
                <w:sz w:val="17"/>
                <w:szCs w:val="17"/>
                <w:color w:val="auto"/>
              </w:rPr>
            </w:pPr>
          </w:p>
        </w:tc>
        <w:tc>
          <w:tcPr>
            <w:tcW w:w="880" w:type="dxa"/>
            <w:vAlign w:val="bottom"/>
            <w:shd w:val="clear" w:color="auto" w:fill="E1E7EF"/>
          </w:tcPr>
          <w:p>
            <w:pPr>
              <w:spacing w:after="0"/>
              <w:rPr>
                <w:sz w:val="17"/>
                <w:szCs w:val="17"/>
                <w:color w:val="auto"/>
              </w:rPr>
            </w:pPr>
          </w:p>
        </w:tc>
        <w:tc>
          <w:tcPr>
            <w:tcW w:w="1100" w:type="dxa"/>
            <w:vAlign w:val="bottom"/>
            <w:shd w:val="clear" w:color="auto" w:fill="E1E7EF"/>
          </w:tcPr>
          <w:p>
            <w:pPr>
              <w:spacing w:after="0"/>
              <w:rPr>
                <w:sz w:val="17"/>
                <w:szCs w:val="17"/>
                <w:color w:val="auto"/>
              </w:rPr>
            </w:pPr>
          </w:p>
        </w:tc>
        <w:tc>
          <w:tcPr>
            <w:tcW w:w="740" w:type="dxa"/>
            <w:vAlign w:val="bottom"/>
            <w:shd w:val="clear" w:color="auto" w:fill="E1E7E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0" w:type="dxa"/>
            <w:vAlign w:val="bottom"/>
            <w:vMerge w:val="restart"/>
            <w:shd w:val="clear" w:color="auto" w:fill="E1E7EF"/>
          </w:tcPr>
          <w:p>
            <w:pPr>
              <w:ind w:left="20"/>
              <w:spacing w:after="0"/>
              <w:rPr>
                <w:sz w:val="20"/>
                <w:szCs w:val="20"/>
                <w:color w:val="auto"/>
              </w:rPr>
            </w:pPr>
            <w:r>
              <w:rPr>
                <w:rFonts w:ascii="Arial" w:cs="Arial" w:eastAsia="Arial" w:hAnsi="Arial"/>
                <w:sz w:val="14"/>
                <w:szCs w:val="14"/>
                <w:color w:val="4C4C4C"/>
              </w:rPr>
              <w:t>​</w:t>
            </w:r>
          </w:p>
        </w:tc>
        <w:tc>
          <w:tcPr>
            <w:tcW w:w="1080" w:type="dxa"/>
            <w:vAlign w:val="bottom"/>
            <w:shd w:val="clear" w:color="auto" w:fill="E1E7EF"/>
          </w:tcPr>
          <w:p>
            <w:pPr>
              <w:ind w:left="200"/>
              <w:spacing w:after="0" w:line="149" w:lineRule="exact"/>
              <w:rPr>
                <w:sz w:val="20"/>
                <w:szCs w:val="20"/>
                <w:color w:val="auto"/>
              </w:rPr>
            </w:pPr>
            <w:r>
              <w:rPr>
                <w:rFonts w:ascii="Arial" w:cs="Arial" w:eastAsia="Arial" w:hAnsi="Arial"/>
                <w:sz w:val="14"/>
                <w:szCs w:val="14"/>
                <w:color w:val="4C4C4C"/>
              </w:rPr>
              <w:t>Ryan</w:t>
            </w:r>
          </w:p>
        </w:tc>
        <w:tc>
          <w:tcPr>
            <w:tcW w:w="800" w:type="dxa"/>
            <w:vAlign w:val="bottom"/>
            <w:shd w:val="clear" w:color="auto" w:fill="E1E7EF"/>
          </w:tcPr>
          <w:p>
            <w:pPr>
              <w:ind w:left="160"/>
              <w:spacing w:after="0" w:line="149" w:lineRule="exact"/>
              <w:rPr>
                <w:sz w:val="20"/>
                <w:szCs w:val="20"/>
                <w:color w:val="auto"/>
              </w:rPr>
            </w:pPr>
            <w:r>
              <w:rPr>
                <w:rFonts w:ascii="Arial" w:cs="Arial" w:eastAsia="Arial" w:hAnsi="Arial"/>
                <w:sz w:val="14"/>
                <w:szCs w:val="14"/>
                <w:color w:val="4C4C4C"/>
                <w:w w:val="99"/>
              </w:rPr>
              <w:t>1,141,365</w:t>
            </w:r>
          </w:p>
        </w:tc>
        <w:tc>
          <w:tcPr>
            <w:tcW w:w="780" w:type="dxa"/>
            <w:vAlign w:val="bottom"/>
            <w:gridSpan w:val="2"/>
            <w:shd w:val="clear" w:color="auto" w:fill="E1E7EF"/>
          </w:tcPr>
          <w:p>
            <w:pPr>
              <w:jc w:val="right"/>
              <w:spacing w:after="0" w:line="149" w:lineRule="exact"/>
              <w:rPr>
                <w:sz w:val="20"/>
                <w:szCs w:val="20"/>
                <w:color w:val="auto"/>
              </w:rPr>
            </w:pPr>
            <w:r>
              <w:rPr>
                <w:rFonts w:ascii="Arial" w:cs="Arial" w:eastAsia="Arial" w:hAnsi="Arial"/>
                <w:sz w:val="14"/>
                <w:szCs w:val="14"/>
                <w:color w:val="4C4C4C"/>
              </w:rPr>
              <w:t>2,009,900</w:t>
            </w:r>
          </w:p>
        </w:tc>
        <w:tc>
          <w:tcPr>
            <w:tcW w:w="140" w:type="dxa"/>
            <w:vAlign w:val="bottom"/>
            <w:vMerge w:val="restart"/>
            <w:shd w:val="clear" w:color="auto" w:fill="E1E7EF"/>
          </w:tcPr>
          <w:p>
            <w:pPr>
              <w:ind w:left="20"/>
              <w:spacing w:after="0"/>
              <w:rPr>
                <w:sz w:val="20"/>
                <w:szCs w:val="20"/>
                <w:color w:val="auto"/>
              </w:rPr>
            </w:pPr>
            <w:r>
              <w:rPr>
                <w:rFonts w:ascii="Arial" w:cs="Arial" w:eastAsia="Arial" w:hAnsi="Arial"/>
                <w:sz w:val="14"/>
                <w:szCs w:val="14"/>
                <w:color w:val="4C4C4C"/>
              </w:rPr>
              <w:t>​ ​</w:t>
            </w:r>
          </w:p>
        </w:tc>
        <w:tc>
          <w:tcPr>
            <w:tcW w:w="900" w:type="dxa"/>
            <w:vAlign w:val="bottom"/>
            <w:shd w:val="clear" w:color="auto" w:fill="E1E7EF"/>
          </w:tcPr>
          <w:p>
            <w:pPr>
              <w:ind w:left="240"/>
              <w:spacing w:after="0" w:line="149" w:lineRule="exact"/>
              <w:rPr>
                <w:sz w:val="20"/>
                <w:szCs w:val="20"/>
                <w:color w:val="auto"/>
              </w:rPr>
            </w:pPr>
            <w:r>
              <w:rPr>
                <w:rFonts w:ascii="Arial" w:cs="Arial" w:eastAsia="Arial" w:hAnsi="Arial"/>
                <w:sz w:val="14"/>
                <w:szCs w:val="14"/>
                <w:color w:val="4C4C4C"/>
              </w:rPr>
              <w:t>3,172,850</w:t>
            </w:r>
          </w:p>
        </w:tc>
        <w:tc>
          <w:tcPr>
            <w:tcW w:w="100" w:type="dxa"/>
            <w:vAlign w:val="bottom"/>
            <w:vMerge w:val="restart"/>
            <w:shd w:val="clear" w:color="auto" w:fill="E1E7EF"/>
          </w:tcPr>
          <w:p>
            <w:pPr>
              <w:spacing w:after="0"/>
              <w:rPr>
                <w:sz w:val="20"/>
                <w:szCs w:val="20"/>
                <w:color w:val="auto"/>
              </w:rPr>
            </w:pPr>
            <w:r>
              <w:rPr>
                <w:rFonts w:ascii="Arial" w:cs="Arial" w:eastAsia="Arial" w:hAnsi="Arial"/>
                <w:sz w:val="14"/>
                <w:szCs w:val="14"/>
                <w:color w:val="4C4C4C"/>
              </w:rPr>
              <w:t>​</w:t>
            </w:r>
          </w:p>
        </w:tc>
        <w:tc>
          <w:tcPr>
            <w:tcW w:w="720" w:type="dxa"/>
            <w:vAlign w:val="bottom"/>
            <w:shd w:val="clear" w:color="auto" w:fill="E1E7EF"/>
          </w:tcPr>
          <w:p>
            <w:pPr>
              <w:ind w:left="200"/>
              <w:spacing w:after="0" w:line="149" w:lineRule="exact"/>
              <w:rPr>
                <w:sz w:val="20"/>
                <w:szCs w:val="20"/>
                <w:color w:val="auto"/>
              </w:rPr>
            </w:pPr>
            <w:r>
              <w:rPr>
                <w:rFonts w:ascii="Arial" w:cs="Arial" w:eastAsia="Arial" w:hAnsi="Arial"/>
                <w:sz w:val="14"/>
                <w:szCs w:val="14"/>
                <w:color w:val="4C4C4C"/>
              </w:rPr>
              <w:t>36,668</w:t>
            </w:r>
          </w:p>
        </w:tc>
        <w:tc>
          <w:tcPr>
            <w:tcW w:w="840" w:type="dxa"/>
            <w:vAlign w:val="bottom"/>
            <w:shd w:val="clear" w:color="auto" w:fill="E1E7EF"/>
          </w:tcPr>
          <w:p>
            <w:pPr>
              <w:ind w:left="80"/>
              <w:spacing w:after="0" w:line="149" w:lineRule="exact"/>
              <w:rPr>
                <w:sz w:val="20"/>
                <w:szCs w:val="20"/>
                <w:color w:val="auto"/>
              </w:rPr>
            </w:pPr>
            <w:r>
              <w:rPr>
                <w:rFonts w:ascii="Arial" w:cs="Arial" w:eastAsia="Arial" w:hAnsi="Arial"/>
                <w:sz w:val="14"/>
                <w:szCs w:val="14"/>
                <w:color w:val="4C4C4C"/>
              </w:rPr>
              <w:t>1,141,365</w:t>
            </w:r>
          </w:p>
        </w:tc>
        <w:tc>
          <w:tcPr>
            <w:tcW w:w="880" w:type="dxa"/>
            <w:vAlign w:val="bottom"/>
            <w:shd w:val="clear" w:color="auto" w:fill="E1E7EF"/>
          </w:tcPr>
          <w:p>
            <w:pPr>
              <w:ind w:left="100"/>
              <w:spacing w:after="0" w:line="149" w:lineRule="exact"/>
              <w:rPr>
                <w:sz w:val="20"/>
                <w:szCs w:val="20"/>
                <w:color w:val="auto"/>
              </w:rPr>
            </w:pPr>
            <w:r>
              <w:rPr>
                <w:rFonts w:ascii="Arial" w:cs="Arial" w:eastAsia="Arial" w:hAnsi="Arial"/>
                <w:sz w:val="14"/>
                <w:szCs w:val="14"/>
                <w:color w:val="4C4C4C"/>
              </w:rPr>
              <w:t>2,009,900</w:t>
            </w:r>
          </w:p>
        </w:tc>
        <w:tc>
          <w:tcPr>
            <w:tcW w:w="1100" w:type="dxa"/>
            <w:vAlign w:val="bottom"/>
            <w:shd w:val="clear" w:color="auto" w:fill="E1E7EF"/>
          </w:tcPr>
          <w:p>
            <w:pPr>
              <w:ind w:left="340"/>
              <w:spacing w:after="0" w:line="149" w:lineRule="exact"/>
              <w:rPr>
                <w:sz w:val="20"/>
                <w:szCs w:val="20"/>
                <w:color w:val="auto"/>
              </w:rPr>
            </w:pPr>
            <w:r>
              <w:rPr>
                <w:rFonts w:ascii="Arial" w:cs="Arial" w:eastAsia="Arial" w:hAnsi="Arial"/>
                <w:sz w:val="14"/>
                <w:szCs w:val="14"/>
                <w:color w:val="4C4C4C"/>
              </w:rPr>
              <w:t>3,172,850</w:t>
            </w:r>
          </w:p>
        </w:tc>
        <w:tc>
          <w:tcPr>
            <w:tcW w:w="740" w:type="dxa"/>
            <w:vAlign w:val="bottom"/>
            <w:shd w:val="clear" w:color="auto" w:fill="E1E7EF"/>
          </w:tcPr>
          <w:p>
            <w:pPr>
              <w:ind w:left="260"/>
              <w:spacing w:after="0" w:line="149" w:lineRule="exact"/>
              <w:rPr>
                <w:sz w:val="20"/>
                <w:szCs w:val="20"/>
                <w:color w:val="auto"/>
              </w:rPr>
            </w:pPr>
            <w:r>
              <w:rPr>
                <w:rFonts w:ascii="Arial" w:cs="Arial" w:eastAsia="Arial" w:hAnsi="Arial"/>
                <w:sz w:val="14"/>
                <w:szCs w:val="14"/>
                <w:color w:val="4C4C4C"/>
              </w:rPr>
              <w:t>36,668</w:t>
            </w:r>
          </w:p>
        </w:tc>
        <w:tc>
          <w:tcPr>
            <w:tcW w:w="0" w:type="dxa"/>
            <w:vAlign w:val="bottom"/>
          </w:tcPr>
          <w:p>
            <w:pPr>
              <w:spacing w:after="0"/>
              <w:rPr>
                <w:sz w:val="1"/>
                <w:szCs w:val="1"/>
                <w:color w:val="auto"/>
              </w:rPr>
            </w:pPr>
          </w:p>
        </w:tc>
      </w:tr>
      <w:tr>
        <w:trPr>
          <w:trHeight w:val="68"/>
        </w:trPr>
        <w:tc>
          <w:tcPr>
            <w:tcW w:w="120" w:type="dxa"/>
            <w:vAlign w:val="bottom"/>
            <w:vMerge w:val="continue"/>
            <w:shd w:val="clear" w:color="auto" w:fill="E1E7EF"/>
          </w:tcPr>
          <w:p>
            <w:pPr>
              <w:spacing w:after="0"/>
              <w:rPr>
                <w:sz w:val="5"/>
                <w:szCs w:val="5"/>
                <w:color w:val="auto"/>
              </w:rPr>
            </w:pPr>
          </w:p>
        </w:tc>
        <w:tc>
          <w:tcPr>
            <w:tcW w:w="1080" w:type="dxa"/>
            <w:vAlign w:val="bottom"/>
            <w:shd w:val="clear" w:color="auto" w:fill="E1E7EF"/>
          </w:tcPr>
          <w:p>
            <w:pPr>
              <w:spacing w:after="0"/>
              <w:rPr>
                <w:sz w:val="5"/>
                <w:szCs w:val="5"/>
                <w:color w:val="auto"/>
              </w:rPr>
            </w:pPr>
          </w:p>
        </w:tc>
        <w:tc>
          <w:tcPr>
            <w:tcW w:w="800" w:type="dxa"/>
            <w:vAlign w:val="bottom"/>
            <w:shd w:val="clear" w:color="auto" w:fill="E1E7EF"/>
          </w:tcPr>
          <w:p>
            <w:pPr>
              <w:ind w:left="40"/>
              <w:spacing w:after="0" w:line="68" w:lineRule="exact"/>
              <w:rPr>
                <w:sz w:val="20"/>
                <w:szCs w:val="20"/>
                <w:color w:val="auto"/>
              </w:rPr>
            </w:pPr>
            <w:r>
              <w:rPr>
                <w:rFonts w:ascii="Arial" w:cs="Arial" w:eastAsia="Arial" w:hAnsi="Arial"/>
                <w:sz w:val="7"/>
                <w:szCs w:val="7"/>
                <w:color w:val="4C4C4C"/>
              </w:rPr>
              <w:t>​ ​​</w:t>
            </w:r>
          </w:p>
        </w:tc>
        <w:tc>
          <w:tcPr>
            <w:tcW w:w="200" w:type="dxa"/>
            <w:vAlign w:val="bottom"/>
            <w:shd w:val="clear" w:color="auto" w:fill="E1E7EF"/>
          </w:tcPr>
          <w:p>
            <w:pPr>
              <w:ind w:left="20"/>
              <w:spacing w:after="0" w:line="68" w:lineRule="exact"/>
              <w:rPr>
                <w:sz w:val="20"/>
                <w:szCs w:val="20"/>
                <w:color w:val="auto"/>
              </w:rPr>
            </w:pPr>
            <w:r>
              <w:rPr>
                <w:rFonts w:ascii="Arial" w:cs="Arial" w:eastAsia="Arial" w:hAnsi="Arial"/>
                <w:sz w:val="7"/>
                <w:szCs w:val="7"/>
                <w:color w:val="4C4C4C"/>
              </w:rPr>
              <w:t>​ ​​</w:t>
            </w:r>
          </w:p>
        </w:tc>
        <w:tc>
          <w:tcPr>
            <w:tcW w:w="580" w:type="dxa"/>
            <w:vAlign w:val="bottom"/>
            <w:shd w:val="clear" w:color="auto" w:fill="E1E7EF"/>
          </w:tcPr>
          <w:p>
            <w:pPr>
              <w:spacing w:after="0"/>
              <w:rPr>
                <w:sz w:val="5"/>
                <w:szCs w:val="5"/>
                <w:color w:val="auto"/>
              </w:rPr>
            </w:pPr>
          </w:p>
        </w:tc>
        <w:tc>
          <w:tcPr>
            <w:tcW w:w="140" w:type="dxa"/>
            <w:vAlign w:val="bottom"/>
            <w:vMerge w:val="continue"/>
            <w:shd w:val="clear" w:color="auto" w:fill="E1E7EF"/>
          </w:tcPr>
          <w:p>
            <w:pPr>
              <w:spacing w:after="0"/>
              <w:rPr>
                <w:sz w:val="5"/>
                <w:szCs w:val="5"/>
                <w:color w:val="auto"/>
              </w:rPr>
            </w:pPr>
          </w:p>
        </w:tc>
        <w:tc>
          <w:tcPr>
            <w:tcW w:w="900" w:type="dxa"/>
            <w:vAlign w:val="bottom"/>
            <w:shd w:val="clear" w:color="auto" w:fill="E1E7EF"/>
          </w:tcPr>
          <w:p>
            <w:pPr>
              <w:ind w:left="240"/>
              <w:spacing w:after="0" w:line="68" w:lineRule="exact"/>
              <w:rPr>
                <w:sz w:val="20"/>
                <w:szCs w:val="20"/>
                <w:color w:val="auto"/>
              </w:rPr>
            </w:pPr>
            <w:r>
              <w:rPr>
                <w:rFonts w:ascii="Arial" w:cs="Arial" w:eastAsia="Arial" w:hAnsi="Arial"/>
                <w:sz w:val="7"/>
                <w:szCs w:val="7"/>
                <w:color w:val="4C4C4C"/>
              </w:rPr>
              <w:t>​</w:t>
            </w:r>
          </w:p>
        </w:tc>
        <w:tc>
          <w:tcPr>
            <w:tcW w:w="100" w:type="dxa"/>
            <w:vAlign w:val="bottom"/>
            <w:vMerge w:val="continue"/>
            <w:shd w:val="clear" w:color="auto" w:fill="E1E7EF"/>
          </w:tcPr>
          <w:p>
            <w:pPr>
              <w:spacing w:after="0"/>
              <w:rPr>
                <w:sz w:val="5"/>
                <w:szCs w:val="5"/>
                <w:color w:val="auto"/>
              </w:rPr>
            </w:pPr>
          </w:p>
        </w:tc>
        <w:tc>
          <w:tcPr>
            <w:tcW w:w="720" w:type="dxa"/>
            <w:vAlign w:val="bottom"/>
            <w:shd w:val="clear" w:color="auto" w:fill="E1E7EF"/>
          </w:tcPr>
          <w:p>
            <w:pPr>
              <w:ind w:left="200"/>
              <w:spacing w:after="0" w:line="68" w:lineRule="exact"/>
              <w:rPr>
                <w:sz w:val="20"/>
                <w:szCs w:val="20"/>
                <w:color w:val="auto"/>
              </w:rPr>
            </w:pPr>
            <w:r>
              <w:rPr>
                <w:rFonts w:ascii="Arial" w:cs="Arial" w:eastAsia="Arial" w:hAnsi="Arial"/>
                <w:sz w:val="7"/>
                <w:szCs w:val="7"/>
                <w:color w:val="4C4C4C"/>
              </w:rPr>
              <w:t>​</w:t>
            </w:r>
          </w:p>
        </w:tc>
        <w:tc>
          <w:tcPr>
            <w:tcW w:w="840" w:type="dxa"/>
            <w:vAlign w:val="bottom"/>
            <w:shd w:val="clear" w:color="auto" w:fill="E1E7EF"/>
          </w:tcPr>
          <w:p>
            <w:pPr>
              <w:ind w:left="80"/>
              <w:spacing w:after="0" w:line="68" w:lineRule="exact"/>
              <w:rPr>
                <w:sz w:val="20"/>
                <w:szCs w:val="20"/>
                <w:color w:val="auto"/>
              </w:rPr>
            </w:pPr>
            <w:r>
              <w:rPr>
                <w:rFonts w:ascii="Arial" w:cs="Arial" w:eastAsia="Arial" w:hAnsi="Arial"/>
                <w:sz w:val="7"/>
                <w:szCs w:val="7"/>
                <w:color w:val="4C4C4C"/>
              </w:rPr>
              <w:t>​</w:t>
            </w:r>
          </w:p>
        </w:tc>
        <w:tc>
          <w:tcPr>
            <w:tcW w:w="880" w:type="dxa"/>
            <w:vAlign w:val="bottom"/>
            <w:shd w:val="clear" w:color="auto" w:fill="E1E7EF"/>
          </w:tcPr>
          <w:p>
            <w:pPr>
              <w:ind w:left="100"/>
              <w:spacing w:after="0" w:line="68" w:lineRule="exact"/>
              <w:rPr>
                <w:sz w:val="20"/>
                <w:szCs w:val="20"/>
                <w:color w:val="auto"/>
              </w:rPr>
            </w:pPr>
            <w:r>
              <w:rPr>
                <w:rFonts w:ascii="Arial" w:cs="Arial" w:eastAsia="Arial" w:hAnsi="Arial"/>
                <w:sz w:val="7"/>
                <w:szCs w:val="7"/>
                <w:color w:val="4C4C4C"/>
              </w:rPr>
              <w:t>​</w:t>
            </w:r>
          </w:p>
        </w:tc>
        <w:tc>
          <w:tcPr>
            <w:tcW w:w="1100" w:type="dxa"/>
            <w:vAlign w:val="bottom"/>
            <w:shd w:val="clear" w:color="auto" w:fill="E1E7EF"/>
          </w:tcPr>
          <w:p>
            <w:pPr>
              <w:ind w:left="340"/>
              <w:spacing w:after="0" w:line="68" w:lineRule="exact"/>
              <w:rPr>
                <w:sz w:val="20"/>
                <w:szCs w:val="20"/>
                <w:color w:val="auto"/>
              </w:rPr>
            </w:pPr>
            <w:r>
              <w:rPr>
                <w:rFonts w:ascii="Arial" w:cs="Arial" w:eastAsia="Arial" w:hAnsi="Arial"/>
                <w:sz w:val="7"/>
                <w:szCs w:val="7"/>
                <w:color w:val="4C4C4C"/>
              </w:rPr>
              <w:t>​</w:t>
            </w:r>
          </w:p>
        </w:tc>
        <w:tc>
          <w:tcPr>
            <w:tcW w:w="740" w:type="dxa"/>
            <w:vAlign w:val="bottom"/>
            <w:shd w:val="clear" w:color="auto" w:fill="E1E7EF"/>
          </w:tcPr>
          <w:p>
            <w:pPr>
              <w:ind w:left="260"/>
              <w:spacing w:after="0" w:line="68" w:lineRule="exact"/>
              <w:rPr>
                <w:sz w:val="20"/>
                <w:szCs w:val="20"/>
                <w:color w:val="auto"/>
              </w:rPr>
            </w:pPr>
            <w:r>
              <w:rPr>
                <w:rFonts w:ascii="Arial" w:cs="Arial" w:eastAsia="Arial" w:hAnsi="Arial"/>
                <w:sz w:val="7"/>
                <w:szCs w:val="7"/>
                <w:color w:val="4C4C4C"/>
              </w:rPr>
              <w:t>​</w:t>
            </w:r>
          </w:p>
        </w:tc>
        <w:tc>
          <w:tcPr>
            <w:tcW w:w="0" w:type="dxa"/>
            <w:vAlign w:val="bottom"/>
          </w:tcPr>
          <w:p>
            <w:pPr>
              <w:spacing w:after="0"/>
              <w:rPr>
                <w:sz w:val="1"/>
                <w:szCs w:val="1"/>
                <w:color w:val="auto"/>
              </w:rPr>
            </w:pPr>
          </w:p>
        </w:tc>
      </w:tr>
      <w:tr>
        <w:trPr>
          <w:trHeight w:val="176"/>
        </w:trPr>
        <w:tc>
          <w:tcPr>
            <w:tcW w:w="120" w:type="dxa"/>
            <w:vAlign w:val="bottom"/>
            <w:vMerge w:val="restart"/>
          </w:tcPr>
          <w:p>
            <w:pPr>
              <w:ind w:left="20"/>
              <w:spacing w:after="0"/>
              <w:rPr>
                <w:sz w:val="20"/>
                <w:szCs w:val="20"/>
                <w:color w:val="auto"/>
              </w:rPr>
            </w:pPr>
            <w:r>
              <w:rPr>
                <w:rFonts w:ascii="Arial" w:cs="Arial" w:eastAsia="Arial" w:hAnsi="Arial"/>
                <w:sz w:val="14"/>
                <w:szCs w:val="14"/>
                <w:color w:val="4C4C4C"/>
              </w:rPr>
              <w:t>​</w:t>
            </w:r>
          </w:p>
        </w:tc>
        <w:tc>
          <w:tcPr>
            <w:tcW w:w="1080" w:type="dxa"/>
            <w:vAlign w:val="bottom"/>
          </w:tcPr>
          <w:p>
            <w:pPr>
              <w:ind w:left="60"/>
              <w:spacing w:after="0"/>
              <w:rPr>
                <w:sz w:val="20"/>
                <w:szCs w:val="20"/>
                <w:color w:val="auto"/>
              </w:rPr>
            </w:pPr>
            <w:r>
              <w:rPr>
                <w:rFonts w:ascii="Arial" w:cs="Arial" w:eastAsia="Arial" w:hAnsi="Arial"/>
                <w:sz w:val="14"/>
                <w:szCs w:val="14"/>
                <w:color w:val="4C4C4C"/>
              </w:rPr>
              <w:t>Paul D. Bloom</w:t>
            </w:r>
          </w:p>
        </w:tc>
        <w:tc>
          <w:tcPr>
            <w:tcW w:w="800" w:type="dxa"/>
            <w:vAlign w:val="bottom"/>
          </w:tcPr>
          <w:p>
            <w:pPr>
              <w:ind w:left="160"/>
              <w:spacing w:after="0"/>
              <w:rPr>
                <w:sz w:val="20"/>
                <w:szCs w:val="20"/>
                <w:color w:val="auto"/>
              </w:rPr>
            </w:pPr>
            <w:r>
              <w:rPr>
                <w:rFonts w:ascii="Arial" w:cs="Arial" w:eastAsia="Arial" w:hAnsi="Arial"/>
                <w:sz w:val="14"/>
                <w:szCs w:val="14"/>
                <w:color w:val="4C4C4C"/>
                <w:w w:val="99"/>
              </w:rPr>
              <w:t>1,100,000</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4C4C4C"/>
              </w:rPr>
              <w:t>​ ​​</w:t>
            </w:r>
          </w:p>
        </w:tc>
        <w:tc>
          <w:tcPr>
            <w:tcW w:w="580" w:type="dxa"/>
            <w:vAlign w:val="bottom"/>
          </w:tcPr>
          <w:p>
            <w:pPr>
              <w:jc w:val="right"/>
              <w:spacing w:after="0"/>
              <w:rPr>
                <w:sz w:val="20"/>
                <w:szCs w:val="20"/>
                <w:color w:val="auto"/>
              </w:rPr>
            </w:pPr>
            <w:r>
              <w:rPr>
                <w:rFonts w:ascii="Arial" w:cs="Arial" w:eastAsia="Arial" w:hAnsi="Arial"/>
                <w:sz w:val="14"/>
                <w:szCs w:val="14"/>
                <w:color w:val="4C4C4C"/>
              </w:rPr>
              <w:t>550,000</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4C4C4C"/>
              </w:rPr>
              <w:t>​ ​</w:t>
            </w:r>
          </w:p>
        </w:tc>
        <w:tc>
          <w:tcPr>
            <w:tcW w:w="900" w:type="dxa"/>
            <w:vAlign w:val="bottom"/>
          </w:tcPr>
          <w:p>
            <w:pPr>
              <w:ind w:left="240"/>
              <w:spacing w:after="0"/>
              <w:rPr>
                <w:sz w:val="20"/>
                <w:szCs w:val="20"/>
                <w:color w:val="auto"/>
              </w:rPr>
            </w:pPr>
            <w:r>
              <w:rPr>
                <w:rFonts w:ascii="Arial" w:cs="Arial" w:eastAsia="Arial" w:hAnsi="Arial"/>
                <w:sz w:val="14"/>
                <w:szCs w:val="14"/>
                <w:color w:val="4C4C4C"/>
              </w:rPr>
              <w:t>2,922,822</w:t>
            </w:r>
          </w:p>
        </w:tc>
        <w:tc>
          <w:tcPr>
            <w:tcW w:w="100" w:type="dxa"/>
            <w:vAlign w:val="bottom"/>
            <w:vMerge w:val="restart"/>
          </w:tcPr>
          <w:p>
            <w:pPr>
              <w:spacing w:after="0"/>
              <w:rPr>
                <w:sz w:val="20"/>
                <w:szCs w:val="20"/>
                <w:color w:val="auto"/>
              </w:rPr>
            </w:pPr>
            <w:r>
              <w:rPr>
                <w:rFonts w:ascii="Arial" w:cs="Arial" w:eastAsia="Arial" w:hAnsi="Arial"/>
                <w:sz w:val="14"/>
                <w:szCs w:val="14"/>
                <w:color w:val="4C4C4C"/>
              </w:rPr>
              <w:t>​</w:t>
            </w:r>
          </w:p>
        </w:tc>
        <w:tc>
          <w:tcPr>
            <w:tcW w:w="720" w:type="dxa"/>
            <w:vAlign w:val="bottom"/>
          </w:tcPr>
          <w:p>
            <w:pPr>
              <w:ind w:left="200"/>
              <w:spacing w:after="0"/>
              <w:rPr>
                <w:sz w:val="20"/>
                <w:szCs w:val="20"/>
                <w:color w:val="auto"/>
              </w:rPr>
            </w:pPr>
            <w:r>
              <w:rPr>
                <w:rFonts w:ascii="Arial" w:cs="Arial" w:eastAsia="Arial" w:hAnsi="Arial"/>
                <w:sz w:val="14"/>
                <w:szCs w:val="14"/>
                <w:color w:val="4C4C4C"/>
              </w:rPr>
              <w:t>63,271</w:t>
            </w:r>
          </w:p>
        </w:tc>
        <w:tc>
          <w:tcPr>
            <w:tcW w:w="840" w:type="dxa"/>
            <w:vAlign w:val="bottom"/>
          </w:tcPr>
          <w:p>
            <w:pPr>
              <w:ind w:left="80"/>
              <w:spacing w:after="0"/>
              <w:rPr>
                <w:sz w:val="20"/>
                <w:szCs w:val="20"/>
                <w:color w:val="auto"/>
              </w:rPr>
            </w:pPr>
            <w:r>
              <w:rPr>
                <w:rFonts w:ascii="Arial" w:cs="Arial" w:eastAsia="Arial" w:hAnsi="Arial"/>
                <w:sz w:val="14"/>
                <w:szCs w:val="14"/>
                <w:color w:val="4C4C4C"/>
              </w:rPr>
              <w:t>1,375,000</w:t>
            </w:r>
          </w:p>
        </w:tc>
        <w:tc>
          <w:tcPr>
            <w:tcW w:w="880" w:type="dxa"/>
            <w:vAlign w:val="bottom"/>
          </w:tcPr>
          <w:p>
            <w:pPr>
              <w:ind w:left="100"/>
              <w:spacing w:after="0"/>
              <w:rPr>
                <w:sz w:val="20"/>
                <w:szCs w:val="20"/>
                <w:color w:val="auto"/>
              </w:rPr>
            </w:pPr>
            <w:r>
              <w:rPr>
                <w:rFonts w:ascii="Arial" w:cs="Arial" w:eastAsia="Arial" w:hAnsi="Arial"/>
                <w:sz w:val="14"/>
                <w:szCs w:val="14"/>
                <w:color w:val="4C4C4C"/>
              </w:rPr>
              <w:t>1,100,000</w:t>
            </w:r>
          </w:p>
        </w:tc>
        <w:tc>
          <w:tcPr>
            <w:tcW w:w="1100" w:type="dxa"/>
            <w:vAlign w:val="bottom"/>
          </w:tcPr>
          <w:p>
            <w:pPr>
              <w:ind w:left="340"/>
              <w:spacing w:after="0"/>
              <w:rPr>
                <w:sz w:val="20"/>
                <w:szCs w:val="20"/>
                <w:color w:val="auto"/>
              </w:rPr>
            </w:pPr>
            <w:r>
              <w:rPr>
                <w:rFonts w:ascii="Arial" w:cs="Arial" w:eastAsia="Arial" w:hAnsi="Arial"/>
                <w:sz w:val="14"/>
                <w:szCs w:val="14"/>
                <w:color w:val="4C4C4C"/>
              </w:rPr>
              <w:t>2,922,822</w:t>
            </w:r>
          </w:p>
        </w:tc>
        <w:tc>
          <w:tcPr>
            <w:tcW w:w="740" w:type="dxa"/>
            <w:vAlign w:val="bottom"/>
          </w:tcPr>
          <w:p>
            <w:pPr>
              <w:ind w:left="260"/>
              <w:spacing w:after="0"/>
              <w:rPr>
                <w:sz w:val="20"/>
                <w:szCs w:val="20"/>
                <w:color w:val="auto"/>
              </w:rPr>
            </w:pPr>
            <w:r>
              <w:rPr>
                <w:rFonts w:ascii="Arial" w:cs="Arial" w:eastAsia="Arial" w:hAnsi="Arial"/>
                <w:sz w:val="14"/>
                <w:szCs w:val="14"/>
                <w:color w:val="4C4C4C"/>
              </w:rPr>
              <w:t>63,271</w:t>
            </w:r>
          </w:p>
        </w:tc>
        <w:tc>
          <w:tcPr>
            <w:tcW w:w="0" w:type="dxa"/>
            <w:vAlign w:val="bottom"/>
          </w:tcPr>
          <w:p>
            <w:pPr>
              <w:spacing w:after="0"/>
              <w:rPr>
                <w:sz w:val="1"/>
                <w:szCs w:val="1"/>
                <w:color w:val="auto"/>
              </w:rPr>
            </w:pPr>
          </w:p>
        </w:tc>
      </w:tr>
      <w:tr>
        <w:trPr>
          <w:trHeight w:val="171"/>
        </w:trPr>
        <w:tc>
          <w:tcPr>
            <w:tcW w:w="12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4C4C4C"/>
              </w:rPr>
              <w:t>​ ​​</w:t>
            </w:r>
          </w:p>
        </w:tc>
        <w:tc>
          <w:tcPr>
            <w:tcW w:w="2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00" w:type="dxa"/>
            <w:vAlign w:val="bottom"/>
          </w:tcPr>
          <w:p>
            <w:pPr>
              <w:ind w:left="240"/>
              <w:spacing w:after="0"/>
              <w:rPr>
                <w:sz w:val="20"/>
                <w:szCs w:val="20"/>
                <w:color w:val="auto"/>
              </w:rPr>
            </w:pPr>
            <w:r>
              <w:rPr>
                <w:rFonts w:ascii="Arial" w:cs="Arial" w:eastAsia="Arial" w:hAnsi="Arial"/>
                <w:sz w:val="14"/>
                <w:szCs w:val="14"/>
                <w:color w:val="4C4C4C"/>
              </w:rPr>
              <w:t>​</w:t>
            </w:r>
          </w:p>
        </w:tc>
        <w:tc>
          <w:tcPr>
            <w:tcW w:w="100" w:type="dxa"/>
            <w:vAlign w:val="bottom"/>
            <w:vMerge w:val="continue"/>
          </w:tcPr>
          <w:p>
            <w:pPr>
              <w:spacing w:after="0"/>
              <w:rPr>
                <w:sz w:val="14"/>
                <w:szCs w:val="14"/>
                <w:color w:val="auto"/>
              </w:rPr>
            </w:pPr>
          </w:p>
        </w:tc>
        <w:tc>
          <w:tcPr>
            <w:tcW w:w="720" w:type="dxa"/>
            <w:vAlign w:val="bottom"/>
          </w:tcPr>
          <w:p>
            <w:pPr>
              <w:ind w:left="200"/>
              <w:spacing w:after="0"/>
              <w:rPr>
                <w:sz w:val="20"/>
                <w:szCs w:val="20"/>
                <w:color w:val="auto"/>
              </w:rPr>
            </w:pPr>
            <w:r>
              <w:rPr>
                <w:rFonts w:ascii="Arial" w:cs="Arial" w:eastAsia="Arial" w:hAnsi="Arial"/>
                <w:sz w:val="14"/>
                <w:szCs w:val="14"/>
                <w:color w:val="4C4C4C"/>
              </w:rPr>
              <w:t>​</w:t>
            </w:r>
          </w:p>
        </w:tc>
        <w:tc>
          <w:tcPr>
            <w:tcW w:w="840" w:type="dxa"/>
            <w:vAlign w:val="bottom"/>
          </w:tcPr>
          <w:p>
            <w:pPr>
              <w:ind w:left="80"/>
              <w:spacing w:after="0"/>
              <w:rPr>
                <w:sz w:val="20"/>
                <w:szCs w:val="20"/>
                <w:color w:val="auto"/>
              </w:rPr>
            </w:pPr>
            <w:r>
              <w:rPr>
                <w:rFonts w:ascii="Arial" w:cs="Arial" w:eastAsia="Arial" w:hAnsi="Arial"/>
                <w:sz w:val="14"/>
                <w:szCs w:val="14"/>
                <w:color w:val="4C4C4C"/>
              </w:rPr>
              <w:t>​</w:t>
            </w:r>
          </w:p>
        </w:tc>
        <w:tc>
          <w:tcPr>
            <w:tcW w:w="880" w:type="dxa"/>
            <w:vAlign w:val="bottom"/>
          </w:tcPr>
          <w:p>
            <w:pPr>
              <w:ind w:left="100"/>
              <w:spacing w:after="0"/>
              <w:rPr>
                <w:sz w:val="20"/>
                <w:szCs w:val="20"/>
                <w:color w:val="auto"/>
              </w:rPr>
            </w:pPr>
            <w:r>
              <w:rPr>
                <w:rFonts w:ascii="Arial" w:cs="Arial" w:eastAsia="Arial" w:hAnsi="Arial"/>
                <w:sz w:val="14"/>
                <w:szCs w:val="14"/>
                <w:color w:val="4C4C4C"/>
              </w:rPr>
              <w:t>​</w:t>
            </w:r>
          </w:p>
        </w:tc>
        <w:tc>
          <w:tcPr>
            <w:tcW w:w="1100" w:type="dxa"/>
            <w:vAlign w:val="bottom"/>
          </w:tcPr>
          <w:p>
            <w:pPr>
              <w:ind w:left="340"/>
              <w:spacing w:after="0"/>
              <w:rPr>
                <w:sz w:val="20"/>
                <w:szCs w:val="20"/>
                <w:color w:val="auto"/>
              </w:rPr>
            </w:pPr>
            <w:r>
              <w:rPr>
                <w:rFonts w:ascii="Arial" w:cs="Arial" w:eastAsia="Arial" w:hAnsi="Arial"/>
                <w:sz w:val="14"/>
                <w:szCs w:val="14"/>
                <w:color w:val="4C4C4C"/>
              </w:rPr>
              <w:t>​</w:t>
            </w:r>
          </w:p>
        </w:tc>
        <w:tc>
          <w:tcPr>
            <w:tcW w:w="740" w:type="dxa"/>
            <w:vAlign w:val="bottom"/>
          </w:tcPr>
          <w:p>
            <w:pPr>
              <w:ind w:left="260"/>
              <w:spacing w:after="0"/>
              <w:rPr>
                <w:sz w:val="20"/>
                <w:szCs w:val="20"/>
                <w:color w:val="auto"/>
              </w:rPr>
            </w:pPr>
            <w:r>
              <w:rPr>
                <w:rFonts w:ascii="Arial" w:cs="Arial" w:eastAsia="Arial" w:hAnsi="Arial"/>
                <w:sz w:val="14"/>
                <w:szCs w:val="14"/>
                <w:color w:val="4C4C4C"/>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-1179830</wp:posOffset>
            </wp:positionV>
            <wp:extent cx="5186045" cy="548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6045" cy="5486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19685</wp:posOffset>
            </wp:positionV>
            <wp:extent cx="14312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68" w:lineRule="exact"/>
        <w:rPr>
          <w:sz w:val="20"/>
          <w:szCs w:val="20"/>
          <w:color w:val="auto"/>
        </w:rPr>
      </w:pPr>
    </w:p>
    <w:p>
      <w:pPr>
        <w:ind w:left="1620" w:hanging="360"/>
        <w:spacing w:after="0"/>
        <w:tabs>
          <w:tab w:leader="none" w:pos="1620" w:val="left"/>
        </w:tabs>
        <w:numPr>
          <w:ilvl w:val="0"/>
          <w:numId w:val="82"/>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Amounts calculated based on the closing price of our common stock on December 31, 2025.</w:t>
      </w:r>
    </w:p>
    <w:p>
      <w:pPr>
        <w:spacing w:after="0" w:line="165" w:lineRule="exact"/>
        <w:rPr>
          <w:sz w:val="20"/>
          <w:szCs w:val="20"/>
          <w:color w:val="auto"/>
        </w:rPr>
      </w:pPr>
    </w:p>
    <w:p>
      <w:pPr>
        <w:ind w:left="1260" w:right="539"/>
        <w:spacing w:after="0" w:line="254" w:lineRule="auto"/>
        <w:rPr>
          <w:sz w:val="20"/>
          <w:szCs w:val="20"/>
          <w:color w:val="auto"/>
        </w:rPr>
      </w:pPr>
      <w:r>
        <w:rPr>
          <w:rFonts w:ascii="Arial" w:cs="Arial" w:eastAsia="Arial" w:hAnsi="Arial"/>
          <w:sz w:val="18"/>
          <w:szCs w:val="18"/>
          <w:color w:val="4C4C4C"/>
        </w:rPr>
        <w:t>The following table summarizes the potential payments and benefits payable to Mr. Agiri, Mr. Smull and Mr. Shafer upon (i) a termination of employment without cause (and no change in control) pursuant to the</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COMPENSATION TABLES</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4C4C4C"/>
        </w:rPr>
        <w:t>terms of their offer letters and (ii) upon termination without cause or resignation for good reason within 30 days prior to or 12 months after a change in control under the CIC Plan, in each case assuming that such termination and change in control, where applicable, occurred on December 31, 2025. As described above, we entered into an employment agreement with Mr. Agiri on January 1, 2026, which would control in lieu of these benefits if his employment terminated under similar circumstances on or after January 1, 2026. Mr. Smull retired effective January 1, 2026. Upon his retirement, he received (i) payment for all unpaid salary and unused paid time off accrued and earned as of the date of termination of employment, (ii) cash severance equal to 12 months of base salary plus 1.0x his annual target bonus, 12 months of free COBRA coverage, and his outstanding equity awards vested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130810</wp:posOffset>
            </wp:positionV>
            <wp:extent cx="5212080" cy="11061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2080" cy="1106170"/>
                    </a:xfrm>
                    <a:prstGeom prst="rect">
                      <a:avLst/>
                    </a:prstGeom>
                    <a:noFill/>
                  </pic:spPr>
                </pic:pic>
              </a:graphicData>
            </a:graphic>
          </wp:anchor>
        </w:drawing>
      </w:r>
    </w:p>
    <w:p>
      <w:pPr>
        <w:spacing w:after="0" w:line="186" w:lineRule="exact"/>
        <w:rPr>
          <w:sz w:val="20"/>
          <w:szCs w:val="20"/>
          <w:color w:val="auto"/>
        </w:rPr>
      </w:pPr>
    </w:p>
    <w:tbl>
      <w:tblPr>
        <w:tblLayout w:type="fixed"/>
        <w:tblInd w:w="1260" w:type="dxa"/>
        <w:tblCellMar>
          <w:top w:w="0" w:type="dxa"/>
          <w:left w:w="0" w:type="dxa"/>
          <w:bottom w:w="0" w:type="dxa"/>
          <w:right w:w="0" w:type="dxa"/>
        </w:tblCellMar>
      </w:tblPr>
      <w:tr>
        <w:trPr>
          <w:trHeight w:val="206"/>
        </w:trPr>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gridSpan w:val="7"/>
          </w:tcPr>
          <w:p>
            <w:pPr>
              <w:jc w:val="center"/>
              <w:ind w:left="19"/>
              <w:spacing w:after="0"/>
              <w:rPr>
                <w:sz w:val="20"/>
                <w:szCs w:val="20"/>
                <w:color w:val="auto"/>
              </w:rPr>
            </w:pPr>
            <w:r>
              <w:rPr>
                <w:rFonts w:ascii="Arial" w:cs="Arial" w:eastAsia="Arial" w:hAnsi="Arial"/>
                <w:sz w:val="16"/>
                <w:szCs w:val="16"/>
                <w:b w:val="1"/>
                <w:bCs w:val="1"/>
                <w:color w:val="FFFFFF"/>
                <w:w w:val="99"/>
              </w:rPr>
              <w:t>Termination Without Cause or</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40" w:type="dxa"/>
            <w:vAlign w:val="bottom"/>
            <w:gridSpan w:val="6"/>
          </w:tcPr>
          <w:p>
            <w:pPr>
              <w:jc w:val="center"/>
              <w:ind w:right="559"/>
              <w:spacing w:after="0" w:line="171" w:lineRule="exact"/>
              <w:rPr>
                <w:sz w:val="20"/>
                <w:szCs w:val="20"/>
                <w:color w:val="auto"/>
              </w:rPr>
            </w:pPr>
            <w:r>
              <w:rPr>
                <w:rFonts w:ascii="Arial" w:cs="Arial" w:eastAsia="Arial" w:hAnsi="Arial"/>
                <w:sz w:val="16"/>
                <w:szCs w:val="16"/>
                <w:b w:val="1"/>
                <w:bCs w:val="1"/>
                <w:color w:val="FFFFFF"/>
                <w:w w:val="95"/>
              </w:rPr>
              <w:t>Resignation for Good Reason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0" w:type="dxa"/>
            <w:vAlign w:val="bottom"/>
            <w:gridSpan w:val="4"/>
          </w:tcPr>
          <w:p>
            <w:pPr>
              <w:jc w:val="center"/>
              <w:spacing w:after="0"/>
              <w:rPr>
                <w:sz w:val="20"/>
                <w:szCs w:val="20"/>
                <w:color w:val="auto"/>
              </w:rPr>
            </w:pPr>
            <w:r>
              <w:rPr>
                <w:rFonts w:ascii="Arial" w:cs="Arial" w:eastAsia="Arial" w:hAnsi="Arial"/>
                <w:sz w:val="16"/>
                <w:szCs w:val="16"/>
                <w:b w:val="1"/>
                <w:bCs w:val="1"/>
                <w:color w:val="FFFFFF"/>
                <w:w w:val="98"/>
              </w:rPr>
              <w:t>Termination Without Cause and</w:t>
            </w:r>
          </w:p>
        </w:tc>
        <w:tc>
          <w:tcPr>
            <w:tcW w:w="180" w:type="dxa"/>
            <w:vAlign w:val="bottom"/>
          </w:tcPr>
          <w:p>
            <w:pPr>
              <w:spacing w:after="0"/>
              <w:rPr>
                <w:sz w:val="16"/>
                <w:szCs w:val="16"/>
                <w:color w:val="auto"/>
              </w:rPr>
            </w:pPr>
          </w:p>
        </w:tc>
        <w:tc>
          <w:tcPr>
            <w:tcW w:w="3580" w:type="dxa"/>
            <w:vAlign w:val="bottom"/>
            <w:gridSpan w:val="7"/>
          </w:tcPr>
          <w:p>
            <w:pPr>
              <w:jc w:val="center"/>
              <w:ind w:left="19"/>
              <w:spacing w:after="0"/>
              <w:rPr>
                <w:sz w:val="20"/>
                <w:szCs w:val="20"/>
                <w:color w:val="auto"/>
              </w:rPr>
            </w:pPr>
            <w:r>
              <w:rPr>
                <w:rFonts w:ascii="Arial" w:cs="Arial" w:eastAsia="Arial" w:hAnsi="Arial"/>
                <w:sz w:val="16"/>
                <w:szCs w:val="16"/>
                <w:b w:val="1"/>
                <w:bCs w:val="1"/>
                <w:color w:val="FFFFFF"/>
                <w:w w:val="99"/>
              </w:rPr>
              <w:t>Within 30 Days Before or 12 Months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80" w:type="dxa"/>
            <w:vAlign w:val="bottom"/>
          </w:tcPr>
          <w:p>
            <w:pPr>
              <w:ind w:left="20"/>
              <w:spacing w:after="0"/>
              <w:rPr>
                <w:sz w:val="20"/>
                <w:szCs w:val="20"/>
                <w:color w:val="auto"/>
              </w:rPr>
            </w:pPr>
            <w:r>
              <w:rPr>
                <w:rFonts w:ascii="Arial" w:cs="Arial" w:eastAsia="Arial" w:hAnsi="Arial"/>
                <w:sz w:val="16"/>
                <w:szCs w:val="16"/>
                <w:b w:val="1"/>
                <w:bCs w:val="1"/>
                <w:color w:val="FFFFFF"/>
              </w:rPr>
              <w:t>​</w:t>
            </w:r>
          </w:p>
        </w:tc>
        <w:tc>
          <w:tcPr>
            <w:tcW w:w="420" w:type="dxa"/>
            <w:vAlign w:val="bottom"/>
          </w:tcPr>
          <w:p>
            <w:pPr>
              <w:spacing w:after="0"/>
              <w:rPr>
                <w:sz w:val="18"/>
                <w:szCs w:val="18"/>
                <w:color w:val="auto"/>
              </w:rPr>
            </w:pPr>
          </w:p>
        </w:tc>
        <w:tc>
          <w:tcPr>
            <w:tcW w:w="2400" w:type="dxa"/>
            <w:vAlign w:val="bottom"/>
            <w:gridSpan w:val="4"/>
          </w:tcPr>
          <w:p>
            <w:pPr>
              <w:jc w:val="center"/>
              <w:spacing w:after="0"/>
              <w:rPr>
                <w:sz w:val="20"/>
                <w:szCs w:val="20"/>
                <w:color w:val="auto"/>
              </w:rPr>
            </w:pPr>
            <w:r>
              <w:rPr>
                <w:rFonts w:ascii="Arial" w:cs="Arial" w:eastAsia="Arial" w:hAnsi="Arial"/>
                <w:sz w:val="16"/>
                <w:szCs w:val="16"/>
                <w:b w:val="1"/>
                <w:bCs w:val="1"/>
                <w:color w:val="FFFFFF"/>
                <w:w w:val="97"/>
              </w:rPr>
              <w:t>no Change in Control</w:t>
            </w:r>
          </w:p>
        </w:tc>
        <w:tc>
          <w:tcPr>
            <w:tcW w:w="1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6"/>
                <w:szCs w:val="16"/>
                <w:b w:val="1"/>
                <w:bCs w:val="1"/>
                <w:color w:val="FFFFFF"/>
              </w:rPr>
              <w:t>​</w:t>
            </w:r>
          </w:p>
        </w:tc>
        <w:tc>
          <w:tcPr>
            <w:tcW w:w="2140" w:type="dxa"/>
            <w:vAlign w:val="bottom"/>
            <w:gridSpan w:val="5"/>
          </w:tcPr>
          <w:p>
            <w:pPr>
              <w:jc w:val="center"/>
              <w:spacing w:after="0"/>
              <w:rPr>
                <w:sz w:val="20"/>
                <w:szCs w:val="20"/>
                <w:color w:val="auto"/>
              </w:rPr>
            </w:pPr>
            <w:r>
              <w:rPr>
                <w:rFonts w:ascii="Arial" w:cs="Arial" w:eastAsia="Arial" w:hAnsi="Arial"/>
                <w:sz w:val="16"/>
                <w:szCs w:val="16"/>
                <w:b w:val="1"/>
                <w:bCs w:val="1"/>
                <w:color w:val="FFFFFF"/>
                <w:w w:val="98"/>
              </w:rPr>
              <w:t>After a Change of Control</w:t>
            </w:r>
          </w:p>
        </w:tc>
        <w:tc>
          <w:tcPr>
            <w:tcW w:w="7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06"/>
        </w:trPr>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center"/>
              <w:ind w:left="119"/>
              <w:spacing w:after="0"/>
              <w:rPr>
                <w:sz w:val="20"/>
                <w:szCs w:val="20"/>
                <w:color w:val="auto"/>
              </w:rPr>
            </w:pPr>
            <w:r>
              <w:rPr>
                <w:rFonts w:ascii="Arial" w:cs="Arial" w:eastAsia="Arial" w:hAnsi="Arial"/>
                <w:sz w:val="16"/>
                <w:szCs w:val="16"/>
                <w:b w:val="1"/>
                <w:bCs w:val="1"/>
                <w:color w:val="FFFFFF"/>
                <w:w w:val="99"/>
              </w:rPr>
              <w:t>Value of</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FFFFFF"/>
                <w:w w:val="96"/>
              </w:rPr>
              <w:t>Value of</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FFFFFF"/>
                <w:w w:val="99"/>
              </w:rPr>
              <w:t>Accelerated</w:t>
            </w: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spacing w:after="0" w:line="175" w:lineRule="exact"/>
              <w:rPr>
                <w:sz w:val="20"/>
                <w:szCs w:val="20"/>
                <w:color w:val="auto"/>
              </w:rPr>
            </w:pPr>
            <w:r>
              <w:rPr>
                <w:rFonts w:ascii="Arial" w:cs="Arial" w:eastAsia="Arial" w:hAnsi="Arial"/>
                <w:sz w:val="16"/>
                <w:szCs w:val="16"/>
                <w:b w:val="1"/>
                <w:bCs w:val="1"/>
                <w:color w:val="FFFFFF"/>
                <w:w w:val="99"/>
              </w:rPr>
              <w:t>Accelerated</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left="119"/>
              <w:spacing w:after="0" w:line="175" w:lineRule="exact"/>
              <w:rPr>
                <w:sz w:val="20"/>
                <w:szCs w:val="20"/>
                <w:color w:val="auto"/>
              </w:rPr>
            </w:pPr>
            <w:r>
              <w:rPr>
                <w:rFonts w:ascii="Arial" w:cs="Arial" w:eastAsia="Arial" w:hAnsi="Arial"/>
                <w:sz w:val="16"/>
                <w:szCs w:val="16"/>
                <w:b w:val="1"/>
                <w:bCs w:val="1"/>
                <w:color w:val="FFFFFF"/>
              </w:rPr>
              <w:t>Equity</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spacing w:after="0" w:line="175" w:lineRule="exact"/>
              <w:rPr>
                <w:sz w:val="20"/>
                <w:szCs w:val="20"/>
                <w:color w:val="auto"/>
              </w:rPr>
            </w:pPr>
            <w:r>
              <w:rPr>
                <w:rFonts w:ascii="Arial" w:cs="Arial" w:eastAsia="Arial" w:hAnsi="Arial"/>
                <w:sz w:val="16"/>
                <w:szCs w:val="16"/>
                <w:b w:val="1"/>
                <w:bCs w:val="1"/>
                <w:color w:val="FFFFFF"/>
                <w:w w:val="98"/>
              </w:rPr>
              <w:t>Equity</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tcPr>
          <w:p>
            <w:pPr>
              <w:spacing w:after="0"/>
              <w:rPr>
                <w:sz w:val="13"/>
                <w:szCs w:val="13"/>
                <w:color w:val="auto"/>
              </w:rPr>
            </w:pPr>
          </w:p>
        </w:tc>
        <w:tc>
          <w:tcPr>
            <w:tcW w:w="1060" w:type="dxa"/>
            <w:vAlign w:val="bottom"/>
            <w:gridSpan w:val="2"/>
          </w:tcPr>
          <w:p>
            <w:pPr>
              <w:jc w:val="right"/>
              <w:ind w:right="159"/>
              <w:spacing w:after="0" w:line="158" w:lineRule="exact"/>
              <w:rPr>
                <w:sz w:val="20"/>
                <w:szCs w:val="20"/>
                <w:color w:val="auto"/>
              </w:rPr>
            </w:pPr>
            <w:r>
              <w:rPr>
                <w:rFonts w:ascii="Arial" w:cs="Arial" w:eastAsia="Arial" w:hAnsi="Arial"/>
                <w:sz w:val="16"/>
                <w:szCs w:val="16"/>
                <w:b w:val="1"/>
                <w:bCs w:val="1"/>
                <w:color w:val="FFFFFF"/>
              </w:rPr>
              <w:t>Salary</w:t>
            </w:r>
          </w:p>
        </w:tc>
        <w:tc>
          <w:tcPr>
            <w:tcW w:w="780" w:type="dxa"/>
            <w:vAlign w:val="bottom"/>
            <w:gridSpan w:val="2"/>
          </w:tcPr>
          <w:p>
            <w:pPr>
              <w:jc w:val="right"/>
              <w:ind w:right="119"/>
              <w:spacing w:after="0" w:line="158" w:lineRule="exact"/>
              <w:rPr>
                <w:sz w:val="20"/>
                <w:szCs w:val="20"/>
                <w:color w:val="auto"/>
              </w:rPr>
            </w:pPr>
            <w:r>
              <w:rPr>
                <w:rFonts w:ascii="Arial" w:cs="Arial" w:eastAsia="Arial" w:hAnsi="Arial"/>
                <w:sz w:val="16"/>
                <w:szCs w:val="16"/>
                <w:b w:val="1"/>
                <w:bCs w:val="1"/>
                <w:color w:val="FFFFFF"/>
              </w:rPr>
              <w:t>Bonus</w:t>
            </w:r>
          </w:p>
        </w:tc>
        <w:tc>
          <w:tcPr>
            <w:tcW w:w="980" w:type="dxa"/>
            <w:vAlign w:val="bottom"/>
          </w:tcPr>
          <w:p>
            <w:pPr>
              <w:jc w:val="center"/>
              <w:ind w:left="119"/>
              <w:spacing w:after="0" w:line="158" w:lineRule="exact"/>
              <w:rPr>
                <w:sz w:val="20"/>
                <w:szCs w:val="20"/>
                <w:color w:val="auto"/>
              </w:rPr>
            </w:pPr>
            <w:r>
              <w:rPr>
                <w:rFonts w:ascii="Arial" w:cs="Arial" w:eastAsia="Arial" w:hAnsi="Arial"/>
                <w:sz w:val="16"/>
                <w:szCs w:val="16"/>
                <w:b w:val="1"/>
                <w:bCs w:val="1"/>
                <w:color w:val="FFFFFF"/>
                <w:w w:val="93"/>
              </w:rPr>
              <w:t>Awards</w:t>
            </w:r>
          </w:p>
        </w:tc>
        <w:tc>
          <w:tcPr>
            <w:tcW w:w="180" w:type="dxa"/>
            <w:vAlign w:val="bottom"/>
          </w:tcPr>
          <w:p>
            <w:pPr>
              <w:spacing w:after="0"/>
              <w:rPr>
                <w:sz w:val="13"/>
                <w:szCs w:val="13"/>
                <w:color w:val="auto"/>
              </w:rPr>
            </w:pPr>
          </w:p>
        </w:tc>
        <w:tc>
          <w:tcPr>
            <w:tcW w:w="740" w:type="dxa"/>
            <w:vAlign w:val="bottom"/>
          </w:tcPr>
          <w:p>
            <w:pPr>
              <w:ind w:left="160"/>
              <w:spacing w:after="0" w:line="158" w:lineRule="exact"/>
              <w:rPr>
                <w:sz w:val="20"/>
                <w:szCs w:val="20"/>
                <w:color w:val="auto"/>
              </w:rPr>
            </w:pPr>
            <w:r>
              <w:rPr>
                <w:rFonts w:ascii="Arial" w:cs="Arial" w:eastAsia="Arial" w:hAnsi="Arial"/>
                <w:sz w:val="16"/>
                <w:szCs w:val="16"/>
                <w:b w:val="1"/>
                <w:bCs w:val="1"/>
                <w:color w:val="FFFFFF"/>
              </w:rPr>
              <w:t>Salary</w:t>
            </w:r>
          </w:p>
        </w:tc>
        <w:tc>
          <w:tcPr>
            <w:tcW w:w="780" w:type="dxa"/>
            <w:vAlign w:val="bottom"/>
            <w:gridSpan w:val="2"/>
          </w:tcPr>
          <w:p>
            <w:pPr>
              <w:ind w:left="200"/>
              <w:spacing w:after="0" w:line="158" w:lineRule="exact"/>
              <w:rPr>
                <w:sz w:val="20"/>
                <w:szCs w:val="20"/>
                <w:color w:val="auto"/>
              </w:rPr>
            </w:pPr>
            <w:r>
              <w:rPr>
                <w:rFonts w:ascii="Arial" w:cs="Arial" w:eastAsia="Arial" w:hAnsi="Arial"/>
                <w:sz w:val="16"/>
                <w:szCs w:val="16"/>
                <w:b w:val="1"/>
                <w:bCs w:val="1"/>
                <w:color w:val="FFFFFF"/>
              </w:rPr>
              <w:t>Bonus</w:t>
            </w:r>
          </w:p>
        </w:tc>
        <w:tc>
          <w:tcPr>
            <w:tcW w:w="18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6"/>
                <w:szCs w:val="16"/>
                <w:b w:val="1"/>
                <w:bCs w:val="1"/>
                <w:color w:val="FFFFFF"/>
                <w:w w:val="93"/>
              </w:rPr>
              <w:t>Awards</w:t>
            </w:r>
          </w:p>
        </w:tc>
        <w:tc>
          <w:tcPr>
            <w:tcW w:w="18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6"/>
                <w:szCs w:val="16"/>
                <w:b w:val="1"/>
                <w:bCs w:val="1"/>
                <w:color w:val="FFFFFF"/>
                <w:w w:val="98"/>
              </w:rPr>
              <w:t>Benefits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6"/>
                <w:szCs w:val="16"/>
                <w:b w:val="1"/>
                <w:bCs w:val="1"/>
                <w:color w:val="FFFFFF"/>
              </w:rPr>
              <w:t>​Name</w:t>
            </w:r>
          </w:p>
        </w:tc>
        <w:tc>
          <w:tcPr>
            <w:tcW w:w="420" w:type="dxa"/>
            <w:vAlign w:val="bottom"/>
          </w:tcPr>
          <w:p>
            <w:pPr>
              <w:spacing w:after="0"/>
              <w:rPr>
                <w:sz w:val="21"/>
                <w:szCs w:val="21"/>
                <w:color w:val="auto"/>
              </w:rPr>
            </w:pPr>
          </w:p>
        </w:tc>
        <w:tc>
          <w:tcPr>
            <w:tcW w:w="640" w:type="dxa"/>
            <w:vAlign w:val="bottom"/>
          </w:tcPr>
          <w:p>
            <w:pPr>
              <w:jc w:val="right"/>
              <w:ind w:right="259"/>
              <w:spacing w:after="0"/>
              <w:rPr>
                <w:sz w:val="20"/>
                <w:szCs w:val="20"/>
                <w:color w:val="auto"/>
              </w:rPr>
            </w:pPr>
            <w:r>
              <w:rPr>
                <w:rFonts w:ascii="Arial" w:cs="Arial" w:eastAsia="Arial" w:hAnsi="Arial"/>
                <w:sz w:val="16"/>
                <w:szCs w:val="16"/>
                <w:b w:val="1"/>
                <w:bCs w:val="1"/>
                <w:color w:val="FFFFFF"/>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FFFFFF"/>
              </w:rPr>
              <w:t>($)</w:t>
            </w:r>
          </w:p>
        </w:tc>
        <w:tc>
          <w:tcPr>
            <w:tcW w:w="280" w:type="dxa"/>
            <w:vAlign w:val="bottom"/>
          </w:tcPr>
          <w:p>
            <w:pPr>
              <w:spacing w:after="0"/>
              <w:rPr>
                <w:sz w:val="21"/>
                <w:szCs w:val="21"/>
                <w:color w:val="auto"/>
              </w:rPr>
            </w:pPr>
          </w:p>
        </w:tc>
        <w:tc>
          <w:tcPr>
            <w:tcW w:w="980" w:type="dxa"/>
            <w:vAlign w:val="bottom"/>
          </w:tcPr>
          <w:p>
            <w:pPr>
              <w:jc w:val="center"/>
              <w:ind w:left="119"/>
              <w:spacing w:after="0" w:line="242" w:lineRule="exact"/>
              <w:rPr>
                <w:sz w:val="20"/>
                <w:szCs w:val="20"/>
                <w:color w:val="auto"/>
              </w:rPr>
            </w:pPr>
            <w:r>
              <w:rPr>
                <w:rFonts w:ascii="Arial" w:cs="Arial" w:eastAsia="Arial" w:hAnsi="Arial"/>
                <w:sz w:val="16"/>
                <w:szCs w:val="16"/>
                <w:b w:val="1"/>
                <w:bCs w:val="1"/>
                <w:color w:val="FFFFFF"/>
                <w:w w:val="91"/>
              </w:rPr>
              <w:t>($)</w:t>
            </w:r>
            <w:r>
              <w:rPr>
                <w:rFonts w:ascii="Trebuchet MS" w:cs="Trebuchet MS" w:eastAsia="Trebuchet MS" w:hAnsi="Trebuchet MS"/>
                <w:sz w:val="25"/>
                <w:szCs w:val="25"/>
                <w:b w:val="1"/>
                <w:bCs w:val="1"/>
                <w:color w:val="FFFFFF"/>
                <w:w w:val="91"/>
                <w:vertAlign w:val="superscript"/>
              </w:rPr>
              <w:t>(1)</w:t>
            </w:r>
          </w:p>
        </w:tc>
        <w:tc>
          <w:tcPr>
            <w:tcW w:w="180" w:type="dxa"/>
            <w:vAlign w:val="bottom"/>
          </w:tcPr>
          <w:p>
            <w:pPr>
              <w:spacing w:after="0"/>
              <w:rPr>
                <w:sz w:val="21"/>
                <w:szCs w:val="21"/>
                <w:color w:val="auto"/>
              </w:rPr>
            </w:pPr>
          </w:p>
        </w:tc>
        <w:tc>
          <w:tcPr>
            <w:tcW w:w="740" w:type="dxa"/>
            <w:vAlign w:val="bottom"/>
          </w:tcPr>
          <w:p>
            <w:pPr>
              <w:ind w:left="80"/>
              <w:spacing w:after="0"/>
              <w:rPr>
                <w:sz w:val="20"/>
                <w:szCs w:val="20"/>
                <w:color w:val="auto"/>
              </w:rPr>
            </w:pPr>
            <w:r>
              <w:rPr>
                <w:rFonts w:ascii="Arial" w:cs="Arial" w:eastAsia="Arial" w:hAnsi="Arial"/>
                <w:sz w:val="16"/>
                <w:szCs w:val="16"/>
                <w:b w:val="1"/>
                <w:bCs w:val="1"/>
                <w:color w:val="FFFFFF"/>
              </w:rPr>
              <w:t>​  ($)</w:t>
            </w:r>
          </w:p>
        </w:tc>
        <w:tc>
          <w:tcPr>
            <w:tcW w:w="600" w:type="dxa"/>
            <w:vAlign w:val="bottom"/>
          </w:tcPr>
          <w:p>
            <w:pPr>
              <w:ind w:left="20"/>
              <w:spacing w:after="0"/>
              <w:rPr>
                <w:sz w:val="20"/>
                <w:szCs w:val="20"/>
                <w:color w:val="auto"/>
              </w:rPr>
            </w:pPr>
            <w:r>
              <w:rPr>
                <w:rFonts w:ascii="Arial" w:cs="Arial" w:eastAsia="Arial" w:hAnsi="Arial"/>
                <w:sz w:val="16"/>
                <w:szCs w:val="16"/>
                <w:b w:val="1"/>
                <w:bCs w:val="1"/>
                <w:color w:val="FFFFFF"/>
              </w:rPr>
              <w:t>​ ​  ($)</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FFFFFF"/>
              </w:rPr>
              <w:t>​ ​</w:t>
            </w:r>
          </w:p>
        </w:tc>
        <w:tc>
          <w:tcPr>
            <w:tcW w:w="1000" w:type="dxa"/>
            <w:vAlign w:val="bottom"/>
          </w:tcPr>
          <w:p>
            <w:pPr>
              <w:jc w:val="center"/>
              <w:spacing w:after="0" w:line="242" w:lineRule="exact"/>
              <w:rPr>
                <w:sz w:val="20"/>
                <w:szCs w:val="20"/>
                <w:color w:val="auto"/>
              </w:rPr>
            </w:pPr>
            <w:r>
              <w:rPr>
                <w:rFonts w:ascii="Arial" w:cs="Arial" w:eastAsia="Arial" w:hAnsi="Arial"/>
                <w:sz w:val="16"/>
                <w:szCs w:val="16"/>
                <w:b w:val="1"/>
                <w:bCs w:val="1"/>
                <w:color w:val="FFFFFF"/>
                <w:w w:val="91"/>
              </w:rPr>
              <w:t>($)</w:t>
            </w:r>
            <w:r>
              <w:rPr>
                <w:rFonts w:ascii="Trebuchet MS" w:cs="Trebuchet MS" w:eastAsia="Trebuchet MS" w:hAnsi="Trebuchet MS"/>
                <w:sz w:val="25"/>
                <w:szCs w:val="25"/>
                <w:b w:val="1"/>
                <w:bCs w:val="1"/>
                <w:color w:val="FFFFFF"/>
                <w:w w:val="91"/>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FFFFFF"/>
              </w:rPr>
              <w:t>​ ​</w:t>
            </w: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FFFFFF"/>
              </w:rPr>
              <w:t>($)</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26"/>
        </w:trPr>
        <w:tc>
          <w:tcPr>
            <w:tcW w:w="1580" w:type="dxa"/>
            <w:vAlign w:val="bottom"/>
          </w:tcPr>
          <w:p>
            <w:pPr>
              <w:ind w:left="40"/>
              <w:spacing w:after="0"/>
              <w:rPr>
                <w:sz w:val="20"/>
                <w:szCs w:val="20"/>
                <w:color w:val="auto"/>
              </w:rPr>
            </w:pPr>
            <w:r>
              <w:rPr>
                <w:rFonts w:ascii="Arial" w:cs="Arial" w:eastAsia="Arial" w:hAnsi="Arial"/>
                <w:sz w:val="16"/>
                <w:szCs w:val="16"/>
                <w:color w:val="4C4C4C"/>
              </w:rPr>
              <w:t>Oluwagbemileke</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80" w:type="dxa"/>
            <w:vAlign w:val="bottom"/>
          </w:tcPr>
          <w:p>
            <w:pPr>
              <w:ind w:left="20"/>
              <w:spacing w:after="0"/>
              <w:rPr>
                <w:sz w:val="20"/>
                <w:szCs w:val="20"/>
                <w:color w:val="auto"/>
              </w:rPr>
            </w:pPr>
            <w:r>
              <w:rPr>
                <w:rFonts w:ascii="Arial" w:cs="Arial" w:eastAsia="Arial" w:hAnsi="Arial"/>
                <w:sz w:val="16"/>
                <w:szCs w:val="16"/>
                <w:color w:val="4C4C4C"/>
              </w:rPr>
              <w:t>​  (Leke) Agiri</w:t>
            </w:r>
          </w:p>
        </w:tc>
        <w:tc>
          <w:tcPr>
            <w:tcW w:w="420" w:type="dxa"/>
            <w:vAlign w:val="bottom"/>
          </w:tcPr>
          <w:p>
            <w:pPr>
              <w:ind w:left="340"/>
              <w:spacing w:after="0"/>
              <w:rPr>
                <w:sz w:val="20"/>
                <w:szCs w:val="20"/>
                <w:color w:val="auto"/>
              </w:rPr>
            </w:pPr>
            <w:r>
              <w:rPr>
                <w:rFonts w:ascii="Arial" w:cs="Arial" w:eastAsia="Arial" w:hAnsi="Arial"/>
                <w:sz w:val="16"/>
                <w:szCs w:val="16"/>
                <w:color w:val="4C4C4C"/>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4C4C4C"/>
              </w:rPr>
              <w:t>—</w:t>
            </w:r>
          </w:p>
        </w:tc>
        <w:tc>
          <w:tcPr>
            <w:tcW w:w="780" w:type="dxa"/>
            <w:vAlign w:val="bottom"/>
            <w:gridSpan w:val="2"/>
          </w:tcPr>
          <w:p>
            <w:pPr>
              <w:jc w:val="right"/>
              <w:ind w:right="59"/>
              <w:spacing w:after="0"/>
              <w:rPr>
                <w:sz w:val="20"/>
                <w:szCs w:val="20"/>
                <w:color w:val="auto"/>
              </w:rPr>
            </w:pPr>
            <w:r>
              <w:rPr>
                <w:rFonts w:ascii="Arial" w:cs="Arial" w:eastAsia="Arial" w:hAnsi="Arial"/>
                <w:sz w:val="16"/>
                <w:szCs w:val="16"/>
                <w:color w:val="4C4C4C"/>
              </w:rPr>
              <w:t>​ —</w:t>
            </w:r>
          </w:p>
        </w:tc>
        <w:tc>
          <w:tcPr>
            <w:tcW w:w="1160" w:type="dxa"/>
            <w:vAlign w:val="bottom"/>
            <w:gridSpan w:val="2"/>
          </w:tcPr>
          <w:p>
            <w:pPr>
              <w:jc w:val="right"/>
              <w:spacing w:after="0"/>
              <w:rPr>
                <w:sz w:val="20"/>
                <w:szCs w:val="20"/>
                <w:color w:val="auto"/>
              </w:rPr>
            </w:pPr>
            <w:r>
              <w:rPr>
                <w:rFonts w:ascii="Arial" w:cs="Arial" w:eastAsia="Arial" w:hAnsi="Arial"/>
                <w:sz w:val="16"/>
                <w:szCs w:val="16"/>
                <w:color w:val="4C4C4C"/>
              </w:rPr>
              <w:t>​ —</w:t>
            </w:r>
          </w:p>
        </w:tc>
        <w:tc>
          <w:tcPr>
            <w:tcW w:w="1340" w:type="dxa"/>
            <w:vAlign w:val="bottom"/>
            <w:gridSpan w:val="2"/>
          </w:tcPr>
          <w:p>
            <w:pPr>
              <w:ind w:left="80"/>
              <w:spacing w:after="0"/>
              <w:rPr>
                <w:sz w:val="20"/>
                <w:szCs w:val="20"/>
                <w:color w:val="auto"/>
              </w:rPr>
            </w:pPr>
            <w:r>
              <w:rPr>
                <w:rFonts w:ascii="Arial" w:cs="Arial" w:eastAsia="Arial" w:hAnsi="Arial"/>
                <w:sz w:val="16"/>
                <w:szCs w:val="16"/>
                <w:color w:val="4C4C4C"/>
              </w:rPr>
              <w:t>​​190,000 ​ ​​</w:t>
            </w:r>
          </w:p>
        </w:tc>
        <w:tc>
          <w:tcPr>
            <w:tcW w:w="360" w:type="dxa"/>
            <w:vAlign w:val="bottom"/>
            <w:gridSpan w:val="2"/>
          </w:tcPr>
          <w:p>
            <w:pPr>
              <w:jc w:val="right"/>
              <w:spacing w:after="0"/>
              <w:rPr>
                <w:sz w:val="20"/>
                <w:szCs w:val="20"/>
                <w:color w:val="auto"/>
              </w:rPr>
            </w:pPr>
            <w:r>
              <w:rPr>
                <w:rFonts w:ascii="Arial" w:cs="Arial" w:eastAsia="Arial" w:hAnsi="Arial"/>
                <w:sz w:val="16"/>
                <w:szCs w:val="16"/>
                <w:color w:val="4C4C4C"/>
              </w:rPr>
              <w:t>— ​ ​</w:t>
            </w:r>
          </w:p>
        </w:tc>
        <w:tc>
          <w:tcPr>
            <w:tcW w:w="1180" w:type="dxa"/>
            <w:vAlign w:val="bottom"/>
            <w:gridSpan w:val="2"/>
          </w:tcPr>
          <w:p>
            <w:pPr>
              <w:jc w:val="right"/>
              <w:spacing w:after="0"/>
              <w:rPr>
                <w:sz w:val="20"/>
                <w:szCs w:val="20"/>
                <w:color w:val="auto"/>
              </w:rPr>
            </w:pPr>
            <w:r>
              <w:rPr>
                <w:rFonts w:ascii="Arial" w:cs="Arial" w:eastAsia="Arial" w:hAnsi="Arial"/>
                <w:sz w:val="16"/>
                <w:szCs w:val="16"/>
                <w:color w:val="4C4C4C"/>
              </w:rPr>
              <w:t>​1,670,842 ​ ​</w:t>
            </w:r>
          </w:p>
        </w:tc>
        <w:tc>
          <w:tcPr>
            <w:tcW w:w="760" w:type="dxa"/>
            <w:vAlign w:val="bottom"/>
            <w:gridSpan w:val="2"/>
          </w:tcPr>
          <w:p>
            <w:pPr>
              <w:jc w:val="right"/>
              <w:spacing w:after="0"/>
              <w:rPr>
                <w:sz w:val="20"/>
                <w:szCs w:val="20"/>
                <w:color w:val="auto"/>
              </w:rPr>
            </w:pPr>
            <w:r>
              <w:rPr>
                <w:rFonts w:ascii="Arial" w:cs="Arial" w:eastAsia="Arial" w:hAnsi="Arial"/>
                <w:sz w:val="16"/>
                <w:szCs w:val="16"/>
                <w:color w:val="4C4C4C"/>
              </w:rPr>
              <w:t>​21,090 ​</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6"/>
                <w:szCs w:val="16"/>
                <w:color w:val="4C4C4C"/>
              </w:rPr>
              <w:t>​Andrew L Shafer</w:t>
            </w:r>
          </w:p>
        </w:tc>
        <w:tc>
          <w:tcPr>
            <w:tcW w:w="420" w:type="dxa"/>
            <w:vAlign w:val="bottom"/>
          </w:tcPr>
          <w:p>
            <w:pPr>
              <w:ind w:left="340"/>
              <w:spacing w:after="0"/>
              <w:rPr>
                <w:sz w:val="20"/>
                <w:szCs w:val="20"/>
                <w:color w:val="auto"/>
              </w:rPr>
            </w:pPr>
            <w:r>
              <w:rPr>
                <w:rFonts w:ascii="Arial" w:cs="Arial" w:eastAsia="Arial" w:hAnsi="Arial"/>
                <w:sz w:val="16"/>
                <w:szCs w:val="16"/>
                <w:color w:val="4C4C4C"/>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4C4C4C"/>
              </w:rPr>
              <w:t>—</w:t>
            </w:r>
          </w:p>
        </w:tc>
        <w:tc>
          <w:tcPr>
            <w:tcW w:w="780" w:type="dxa"/>
            <w:vAlign w:val="bottom"/>
            <w:gridSpan w:val="2"/>
          </w:tcPr>
          <w:p>
            <w:pPr>
              <w:jc w:val="right"/>
              <w:ind w:right="59"/>
              <w:spacing w:after="0"/>
              <w:rPr>
                <w:sz w:val="20"/>
                <w:szCs w:val="20"/>
                <w:color w:val="auto"/>
              </w:rPr>
            </w:pPr>
            <w:r>
              <w:rPr>
                <w:rFonts w:ascii="Arial" w:cs="Arial" w:eastAsia="Arial" w:hAnsi="Arial"/>
                <w:sz w:val="16"/>
                <w:szCs w:val="16"/>
                <w:color w:val="4C4C4C"/>
              </w:rPr>
              <w:t>​ —</w:t>
            </w:r>
          </w:p>
        </w:tc>
        <w:tc>
          <w:tcPr>
            <w:tcW w:w="1160" w:type="dxa"/>
            <w:vAlign w:val="bottom"/>
            <w:gridSpan w:val="2"/>
          </w:tcPr>
          <w:p>
            <w:pPr>
              <w:jc w:val="right"/>
              <w:spacing w:after="0"/>
              <w:rPr>
                <w:sz w:val="20"/>
                <w:szCs w:val="20"/>
                <w:color w:val="auto"/>
              </w:rPr>
            </w:pPr>
            <w:r>
              <w:rPr>
                <w:rFonts w:ascii="Arial" w:cs="Arial" w:eastAsia="Arial" w:hAnsi="Arial"/>
                <w:sz w:val="16"/>
                <w:szCs w:val="16"/>
                <w:color w:val="4C4C4C"/>
              </w:rPr>
              <w:t>​ —</w:t>
            </w:r>
          </w:p>
        </w:tc>
        <w:tc>
          <w:tcPr>
            <w:tcW w:w="1700" w:type="dxa"/>
            <w:vAlign w:val="bottom"/>
            <w:gridSpan w:val="4"/>
          </w:tcPr>
          <w:p>
            <w:pPr>
              <w:ind w:left="80"/>
              <w:spacing w:after="0"/>
              <w:rPr>
                <w:sz w:val="20"/>
                <w:szCs w:val="20"/>
                <w:color w:val="auto"/>
              </w:rPr>
            </w:pPr>
            <w:r>
              <w:rPr>
                <w:rFonts w:ascii="Arial" w:cs="Arial" w:eastAsia="Arial" w:hAnsi="Arial"/>
                <w:sz w:val="16"/>
                <w:szCs w:val="16"/>
                <w:color w:val="4C4C4C"/>
              </w:rPr>
              <w:t>​​418,303 ​ ​​271,897 ​ ​</w:t>
            </w:r>
          </w:p>
        </w:tc>
        <w:tc>
          <w:tcPr>
            <w:tcW w:w="1180" w:type="dxa"/>
            <w:vAlign w:val="bottom"/>
            <w:gridSpan w:val="2"/>
          </w:tcPr>
          <w:p>
            <w:pPr>
              <w:jc w:val="right"/>
              <w:spacing w:after="0"/>
              <w:rPr>
                <w:sz w:val="20"/>
                <w:szCs w:val="20"/>
                <w:color w:val="auto"/>
              </w:rPr>
            </w:pPr>
            <w:r>
              <w:rPr>
                <w:rFonts w:ascii="Arial" w:cs="Arial" w:eastAsia="Arial" w:hAnsi="Arial"/>
                <w:sz w:val="16"/>
                <w:szCs w:val="16"/>
                <w:color w:val="4C4C4C"/>
              </w:rPr>
              <w:t>​ 699,236 ​ ​</w:t>
            </w:r>
          </w:p>
        </w:tc>
        <w:tc>
          <w:tcPr>
            <w:tcW w:w="760" w:type="dxa"/>
            <w:vAlign w:val="bottom"/>
            <w:gridSpan w:val="2"/>
          </w:tcPr>
          <w:p>
            <w:pPr>
              <w:jc w:val="right"/>
              <w:spacing w:after="0"/>
              <w:rPr>
                <w:sz w:val="20"/>
                <w:szCs w:val="20"/>
                <w:color w:val="auto"/>
              </w:rPr>
            </w:pPr>
            <w:r>
              <w:rPr>
                <w:rFonts w:ascii="Arial" w:cs="Arial" w:eastAsia="Arial" w:hAnsi="Arial"/>
                <w:sz w:val="16"/>
                <w:szCs w:val="16"/>
                <w:color w:val="4C4C4C"/>
              </w:rPr>
              <w:t>​28,325 ​</w:t>
            </w:r>
          </w:p>
        </w:tc>
        <w:tc>
          <w:tcPr>
            <w:tcW w:w="0" w:type="dxa"/>
            <w:vAlign w:val="bottom"/>
          </w:tcPr>
          <w:p>
            <w:pPr>
              <w:spacing w:after="0"/>
              <w:rPr>
                <w:sz w:val="1"/>
                <w:szCs w:val="1"/>
                <w:color w:val="auto"/>
              </w:rPr>
            </w:pPr>
          </w:p>
        </w:tc>
      </w:tr>
      <w:tr>
        <w:trPr>
          <w:trHeight w:val="176"/>
        </w:trPr>
        <w:tc>
          <w:tcPr>
            <w:tcW w:w="1580" w:type="dxa"/>
            <w:vAlign w:val="bottom"/>
          </w:tcPr>
          <w:p>
            <w:pPr>
              <w:ind w:left="40"/>
              <w:spacing w:after="0" w:line="175" w:lineRule="exact"/>
              <w:rPr>
                <w:sz w:val="20"/>
                <w:szCs w:val="20"/>
                <w:color w:val="auto"/>
              </w:rPr>
            </w:pPr>
            <w:r>
              <w:rPr>
                <w:rFonts w:ascii="Arial" w:cs="Arial" w:eastAsia="Arial" w:hAnsi="Arial"/>
                <w:sz w:val="16"/>
                <w:szCs w:val="16"/>
                <w:color w:val="4C4C4C"/>
              </w:rPr>
              <w:t>L. Lynn Smull</w:t>
            </w:r>
          </w:p>
        </w:tc>
        <w:tc>
          <w:tcPr>
            <w:tcW w:w="1060" w:type="dxa"/>
            <w:vAlign w:val="bottom"/>
            <w:gridSpan w:val="2"/>
          </w:tcPr>
          <w:p>
            <w:pPr>
              <w:jc w:val="right"/>
              <w:ind w:right="59"/>
              <w:spacing w:after="0" w:line="175" w:lineRule="exact"/>
              <w:rPr>
                <w:sz w:val="20"/>
                <w:szCs w:val="20"/>
                <w:color w:val="auto"/>
              </w:rPr>
            </w:pPr>
            <w:r>
              <w:rPr>
                <w:rFonts w:ascii="Arial" w:cs="Arial" w:eastAsia="Arial" w:hAnsi="Arial"/>
                <w:sz w:val="16"/>
                <w:szCs w:val="16"/>
                <w:color w:val="4C4C4C"/>
              </w:rPr>
              <w:t>106,818</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280" w:type="dxa"/>
            <w:vAlign w:val="bottom"/>
          </w:tcPr>
          <w:p>
            <w:pPr>
              <w:jc w:val="right"/>
              <w:ind w:right="59"/>
              <w:spacing w:after="0" w:line="175" w:lineRule="exact"/>
              <w:rPr>
                <w:sz w:val="20"/>
                <w:szCs w:val="20"/>
                <w:color w:val="auto"/>
              </w:rPr>
            </w:pPr>
            <w:r>
              <w:rPr>
                <w:rFonts w:ascii="Arial" w:cs="Arial" w:eastAsia="Arial" w:hAnsi="Arial"/>
                <w:sz w:val="16"/>
                <w:szCs w:val="16"/>
                <w:color w:val="4C4C4C"/>
                <w:w w:val="74"/>
              </w:rPr>
              <w:t>—</w:t>
            </w:r>
          </w:p>
        </w:tc>
        <w:tc>
          <w:tcPr>
            <w:tcW w:w="980" w:type="dxa"/>
            <w:vAlign w:val="bottom"/>
            <w:vMerge w:val="restart"/>
          </w:tcPr>
          <w:p>
            <w:pPr>
              <w:ind w:left="900"/>
              <w:spacing w:after="0"/>
              <w:rPr>
                <w:sz w:val="20"/>
                <w:szCs w:val="20"/>
                <w:color w:val="auto"/>
              </w:rPr>
            </w:pPr>
            <w:r>
              <w:rPr>
                <w:rFonts w:ascii="Arial" w:cs="Arial" w:eastAsia="Arial" w:hAnsi="Arial"/>
                <w:sz w:val="16"/>
                <w:szCs w:val="16"/>
                <w:color w:val="4C4C4C"/>
              </w:rPr>
              <w:t>​</w:t>
            </w:r>
          </w:p>
        </w:tc>
        <w:tc>
          <w:tcPr>
            <w:tcW w:w="180" w:type="dxa"/>
            <w:vAlign w:val="bottom"/>
          </w:tcPr>
          <w:p>
            <w:pPr>
              <w:jc w:val="right"/>
              <w:spacing w:after="0"/>
              <w:rPr>
                <w:sz w:val="20"/>
                <w:szCs w:val="20"/>
                <w:color w:val="auto"/>
              </w:rPr>
            </w:pPr>
            <w:r>
              <w:rPr>
                <w:rFonts w:ascii="Arial" w:cs="Arial" w:eastAsia="Arial" w:hAnsi="Arial"/>
                <w:sz w:val="14"/>
                <w:szCs w:val="14"/>
                <w:color w:val="4C4C4C"/>
                <w:w w:val="71"/>
              </w:rPr>
              <w:t>—</w:t>
            </w:r>
          </w:p>
        </w:tc>
        <w:tc>
          <w:tcPr>
            <w:tcW w:w="740" w:type="dxa"/>
            <w:vAlign w:val="bottom"/>
          </w:tcPr>
          <w:p>
            <w:pPr>
              <w:ind w:left="140"/>
              <w:spacing w:after="0" w:line="175" w:lineRule="exact"/>
              <w:rPr>
                <w:sz w:val="20"/>
                <w:szCs w:val="20"/>
                <w:color w:val="auto"/>
              </w:rPr>
            </w:pPr>
            <w:r>
              <w:rPr>
                <w:rFonts w:ascii="Arial" w:cs="Arial" w:eastAsia="Arial" w:hAnsi="Arial"/>
                <w:sz w:val="16"/>
                <w:szCs w:val="16"/>
                <w:color w:val="4C4C4C"/>
              </w:rPr>
              <w:t>427,248</w:t>
            </w:r>
          </w:p>
        </w:tc>
        <w:tc>
          <w:tcPr>
            <w:tcW w:w="780" w:type="dxa"/>
            <w:vAlign w:val="bottom"/>
            <w:gridSpan w:val="2"/>
          </w:tcPr>
          <w:p>
            <w:pPr>
              <w:jc w:val="right"/>
              <w:spacing w:after="0" w:line="175" w:lineRule="exact"/>
              <w:rPr>
                <w:sz w:val="20"/>
                <w:szCs w:val="20"/>
                <w:color w:val="auto"/>
              </w:rPr>
            </w:pPr>
            <w:r>
              <w:rPr>
                <w:rFonts w:ascii="Arial" w:cs="Arial" w:eastAsia="Arial" w:hAnsi="Arial"/>
                <w:sz w:val="16"/>
                <w:szCs w:val="16"/>
                <w:color w:val="4C4C4C"/>
              </w:rPr>
              <w:t>277,711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4C4C4C"/>
              </w:rPr>
              <w:t>​ ​</w:t>
            </w:r>
          </w:p>
        </w:tc>
        <w:tc>
          <w:tcPr>
            <w:tcW w:w="1000" w:type="dxa"/>
            <w:vAlign w:val="bottom"/>
          </w:tcPr>
          <w:p>
            <w:pPr>
              <w:ind w:left="260"/>
              <w:spacing w:after="0" w:line="175" w:lineRule="exact"/>
              <w:rPr>
                <w:sz w:val="20"/>
                <w:szCs w:val="20"/>
                <w:color w:val="auto"/>
              </w:rPr>
            </w:pPr>
            <w:r>
              <w:rPr>
                <w:rFonts w:ascii="Arial" w:cs="Arial" w:eastAsia="Arial" w:hAnsi="Arial"/>
                <w:sz w:val="16"/>
                <w:szCs w:val="16"/>
                <w:color w:val="4C4C4C"/>
              </w:rPr>
              <w:t>1,642,191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4C4C4C"/>
              </w:rPr>
              <w:t>​ ​</w:t>
            </w:r>
          </w:p>
        </w:tc>
        <w:tc>
          <w:tcPr>
            <w:tcW w:w="700" w:type="dxa"/>
            <w:vAlign w:val="bottom"/>
          </w:tcPr>
          <w:p>
            <w:pPr>
              <w:ind w:left="200"/>
              <w:spacing w:after="0" w:line="175" w:lineRule="exact"/>
              <w:rPr>
                <w:sz w:val="20"/>
                <w:szCs w:val="20"/>
                <w:color w:val="auto"/>
              </w:rPr>
            </w:pPr>
            <w:r>
              <w:rPr>
                <w:rFonts w:ascii="Arial" w:cs="Arial" w:eastAsia="Arial" w:hAnsi="Arial"/>
                <w:sz w:val="16"/>
                <w:szCs w:val="16"/>
                <w:color w:val="4C4C4C"/>
                <w:w w:val="98"/>
              </w:rPr>
              <w:t>14,680</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r>
        <w:trPr>
          <w:trHeight w:val="194"/>
        </w:trPr>
        <w:tc>
          <w:tcPr>
            <w:tcW w:w="1580" w:type="dxa"/>
            <w:vAlign w:val="bottom"/>
          </w:tcPr>
          <w:p>
            <w:pPr>
              <w:ind w:left="20"/>
              <w:spacing w:after="0"/>
              <w:rPr>
                <w:sz w:val="20"/>
                <w:szCs w:val="20"/>
                <w:color w:val="auto"/>
              </w:rPr>
            </w:pPr>
            <w:r>
              <w:rPr>
                <w:rFonts w:ascii="Arial" w:cs="Arial" w:eastAsia="Arial" w:hAnsi="Arial"/>
                <w:sz w:val="16"/>
                <w:szCs w:val="16"/>
                <w:color w:val="4C4C4C"/>
              </w:rPr>
              <w:t>​</w:t>
            </w:r>
          </w:p>
        </w:tc>
        <w:tc>
          <w:tcPr>
            <w:tcW w:w="420" w:type="dxa"/>
            <w:vAlign w:val="bottom"/>
          </w:tcPr>
          <w:p>
            <w:pPr>
              <w:ind w:left="340"/>
              <w:spacing w:after="0"/>
              <w:rPr>
                <w:sz w:val="20"/>
                <w:szCs w:val="20"/>
                <w:color w:val="auto"/>
              </w:rPr>
            </w:pPr>
            <w:r>
              <w:rPr>
                <w:rFonts w:ascii="Arial" w:cs="Arial" w:eastAsia="Arial" w:hAnsi="Arial"/>
                <w:sz w:val="16"/>
                <w:szCs w:val="16"/>
                <w:color w:val="4C4C4C"/>
              </w:rPr>
              <w:t>​</w:t>
            </w:r>
          </w:p>
        </w:tc>
        <w:tc>
          <w:tcPr>
            <w:tcW w:w="6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ind w:left="80"/>
              <w:spacing w:after="0"/>
              <w:rPr>
                <w:sz w:val="20"/>
                <w:szCs w:val="20"/>
                <w:color w:val="auto"/>
              </w:rPr>
            </w:pPr>
            <w:r>
              <w:rPr>
                <w:rFonts w:ascii="Arial" w:cs="Arial" w:eastAsia="Arial" w:hAnsi="Arial"/>
                <w:sz w:val="16"/>
                <w:szCs w:val="16"/>
                <w:color w:val="4C4C4C"/>
              </w:rPr>
              <w:t>​​</w:t>
            </w:r>
          </w:p>
        </w:tc>
        <w:tc>
          <w:tcPr>
            <w:tcW w:w="600" w:type="dxa"/>
            <w:vAlign w:val="bottom"/>
          </w:tcPr>
          <w:p>
            <w:pPr>
              <w:ind w:left="20"/>
              <w:spacing w:after="0"/>
              <w:rPr>
                <w:sz w:val="20"/>
                <w:szCs w:val="20"/>
                <w:color w:val="auto"/>
              </w:rPr>
            </w:pPr>
            <w:r>
              <w:rPr>
                <w:rFonts w:ascii="Arial" w:cs="Arial" w:eastAsia="Arial" w:hAnsi="Arial"/>
                <w:sz w:val="16"/>
                <w:szCs w:val="16"/>
                <w:color w:val="4C4C4C"/>
              </w:rPr>
              <w:t>​ ​​</w:t>
            </w:r>
          </w:p>
        </w:tc>
        <w:tc>
          <w:tcPr>
            <w:tcW w:w="1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00" w:type="dxa"/>
            <w:vAlign w:val="bottom"/>
          </w:tcPr>
          <w:p>
            <w:pPr>
              <w:ind w:left="260"/>
              <w:spacing w:after="0"/>
              <w:rPr>
                <w:sz w:val="20"/>
                <w:szCs w:val="20"/>
                <w:color w:val="auto"/>
              </w:rPr>
            </w:pPr>
            <w:r>
              <w:rPr>
                <w:rFonts w:ascii="Arial" w:cs="Arial" w:eastAsia="Arial" w:hAnsi="Arial"/>
                <w:sz w:val="16"/>
                <w:szCs w:val="16"/>
                <w:color w:val="4C4C4C"/>
              </w:rPr>
              <w:t>​</w:t>
            </w:r>
          </w:p>
        </w:tc>
        <w:tc>
          <w:tcPr>
            <w:tcW w:w="180" w:type="dxa"/>
            <w:vAlign w:val="bottom"/>
            <w:vMerge w:val="continue"/>
          </w:tcPr>
          <w:p>
            <w:pPr>
              <w:spacing w:after="0"/>
              <w:rPr>
                <w:sz w:val="16"/>
                <w:szCs w:val="16"/>
                <w:color w:val="auto"/>
              </w:rPr>
            </w:pPr>
          </w:p>
        </w:tc>
        <w:tc>
          <w:tcPr>
            <w:tcW w:w="700" w:type="dxa"/>
            <w:vAlign w:val="bottom"/>
          </w:tcPr>
          <w:p>
            <w:pPr>
              <w:ind w:left="180"/>
              <w:spacing w:after="0"/>
              <w:rPr>
                <w:sz w:val="20"/>
                <w:szCs w:val="20"/>
                <w:color w:val="auto"/>
              </w:rPr>
            </w:pPr>
            <w:r>
              <w:rPr>
                <w:rFonts w:ascii="Arial" w:cs="Arial" w:eastAsia="Arial" w:hAnsi="Arial"/>
                <w:sz w:val="16"/>
                <w:szCs w:val="16"/>
                <w:color w:val="4C4C4C"/>
              </w:rPr>
              <w:t>​</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-388620</wp:posOffset>
            </wp:positionV>
            <wp:extent cx="521208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wp:posOffset>
            </wp:positionV>
            <wp:extent cx="14312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85" w:lineRule="exact"/>
        <w:rPr>
          <w:sz w:val="20"/>
          <w:szCs w:val="20"/>
          <w:color w:val="auto"/>
        </w:rPr>
      </w:pPr>
    </w:p>
    <w:p>
      <w:pPr>
        <w:ind w:left="1620" w:hanging="360"/>
        <w:spacing w:after="0"/>
        <w:tabs>
          <w:tab w:leader="none" w:pos="1620" w:val="left"/>
        </w:tabs>
        <w:numPr>
          <w:ilvl w:val="0"/>
          <w:numId w:val="83"/>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Amounts calculated based on the closing price of our common stock on December 31, 2025.</w:t>
      </w:r>
    </w:p>
    <w:p>
      <w:pPr>
        <w:spacing w:after="0" w:line="202"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CEO Pay Ratio</w:t>
      </w:r>
    </w:p>
    <w:p>
      <w:pPr>
        <w:spacing w:after="0" w:line="205" w:lineRule="exact"/>
        <w:rPr>
          <w:sz w:val="20"/>
          <w:szCs w:val="20"/>
          <w:color w:val="auto"/>
        </w:rPr>
      </w:pPr>
    </w:p>
    <w:p>
      <w:pPr>
        <w:ind w:left="1260" w:right="579"/>
        <w:spacing w:after="0" w:line="258" w:lineRule="auto"/>
        <w:rPr>
          <w:sz w:val="20"/>
          <w:szCs w:val="20"/>
          <w:color w:val="auto"/>
        </w:rPr>
      </w:pPr>
      <w:r>
        <w:rPr>
          <w:rFonts w:ascii="Arial" w:cs="Arial" w:eastAsia="Arial" w:hAnsi="Arial"/>
          <w:sz w:val="18"/>
          <w:szCs w:val="18"/>
          <w:color w:val="4C4C4C"/>
        </w:rPr>
        <w:t>As required by Section 953(b) of the Dodd-Frank Wall Street Reform and Consumer Protection Act, and Item 402(u) of SEC Regulation S-K, we are providing the following information about the relationship of the annual total compensation of Patrick R. Gruber, our Chief Executive Officer, and the annual total compensation of our “Median Employee”.</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For 2025, our last completed fiscal year:</w:t>
      </w:r>
    </w:p>
    <w:p>
      <w:pPr>
        <w:spacing w:after="0" w:line="117" w:lineRule="exact"/>
        <w:rPr>
          <w:sz w:val="20"/>
          <w:szCs w:val="20"/>
          <w:color w:val="auto"/>
        </w:rPr>
      </w:pPr>
    </w:p>
    <w:p>
      <w:pPr>
        <w:ind w:left="1800" w:hanging="180"/>
        <w:spacing w:after="0"/>
        <w:tabs>
          <w:tab w:leader="none" w:pos="1800" w:val="left"/>
        </w:tabs>
        <w:numPr>
          <w:ilvl w:val="0"/>
          <w:numId w:val="84"/>
        </w:numPr>
        <w:rPr>
          <w:rFonts w:ascii="Arial" w:cs="Arial" w:eastAsia="Arial" w:hAnsi="Arial"/>
          <w:sz w:val="18"/>
          <w:szCs w:val="18"/>
          <w:color w:val="4C4C4C"/>
        </w:rPr>
      </w:pPr>
      <w:r>
        <w:rPr>
          <w:rFonts w:ascii="Arial" w:cs="Arial" w:eastAsia="Arial" w:hAnsi="Arial"/>
          <w:sz w:val="18"/>
          <w:szCs w:val="18"/>
          <w:color w:val="4C4C4C"/>
        </w:rPr>
        <w:t>the annual total compensation of our Chief Executive Officer was $3,471,908; and</w:t>
      </w:r>
    </w:p>
    <w:p>
      <w:pPr>
        <w:spacing w:after="0" w:line="105" w:lineRule="exact"/>
        <w:rPr>
          <w:rFonts w:ascii="Arial" w:cs="Arial" w:eastAsia="Arial" w:hAnsi="Arial"/>
          <w:sz w:val="18"/>
          <w:szCs w:val="18"/>
          <w:color w:val="4C4C4C"/>
        </w:rPr>
      </w:pPr>
    </w:p>
    <w:p>
      <w:pPr>
        <w:ind w:left="1800" w:hanging="180"/>
        <w:spacing w:after="0"/>
        <w:tabs>
          <w:tab w:leader="none" w:pos="1800" w:val="left"/>
        </w:tabs>
        <w:numPr>
          <w:ilvl w:val="0"/>
          <w:numId w:val="84"/>
        </w:numPr>
        <w:rPr>
          <w:rFonts w:ascii="Arial" w:cs="Arial" w:eastAsia="Arial" w:hAnsi="Arial"/>
          <w:sz w:val="18"/>
          <w:szCs w:val="18"/>
          <w:color w:val="4C4C4C"/>
        </w:rPr>
      </w:pPr>
      <w:r>
        <w:rPr>
          <w:rFonts w:ascii="Arial" w:cs="Arial" w:eastAsia="Arial" w:hAnsi="Arial"/>
          <w:sz w:val="18"/>
          <w:szCs w:val="18"/>
          <w:color w:val="4C4C4C"/>
        </w:rPr>
        <w:t>the annual total compensation of our Median Employee was $186,353.</w:t>
      </w:r>
    </w:p>
    <w:p>
      <w:pPr>
        <w:spacing w:after="0" w:line="223" w:lineRule="exact"/>
        <w:rPr>
          <w:sz w:val="20"/>
          <w:szCs w:val="20"/>
          <w:color w:val="auto"/>
        </w:rPr>
      </w:pPr>
    </w:p>
    <w:p>
      <w:pPr>
        <w:ind w:left="1260" w:right="419"/>
        <w:spacing w:after="0" w:line="262" w:lineRule="auto"/>
        <w:rPr>
          <w:sz w:val="20"/>
          <w:szCs w:val="20"/>
          <w:color w:val="auto"/>
        </w:rPr>
      </w:pPr>
      <w:r>
        <w:rPr>
          <w:rFonts w:ascii="Arial" w:cs="Arial" w:eastAsia="Arial" w:hAnsi="Arial"/>
          <w:sz w:val="18"/>
          <w:szCs w:val="18"/>
          <w:color w:val="4C4C4C"/>
        </w:rPr>
        <w:t>Based on this information, for 2025 the ratio of the annual total compensation of our Chief Executive Officer to the Median Employee was 19 to 1. This ratio is a reasonable estimate calculated in a manner consistent with Item 402(u) of SEC Regulation S-K.</w:t>
      </w:r>
    </w:p>
    <w:p>
      <w:pPr>
        <w:spacing w:after="0" w:line="134"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color w:val="4C4C4C"/>
        </w:rPr>
        <w:t>We used the following material assumptions, adjustments and estimates to identify the Median Employee and to determine the annual total compensation of our Chief Executive Officer and the Median Employee:</w:t>
      </w:r>
    </w:p>
    <w:p>
      <w:pPr>
        <w:spacing w:after="0" w:line="79" w:lineRule="exact"/>
        <w:rPr>
          <w:sz w:val="20"/>
          <w:szCs w:val="20"/>
          <w:color w:val="auto"/>
        </w:rPr>
      </w:pPr>
    </w:p>
    <w:p>
      <w:pPr>
        <w:ind w:left="1800" w:right="719" w:hanging="180"/>
        <w:spacing w:after="0" w:line="253" w:lineRule="auto"/>
        <w:tabs>
          <w:tab w:leader="none" w:pos="1800" w:val="left"/>
        </w:tabs>
        <w:numPr>
          <w:ilvl w:val="0"/>
          <w:numId w:val="85"/>
        </w:numPr>
        <w:rPr>
          <w:rFonts w:ascii="Arial" w:cs="Arial" w:eastAsia="Arial" w:hAnsi="Arial"/>
          <w:sz w:val="18"/>
          <w:szCs w:val="18"/>
          <w:color w:val="4C4C4C"/>
        </w:rPr>
      </w:pPr>
      <w:r>
        <w:rPr>
          <w:rFonts w:ascii="Arial" w:cs="Arial" w:eastAsia="Arial" w:hAnsi="Arial"/>
          <w:sz w:val="18"/>
          <w:szCs w:val="18"/>
          <w:color w:val="4C4C4C"/>
        </w:rPr>
        <w:t>We determined that, as of December 31, 2025, our employee population consisted of approximately 153 individuals (excluding the Chief Executive Officer) who were working at the Company and its consolidated subsidiaries. This population consisted of our full-time, part-time and temporary employees.</w:t>
      </w:r>
    </w:p>
    <w:p>
      <w:pPr>
        <w:spacing w:after="0" w:line="87" w:lineRule="exact"/>
        <w:rPr>
          <w:rFonts w:ascii="Arial" w:cs="Arial" w:eastAsia="Arial" w:hAnsi="Arial"/>
          <w:sz w:val="18"/>
          <w:szCs w:val="18"/>
          <w:color w:val="4C4C4C"/>
        </w:rPr>
      </w:pPr>
    </w:p>
    <w:p>
      <w:pPr>
        <w:ind w:left="1800" w:right="419" w:hanging="180"/>
        <w:spacing w:after="0" w:line="259" w:lineRule="auto"/>
        <w:tabs>
          <w:tab w:leader="none" w:pos="1800" w:val="left"/>
        </w:tabs>
        <w:numPr>
          <w:ilvl w:val="0"/>
          <w:numId w:val="85"/>
        </w:numPr>
        <w:rPr>
          <w:rFonts w:ascii="Arial" w:cs="Arial" w:eastAsia="Arial" w:hAnsi="Arial"/>
          <w:sz w:val="18"/>
          <w:szCs w:val="18"/>
          <w:color w:val="4C4C4C"/>
        </w:rPr>
      </w:pPr>
      <w:r>
        <w:rPr>
          <w:rFonts w:ascii="Arial" w:cs="Arial" w:eastAsia="Arial" w:hAnsi="Arial"/>
          <w:sz w:val="18"/>
          <w:szCs w:val="18"/>
          <w:color w:val="4C4C4C"/>
        </w:rPr>
        <w:t>To identify the Median Employee from our employee population (excluding the Chief Executive Officer), we first determined each employee’s base salary as of December 31, 2025. For any employees that were employed for less than the full fiscal year, we annualized their base salary for the full fiscal year. Then we determined the overtime earnings and annual cash bonus paid during fiscal year 2025 as reflected in our payroll records, and the grant value of restricted stock and stock options granted during fiscal year 2025. Then we identified our Median Employee from our employee population based on this compensation measure.</w:t>
      </w:r>
    </w:p>
    <w:p>
      <w:pPr>
        <w:spacing w:after="0" w:line="369" w:lineRule="exact"/>
        <w:rPr>
          <w:sz w:val="20"/>
          <w:szCs w:val="20"/>
          <w:color w:val="auto"/>
        </w:rPr>
      </w:pPr>
    </w:p>
    <w:p>
      <w:pPr>
        <w:ind w:left="1780" w:hanging="520"/>
        <w:spacing w:after="0"/>
        <w:tabs>
          <w:tab w:leader="none" w:pos="1780" w:val="left"/>
        </w:tabs>
        <w:numPr>
          <w:ilvl w:val="0"/>
          <w:numId w:val="86"/>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308" w:lineRule="exact"/>
        <w:rPr>
          <w:sz w:val="20"/>
          <w:szCs w:val="20"/>
          <w:color w:val="auto"/>
        </w:rPr>
      </w:pPr>
    </w:p>
    <w:p>
      <w:pPr>
        <w:ind w:left="7920"/>
        <w:spacing w:after="0"/>
        <w:rPr>
          <w:sz w:val="20"/>
          <w:szCs w:val="20"/>
          <w:color w:val="auto"/>
        </w:rPr>
      </w:pPr>
      <w:r>
        <w:rPr>
          <w:rFonts w:ascii="Arial" w:cs="Arial" w:eastAsia="Arial" w:hAnsi="Arial"/>
          <w:sz w:val="12"/>
          <w:szCs w:val="12"/>
          <w:color w:val="346094"/>
        </w:rPr>
        <w:t>COMPENSATION TABLES</w:t>
      </w:r>
    </w:p>
    <w:p>
      <w:pPr>
        <w:spacing w:after="0" w:line="33"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346094"/>
        </w:rPr>
        <w:t> </w:t>
      </w:r>
    </w:p>
    <w:p>
      <w:pPr>
        <w:spacing w:after="0" w:line="116" w:lineRule="exact"/>
        <w:rPr>
          <w:sz w:val="20"/>
          <w:szCs w:val="20"/>
          <w:color w:val="auto"/>
        </w:rPr>
      </w:pPr>
    </w:p>
    <w:p>
      <w:pPr>
        <w:ind w:left="1800" w:right="699" w:hanging="180"/>
        <w:spacing w:after="0" w:line="253" w:lineRule="auto"/>
        <w:tabs>
          <w:tab w:leader="none" w:pos="1800" w:val="left"/>
        </w:tabs>
        <w:numPr>
          <w:ilvl w:val="0"/>
          <w:numId w:val="87"/>
        </w:numPr>
        <w:rPr>
          <w:rFonts w:ascii="Arial" w:cs="Arial" w:eastAsia="Arial" w:hAnsi="Arial"/>
          <w:sz w:val="18"/>
          <w:szCs w:val="18"/>
          <w:color w:val="4C4C4C"/>
        </w:rPr>
      </w:pPr>
      <w:r>
        <w:rPr>
          <w:rFonts w:ascii="Arial" w:cs="Arial" w:eastAsia="Arial" w:hAnsi="Arial"/>
          <w:sz w:val="18"/>
          <w:szCs w:val="18"/>
          <w:color w:val="4C4C4C"/>
        </w:rPr>
        <w:t>In accordance with the SEC rules, we determined the Chief Executive Officer’s 2025 annual total compensation to be equal to $3,471,908, which represents the amount reported for fiscal year 2025 for our Chief Executive Officer in the “Total” column of our “Summary Compensation Table” above.</w:t>
      </w:r>
    </w:p>
    <w:p>
      <w:pPr>
        <w:spacing w:after="0" w:line="114" w:lineRule="exact"/>
        <w:rPr>
          <w:rFonts w:ascii="Arial" w:cs="Arial" w:eastAsia="Arial" w:hAnsi="Arial"/>
          <w:sz w:val="18"/>
          <w:szCs w:val="18"/>
          <w:color w:val="4C4C4C"/>
        </w:rPr>
      </w:pPr>
    </w:p>
    <w:p>
      <w:pPr>
        <w:ind w:left="1800" w:right="699" w:hanging="180"/>
        <w:spacing w:after="0" w:line="260" w:lineRule="auto"/>
        <w:tabs>
          <w:tab w:leader="none" w:pos="1800" w:val="left"/>
        </w:tabs>
        <w:numPr>
          <w:ilvl w:val="0"/>
          <w:numId w:val="87"/>
        </w:numPr>
        <w:rPr>
          <w:rFonts w:ascii="Arial" w:cs="Arial" w:eastAsia="Arial" w:hAnsi="Arial"/>
          <w:sz w:val="18"/>
          <w:szCs w:val="18"/>
          <w:color w:val="4C4C4C"/>
        </w:rPr>
      </w:pPr>
      <w:r>
        <w:rPr>
          <w:rFonts w:ascii="Arial" w:cs="Arial" w:eastAsia="Arial" w:hAnsi="Arial"/>
          <w:sz w:val="18"/>
          <w:szCs w:val="18"/>
          <w:color w:val="4C4C4C"/>
        </w:rPr>
        <w:t>In accordance with the SEC rules, we determined the Median Employee’s 2025 total annual compensation to be equal to $186,353, which represents the amount of such employee’s compensation for fiscal year 2025 that would have been reported in our “Summary Compensation Table” in accordance with the requirements of Item 402(c)(2)(x) of Regulation S-K if the employee had been a named executive officer for fiscal year 2025.</w:t>
      </w:r>
    </w:p>
    <w:p>
      <w:pPr>
        <w:spacing w:after="0" w:line="172"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Pay Versus Performance</w:t>
      </w:r>
    </w:p>
    <w:p>
      <w:pPr>
        <w:spacing w:after="0" w:line="205"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color w:val="4C4C4C"/>
        </w:rPr>
        <w:t>As required by Section 953(a) of the Dodd-Frank Wall Street Reform and Consumer Protection Act and Item 402(v) of Regulation S-K, we are providing the following information about the relationship between executive compensation and certain financial performance of our Company. The disclosure included in this section is prescribed by SEC rules and does not necessarily align with how the Company or the Compensation Committee views the link between the Company’s performance and the compensation of the Company’s named executive officers.</w:t>
      </w:r>
    </w:p>
    <w:p>
      <w:pPr>
        <w:spacing w:after="0" w:line="175"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4C4C4C"/>
        </w:rPr>
        <w:t>The table below presents information on the compensation of our principal executive officer (“PEO”) and our non-PEO named executive officers (“NEOs”) in comparison to certain performance metrics for 2025, 2024 and 2023. The metrics are not those that the Compensation Committee uses when setting executive compensation. The use of the term “compensation actually paid” is required by the SEC’s rules. Neither compensation actually paid nor the total amount reported in the 2025 Summary Compensation Table above reflect the amount of compensation actually paid, earned or received during the applicable year. Per SEC rules, compensation actually paid was calculated by adjusting the 2025 Summary Compensation Table Total values for the applicable year as described in the footnotes to the table:</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98"/>
        </w:trPr>
        <w:tc>
          <w:tcPr>
            <w:tcW w:w="600" w:type="dxa"/>
            <w:vAlign w:val="bottom"/>
            <w:shd w:val="clear" w:color="auto" w:fill="346094"/>
          </w:tcPr>
          <w:p>
            <w:pPr>
              <w:spacing w:after="0"/>
              <w:rPr>
                <w:sz w:val="17"/>
                <w:szCs w:val="17"/>
                <w:color w:val="auto"/>
              </w:rPr>
            </w:pPr>
          </w:p>
        </w:tc>
        <w:tc>
          <w:tcPr>
            <w:tcW w:w="300" w:type="dxa"/>
            <w:vAlign w:val="bottom"/>
            <w:shd w:val="clear" w:color="auto" w:fill="346094"/>
          </w:tcPr>
          <w:p>
            <w:pPr>
              <w:spacing w:after="0"/>
              <w:rPr>
                <w:sz w:val="17"/>
                <w:szCs w:val="17"/>
                <w:color w:val="auto"/>
              </w:rPr>
            </w:pPr>
          </w:p>
        </w:tc>
        <w:tc>
          <w:tcPr>
            <w:tcW w:w="1060" w:type="dxa"/>
            <w:vAlign w:val="bottom"/>
            <w:shd w:val="clear" w:color="auto" w:fill="346094"/>
          </w:tcPr>
          <w:p>
            <w:pPr>
              <w:spacing w:after="0"/>
              <w:rPr>
                <w:sz w:val="17"/>
                <w:szCs w:val="17"/>
                <w:color w:val="auto"/>
              </w:rPr>
            </w:pPr>
          </w:p>
        </w:tc>
        <w:tc>
          <w:tcPr>
            <w:tcW w:w="260" w:type="dxa"/>
            <w:vAlign w:val="bottom"/>
            <w:shd w:val="clear" w:color="auto" w:fill="346094"/>
          </w:tcPr>
          <w:p>
            <w:pPr>
              <w:spacing w:after="0"/>
              <w:rPr>
                <w:sz w:val="17"/>
                <w:szCs w:val="17"/>
                <w:color w:val="auto"/>
              </w:rPr>
            </w:pPr>
          </w:p>
        </w:tc>
        <w:tc>
          <w:tcPr>
            <w:tcW w:w="860" w:type="dxa"/>
            <w:vAlign w:val="bottom"/>
            <w:shd w:val="clear" w:color="auto" w:fill="346094"/>
          </w:tcPr>
          <w:p>
            <w:pPr>
              <w:spacing w:after="0"/>
              <w:rPr>
                <w:sz w:val="17"/>
                <w:szCs w:val="17"/>
                <w:color w:val="auto"/>
              </w:rPr>
            </w:pPr>
          </w:p>
        </w:tc>
        <w:tc>
          <w:tcPr>
            <w:tcW w:w="160" w:type="dxa"/>
            <w:vAlign w:val="bottom"/>
            <w:shd w:val="clear" w:color="auto" w:fill="346094"/>
          </w:tcPr>
          <w:p>
            <w:pPr>
              <w:spacing w:after="0"/>
              <w:rPr>
                <w:sz w:val="17"/>
                <w:szCs w:val="17"/>
                <w:color w:val="auto"/>
              </w:rPr>
            </w:pPr>
          </w:p>
        </w:tc>
        <w:tc>
          <w:tcPr>
            <w:tcW w:w="1120" w:type="dxa"/>
            <w:vAlign w:val="bottom"/>
            <w:shd w:val="clear" w:color="auto" w:fill="346094"/>
          </w:tcPr>
          <w:p>
            <w:pPr>
              <w:spacing w:after="0"/>
              <w:rPr>
                <w:sz w:val="17"/>
                <w:szCs w:val="17"/>
                <w:color w:val="auto"/>
              </w:rPr>
            </w:pPr>
          </w:p>
        </w:tc>
        <w:tc>
          <w:tcPr>
            <w:tcW w:w="300" w:type="dxa"/>
            <w:vAlign w:val="bottom"/>
            <w:shd w:val="clear" w:color="auto" w:fill="346094"/>
          </w:tcPr>
          <w:p>
            <w:pPr>
              <w:spacing w:after="0"/>
              <w:rPr>
                <w:sz w:val="17"/>
                <w:szCs w:val="17"/>
                <w:color w:val="auto"/>
              </w:rPr>
            </w:pPr>
          </w:p>
        </w:tc>
        <w:tc>
          <w:tcPr>
            <w:tcW w:w="920" w:type="dxa"/>
            <w:vAlign w:val="bottom"/>
            <w:shd w:val="clear" w:color="auto" w:fill="346094"/>
          </w:tcPr>
          <w:p>
            <w:pPr>
              <w:spacing w:after="0"/>
              <w:rPr>
                <w:sz w:val="17"/>
                <w:szCs w:val="17"/>
                <w:color w:val="auto"/>
              </w:rPr>
            </w:pPr>
          </w:p>
        </w:tc>
        <w:tc>
          <w:tcPr>
            <w:tcW w:w="1120" w:type="dxa"/>
            <w:vAlign w:val="bottom"/>
            <w:shd w:val="clear" w:color="auto" w:fill="346094"/>
          </w:tcPr>
          <w:p>
            <w:pPr>
              <w:jc w:val="center"/>
              <w:spacing w:after="0"/>
              <w:rPr>
                <w:sz w:val="20"/>
                <w:szCs w:val="20"/>
                <w:color w:val="auto"/>
              </w:rPr>
            </w:pPr>
            <w:r>
              <w:rPr>
                <w:rFonts w:ascii="Arial" w:cs="Arial" w:eastAsia="Arial" w:hAnsi="Arial"/>
                <w:sz w:val="14"/>
                <w:szCs w:val="14"/>
                <w:b w:val="1"/>
                <w:bCs w:val="1"/>
                <w:color w:val="FFFFFF"/>
              </w:rPr>
              <w:t>Value of Initial</w:t>
            </w:r>
          </w:p>
        </w:tc>
        <w:tc>
          <w:tcPr>
            <w:tcW w:w="1500" w:type="dxa"/>
            <w:vAlign w:val="bottom"/>
            <w:shd w:val="clear" w:color="auto" w:fill="346094"/>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0" w:type="dxa"/>
            <w:vAlign w:val="bottom"/>
            <w:shd w:val="clear" w:color="auto" w:fill="346094"/>
          </w:tcPr>
          <w:p>
            <w:pPr>
              <w:spacing w:after="0"/>
              <w:rPr>
                <w:sz w:val="14"/>
                <w:szCs w:val="14"/>
                <w:color w:val="auto"/>
              </w:rPr>
            </w:pPr>
          </w:p>
        </w:tc>
        <w:tc>
          <w:tcPr>
            <w:tcW w:w="300" w:type="dxa"/>
            <w:vAlign w:val="bottom"/>
            <w:shd w:val="clear" w:color="auto" w:fill="346094"/>
          </w:tcPr>
          <w:p>
            <w:pPr>
              <w:spacing w:after="0"/>
              <w:rPr>
                <w:sz w:val="14"/>
                <w:szCs w:val="14"/>
                <w:color w:val="auto"/>
              </w:rPr>
            </w:pPr>
          </w:p>
        </w:tc>
        <w:tc>
          <w:tcPr>
            <w:tcW w:w="1060" w:type="dxa"/>
            <w:vAlign w:val="bottom"/>
            <w:shd w:val="clear" w:color="auto" w:fill="346094"/>
          </w:tcPr>
          <w:p>
            <w:pPr>
              <w:spacing w:after="0"/>
              <w:rPr>
                <w:sz w:val="14"/>
                <w:szCs w:val="14"/>
                <w:color w:val="auto"/>
              </w:rPr>
            </w:pPr>
          </w:p>
        </w:tc>
        <w:tc>
          <w:tcPr>
            <w:tcW w:w="260" w:type="dxa"/>
            <w:vAlign w:val="bottom"/>
            <w:shd w:val="clear" w:color="auto" w:fill="346094"/>
          </w:tcPr>
          <w:p>
            <w:pPr>
              <w:spacing w:after="0"/>
              <w:rPr>
                <w:sz w:val="14"/>
                <w:szCs w:val="14"/>
                <w:color w:val="auto"/>
              </w:rPr>
            </w:pPr>
          </w:p>
        </w:tc>
        <w:tc>
          <w:tcPr>
            <w:tcW w:w="860" w:type="dxa"/>
            <w:vAlign w:val="bottom"/>
            <w:shd w:val="clear" w:color="auto" w:fill="346094"/>
          </w:tcPr>
          <w:p>
            <w:pPr>
              <w:spacing w:after="0"/>
              <w:rPr>
                <w:sz w:val="14"/>
                <w:szCs w:val="14"/>
                <w:color w:val="auto"/>
              </w:rPr>
            </w:pPr>
          </w:p>
        </w:tc>
        <w:tc>
          <w:tcPr>
            <w:tcW w:w="160" w:type="dxa"/>
            <w:vAlign w:val="bottom"/>
            <w:shd w:val="clear" w:color="auto" w:fill="346094"/>
          </w:tcPr>
          <w:p>
            <w:pPr>
              <w:spacing w:after="0"/>
              <w:rPr>
                <w:sz w:val="14"/>
                <w:szCs w:val="14"/>
                <w:color w:val="auto"/>
              </w:rPr>
            </w:pPr>
          </w:p>
        </w:tc>
        <w:tc>
          <w:tcPr>
            <w:tcW w:w="1120" w:type="dxa"/>
            <w:vAlign w:val="bottom"/>
            <w:shd w:val="clear" w:color="auto" w:fill="346094"/>
          </w:tcPr>
          <w:p>
            <w:pPr>
              <w:ind w:left="240"/>
              <w:spacing w:after="0"/>
              <w:rPr>
                <w:sz w:val="20"/>
                <w:szCs w:val="20"/>
                <w:color w:val="auto"/>
              </w:rPr>
            </w:pPr>
            <w:r>
              <w:rPr>
                <w:rFonts w:ascii="Arial" w:cs="Arial" w:eastAsia="Arial" w:hAnsi="Arial"/>
                <w:sz w:val="14"/>
                <w:szCs w:val="14"/>
                <w:b w:val="1"/>
                <w:bCs w:val="1"/>
                <w:color w:val="FFFFFF"/>
              </w:rPr>
              <w:t>Average</w:t>
            </w:r>
          </w:p>
        </w:tc>
        <w:tc>
          <w:tcPr>
            <w:tcW w:w="300" w:type="dxa"/>
            <w:vAlign w:val="bottom"/>
            <w:shd w:val="clear" w:color="auto" w:fill="346094"/>
          </w:tcPr>
          <w:p>
            <w:pPr>
              <w:spacing w:after="0"/>
              <w:rPr>
                <w:sz w:val="14"/>
                <w:szCs w:val="14"/>
                <w:color w:val="auto"/>
              </w:rPr>
            </w:pPr>
          </w:p>
        </w:tc>
        <w:tc>
          <w:tcPr>
            <w:tcW w:w="920" w:type="dxa"/>
            <w:vAlign w:val="bottom"/>
            <w:shd w:val="clear" w:color="auto" w:fill="346094"/>
          </w:tcPr>
          <w:p>
            <w:pPr>
              <w:spacing w:after="0"/>
              <w:rPr>
                <w:sz w:val="14"/>
                <w:szCs w:val="14"/>
                <w:color w:val="auto"/>
              </w:rPr>
            </w:pPr>
          </w:p>
        </w:tc>
        <w:tc>
          <w:tcPr>
            <w:tcW w:w="1120" w:type="dxa"/>
            <w:vAlign w:val="bottom"/>
            <w:shd w:val="clear" w:color="auto" w:fill="346094"/>
          </w:tcPr>
          <w:p>
            <w:pPr>
              <w:jc w:val="center"/>
              <w:spacing w:after="0"/>
              <w:rPr>
                <w:sz w:val="20"/>
                <w:szCs w:val="20"/>
                <w:color w:val="auto"/>
              </w:rPr>
            </w:pPr>
            <w:r>
              <w:rPr>
                <w:rFonts w:ascii="Arial" w:cs="Arial" w:eastAsia="Arial" w:hAnsi="Arial"/>
                <w:sz w:val="14"/>
                <w:szCs w:val="14"/>
                <w:b w:val="1"/>
                <w:bCs w:val="1"/>
                <w:color w:val="FFFFFF"/>
              </w:rPr>
              <w:t>Fixed $100</w:t>
            </w:r>
          </w:p>
        </w:tc>
        <w:tc>
          <w:tcPr>
            <w:tcW w:w="1500" w:type="dxa"/>
            <w:vAlign w:val="bottom"/>
            <w:shd w:val="clear" w:color="auto" w:fill="34609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 w:type="dxa"/>
            <w:vAlign w:val="bottom"/>
            <w:shd w:val="clear" w:color="auto" w:fill="346094"/>
          </w:tcPr>
          <w:p>
            <w:pPr>
              <w:spacing w:after="0"/>
              <w:rPr>
                <w:sz w:val="14"/>
                <w:szCs w:val="14"/>
                <w:color w:val="auto"/>
              </w:rPr>
            </w:pPr>
          </w:p>
        </w:tc>
        <w:tc>
          <w:tcPr>
            <w:tcW w:w="300" w:type="dxa"/>
            <w:vAlign w:val="bottom"/>
            <w:shd w:val="clear" w:color="auto" w:fill="346094"/>
          </w:tcPr>
          <w:p>
            <w:pPr>
              <w:spacing w:after="0"/>
              <w:rPr>
                <w:sz w:val="14"/>
                <w:szCs w:val="14"/>
                <w:color w:val="auto"/>
              </w:rPr>
            </w:pPr>
          </w:p>
        </w:tc>
        <w:tc>
          <w:tcPr>
            <w:tcW w:w="1060" w:type="dxa"/>
            <w:vAlign w:val="bottom"/>
            <w:shd w:val="clear" w:color="auto" w:fill="346094"/>
          </w:tcPr>
          <w:p>
            <w:pPr>
              <w:spacing w:after="0"/>
              <w:rPr>
                <w:sz w:val="14"/>
                <w:szCs w:val="14"/>
                <w:color w:val="auto"/>
              </w:rPr>
            </w:pPr>
          </w:p>
        </w:tc>
        <w:tc>
          <w:tcPr>
            <w:tcW w:w="260" w:type="dxa"/>
            <w:vAlign w:val="bottom"/>
            <w:shd w:val="clear" w:color="auto" w:fill="346094"/>
          </w:tcPr>
          <w:p>
            <w:pPr>
              <w:spacing w:after="0"/>
              <w:rPr>
                <w:sz w:val="14"/>
                <w:szCs w:val="14"/>
                <w:color w:val="auto"/>
              </w:rPr>
            </w:pPr>
          </w:p>
        </w:tc>
        <w:tc>
          <w:tcPr>
            <w:tcW w:w="860" w:type="dxa"/>
            <w:vAlign w:val="bottom"/>
            <w:shd w:val="clear" w:color="auto" w:fill="346094"/>
          </w:tcPr>
          <w:p>
            <w:pPr>
              <w:spacing w:after="0"/>
              <w:rPr>
                <w:sz w:val="14"/>
                <w:szCs w:val="14"/>
                <w:color w:val="auto"/>
              </w:rPr>
            </w:pPr>
          </w:p>
        </w:tc>
        <w:tc>
          <w:tcPr>
            <w:tcW w:w="160" w:type="dxa"/>
            <w:vAlign w:val="bottom"/>
            <w:shd w:val="clear" w:color="auto" w:fill="346094"/>
          </w:tcPr>
          <w:p>
            <w:pPr>
              <w:spacing w:after="0"/>
              <w:rPr>
                <w:sz w:val="14"/>
                <w:szCs w:val="14"/>
                <w:color w:val="auto"/>
              </w:rPr>
            </w:pPr>
          </w:p>
        </w:tc>
        <w:tc>
          <w:tcPr>
            <w:tcW w:w="1120" w:type="dxa"/>
            <w:vAlign w:val="bottom"/>
            <w:shd w:val="clear" w:color="auto" w:fill="346094"/>
          </w:tcPr>
          <w:p>
            <w:pPr>
              <w:jc w:val="center"/>
              <w:ind w:right="54"/>
              <w:spacing w:after="0"/>
              <w:rPr>
                <w:sz w:val="20"/>
                <w:szCs w:val="20"/>
                <w:color w:val="auto"/>
              </w:rPr>
            </w:pPr>
            <w:r>
              <w:rPr>
                <w:rFonts w:ascii="Arial" w:cs="Arial" w:eastAsia="Arial" w:hAnsi="Arial"/>
                <w:sz w:val="14"/>
                <w:szCs w:val="14"/>
                <w:b w:val="1"/>
                <w:bCs w:val="1"/>
                <w:color w:val="FFFFFF"/>
              </w:rPr>
              <w:t>Summary</w:t>
            </w:r>
          </w:p>
        </w:tc>
        <w:tc>
          <w:tcPr>
            <w:tcW w:w="300" w:type="dxa"/>
            <w:vAlign w:val="bottom"/>
            <w:shd w:val="clear" w:color="auto" w:fill="346094"/>
          </w:tcPr>
          <w:p>
            <w:pPr>
              <w:spacing w:after="0"/>
              <w:rPr>
                <w:sz w:val="14"/>
                <w:szCs w:val="14"/>
                <w:color w:val="auto"/>
              </w:rPr>
            </w:pPr>
          </w:p>
        </w:tc>
        <w:tc>
          <w:tcPr>
            <w:tcW w:w="920" w:type="dxa"/>
            <w:vAlign w:val="bottom"/>
            <w:shd w:val="clear" w:color="auto" w:fill="346094"/>
          </w:tcPr>
          <w:p>
            <w:pPr>
              <w:jc w:val="center"/>
              <w:ind w:right="302"/>
              <w:spacing w:after="0"/>
              <w:rPr>
                <w:sz w:val="20"/>
                <w:szCs w:val="20"/>
                <w:color w:val="auto"/>
              </w:rPr>
            </w:pPr>
            <w:r>
              <w:rPr>
                <w:rFonts w:ascii="Arial" w:cs="Arial" w:eastAsia="Arial" w:hAnsi="Arial"/>
                <w:sz w:val="14"/>
                <w:szCs w:val="14"/>
                <w:b w:val="1"/>
                <w:bCs w:val="1"/>
                <w:color w:val="FFFFFF"/>
                <w:w w:val="97"/>
              </w:rPr>
              <w:t>Average</w:t>
            </w:r>
          </w:p>
        </w:tc>
        <w:tc>
          <w:tcPr>
            <w:tcW w:w="1120" w:type="dxa"/>
            <w:vAlign w:val="bottom"/>
            <w:shd w:val="clear" w:color="auto" w:fill="346094"/>
          </w:tcPr>
          <w:p>
            <w:pPr>
              <w:jc w:val="center"/>
              <w:spacing w:after="0"/>
              <w:rPr>
                <w:sz w:val="20"/>
                <w:szCs w:val="20"/>
                <w:color w:val="auto"/>
              </w:rPr>
            </w:pPr>
            <w:r>
              <w:rPr>
                <w:rFonts w:ascii="Arial" w:cs="Arial" w:eastAsia="Arial" w:hAnsi="Arial"/>
                <w:sz w:val="14"/>
                <w:szCs w:val="14"/>
                <w:b w:val="1"/>
                <w:bCs w:val="1"/>
                <w:color w:val="FFFFFF"/>
              </w:rPr>
              <w:t>Investment</w:t>
            </w:r>
          </w:p>
        </w:tc>
        <w:tc>
          <w:tcPr>
            <w:tcW w:w="1500" w:type="dxa"/>
            <w:vAlign w:val="bottom"/>
            <w:shd w:val="clear" w:color="auto" w:fill="34609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 w:type="dxa"/>
            <w:vAlign w:val="bottom"/>
            <w:shd w:val="clear" w:color="auto" w:fill="346094"/>
          </w:tcPr>
          <w:p>
            <w:pPr>
              <w:spacing w:after="0"/>
              <w:rPr>
                <w:sz w:val="14"/>
                <w:szCs w:val="14"/>
                <w:color w:val="auto"/>
              </w:rPr>
            </w:pPr>
          </w:p>
        </w:tc>
        <w:tc>
          <w:tcPr>
            <w:tcW w:w="300" w:type="dxa"/>
            <w:vAlign w:val="bottom"/>
            <w:shd w:val="clear" w:color="auto" w:fill="346094"/>
          </w:tcPr>
          <w:p>
            <w:pPr>
              <w:spacing w:after="0"/>
              <w:rPr>
                <w:sz w:val="14"/>
                <w:szCs w:val="14"/>
                <w:color w:val="auto"/>
              </w:rPr>
            </w:pPr>
          </w:p>
        </w:tc>
        <w:tc>
          <w:tcPr>
            <w:tcW w:w="1060" w:type="dxa"/>
            <w:vAlign w:val="bottom"/>
            <w:shd w:val="clear" w:color="auto" w:fill="346094"/>
          </w:tcPr>
          <w:p>
            <w:pPr>
              <w:jc w:val="center"/>
              <w:ind w:right="42"/>
              <w:spacing w:after="0"/>
              <w:rPr>
                <w:sz w:val="20"/>
                <w:szCs w:val="20"/>
                <w:color w:val="auto"/>
              </w:rPr>
            </w:pPr>
            <w:r>
              <w:rPr>
                <w:rFonts w:ascii="Arial" w:cs="Arial" w:eastAsia="Arial" w:hAnsi="Arial"/>
                <w:sz w:val="14"/>
                <w:szCs w:val="14"/>
                <w:b w:val="1"/>
                <w:bCs w:val="1"/>
                <w:color w:val="FFFFFF"/>
                <w:w w:val="97"/>
              </w:rPr>
              <w:t>Summary</w:t>
            </w:r>
          </w:p>
        </w:tc>
        <w:tc>
          <w:tcPr>
            <w:tcW w:w="260" w:type="dxa"/>
            <w:vAlign w:val="bottom"/>
            <w:shd w:val="clear" w:color="auto" w:fill="346094"/>
          </w:tcPr>
          <w:p>
            <w:pPr>
              <w:spacing w:after="0"/>
              <w:rPr>
                <w:sz w:val="14"/>
                <w:szCs w:val="14"/>
                <w:color w:val="auto"/>
              </w:rPr>
            </w:pPr>
          </w:p>
        </w:tc>
        <w:tc>
          <w:tcPr>
            <w:tcW w:w="860" w:type="dxa"/>
            <w:vAlign w:val="bottom"/>
            <w:shd w:val="clear" w:color="auto" w:fill="346094"/>
          </w:tcPr>
          <w:p>
            <w:pPr>
              <w:spacing w:after="0"/>
              <w:rPr>
                <w:sz w:val="14"/>
                <w:szCs w:val="14"/>
                <w:color w:val="auto"/>
              </w:rPr>
            </w:pPr>
          </w:p>
        </w:tc>
        <w:tc>
          <w:tcPr>
            <w:tcW w:w="160" w:type="dxa"/>
            <w:vAlign w:val="bottom"/>
            <w:shd w:val="clear" w:color="auto" w:fill="346094"/>
          </w:tcPr>
          <w:p>
            <w:pPr>
              <w:spacing w:after="0"/>
              <w:rPr>
                <w:sz w:val="14"/>
                <w:szCs w:val="14"/>
                <w:color w:val="auto"/>
              </w:rPr>
            </w:pPr>
          </w:p>
        </w:tc>
        <w:tc>
          <w:tcPr>
            <w:tcW w:w="1120" w:type="dxa"/>
            <w:vAlign w:val="bottom"/>
            <w:shd w:val="clear" w:color="auto" w:fill="346094"/>
          </w:tcPr>
          <w:p>
            <w:pPr>
              <w:jc w:val="center"/>
              <w:ind w:right="54"/>
              <w:spacing w:after="0"/>
              <w:rPr>
                <w:sz w:val="20"/>
                <w:szCs w:val="20"/>
                <w:color w:val="auto"/>
              </w:rPr>
            </w:pPr>
            <w:r>
              <w:rPr>
                <w:rFonts w:ascii="Arial" w:cs="Arial" w:eastAsia="Arial" w:hAnsi="Arial"/>
                <w:sz w:val="14"/>
                <w:szCs w:val="14"/>
                <w:b w:val="1"/>
                <w:bCs w:val="1"/>
                <w:color w:val="FFFFFF"/>
                <w:w w:val="98"/>
              </w:rPr>
              <w:t>Compensation</w:t>
            </w:r>
          </w:p>
        </w:tc>
        <w:tc>
          <w:tcPr>
            <w:tcW w:w="1220" w:type="dxa"/>
            <w:vAlign w:val="bottom"/>
            <w:gridSpan w:val="2"/>
            <w:shd w:val="clear" w:color="auto" w:fill="346094"/>
          </w:tcPr>
          <w:p>
            <w:pPr>
              <w:jc w:val="center"/>
              <w:ind w:right="2"/>
              <w:spacing w:after="0"/>
              <w:rPr>
                <w:sz w:val="20"/>
                <w:szCs w:val="20"/>
                <w:color w:val="auto"/>
              </w:rPr>
            </w:pPr>
            <w:r>
              <w:rPr>
                <w:rFonts w:ascii="Arial" w:cs="Arial" w:eastAsia="Arial" w:hAnsi="Arial"/>
                <w:sz w:val="14"/>
                <w:szCs w:val="14"/>
                <w:b w:val="1"/>
                <w:bCs w:val="1"/>
                <w:color w:val="FFFFFF"/>
                <w:w w:val="96"/>
              </w:rPr>
              <w:t>Compensation</w:t>
            </w:r>
          </w:p>
        </w:tc>
        <w:tc>
          <w:tcPr>
            <w:tcW w:w="1120" w:type="dxa"/>
            <w:vAlign w:val="bottom"/>
            <w:shd w:val="clear" w:color="auto" w:fill="346094"/>
          </w:tcPr>
          <w:p>
            <w:pPr>
              <w:jc w:val="center"/>
              <w:ind w:right="4"/>
              <w:spacing w:after="0"/>
              <w:rPr>
                <w:sz w:val="20"/>
                <w:szCs w:val="20"/>
                <w:color w:val="auto"/>
              </w:rPr>
            </w:pPr>
            <w:r>
              <w:rPr>
                <w:rFonts w:ascii="Arial" w:cs="Arial" w:eastAsia="Arial" w:hAnsi="Arial"/>
                <w:sz w:val="14"/>
                <w:szCs w:val="14"/>
                <w:b w:val="1"/>
                <w:bCs w:val="1"/>
                <w:color w:val="FFFFFF"/>
                <w:w w:val="95"/>
              </w:rPr>
              <w:t>Based on</w:t>
            </w:r>
          </w:p>
        </w:tc>
        <w:tc>
          <w:tcPr>
            <w:tcW w:w="1500" w:type="dxa"/>
            <w:vAlign w:val="bottom"/>
            <w:shd w:val="clear" w:color="auto" w:fill="34609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 w:type="dxa"/>
            <w:vAlign w:val="bottom"/>
            <w:shd w:val="clear" w:color="auto" w:fill="346094"/>
          </w:tcPr>
          <w:p>
            <w:pPr>
              <w:spacing w:after="0"/>
              <w:rPr>
                <w:sz w:val="14"/>
                <w:szCs w:val="14"/>
                <w:color w:val="auto"/>
              </w:rPr>
            </w:pPr>
          </w:p>
        </w:tc>
        <w:tc>
          <w:tcPr>
            <w:tcW w:w="300" w:type="dxa"/>
            <w:vAlign w:val="bottom"/>
            <w:shd w:val="clear" w:color="auto" w:fill="346094"/>
          </w:tcPr>
          <w:p>
            <w:pPr>
              <w:spacing w:after="0"/>
              <w:rPr>
                <w:sz w:val="14"/>
                <w:szCs w:val="14"/>
                <w:color w:val="auto"/>
              </w:rPr>
            </w:pPr>
          </w:p>
        </w:tc>
        <w:tc>
          <w:tcPr>
            <w:tcW w:w="1060" w:type="dxa"/>
            <w:vAlign w:val="bottom"/>
            <w:shd w:val="clear" w:color="auto" w:fill="346094"/>
          </w:tcPr>
          <w:p>
            <w:pPr>
              <w:jc w:val="center"/>
              <w:ind w:right="42"/>
              <w:spacing w:after="0"/>
              <w:rPr>
                <w:sz w:val="20"/>
                <w:szCs w:val="20"/>
                <w:color w:val="auto"/>
              </w:rPr>
            </w:pPr>
            <w:r>
              <w:rPr>
                <w:rFonts w:ascii="Arial" w:cs="Arial" w:eastAsia="Arial" w:hAnsi="Arial"/>
                <w:sz w:val="14"/>
                <w:szCs w:val="14"/>
                <w:b w:val="1"/>
                <w:bCs w:val="1"/>
                <w:color w:val="FFFFFF"/>
                <w:w w:val="96"/>
              </w:rPr>
              <w:t>Compensation</w:t>
            </w:r>
          </w:p>
        </w:tc>
        <w:tc>
          <w:tcPr>
            <w:tcW w:w="112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w w:val="98"/>
              </w:rPr>
              <w:t>Compensation</w:t>
            </w:r>
          </w:p>
        </w:tc>
        <w:tc>
          <w:tcPr>
            <w:tcW w:w="160" w:type="dxa"/>
            <w:vAlign w:val="bottom"/>
            <w:shd w:val="clear" w:color="auto" w:fill="346094"/>
          </w:tcPr>
          <w:p>
            <w:pPr>
              <w:spacing w:after="0"/>
              <w:rPr>
                <w:sz w:val="14"/>
                <w:szCs w:val="14"/>
                <w:color w:val="auto"/>
              </w:rPr>
            </w:pPr>
          </w:p>
        </w:tc>
        <w:tc>
          <w:tcPr>
            <w:tcW w:w="1120" w:type="dxa"/>
            <w:vAlign w:val="bottom"/>
            <w:shd w:val="clear" w:color="auto" w:fill="346094"/>
          </w:tcPr>
          <w:p>
            <w:pPr>
              <w:jc w:val="center"/>
              <w:ind w:right="54"/>
              <w:spacing w:after="0"/>
              <w:rPr>
                <w:sz w:val="20"/>
                <w:szCs w:val="20"/>
                <w:color w:val="auto"/>
              </w:rPr>
            </w:pPr>
            <w:r>
              <w:rPr>
                <w:rFonts w:ascii="Arial" w:cs="Arial" w:eastAsia="Arial" w:hAnsi="Arial"/>
                <w:sz w:val="14"/>
                <w:szCs w:val="14"/>
                <w:b w:val="1"/>
                <w:bCs w:val="1"/>
                <w:color w:val="FFFFFF"/>
                <w:w w:val="99"/>
              </w:rPr>
              <w:t>Table Total for</w:t>
            </w:r>
          </w:p>
        </w:tc>
        <w:tc>
          <w:tcPr>
            <w:tcW w:w="1220" w:type="dxa"/>
            <w:vAlign w:val="bottom"/>
            <w:gridSpan w:val="2"/>
            <w:shd w:val="clear" w:color="auto" w:fill="346094"/>
          </w:tcPr>
          <w:p>
            <w:pPr>
              <w:jc w:val="center"/>
              <w:ind w:right="2"/>
              <w:spacing w:after="0"/>
              <w:rPr>
                <w:sz w:val="20"/>
                <w:szCs w:val="20"/>
                <w:color w:val="auto"/>
              </w:rPr>
            </w:pPr>
            <w:r>
              <w:rPr>
                <w:rFonts w:ascii="Arial" w:cs="Arial" w:eastAsia="Arial" w:hAnsi="Arial"/>
                <w:sz w:val="14"/>
                <w:szCs w:val="14"/>
                <w:b w:val="1"/>
                <w:bCs w:val="1"/>
                <w:color w:val="FFFFFF"/>
                <w:w w:val="97"/>
              </w:rPr>
              <w:t>Actually Paid</w:t>
            </w:r>
          </w:p>
        </w:tc>
        <w:tc>
          <w:tcPr>
            <w:tcW w:w="1120" w:type="dxa"/>
            <w:vAlign w:val="bottom"/>
            <w:shd w:val="clear" w:color="auto" w:fill="346094"/>
          </w:tcPr>
          <w:p>
            <w:pPr>
              <w:jc w:val="center"/>
              <w:spacing w:after="0"/>
              <w:rPr>
                <w:sz w:val="20"/>
                <w:szCs w:val="20"/>
                <w:color w:val="auto"/>
              </w:rPr>
            </w:pPr>
            <w:r>
              <w:rPr>
                <w:rFonts w:ascii="Arial" w:cs="Arial" w:eastAsia="Arial" w:hAnsi="Arial"/>
                <w:sz w:val="14"/>
                <w:szCs w:val="14"/>
                <w:b w:val="1"/>
                <w:bCs w:val="1"/>
                <w:color w:val="FFFFFF"/>
              </w:rPr>
              <w:t>Total</w:t>
            </w:r>
          </w:p>
        </w:tc>
        <w:tc>
          <w:tcPr>
            <w:tcW w:w="1500" w:type="dxa"/>
            <w:vAlign w:val="bottom"/>
            <w:shd w:val="clear" w:color="auto" w:fill="346094"/>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shd w:val="clear" w:color="auto" w:fill="346094"/>
          </w:tcPr>
          <w:p>
            <w:pPr>
              <w:spacing w:after="0"/>
              <w:rPr>
                <w:sz w:val="12"/>
                <w:szCs w:val="12"/>
                <w:color w:val="auto"/>
              </w:rPr>
            </w:pPr>
          </w:p>
        </w:tc>
        <w:tc>
          <w:tcPr>
            <w:tcW w:w="300" w:type="dxa"/>
            <w:vAlign w:val="bottom"/>
            <w:shd w:val="clear" w:color="auto" w:fill="346094"/>
          </w:tcPr>
          <w:p>
            <w:pPr>
              <w:spacing w:after="0"/>
              <w:rPr>
                <w:sz w:val="12"/>
                <w:szCs w:val="12"/>
                <w:color w:val="auto"/>
              </w:rPr>
            </w:pPr>
          </w:p>
        </w:tc>
        <w:tc>
          <w:tcPr>
            <w:tcW w:w="1060" w:type="dxa"/>
            <w:vAlign w:val="bottom"/>
            <w:shd w:val="clear" w:color="auto" w:fill="346094"/>
          </w:tcPr>
          <w:p>
            <w:pPr>
              <w:jc w:val="center"/>
              <w:ind w:right="42"/>
              <w:spacing w:after="0" w:line="142" w:lineRule="exact"/>
              <w:rPr>
                <w:sz w:val="20"/>
                <w:szCs w:val="20"/>
                <w:color w:val="auto"/>
              </w:rPr>
            </w:pPr>
            <w:r>
              <w:rPr>
                <w:rFonts w:ascii="Arial" w:cs="Arial" w:eastAsia="Arial" w:hAnsi="Arial"/>
                <w:sz w:val="14"/>
                <w:szCs w:val="14"/>
                <w:b w:val="1"/>
                <w:bCs w:val="1"/>
                <w:color w:val="FFFFFF"/>
              </w:rPr>
              <w:t>Table Total</w:t>
            </w:r>
          </w:p>
        </w:tc>
        <w:tc>
          <w:tcPr>
            <w:tcW w:w="1120" w:type="dxa"/>
            <w:vAlign w:val="bottom"/>
            <w:gridSpan w:val="2"/>
            <w:shd w:val="clear" w:color="auto" w:fill="346094"/>
          </w:tcPr>
          <w:p>
            <w:pPr>
              <w:jc w:val="center"/>
              <w:spacing w:after="0" w:line="142" w:lineRule="exact"/>
              <w:rPr>
                <w:sz w:val="20"/>
                <w:szCs w:val="20"/>
                <w:color w:val="auto"/>
              </w:rPr>
            </w:pPr>
            <w:r>
              <w:rPr>
                <w:rFonts w:ascii="Arial" w:cs="Arial" w:eastAsia="Arial" w:hAnsi="Arial"/>
                <w:sz w:val="14"/>
                <w:szCs w:val="14"/>
                <w:b w:val="1"/>
                <w:bCs w:val="1"/>
                <w:color w:val="FFFFFF"/>
                <w:w w:val="97"/>
              </w:rPr>
              <w:t>Actually Paid</w:t>
            </w:r>
          </w:p>
        </w:tc>
        <w:tc>
          <w:tcPr>
            <w:tcW w:w="160" w:type="dxa"/>
            <w:vAlign w:val="bottom"/>
            <w:shd w:val="clear" w:color="auto" w:fill="346094"/>
          </w:tcPr>
          <w:p>
            <w:pPr>
              <w:spacing w:after="0"/>
              <w:rPr>
                <w:sz w:val="12"/>
                <w:szCs w:val="12"/>
                <w:color w:val="auto"/>
              </w:rPr>
            </w:pPr>
          </w:p>
        </w:tc>
        <w:tc>
          <w:tcPr>
            <w:tcW w:w="1120" w:type="dxa"/>
            <w:vAlign w:val="bottom"/>
            <w:shd w:val="clear" w:color="auto" w:fill="346094"/>
          </w:tcPr>
          <w:p>
            <w:pPr>
              <w:ind w:left="220"/>
              <w:spacing w:after="0" w:line="142" w:lineRule="exact"/>
              <w:rPr>
                <w:sz w:val="20"/>
                <w:szCs w:val="20"/>
                <w:color w:val="auto"/>
              </w:rPr>
            </w:pPr>
            <w:r>
              <w:rPr>
                <w:rFonts w:ascii="Arial" w:cs="Arial" w:eastAsia="Arial" w:hAnsi="Arial"/>
                <w:sz w:val="14"/>
                <w:szCs w:val="14"/>
                <w:b w:val="1"/>
                <w:bCs w:val="1"/>
                <w:color w:val="FFFFFF"/>
              </w:rPr>
              <w:t>non-PEO</w:t>
            </w:r>
          </w:p>
        </w:tc>
        <w:tc>
          <w:tcPr>
            <w:tcW w:w="1220" w:type="dxa"/>
            <w:vAlign w:val="bottom"/>
            <w:gridSpan w:val="2"/>
            <w:shd w:val="clear" w:color="auto" w:fill="346094"/>
          </w:tcPr>
          <w:p>
            <w:pPr>
              <w:jc w:val="center"/>
              <w:spacing w:after="0" w:line="142" w:lineRule="exact"/>
              <w:rPr>
                <w:sz w:val="20"/>
                <w:szCs w:val="20"/>
                <w:color w:val="auto"/>
              </w:rPr>
            </w:pPr>
            <w:r>
              <w:rPr>
                <w:rFonts w:ascii="Arial" w:cs="Arial" w:eastAsia="Arial" w:hAnsi="Arial"/>
                <w:sz w:val="14"/>
                <w:szCs w:val="14"/>
                <w:b w:val="1"/>
                <w:bCs w:val="1"/>
                <w:color w:val="FFFFFF"/>
                <w:w w:val="98"/>
              </w:rPr>
              <w:t>to non-PEO</w:t>
            </w:r>
          </w:p>
        </w:tc>
        <w:tc>
          <w:tcPr>
            <w:tcW w:w="1120" w:type="dxa"/>
            <w:vAlign w:val="bottom"/>
            <w:shd w:val="clear" w:color="auto" w:fill="346094"/>
          </w:tcPr>
          <w:p>
            <w:pPr>
              <w:jc w:val="center"/>
              <w:spacing w:after="0" w:line="142" w:lineRule="exact"/>
              <w:rPr>
                <w:sz w:val="20"/>
                <w:szCs w:val="20"/>
                <w:color w:val="auto"/>
              </w:rPr>
            </w:pPr>
            <w:r>
              <w:rPr>
                <w:rFonts w:ascii="Arial" w:cs="Arial" w:eastAsia="Arial" w:hAnsi="Arial"/>
                <w:sz w:val="14"/>
                <w:szCs w:val="14"/>
                <w:b w:val="1"/>
                <w:bCs w:val="1"/>
                <w:color w:val="FFFFFF"/>
              </w:rPr>
              <w:t>Shareholder</w:t>
            </w:r>
          </w:p>
        </w:tc>
        <w:tc>
          <w:tcPr>
            <w:tcW w:w="1500" w:type="dxa"/>
            <w:vAlign w:val="bottom"/>
            <w:shd w:val="clear" w:color="auto" w:fill="346094"/>
          </w:tcPr>
          <w:p>
            <w:pPr>
              <w:ind w:left="100"/>
              <w:spacing w:after="0" w:line="142" w:lineRule="exact"/>
              <w:rPr>
                <w:sz w:val="20"/>
                <w:szCs w:val="20"/>
                <w:color w:val="auto"/>
              </w:rPr>
            </w:pPr>
            <w:r>
              <w:rPr>
                <w:rFonts w:ascii="Arial" w:cs="Arial" w:eastAsia="Arial" w:hAnsi="Arial"/>
                <w:sz w:val="14"/>
                <w:szCs w:val="14"/>
                <w:b w:val="1"/>
                <w:bCs w:val="1"/>
                <w:color w:val="FFFFFF"/>
              </w:rPr>
              <w:t>Net Income (Loss)</w:t>
            </w:r>
          </w:p>
        </w:tc>
        <w:tc>
          <w:tcPr>
            <w:tcW w:w="0" w:type="dxa"/>
            <w:vAlign w:val="bottom"/>
          </w:tcPr>
          <w:p>
            <w:pPr>
              <w:spacing w:after="0"/>
              <w:rPr>
                <w:sz w:val="1"/>
                <w:szCs w:val="1"/>
                <w:color w:val="auto"/>
              </w:rPr>
            </w:pPr>
          </w:p>
        </w:tc>
      </w:tr>
      <w:tr>
        <w:trPr>
          <w:trHeight w:val="200"/>
        </w:trPr>
        <w:tc>
          <w:tcPr>
            <w:tcW w:w="600" w:type="dxa"/>
            <w:vAlign w:val="bottom"/>
            <w:shd w:val="clear" w:color="auto" w:fill="346094"/>
          </w:tcPr>
          <w:p>
            <w:pPr>
              <w:ind w:left="20"/>
              <w:spacing w:after="0"/>
              <w:rPr>
                <w:sz w:val="20"/>
                <w:szCs w:val="20"/>
                <w:color w:val="auto"/>
              </w:rPr>
            </w:pPr>
            <w:r>
              <w:rPr>
                <w:rFonts w:ascii="Arial" w:cs="Arial" w:eastAsia="Arial" w:hAnsi="Arial"/>
                <w:sz w:val="14"/>
                <w:szCs w:val="14"/>
                <w:b w:val="1"/>
                <w:bCs w:val="1"/>
                <w:color w:val="FFFFFF"/>
              </w:rPr>
              <w:t>​Year</w:t>
            </w:r>
          </w:p>
        </w:tc>
        <w:tc>
          <w:tcPr>
            <w:tcW w:w="1360" w:type="dxa"/>
            <w:vAlign w:val="bottom"/>
            <w:gridSpan w:val="2"/>
            <w:shd w:val="clear" w:color="auto" w:fill="346094"/>
          </w:tcPr>
          <w:p>
            <w:pPr>
              <w:ind w:left="200"/>
              <w:spacing w:after="0"/>
              <w:rPr>
                <w:sz w:val="20"/>
                <w:szCs w:val="20"/>
                <w:color w:val="auto"/>
              </w:rPr>
            </w:pPr>
            <w:r>
              <w:rPr>
                <w:rFonts w:ascii="Arial" w:cs="Arial" w:eastAsia="Arial" w:hAnsi="Arial"/>
                <w:sz w:val="14"/>
                <w:szCs w:val="14"/>
                <w:b w:val="1"/>
                <w:bCs w:val="1"/>
                <w:color w:val="FFFFFF"/>
              </w:rPr>
              <w:t>​​   for PEO</w:t>
            </w:r>
          </w:p>
        </w:tc>
        <w:tc>
          <w:tcPr>
            <w:tcW w:w="260" w:type="dxa"/>
            <w:vAlign w:val="bottom"/>
            <w:shd w:val="clear" w:color="auto" w:fill="346094"/>
          </w:tcPr>
          <w:p>
            <w:pPr>
              <w:spacing w:after="0"/>
              <w:rPr>
                <w:sz w:val="17"/>
                <w:szCs w:val="17"/>
                <w:color w:val="auto"/>
              </w:rPr>
            </w:pPr>
          </w:p>
        </w:tc>
        <w:tc>
          <w:tcPr>
            <w:tcW w:w="860" w:type="dxa"/>
            <w:vAlign w:val="bottom"/>
            <w:shd w:val="clear" w:color="auto" w:fill="346094"/>
          </w:tcPr>
          <w:p>
            <w:pPr>
              <w:jc w:val="center"/>
              <w:ind w:right="181"/>
              <w:spacing w:after="0" w:line="200" w:lineRule="exact"/>
              <w:rPr>
                <w:sz w:val="20"/>
                <w:szCs w:val="20"/>
                <w:color w:val="auto"/>
              </w:rPr>
            </w:pPr>
            <w:r>
              <w:rPr>
                <w:rFonts w:ascii="Arial" w:cs="Arial" w:eastAsia="Arial" w:hAnsi="Arial"/>
                <w:sz w:val="14"/>
                <w:szCs w:val="14"/>
                <w:b w:val="1"/>
                <w:bCs w:val="1"/>
                <w:color w:val="FFFFFF"/>
                <w:w w:val="92"/>
              </w:rPr>
              <w:t>to PEO</w:t>
            </w:r>
            <w:r>
              <w:rPr>
                <w:rFonts w:ascii="Trebuchet MS" w:cs="Trebuchet MS" w:eastAsia="Trebuchet MS" w:hAnsi="Trebuchet MS"/>
                <w:sz w:val="21"/>
                <w:szCs w:val="21"/>
                <w:b w:val="1"/>
                <w:bCs w:val="1"/>
                <w:color w:val="FFFFFF"/>
                <w:w w:val="92"/>
                <w:vertAlign w:val="superscript"/>
              </w:rPr>
              <w:t>(2)</w:t>
            </w:r>
          </w:p>
        </w:tc>
        <w:tc>
          <w:tcPr>
            <w:tcW w:w="160" w:type="dxa"/>
            <w:vAlign w:val="bottom"/>
            <w:shd w:val="clear" w:color="auto" w:fill="346094"/>
          </w:tcPr>
          <w:p>
            <w:pPr>
              <w:jc w:val="right"/>
              <w:spacing w:after="0"/>
              <w:rPr>
                <w:sz w:val="20"/>
                <w:szCs w:val="20"/>
                <w:color w:val="auto"/>
              </w:rPr>
            </w:pPr>
            <w:r>
              <w:rPr>
                <w:rFonts w:ascii="Arial" w:cs="Arial" w:eastAsia="Arial" w:hAnsi="Arial"/>
                <w:sz w:val="14"/>
                <w:szCs w:val="14"/>
                <w:b w:val="1"/>
                <w:bCs w:val="1"/>
                <w:color w:val="FFFFFF"/>
              </w:rPr>
              <w:t>​ ​</w:t>
            </w:r>
          </w:p>
        </w:tc>
        <w:tc>
          <w:tcPr>
            <w:tcW w:w="1120" w:type="dxa"/>
            <w:vAlign w:val="bottom"/>
            <w:shd w:val="clear" w:color="auto" w:fill="346094"/>
          </w:tcPr>
          <w:p>
            <w:pPr>
              <w:jc w:val="center"/>
              <w:ind w:right="54"/>
              <w:spacing w:after="0" w:line="200" w:lineRule="exact"/>
              <w:rPr>
                <w:sz w:val="20"/>
                <w:szCs w:val="20"/>
                <w:color w:val="auto"/>
              </w:rPr>
            </w:pPr>
            <w:r>
              <w:rPr>
                <w:rFonts w:ascii="Arial" w:cs="Arial" w:eastAsia="Arial" w:hAnsi="Arial"/>
                <w:sz w:val="14"/>
                <w:szCs w:val="14"/>
                <w:b w:val="1"/>
                <w:bCs w:val="1"/>
                <w:color w:val="FFFFFF"/>
                <w:w w:val="84"/>
              </w:rPr>
              <w:t>NEOs</w:t>
            </w:r>
            <w:r>
              <w:rPr>
                <w:rFonts w:ascii="Trebuchet MS" w:cs="Trebuchet MS" w:eastAsia="Trebuchet MS" w:hAnsi="Trebuchet MS"/>
                <w:sz w:val="21"/>
                <w:szCs w:val="21"/>
                <w:b w:val="1"/>
                <w:bCs w:val="1"/>
                <w:color w:val="FFFFFF"/>
                <w:w w:val="84"/>
                <w:vertAlign w:val="superscript"/>
              </w:rPr>
              <w:t>(1)</w:t>
            </w:r>
          </w:p>
        </w:tc>
        <w:tc>
          <w:tcPr>
            <w:tcW w:w="300" w:type="dxa"/>
            <w:vAlign w:val="bottom"/>
            <w:shd w:val="clear" w:color="auto" w:fill="346094"/>
          </w:tcPr>
          <w:p>
            <w:pPr>
              <w:spacing w:after="0"/>
              <w:rPr>
                <w:sz w:val="17"/>
                <w:szCs w:val="17"/>
                <w:color w:val="auto"/>
              </w:rPr>
            </w:pPr>
          </w:p>
        </w:tc>
        <w:tc>
          <w:tcPr>
            <w:tcW w:w="920" w:type="dxa"/>
            <w:vAlign w:val="bottom"/>
            <w:shd w:val="clear" w:color="auto" w:fill="346094"/>
          </w:tcPr>
          <w:p>
            <w:pPr>
              <w:jc w:val="center"/>
              <w:ind w:right="282"/>
              <w:spacing w:after="0" w:line="200" w:lineRule="exact"/>
              <w:rPr>
                <w:sz w:val="20"/>
                <w:szCs w:val="20"/>
                <w:color w:val="auto"/>
              </w:rPr>
            </w:pPr>
            <w:r>
              <w:rPr>
                <w:rFonts w:ascii="Arial" w:cs="Arial" w:eastAsia="Arial" w:hAnsi="Arial"/>
                <w:sz w:val="14"/>
                <w:szCs w:val="14"/>
                <w:b w:val="1"/>
                <w:bCs w:val="1"/>
                <w:color w:val="FFFFFF"/>
                <w:w w:val="84"/>
              </w:rPr>
              <w:t>NEOs</w:t>
            </w:r>
            <w:r>
              <w:rPr>
                <w:rFonts w:ascii="Trebuchet MS" w:cs="Trebuchet MS" w:eastAsia="Trebuchet MS" w:hAnsi="Trebuchet MS"/>
                <w:sz w:val="21"/>
                <w:szCs w:val="21"/>
                <w:b w:val="1"/>
                <w:bCs w:val="1"/>
                <w:color w:val="FFFFFF"/>
                <w:w w:val="84"/>
                <w:vertAlign w:val="superscript"/>
              </w:rPr>
              <w:t>(2)</w:t>
            </w:r>
          </w:p>
        </w:tc>
        <w:tc>
          <w:tcPr>
            <w:tcW w:w="1120" w:type="dxa"/>
            <w:vAlign w:val="bottom"/>
            <w:shd w:val="clear" w:color="auto" w:fill="346094"/>
          </w:tcPr>
          <w:p>
            <w:pPr>
              <w:jc w:val="center"/>
              <w:spacing w:after="0"/>
              <w:rPr>
                <w:sz w:val="20"/>
                <w:szCs w:val="20"/>
                <w:color w:val="auto"/>
              </w:rPr>
            </w:pPr>
            <w:r>
              <w:rPr>
                <w:rFonts w:ascii="Arial" w:cs="Arial" w:eastAsia="Arial" w:hAnsi="Arial"/>
                <w:sz w:val="14"/>
                <w:szCs w:val="14"/>
                <w:b w:val="1"/>
                <w:bCs w:val="1"/>
                <w:color w:val="FFFFFF"/>
              </w:rPr>
              <w:t>Return</w:t>
            </w:r>
          </w:p>
        </w:tc>
        <w:tc>
          <w:tcPr>
            <w:tcW w:w="1500" w:type="dxa"/>
            <w:vAlign w:val="bottom"/>
            <w:shd w:val="clear" w:color="auto" w:fill="346094"/>
          </w:tcPr>
          <w:p>
            <w:pPr>
              <w:ind w:left="220"/>
              <w:spacing w:after="0"/>
              <w:rPr>
                <w:sz w:val="20"/>
                <w:szCs w:val="20"/>
                <w:color w:val="auto"/>
              </w:rPr>
            </w:pPr>
            <w:r>
              <w:rPr>
                <w:rFonts w:ascii="Arial" w:cs="Arial" w:eastAsia="Arial" w:hAnsi="Arial"/>
                <w:sz w:val="14"/>
                <w:szCs w:val="14"/>
                <w:b w:val="1"/>
                <w:bCs w:val="1"/>
                <w:color w:val="FFFFFF"/>
              </w:rPr>
              <w:t>(in thousands)</w:t>
            </w:r>
          </w:p>
        </w:tc>
        <w:tc>
          <w:tcPr>
            <w:tcW w:w="0" w:type="dxa"/>
            <w:vAlign w:val="bottom"/>
          </w:tcPr>
          <w:p>
            <w:pPr>
              <w:spacing w:after="0"/>
              <w:rPr>
                <w:sz w:val="1"/>
                <w:szCs w:val="1"/>
                <w:color w:val="auto"/>
              </w:rPr>
            </w:pPr>
          </w:p>
        </w:tc>
      </w:tr>
      <w:tr>
        <w:trPr>
          <w:trHeight w:val="175"/>
        </w:trPr>
        <w:tc>
          <w:tcPr>
            <w:tcW w:w="600" w:type="dxa"/>
            <w:vAlign w:val="bottom"/>
          </w:tcPr>
          <w:p>
            <w:pPr>
              <w:ind w:left="40"/>
              <w:spacing w:after="0" w:line="175" w:lineRule="exact"/>
              <w:rPr>
                <w:sz w:val="20"/>
                <w:szCs w:val="20"/>
                <w:color w:val="auto"/>
              </w:rPr>
            </w:pPr>
            <w:r>
              <w:rPr>
                <w:rFonts w:ascii="Arial" w:cs="Arial" w:eastAsia="Arial" w:hAnsi="Arial"/>
                <w:sz w:val="16"/>
                <w:szCs w:val="16"/>
                <w:color w:val="4C4C4C"/>
              </w:rPr>
              <w:t>2025</w:t>
            </w:r>
          </w:p>
        </w:tc>
        <w:tc>
          <w:tcPr>
            <w:tcW w:w="300" w:type="dxa"/>
            <w:vAlign w:val="bottom"/>
            <w:vMerge w:val="restart"/>
          </w:tcPr>
          <w:p>
            <w:pPr>
              <w:ind w:left="200"/>
              <w:spacing w:after="0"/>
              <w:rPr>
                <w:sz w:val="20"/>
                <w:szCs w:val="20"/>
                <w:color w:val="auto"/>
              </w:rPr>
            </w:pPr>
            <w:r>
              <w:rPr>
                <w:rFonts w:ascii="Arial" w:cs="Arial" w:eastAsia="Arial" w:hAnsi="Arial"/>
                <w:sz w:val="16"/>
                <w:szCs w:val="16"/>
                <w:color w:val="4C4C4C"/>
              </w:rPr>
              <w:t>​​</w:t>
            </w:r>
          </w:p>
        </w:tc>
        <w:tc>
          <w:tcPr>
            <w:tcW w:w="1060" w:type="dxa"/>
            <w:vAlign w:val="bottom"/>
          </w:tcPr>
          <w:p>
            <w:pPr>
              <w:jc w:val="right"/>
              <w:ind w:right="22"/>
              <w:spacing w:after="0" w:line="175" w:lineRule="exact"/>
              <w:rPr>
                <w:sz w:val="20"/>
                <w:szCs w:val="20"/>
                <w:color w:val="auto"/>
              </w:rPr>
            </w:pPr>
            <w:r>
              <w:rPr>
                <w:rFonts w:ascii="Arial" w:cs="Arial" w:eastAsia="Arial" w:hAnsi="Arial"/>
                <w:sz w:val="16"/>
                <w:szCs w:val="16"/>
                <w:color w:val="4C4C4C"/>
              </w:rPr>
              <w:t>$3,471,908</w:t>
            </w:r>
          </w:p>
        </w:tc>
        <w:tc>
          <w:tcPr>
            <w:tcW w:w="260" w:type="dxa"/>
            <w:vAlign w:val="bottom"/>
            <w:vMerge w:val="restart"/>
          </w:tcPr>
          <w:p>
            <w:pPr>
              <w:ind w:left="200"/>
              <w:spacing w:after="0"/>
              <w:rPr>
                <w:sz w:val="20"/>
                <w:szCs w:val="20"/>
                <w:color w:val="auto"/>
              </w:rPr>
            </w:pPr>
            <w:r>
              <w:rPr>
                <w:rFonts w:ascii="Arial" w:cs="Arial" w:eastAsia="Arial" w:hAnsi="Arial"/>
                <w:sz w:val="16"/>
                <w:szCs w:val="16"/>
                <w:color w:val="4C4C4C"/>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4C4C4C"/>
              </w:rPr>
              <w:t>$3,023,277</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1120" w:type="dxa"/>
            <w:vAlign w:val="bottom"/>
          </w:tcPr>
          <w:p>
            <w:pPr>
              <w:ind w:left="240"/>
              <w:spacing w:after="0" w:line="175" w:lineRule="exact"/>
              <w:rPr>
                <w:sz w:val="20"/>
                <w:szCs w:val="20"/>
                <w:color w:val="auto"/>
              </w:rPr>
            </w:pPr>
            <w:r>
              <w:rPr>
                <w:rFonts w:ascii="Arial" w:cs="Arial" w:eastAsia="Arial" w:hAnsi="Arial"/>
                <w:sz w:val="16"/>
                <w:szCs w:val="16"/>
                <w:color w:val="4C4C4C"/>
              </w:rPr>
              <w:t>$1,421,376</w:t>
            </w:r>
          </w:p>
        </w:tc>
        <w:tc>
          <w:tcPr>
            <w:tcW w:w="300" w:type="dxa"/>
            <w:vAlign w:val="bottom"/>
            <w:vMerge w:val="restart"/>
          </w:tcPr>
          <w:p>
            <w:pPr>
              <w:ind w:left="260"/>
              <w:spacing w:after="0"/>
              <w:rPr>
                <w:sz w:val="20"/>
                <w:szCs w:val="20"/>
                <w:color w:val="auto"/>
              </w:rPr>
            </w:pPr>
            <w:r>
              <w:rPr>
                <w:rFonts w:ascii="Arial" w:cs="Arial" w:eastAsia="Arial" w:hAnsi="Arial"/>
                <w:sz w:val="16"/>
                <w:szCs w:val="16"/>
                <w:color w:val="4C4C4C"/>
              </w:rPr>
              <w:t>​</w:t>
            </w:r>
          </w:p>
        </w:tc>
        <w:tc>
          <w:tcPr>
            <w:tcW w:w="920" w:type="dxa"/>
            <w:vAlign w:val="bottom"/>
          </w:tcPr>
          <w:p>
            <w:pPr>
              <w:jc w:val="right"/>
              <w:ind w:right="22"/>
              <w:spacing w:after="0" w:line="175" w:lineRule="exact"/>
              <w:rPr>
                <w:sz w:val="20"/>
                <w:szCs w:val="20"/>
                <w:color w:val="auto"/>
              </w:rPr>
            </w:pPr>
            <w:r>
              <w:rPr>
                <w:rFonts w:ascii="Arial" w:cs="Arial" w:eastAsia="Arial" w:hAnsi="Arial"/>
                <w:sz w:val="16"/>
                <w:szCs w:val="16"/>
                <w:color w:val="4C4C4C"/>
                <w:w w:val="99"/>
              </w:rPr>
              <w:t>$1,397,635</w:t>
            </w:r>
          </w:p>
        </w:tc>
        <w:tc>
          <w:tcPr>
            <w:tcW w:w="1120" w:type="dxa"/>
            <w:vAlign w:val="bottom"/>
          </w:tcPr>
          <w:p>
            <w:pPr>
              <w:jc w:val="right"/>
              <w:ind w:right="4"/>
              <w:spacing w:after="0" w:line="175" w:lineRule="exact"/>
              <w:rPr>
                <w:sz w:val="20"/>
                <w:szCs w:val="20"/>
                <w:color w:val="auto"/>
              </w:rPr>
            </w:pPr>
            <w:r>
              <w:rPr>
                <w:rFonts w:ascii="Arial" w:cs="Arial" w:eastAsia="Arial" w:hAnsi="Arial"/>
                <w:sz w:val="16"/>
                <w:szCs w:val="16"/>
                <w:color w:val="4C4C4C"/>
              </w:rPr>
              <w:t>$47.06</w:t>
            </w:r>
          </w:p>
        </w:tc>
        <w:tc>
          <w:tcPr>
            <w:tcW w:w="1500" w:type="dxa"/>
            <w:vAlign w:val="bottom"/>
          </w:tcPr>
          <w:p>
            <w:pPr>
              <w:ind w:left="720"/>
              <w:spacing w:after="0" w:line="175" w:lineRule="exact"/>
              <w:rPr>
                <w:sz w:val="20"/>
                <w:szCs w:val="20"/>
                <w:color w:val="auto"/>
              </w:rPr>
            </w:pPr>
            <w:r>
              <w:rPr>
                <w:rFonts w:ascii="Arial" w:cs="Arial" w:eastAsia="Arial" w:hAnsi="Arial"/>
                <w:sz w:val="16"/>
                <w:szCs w:val="16"/>
                <w:color w:val="4C4C4C"/>
              </w:rPr>
              <w:t>$(33,836)</w:t>
            </w:r>
          </w:p>
        </w:tc>
        <w:tc>
          <w:tcPr>
            <w:tcW w:w="0" w:type="dxa"/>
            <w:vAlign w:val="bottom"/>
          </w:tcPr>
          <w:p>
            <w:pPr>
              <w:spacing w:after="0"/>
              <w:rPr>
                <w:sz w:val="1"/>
                <w:szCs w:val="1"/>
                <w:color w:val="auto"/>
              </w:rPr>
            </w:pPr>
          </w:p>
        </w:tc>
      </w:tr>
      <w:tr>
        <w:trPr>
          <w:trHeight w:val="68"/>
        </w:trPr>
        <w:tc>
          <w:tcPr>
            <w:tcW w:w="600" w:type="dxa"/>
            <w:vAlign w:val="bottom"/>
          </w:tcPr>
          <w:p>
            <w:pPr>
              <w:ind w:left="20"/>
              <w:spacing w:after="0" w:line="68" w:lineRule="exact"/>
              <w:rPr>
                <w:sz w:val="20"/>
                <w:szCs w:val="20"/>
                <w:color w:val="auto"/>
              </w:rPr>
            </w:pPr>
            <w:r>
              <w:rPr>
                <w:rFonts w:ascii="Arial" w:cs="Arial" w:eastAsia="Arial" w:hAnsi="Arial"/>
                <w:sz w:val="7"/>
                <w:szCs w:val="7"/>
                <w:color w:val="4C4C4C"/>
              </w:rPr>
              <w:t>​</w:t>
            </w:r>
          </w:p>
        </w:tc>
        <w:tc>
          <w:tcPr>
            <w:tcW w:w="30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120" w:type="dxa"/>
            <w:vAlign w:val="bottom"/>
          </w:tcPr>
          <w:p>
            <w:pPr>
              <w:ind w:left="220"/>
              <w:spacing w:after="0" w:line="68" w:lineRule="exact"/>
              <w:rPr>
                <w:sz w:val="20"/>
                <w:szCs w:val="20"/>
                <w:color w:val="auto"/>
              </w:rPr>
            </w:pPr>
            <w:r>
              <w:rPr>
                <w:rFonts w:ascii="Arial" w:cs="Arial" w:eastAsia="Arial" w:hAnsi="Arial"/>
                <w:sz w:val="7"/>
                <w:szCs w:val="7"/>
                <w:color w:val="4C4C4C"/>
              </w:rPr>
              <w:t>​</w:t>
            </w:r>
          </w:p>
        </w:tc>
        <w:tc>
          <w:tcPr>
            <w:tcW w:w="3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500" w:type="dxa"/>
            <w:vAlign w:val="bottom"/>
          </w:tcPr>
          <w:p>
            <w:pPr>
              <w:ind w:left="700"/>
              <w:spacing w:after="0" w:line="68" w:lineRule="exact"/>
              <w:rPr>
                <w:sz w:val="20"/>
                <w:szCs w:val="20"/>
                <w:color w:val="auto"/>
              </w:rPr>
            </w:pPr>
            <w:r>
              <w:rPr>
                <w:rFonts w:ascii="Arial" w:cs="Arial" w:eastAsia="Arial" w:hAnsi="Arial"/>
                <w:sz w:val="7"/>
                <w:szCs w:val="7"/>
                <w:color w:val="4C4C4C"/>
              </w:rPr>
              <w:t>​</w:t>
            </w:r>
          </w:p>
        </w:tc>
        <w:tc>
          <w:tcPr>
            <w:tcW w:w="0" w:type="dxa"/>
            <w:vAlign w:val="bottom"/>
          </w:tcPr>
          <w:p>
            <w:pPr>
              <w:spacing w:after="0"/>
              <w:rPr>
                <w:sz w:val="1"/>
                <w:szCs w:val="1"/>
                <w:color w:val="auto"/>
              </w:rPr>
            </w:pPr>
          </w:p>
        </w:tc>
      </w:tr>
      <w:tr>
        <w:trPr>
          <w:trHeight w:val="175"/>
        </w:trPr>
        <w:tc>
          <w:tcPr>
            <w:tcW w:w="600" w:type="dxa"/>
            <w:vAlign w:val="bottom"/>
            <w:shd w:val="clear" w:color="auto" w:fill="E1E7EF"/>
          </w:tcPr>
          <w:p>
            <w:pPr>
              <w:ind w:left="40"/>
              <w:spacing w:after="0" w:line="175" w:lineRule="exact"/>
              <w:rPr>
                <w:sz w:val="20"/>
                <w:szCs w:val="20"/>
                <w:color w:val="auto"/>
              </w:rPr>
            </w:pPr>
            <w:r>
              <w:rPr>
                <w:rFonts w:ascii="Arial" w:cs="Arial" w:eastAsia="Arial" w:hAnsi="Arial"/>
                <w:sz w:val="16"/>
                <w:szCs w:val="16"/>
                <w:color w:val="4C4C4C"/>
              </w:rPr>
              <w:t>2024</w:t>
            </w:r>
          </w:p>
        </w:tc>
        <w:tc>
          <w:tcPr>
            <w:tcW w:w="300" w:type="dxa"/>
            <w:vAlign w:val="bottom"/>
            <w:vMerge w:val="restart"/>
            <w:shd w:val="clear" w:color="auto" w:fill="E1E7EF"/>
          </w:tcPr>
          <w:p>
            <w:pPr>
              <w:ind w:left="200"/>
              <w:spacing w:after="0"/>
              <w:rPr>
                <w:sz w:val="20"/>
                <w:szCs w:val="20"/>
                <w:color w:val="auto"/>
              </w:rPr>
            </w:pPr>
            <w:r>
              <w:rPr>
                <w:rFonts w:ascii="Arial" w:cs="Arial" w:eastAsia="Arial" w:hAnsi="Arial"/>
                <w:sz w:val="16"/>
                <w:szCs w:val="16"/>
                <w:color w:val="4C4C4C"/>
              </w:rPr>
              <w:t>​​</w:t>
            </w:r>
          </w:p>
        </w:tc>
        <w:tc>
          <w:tcPr>
            <w:tcW w:w="1060" w:type="dxa"/>
            <w:vAlign w:val="bottom"/>
            <w:shd w:val="clear" w:color="auto" w:fill="E1E7EF"/>
          </w:tcPr>
          <w:p>
            <w:pPr>
              <w:jc w:val="right"/>
              <w:ind w:right="22"/>
              <w:spacing w:after="0" w:line="175" w:lineRule="exact"/>
              <w:rPr>
                <w:sz w:val="20"/>
                <w:szCs w:val="20"/>
                <w:color w:val="auto"/>
              </w:rPr>
            </w:pPr>
            <w:r>
              <w:rPr>
                <w:rFonts w:ascii="Arial" w:cs="Arial" w:eastAsia="Arial" w:hAnsi="Arial"/>
                <w:sz w:val="16"/>
                <w:szCs w:val="16"/>
                <w:color w:val="4C4C4C"/>
              </w:rPr>
              <w:t>$3,103,849</w:t>
            </w:r>
          </w:p>
        </w:tc>
        <w:tc>
          <w:tcPr>
            <w:tcW w:w="260" w:type="dxa"/>
            <w:vAlign w:val="bottom"/>
            <w:vMerge w:val="restart"/>
            <w:shd w:val="clear" w:color="auto" w:fill="E1E7EF"/>
          </w:tcPr>
          <w:p>
            <w:pPr>
              <w:ind w:left="200"/>
              <w:spacing w:after="0"/>
              <w:rPr>
                <w:sz w:val="20"/>
                <w:szCs w:val="20"/>
                <w:color w:val="auto"/>
              </w:rPr>
            </w:pPr>
            <w:r>
              <w:rPr>
                <w:rFonts w:ascii="Arial" w:cs="Arial" w:eastAsia="Arial" w:hAnsi="Arial"/>
                <w:sz w:val="16"/>
                <w:szCs w:val="16"/>
                <w:color w:val="4C4C4C"/>
              </w:rPr>
              <w:t>​</w:t>
            </w:r>
          </w:p>
        </w:tc>
        <w:tc>
          <w:tcPr>
            <w:tcW w:w="860" w:type="dxa"/>
            <w:vAlign w:val="bottom"/>
            <w:shd w:val="clear" w:color="auto" w:fill="E1E7EF"/>
          </w:tcPr>
          <w:p>
            <w:pPr>
              <w:jc w:val="right"/>
              <w:spacing w:after="0" w:line="175" w:lineRule="exact"/>
              <w:rPr>
                <w:sz w:val="20"/>
                <w:szCs w:val="20"/>
                <w:color w:val="auto"/>
              </w:rPr>
            </w:pPr>
            <w:r>
              <w:rPr>
                <w:rFonts w:ascii="Arial" w:cs="Arial" w:eastAsia="Arial" w:hAnsi="Arial"/>
                <w:sz w:val="16"/>
                <w:szCs w:val="16"/>
                <w:color w:val="4C4C4C"/>
              </w:rPr>
              <w:t>$6,483,863</w:t>
            </w:r>
          </w:p>
        </w:tc>
        <w:tc>
          <w:tcPr>
            <w:tcW w:w="160" w:type="dxa"/>
            <w:vAlign w:val="bottom"/>
            <w:vMerge w:val="restart"/>
            <w:shd w:val="clear" w:color="auto" w:fill="E1E7EF"/>
          </w:tcPr>
          <w:p>
            <w:pPr>
              <w:jc w:val="right"/>
              <w:spacing w:after="0"/>
              <w:rPr>
                <w:sz w:val="20"/>
                <w:szCs w:val="20"/>
                <w:color w:val="auto"/>
              </w:rPr>
            </w:pPr>
            <w:r>
              <w:rPr>
                <w:rFonts w:ascii="Arial" w:cs="Arial" w:eastAsia="Arial" w:hAnsi="Arial"/>
                <w:sz w:val="16"/>
                <w:szCs w:val="16"/>
                <w:color w:val="4C4C4C"/>
              </w:rPr>
              <w:t>​​</w:t>
            </w:r>
          </w:p>
        </w:tc>
        <w:tc>
          <w:tcPr>
            <w:tcW w:w="1120" w:type="dxa"/>
            <w:vAlign w:val="bottom"/>
            <w:shd w:val="clear" w:color="auto" w:fill="E1E7EF"/>
          </w:tcPr>
          <w:p>
            <w:pPr>
              <w:ind w:left="240"/>
              <w:spacing w:after="0" w:line="175" w:lineRule="exact"/>
              <w:rPr>
                <w:sz w:val="20"/>
                <w:szCs w:val="20"/>
                <w:color w:val="auto"/>
              </w:rPr>
            </w:pPr>
            <w:r>
              <w:rPr>
                <w:rFonts w:ascii="Arial" w:cs="Arial" w:eastAsia="Arial" w:hAnsi="Arial"/>
                <w:sz w:val="16"/>
                <w:szCs w:val="16"/>
                <w:color w:val="4C4C4C"/>
              </w:rPr>
              <w:t>$1,353,650</w:t>
            </w:r>
          </w:p>
        </w:tc>
        <w:tc>
          <w:tcPr>
            <w:tcW w:w="300" w:type="dxa"/>
            <w:vAlign w:val="bottom"/>
            <w:vMerge w:val="restart"/>
            <w:shd w:val="clear" w:color="auto" w:fill="E1E7EF"/>
          </w:tcPr>
          <w:p>
            <w:pPr>
              <w:ind w:left="260"/>
              <w:spacing w:after="0"/>
              <w:rPr>
                <w:sz w:val="20"/>
                <w:szCs w:val="20"/>
                <w:color w:val="auto"/>
              </w:rPr>
            </w:pPr>
            <w:r>
              <w:rPr>
                <w:rFonts w:ascii="Arial" w:cs="Arial" w:eastAsia="Arial" w:hAnsi="Arial"/>
                <w:sz w:val="16"/>
                <w:szCs w:val="16"/>
                <w:color w:val="4C4C4C"/>
              </w:rPr>
              <w:t>​</w:t>
            </w:r>
          </w:p>
        </w:tc>
        <w:tc>
          <w:tcPr>
            <w:tcW w:w="920" w:type="dxa"/>
            <w:vAlign w:val="bottom"/>
            <w:shd w:val="clear" w:color="auto" w:fill="E1E7EF"/>
          </w:tcPr>
          <w:p>
            <w:pPr>
              <w:jc w:val="right"/>
              <w:ind w:right="22"/>
              <w:spacing w:after="0" w:line="175" w:lineRule="exact"/>
              <w:rPr>
                <w:sz w:val="20"/>
                <w:szCs w:val="20"/>
                <w:color w:val="auto"/>
              </w:rPr>
            </w:pPr>
            <w:r>
              <w:rPr>
                <w:rFonts w:ascii="Arial" w:cs="Arial" w:eastAsia="Arial" w:hAnsi="Arial"/>
                <w:sz w:val="16"/>
                <w:szCs w:val="16"/>
                <w:color w:val="4C4C4C"/>
                <w:w w:val="99"/>
              </w:rPr>
              <w:t>$2,738,739</w:t>
            </w:r>
          </w:p>
        </w:tc>
        <w:tc>
          <w:tcPr>
            <w:tcW w:w="1120" w:type="dxa"/>
            <w:vAlign w:val="bottom"/>
            <w:shd w:val="clear" w:color="auto" w:fill="E1E7EF"/>
          </w:tcPr>
          <w:p>
            <w:pPr>
              <w:jc w:val="right"/>
              <w:ind w:right="4"/>
              <w:spacing w:after="0" w:line="175" w:lineRule="exact"/>
              <w:rPr>
                <w:sz w:val="20"/>
                <w:szCs w:val="20"/>
                <w:color w:val="auto"/>
              </w:rPr>
            </w:pPr>
            <w:r>
              <w:rPr>
                <w:rFonts w:ascii="Arial" w:cs="Arial" w:eastAsia="Arial" w:hAnsi="Arial"/>
                <w:sz w:val="16"/>
                <w:szCs w:val="16"/>
                <w:color w:val="4C4C4C"/>
              </w:rPr>
              <w:t>$49.18</w:t>
            </w:r>
          </w:p>
        </w:tc>
        <w:tc>
          <w:tcPr>
            <w:tcW w:w="1500" w:type="dxa"/>
            <w:vAlign w:val="bottom"/>
            <w:shd w:val="clear" w:color="auto" w:fill="E1E7EF"/>
          </w:tcPr>
          <w:p>
            <w:pPr>
              <w:ind w:left="720"/>
              <w:spacing w:after="0" w:line="175" w:lineRule="exact"/>
              <w:rPr>
                <w:sz w:val="20"/>
                <w:szCs w:val="20"/>
                <w:color w:val="auto"/>
              </w:rPr>
            </w:pPr>
            <w:r>
              <w:rPr>
                <w:rFonts w:ascii="Arial" w:cs="Arial" w:eastAsia="Arial" w:hAnsi="Arial"/>
                <w:sz w:val="16"/>
                <w:szCs w:val="16"/>
                <w:color w:val="4C4C4C"/>
              </w:rPr>
              <w:t>$(78,640)</w:t>
            </w:r>
          </w:p>
        </w:tc>
        <w:tc>
          <w:tcPr>
            <w:tcW w:w="0" w:type="dxa"/>
            <w:vAlign w:val="bottom"/>
          </w:tcPr>
          <w:p>
            <w:pPr>
              <w:spacing w:after="0"/>
              <w:rPr>
                <w:sz w:val="1"/>
                <w:szCs w:val="1"/>
                <w:color w:val="auto"/>
              </w:rPr>
            </w:pPr>
          </w:p>
        </w:tc>
      </w:tr>
      <w:tr>
        <w:trPr>
          <w:trHeight w:val="68"/>
        </w:trPr>
        <w:tc>
          <w:tcPr>
            <w:tcW w:w="600" w:type="dxa"/>
            <w:vAlign w:val="bottom"/>
            <w:shd w:val="clear" w:color="auto" w:fill="E1E7EF"/>
          </w:tcPr>
          <w:p>
            <w:pPr>
              <w:ind w:left="20"/>
              <w:spacing w:after="0" w:line="68" w:lineRule="exact"/>
              <w:rPr>
                <w:sz w:val="20"/>
                <w:szCs w:val="20"/>
                <w:color w:val="auto"/>
              </w:rPr>
            </w:pPr>
            <w:r>
              <w:rPr>
                <w:rFonts w:ascii="Arial" w:cs="Arial" w:eastAsia="Arial" w:hAnsi="Arial"/>
                <w:sz w:val="7"/>
                <w:szCs w:val="7"/>
                <w:color w:val="4C4C4C"/>
              </w:rPr>
              <w:t>​</w:t>
            </w:r>
          </w:p>
        </w:tc>
        <w:tc>
          <w:tcPr>
            <w:tcW w:w="300" w:type="dxa"/>
            <w:vAlign w:val="bottom"/>
            <w:vMerge w:val="continue"/>
            <w:shd w:val="clear" w:color="auto" w:fill="E1E7EF"/>
          </w:tcPr>
          <w:p>
            <w:pPr>
              <w:spacing w:after="0"/>
              <w:rPr>
                <w:sz w:val="5"/>
                <w:szCs w:val="5"/>
                <w:color w:val="auto"/>
              </w:rPr>
            </w:pPr>
          </w:p>
        </w:tc>
        <w:tc>
          <w:tcPr>
            <w:tcW w:w="1060" w:type="dxa"/>
            <w:vAlign w:val="bottom"/>
            <w:shd w:val="clear" w:color="auto" w:fill="E1E7EF"/>
          </w:tcPr>
          <w:p>
            <w:pPr>
              <w:spacing w:after="0"/>
              <w:rPr>
                <w:sz w:val="5"/>
                <w:szCs w:val="5"/>
                <w:color w:val="auto"/>
              </w:rPr>
            </w:pPr>
          </w:p>
        </w:tc>
        <w:tc>
          <w:tcPr>
            <w:tcW w:w="260" w:type="dxa"/>
            <w:vAlign w:val="bottom"/>
            <w:vMerge w:val="continue"/>
            <w:shd w:val="clear" w:color="auto" w:fill="E1E7EF"/>
          </w:tcPr>
          <w:p>
            <w:pPr>
              <w:spacing w:after="0"/>
              <w:rPr>
                <w:sz w:val="5"/>
                <w:szCs w:val="5"/>
                <w:color w:val="auto"/>
              </w:rPr>
            </w:pPr>
          </w:p>
        </w:tc>
        <w:tc>
          <w:tcPr>
            <w:tcW w:w="860" w:type="dxa"/>
            <w:vAlign w:val="bottom"/>
            <w:shd w:val="clear" w:color="auto" w:fill="E1E7EF"/>
          </w:tcPr>
          <w:p>
            <w:pPr>
              <w:spacing w:after="0"/>
              <w:rPr>
                <w:sz w:val="5"/>
                <w:szCs w:val="5"/>
                <w:color w:val="auto"/>
              </w:rPr>
            </w:pPr>
          </w:p>
        </w:tc>
        <w:tc>
          <w:tcPr>
            <w:tcW w:w="160" w:type="dxa"/>
            <w:vAlign w:val="bottom"/>
            <w:vMerge w:val="continue"/>
            <w:shd w:val="clear" w:color="auto" w:fill="E1E7EF"/>
          </w:tcPr>
          <w:p>
            <w:pPr>
              <w:spacing w:after="0"/>
              <w:rPr>
                <w:sz w:val="5"/>
                <w:szCs w:val="5"/>
                <w:color w:val="auto"/>
              </w:rPr>
            </w:pPr>
          </w:p>
        </w:tc>
        <w:tc>
          <w:tcPr>
            <w:tcW w:w="1120" w:type="dxa"/>
            <w:vAlign w:val="bottom"/>
            <w:shd w:val="clear" w:color="auto" w:fill="E1E7EF"/>
          </w:tcPr>
          <w:p>
            <w:pPr>
              <w:ind w:left="220"/>
              <w:spacing w:after="0" w:line="68" w:lineRule="exact"/>
              <w:rPr>
                <w:sz w:val="20"/>
                <w:szCs w:val="20"/>
                <w:color w:val="auto"/>
              </w:rPr>
            </w:pPr>
            <w:r>
              <w:rPr>
                <w:rFonts w:ascii="Arial" w:cs="Arial" w:eastAsia="Arial" w:hAnsi="Arial"/>
                <w:sz w:val="7"/>
                <w:szCs w:val="7"/>
                <w:color w:val="4C4C4C"/>
              </w:rPr>
              <w:t>​</w:t>
            </w:r>
          </w:p>
        </w:tc>
        <w:tc>
          <w:tcPr>
            <w:tcW w:w="300" w:type="dxa"/>
            <w:vAlign w:val="bottom"/>
            <w:vMerge w:val="continue"/>
            <w:shd w:val="clear" w:color="auto" w:fill="E1E7EF"/>
          </w:tcPr>
          <w:p>
            <w:pPr>
              <w:spacing w:after="0"/>
              <w:rPr>
                <w:sz w:val="5"/>
                <w:szCs w:val="5"/>
                <w:color w:val="auto"/>
              </w:rPr>
            </w:pPr>
          </w:p>
        </w:tc>
        <w:tc>
          <w:tcPr>
            <w:tcW w:w="920" w:type="dxa"/>
            <w:vAlign w:val="bottom"/>
            <w:shd w:val="clear" w:color="auto" w:fill="E1E7EF"/>
          </w:tcPr>
          <w:p>
            <w:pPr>
              <w:spacing w:after="0"/>
              <w:rPr>
                <w:sz w:val="5"/>
                <w:szCs w:val="5"/>
                <w:color w:val="auto"/>
              </w:rPr>
            </w:pPr>
          </w:p>
        </w:tc>
        <w:tc>
          <w:tcPr>
            <w:tcW w:w="1120" w:type="dxa"/>
            <w:vAlign w:val="bottom"/>
            <w:shd w:val="clear" w:color="auto" w:fill="E1E7EF"/>
          </w:tcPr>
          <w:p>
            <w:pPr>
              <w:spacing w:after="0"/>
              <w:rPr>
                <w:sz w:val="5"/>
                <w:szCs w:val="5"/>
                <w:color w:val="auto"/>
              </w:rPr>
            </w:pPr>
          </w:p>
        </w:tc>
        <w:tc>
          <w:tcPr>
            <w:tcW w:w="1500" w:type="dxa"/>
            <w:vAlign w:val="bottom"/>
            <w:shd w:val="clear" w:color="auto" w:fill="E1E7EF"/>
          </w:tcPr>
          <w:p>
            <w:pPr>
              <w:ind w:left="700"/>
              <w:spacing w:after="0" w:line="68" w:lineRule="exact"/>
              <w:rPr>
                <w:sz w:val="20"/>
                <w:szCs w:val="20"/>
                <w:color w:val="auto"/>
              </w:rPr>
            </w:pPr>
            <w:r>
              <w:rPr>
                <w:rFonts w:ascii="Arial" w:cs="Arial" w:eastAsia="Arial" w:hAnsi="Arial"/>
                <w:sz w:val="7"/>
                <w:szCs w:val="7"/>
                <w:color w:val="4C4C4C"/>
              </w:rPr>
              <w:t>​</w:t>
            </w:r>
          </w:p>
        </w:tc>
        <w:tc>
          <w:tcPr>
            <w:tcW w:w="0" w:type="dxa"/>
            <w:vAlign w:val="bottom"/>
          </w:tcPr>
          <w:p>
            <w:pPr>
              <w:spacing w:after="0"/>
              <w:rPr>
                <w:sz w:val="1"/>
                <w:szCs w:val="1"/>
                <w:color w:val="auto"/>
              </w:rPr>
            </w:pPr>
          </w:p>
        </w:tc>
      </w:tr>
      <w:tr>
        <w:trPr>
          <w:trHeight w:val="175"/>
        </w:trPr>
        <w:tc>
          <w:tcPr>
            <w:tcW w:w="600" w:type="dxa"/>
            <w:vAlign w:val="bottom"/>
          </w:tcPr>
          <w:p>
            <w:pPr>
              <w:ind w:left="40"/>
              <w:spacing w:after="0" w:line="175" w:lineRule="exact"/>
              <w:rPr>
                <w:sz w:val="20"/>
                <w:szCs w:val="20"/>
                <w:color w:val="auto"/>
              </w:rPr>
            </w:pPr>
            <w:r>
              <w:rPr>
                <w:rFonts w:ascii="Arial" w:cs="Arial" w:eastAsia="Arial" w:hAnsi="Arial"/>
                <w:sz w:val="16"/>
                <w:szCs w:val="16"/>
                <w:color w:val="4C4C4C"/>
              </w:rPr>
              <w:t>2023</w:t>
            </w:r>
          </w:p>
        </w:tc>
        <w:tc>
          <w:tcPr>
            <w:tcW w:w="300" w:type="dxa"/>
            <w:vAlign w:val="bottom"/>
            <w:vMerge w:val="restart"/>
          </w:tcPr>
          <w:p>
            <w:pPr>
              <w:ind w:left="200"/>
              <w:spacing w:after="0"/>
              <w:rPr>
                <w:sz w:val="20"/>
                <w:szCs w:val="20"/>
                <w:color w:val="auto"/>
              </w:rPr>
            </w:pPr>
            <w:r>
              <w:rPr>
                <w:rFonts w:ascii="Arial" w:cs="Arial" w:eastAsia="Arial" w:hAnsi="Arial"/>
                <w:sz w:val="16"/>
                <w:szCs w:val="16"/>
                <w:color w:val="4C4C4C"/>
              </w:rPr>
              <w:t>​​</w:t>
            </w:r>
          </w:p>
        </w:tc>
        <w:tc>
          <w:tcPr>
            <w:tcW w:w="1060" w:type="dxa"/>
            <w:vAlign w:val="bottom"/>
          </w:tcPr>
          <w:p>
            <w:pPr>
              <w:jc w:val="right"/>
              <w:ind w:right="22"/>
              <w:spacing w:after="0" w:line="175" w:lineRule="exact"/>
              <w:rPr>
                <w:sz w:val="20"/>
                <w:szCs w:val="20"/>
                <w:color w:val="auto"/>
              </w:rPr>
            </w:pPr>
            <w:r>
              <w:rPr>
                <w:rFonts w:ascii="Arial" w:cs="Arial" w:eastAsia="Arial" w:hAnsi="Arial"/>
                <w:sz w:val="16"/>
                <w:szCs w:val="16"/>
                <w:color w:val="4C4C4C"/>
              </w:rPr>
              <w:t>$3,746,158</w:t>
            </w:r>
          </w:p>
        </w:tc>
        <w:tc>
          <w:tcPr>
            <w:tcW w:w="260" w:type="dxa"/>
            <w:vAlign w:val="bottom"/>
            <w:vMerge w:val="restart"/>
          </w:tcPr>
          <w:p>
            <w:pPr>
              <w:ind w:left="200"/>
              <w:spacing w:after="0"/>
              <w:rPr>
                <w:sz w:val="20"/>
                <w:szCs w:val="20"/>
                <w:color w:val="auto"/>
              </w:rPr>
            </w:pPr>
            <w:r>
              <w:rPr>
                <w:rFonts w:ascii="Arial" w:cs="Arial" w:eastAsia="Arial" w:hAnsi="Arial"/>
                <w:sz w:val="16"/>
                <w:szCs w:val="16"/>
                <w:color w:val="4C4C4C"/>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4C4C4C"/>
              </w:rPr>
              <w:t>$1,540,840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1120" w:type="dxa"/>
            <w:vAlign w:val="bottom"/>
          </w:tcPr>
          <w:p>
            <w:pPr>
              <w:ind w:left="240"/>
              <w:spacing w:after="0" w:line="175" w:lineRule="exact"/>
              <w:rPr>
                <w:sz w:val="20"/>
                <w:szCs w:val="20"/>
                <w:color w:val="auto"/>
              </w:rPr>
            </w:pPr>
            <w:r>
              <w:rPr>
                <w:rFonts w:ascii="Arial" w:cs="Arial" w:eastAsia="Arial" w:hAnsi="Arial"/>
                <w:sz w:val="16"/>
                <w:szCs w:val="16"/>
                <w:color w:val="4C4C4C"/>
              </w:rPr>
              <w:t>$1,238,021</w:t>
            </w:r>
          </w:p>
        </w:tc>
        <w:tc>
          <w:tcPr>
            <w:tcW w:w="300" w:type="dxa"/>
            <w:vAlign w:val="bottom"/>
            <w:vMerge w:val="restart"/>
          </w:tcPr>
          <w:p>
            <w:pPr>
              <w:ind w:left="260"/>
              <w:spacing w:after="0"/>
              <w:rPr>
                <w:sz w:val="20"/>
                <w:szCs w:val="20"/>
                <w:color w:val="auto"/>
              </w:rPr>
            </w:pPr>
            <w:r>
              <w:rPr>
                <w:rFonts w:ascii="Arial" w:cs="Arial" w:eastAsia="Arial" w:hAnsi="Arial"/>
                <w:sz w:val="16"/>
                <w:szCs w:val="16"/>
                <w:color w:val="4C4C4C"/>
              </w:rPr>
              <w:t>​</w:t>
            </w:r>
          </w:p>
        </w:tc>
        <w:tc>
          <w:tcPr>
            <w:tcW w:w="920" w:type="dxa"/>
            <w:vAlign w:val="bottom"/>
          </w:tcPr>
          <w:p>
            <w:pPr>
              <w:jc w:val="right"/>
              <w:ind w:right="22"/>
              <w:spacing w:after="0" w:line="175" w:lineRule="exact"/>
              <w:rPr>
                <w:sz w:val="20"/>
                <w:szCs w:val="20"/>
                <w:color w:val="auto"/>
              </w:rPr>
            </w:pPr>
            <w:r>
              <w:rPr>
                <w:rFonts w:ascii="Arial" w:cs="Arial" w:eastAsia="Arial" w:hAnsi="Arial"/>
                <w:sz w:val="16"/>
                <w:szCs w:val="16"/>
                <w:color w:val="4C4C4C"/>
              </w:rPr>
              <w:t>$615,511</w:t>
            </w:r>
          </w:p>
        </w:tc>
        <w:tc>
          <w:tcPr>
            <w:tcW w:w="1120" w:type="dxa"/>
            <w:vAlign w:val="bottom"/>
          </w:tcPr>
          <w:p>
            <w:pPr>
              <w:jc w:val="right"/>
              <w:ind w:right="4"/>
              <w:spacing w:after="0" w:line="175" w:lineRule="exact"/>
              <w:rPr>
                <w:sz w:val="20"/>
                <w:szCs w:val="20"/>
                <w:color w:val="auto"/>
              </w:rPr>
            </w:pPr>
            <w:r>
              <w:rPr>
                <w:rFonts w:ascii="Arial" w:cs="Arial" w:eastAsia="Arial" w:hAnsi="Arial"/>
                <w:sz w:val="16"/>
                <w:szCs w:val="16"/>
                <w:color w:val="4C4C4C"/>
              </w:rPr>
              <w:t>$27.29</w:t>
            </w:r>
          </w:p>
        </w:tc>
        <w:tc>
          <w:tcPr>
            <w:tcW w:w="1500" w:type="dxa"/>
            <w:vAlign w:val="bottom"/>
          </w:tcPr>
          <w:p>
            <w:pPr>
              <w:ind w:left="720"/>
              <w:spacing w:after="0" w:line="175" w:lineRule="exact"/>
              <w:rPr>
                <w:sz w:val="20"/>
                <w:szCs w:val="20"/>
                <w:color w:val="auto"/>
              </w:rPr>
            </w:pPr>
            <w:r>
              <w:rPr>
                <w:rFonts w:ascii="Arial" w:cs="Arial" w:eastAsia="Arial" w:hAnsi="Arial"/>
                <w:sz w:val="16"/>
                <w:szCs w:val="16"/>
                <w:color w:val="4C4C4C"/>
              </w:rPr>
              <w:t>$(66,215)</w:t>
            </w:r>
          </w:p>
        </w:tc>
        <w:tc>
          <w:tcPr>
            <w:tcW w:w="0" w:type="dxa"/>
            <w:vAlign w:val="bottom"/>
          </w:tcPr>
          <w:p>
            <w:pPr>
              <w:spacing w:after="0"/>
              <w:rPr>
                <w:sz w:val="1"/>
                <w:szCs w:val="1"/>
                <w:color w:val="auto"/>
              </w:rPr>
            </w:pPr>
          </w:p>
        </w:tc>
      </w:tr>
      <w:tr>
        <w:trPr>
          <w:trHeight w:val="68"/>
        </w:trPr>
        <w:tc>
          <w:tcPr>
            <w:tcW w:w="600" w:type="dxa"/>
            <w:vAlign w:val="bottom"/>
          </w:tcPr>
          <w:p>
            <w:pPr>
              <w:ind w:left="20"/>
              <w:spacing w:after="0" w:line="68" w:lineRule="exact"/>
              <w:rPr>
                <w:sz w:val="20"/>
                <w:szCs w:val="20"/>
                <w:color w:val="auto"/>
              </w:rPr>
            </w:pPr>
            <w:r>
              <w:rPr>
                <w:rFonts w:ascii="Arial" w:cs="Arial" w:eastAsia="Arial" w:hAnsi="Arial"/>
                <w:sz w:val="7"/>
                <w:szCs w:val="7"/>
                <w:color w:val="4C4C4C"/>
              </w:rPr>
              <w:t>​</w:t>
            </w:r>
          </w:p>
        </w:tc>
        <w:tc>
          <w:tcPr>
            <w:tcW w:w="30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120" w:type="dxa"/>
            <w:vAlign w:val="bottom"/>
          </w:tcPr>
          <w:p>
            <w:pPr>
              <w:ind w:left="220"/>
              <w:spacing w:after="0" w:line="68" w:lineRule="exact"/>
              <w:rPr>
                <w:sz w:val="20"/>
                <w:szCs w:val="20"/>
                <w:color w:val="auto"/>
              </w:rPr>
            </w:pPr>
            <w:r>
              <w:rPr>
                <w:rFonts w:ascii="Arial" w:cs="Arial" w:eastAsia="Arial" w:hAnsi="Arial"/>
                <w:sz w:val="7"/>
                <w:szCs w:val="7"/>
                <w:color w:val="4C4C4C"/>
              </w:rPr>
              <w:t>​</w:t>
            </w:r>
          </w:p>
        </w:tc>
        <w:tc>
          <w:tcPr>
            <w:tcW w:w="3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500" w:type="dxa"/>
            <w:vAlign w:val="bottom"/>
          </w:tcPr>
          <w:p>
            <w:pPr>
              <w:ind w:left="700"/>
              <w:spacing w:after="0" w:line="68" w:lineRule="exact"/>
              <w:rPr>
                <w:sz w:val="20"/>
                <w:szCs w:val="20"/>
                <w:color w:val="auto"/>
              </w:rPr>
            </w:pPr>
            <w:r>
              <w:rPr>
                <w:rFonts w:ascii="Arial" w:cs="Arial" w:eastAsia="Arial" w:hAnsi="Arial"/>
                <w:sz w:val="7"/>
                <w:szCs w:val="7"/>
                <w:color w:val="4C4C4C"/>
              </w:rPr>
              <w:t>​</w:t>
            </w:r>
          </w:p>
        </w:tc>
        <w:tc>
          <w:tcPr>
            <w:tcW w:w="0" w:type="dxa"/>
            <w:vAlign w:val="bottom"/>
          </w:tcPr>
          <w:p>
            <w:pPr>
              <w:spacing w:after="0"/>
              <w:rPr>
                <w:sz w:val="1"/>
                <w:szCs w:val="1"/>
                <w:color w:val="auto"/>
              </w:rPr>
            </w:pPr>
          </w:p>
        </w:tc>
      </w:tr>
      <w:tr>
        <w:trPr>
          <w:trHeight w:val="175"/>
        </w:trPr>
        <w:tc>
          <w:tcPr>
            <w:tcW w:w="600" w:type="dxa"/>
            <w:vAlign w:val="bottom"/>
            <w:shd w:val="clear" w:color="auto" w:fill="E1E7EF"/>
          </w:tcPr>
          <w:p>
            <w:pPr>
              <w:ind w:left="40"/>
              <w:spacing w:after="0" w:line="175" w:lineRule="exact"/>
              <w:rPr>
                <w:sz w:val="20"/>
                <w:szCs w:val="20"/>
                <w:color w:val="auto"/>
              </w:rPr>
            </w:pPr>
            <w:r>
              <w:rPr>
                <w:rFonts w:ascii="Arial" w:cs="Arial" w:eastAsia="Arial" w:hAnsi="Arial"/>
                <w:sz w:val="16"/>
                <w:szCs w:val="16"/>
                <w:color w:val="4C4C4C"/>
              </w:rPr>
              <w:t>2022</w:t>
            </w:r>
          </w:p>
        </w:tc>
        <w:tc>
          <w:tcPr>
            <w:tcW w:w="300" w:type="dxa"/>
            <w:vAlign w:val="bottom"/>
            <w:vMerge w:val="restart"/>
            <w:shd w:val="clear" w:color="auto" w:fill="E1E7EF"/>
          </w:tcPr>
          <w:p>
            <w:pPr>
              <w:ind w:left="200"/>
              <w:spacing w:after="0"/>
              <w:rPr>
                <w:sz w:val="20"/>
                <w:szCs w:val="20"/>
                <w:color w:val="auto"/>
              </w:rPr>
            </w:pPr>
            <w:r>
              <w:rPr>
                <w:rFonts w:ascii="Arial" w:cs="Arial" w:eastAsia="Arial" w:hAnsi="Arial"/>
                <w:sz w:val="16"/>
                <w:szCs w:val="16"/>
                <w:color w:val="4C4C4C"/>
              </w:rPr>
              <w:t>​​</w:t>
            </w:r>
          </w:p>
        </w:tc>
        <w:tc>
          <w:tcPr>
            <w:tcW w:w="1060" w:type="dxa"/>
            <w:vAlign w:val="bottom"/>
            <w:shd w:val="clear" w:color="auto" w:fill="E1E7EF"/>
          </w:tcPr>
          <w:p>
            <w:pPr>
              <w:jc w:val="right"/>
              <w:ind w:right="22"/>
              <w:spacing w:after="0" w:line="175" w:lineRule="exact"/>
              <w:rPr>
                <w:sz w:val="20"/>
                <w:szCs w:val="20"/>
                <w:color w:val="auto"/>
              </w:rPr>
            </w:pPr>
            <w:r>
              <w:rPr>
                <w:rFonts w:ascii="Arial" w:cs="Arial" w:eastAsia="Arial" w:hAnsi="Arial"/>
                <w:sz w:val="16"/>
                <w:szCs w:val="16"/>
                <w:color w:val="4C4C4C"/>
              </w:rPr>
              <w:t>$3,459,754</w:t>
            </w:r>
          </w:p>
        </w:tc>
        <w:tc>
          <w:tcPr>
            <w:tcW w:w="1280" w:type="dxa"/>
            <w:vAlign w:val="bottom"/>
            <w:gridSpan w:val="3"/>
            <w:shd w:val="clear" w:color="auto" w:fill="E1E7EF"/>
          </w:tcPr>
          <w:p>
            <w:pPr>
              <w:jc w:val="right"/>
              <w:ind w:right="48"/>
              <w:spacing w:after="0" w:line="175" w:lineRule="exact"/>
              <w:rPr>
                <w:sz w:val="20"/>
                <w:szCs w:val="20"/>
                <w:color w:val="auto"/>
              </w:rPr>
            </w:pPr>
            <w:r>
              <w:rPr>
                <w:rFonts w:ascii="Arial" w:cs="Arial" w:eastAsia="Arial" w:hAnsi="Arial"/>
                <w:sz w:val="16"/>
                <w:szCs w:val="16"/>
                <w:color w:val="4C4C4C"/>
              </w:rPr>
              <w:t>$(3,182,280)</w:t>
            </w:r>
          </w:p>
        </w:tc>
        <w:tc>
          <w:tcPr>
            <w:tcW w:w="1120" w:type="dxa"/>
            <w:vAlign w:val="bottom"/>
            <w:shd w:val="clear" w:color="auto" w:fill="E1E7EF"/>
          </w:tcPr>
          <w:p>
            <w:pPr>
              <w:ind w:left="240"/>
              <w:spacing w:after="0" w:line="175" w:lineRule="exact"/>
              <w:rPr>
                <w:sz w:val="20"/>
                <w:szCs w:val="20"/>
                <w:color w:val="auto"/>
              </w:rPr>
            </w:pPr>
            <w:r>
              <w:rPr>
                <w:rFonts w:ascii="Arial" w:cs="Arial" w:eastAsia="Arial" w:hAnsi="Arial"/>
                <w:sz w:val="16"/>
                <w:szCs w:val="16"/>
                <w:color w:val="4C4C4C"/>
              </w:rPr>
              <w:t>$1,166,024</w:t>
            </w:r>
          </w:p>
        </w:tc>
        <w:tc>
          <w:tcPr>
            <w:tcW w:w="1220" w:type="dxa"/>
            <w:vAlign w:val="bottom"/>
            <w:gridSpan w:val="2"/>
            <w:shd w:val="clear" w:color="auto" w:fill="E1E7EF"/>
          </w:tcPr>
          <w:p>
            <w:pPr>
              <w:jc w:val="right"/>
              <w:spacing w:after="0" w:line="175" w:lineRule="exact"/>
              <w:rPr>
                <w:sz w:val="20"/>
                <w:szCs w:val="20"/>
                <w:color w:val="auto"/>
              </w:rPr>
            </w:pPr>
            <w:r>
              <w:rPr>
                <w:rFonts w:ascii="Arial" w:cs="Arial" w:eastAsia="Arial" w:hAnsi="Arial"/>
                <w:sz w:val="16"/>
                <w:szCs w:val="16"/>
                <w:color w:val="4C4C4C"/>
              </w:rPr>
              <w:t>$(1,342,507)</w:t>
            </w:r>
          </w:p>
        </w:tc>
        <w:tc>
          <w:tcPr>
            <w:tcW w:w="1120" w:type="dxa"/>
            <w:vAlign w:val="bottom"/>
            <w:shd w:val="clear" w:color="auto" w:fill="E1E7EF"/>
          </w:tcPr>
          <w:p>
            <w:pPr>
              <w:jc w:val="right"/>
              <w:ind w:right="4"/>
              <w:spacing w:after="0" w:line="175" w:lineRule="exact"/>
              <w:rPr>
                <w:sz w:val="20"/>
                <w:szCs w:val="20"/>
                <w:color w:val="auto"/>
              </w:rPr>
            </w:pPr>
            <w:r>
              <w:rPr>
                <w:rFonts w:ascii="Arial" w:cs="Arial" w:eastAsia="Arial" w:hAnsi="Arial"/>
                <w:sz w:val="16"/>
                <w:szCs w:val="16"/>
                <w:color w:val="4C4C4C"/>
              </w:rPr>
              <w:t>$44.71</w:t>
            </w:r>
          </w:p>
        </w:tc>
        <w:tc>
          <w:tcPr>
            <w:tcW w:w="1500" w:type="dxa"/>
            <w:vAlign w:val="bottom"/>
            <w:shd w:val="clear" w:color="auto" w:fill="E1E7EF"/>
          </w:tcPr>
          <w:p>
            <w:pPr>
              <w:ind w:left="720"/>
              <w:spacing w:after="0" w:line="175" w:lineRule="exact"/>
              <w:rPr>
                <w:sz w:val="20"/>
                <w:szCs w:val="20"/>
                <w:color w:val="auto"/>
              </w:rPr>
            </w:pPr>
            <w:r>
              <w:rPr>
                <w:rFonts w:ascii="Arial" w:cs="Arial" w:eastAsia="Arial" w:hAnsi="Arial"/>
                <w:sz w:val="16"/>
                <w:szCs w:val="16"/>
                <w:color w:val="4C4C4C"/>
              </w:rPr>
              <w:t>$(98,007)</w:t>
            </w:r>
          </w:p>
        </w:tc>
        <w:tc>
          <w:tcPr>
            <w:tcW w:w="0" w:type="dxa"/>
            <w:vAlign w:val="bottom"/>
          </w:tcPr>
          <w:p>
            <w:pPr>
              <w:spacing w:after="0"/>
              <w:rPr>
                <w:sz w:val="1"/>
                <w:szCs w:val="1"/>
                <w:color w:val="auto"/>
              </w:rPr>
            </w:pPr>
          </w:p>
        </w:tc>
      </w:tr>
      <w:tr>
        <w:trPr>
          <w:trHeight w:val="68"/>
        </w:trPr>
        <w:tc>
          <w:tcPr>
            <w:tcW w:w="600" w:type="dxa"/>
            <w:vAlign w:val="bottom"/>
            <w:shd w:val="clear" w:color="auto" w:fill="E1E7EF"/>
          </w:tcPr>
          <w:p>
            <w:pPr>
              <w:ind w:left="20"/>
              <w:spacing w:after="0" w:line="68" w:lineRule="exact"/>
              <w:rPr>
                <w:sz w:val="20"/>
                <w:szCs w:val="20"/>
                <w:color w:val="auto"/>
              </w:rPr>
            </w:pPr>
            <w:r>
              <w:rPr>
                <w:rFonts w:ascii="Arial" w:cs="Arial" w:eastAsia="Arial" w:hAnsi="Arial"/>
                <w:sz w:val="7"/>
                <w:szCs w:val="7"/>
                <w:color w:val="4C4C4C"/>
              </w:rPr>
              <w:t>​</w:t>
            </w:r>
          </w:p>
        </w:tc>
        <w:tc>
          <w:tcPr>
            <w:tcW w:w="300" w:type="dxa"/>
            <w:vAlign w:val="bottom"/>
            <w:vMerge w:val="continue"/>
            <w:shd w:val="clear" w:color="auto" w:fill="E1E7EF"/>
          </w:tcPr>
          <w:p>
            <w:pPr>
              <w:spacing w:after="0"/>
              <w:rPr>
                <w:sz w:val="5"/>
                <w:szCs w:val="5"/>
                <w:color w:val="auto"/>
              </w:rPr>
            </w:pPr>
          </w:p>
        </w:tc>
        <w:tc>
          <w:tcPr>
            <w:tcW w:w="1060" w:type="dxa"/>
            <w:vAlign w:val="bottom"/>
            <w:shd w:val="clear" w:color="auto" w:fill="E1E7EF"/>
          </w:tcPr>
          <w:p>
            <w:pPr>
              <w:spacing w:after="0"/>
              <w:rPr>
                <w:sz w:val="5"/>
                <w:szCs w:val="5"/>
                <w:color w:val="auto"/>
              </w:rPr>
            </w:pPr>
          </w:p>
        </w:tc>
        <w:tc>
          <w:tcPr>
            <w:tcW w:w="260" w:type="dxa"/>
            <w:vAlign w:val="bottom"/>
            <w:shd w:val="clear" w:color="auto" w:fill="E1E7EF"/>
          </w:tcPr>
          <w:p>
            <w:pPr>
              <w:ind w:left="200"/>
              <w:spacing w:after="0" w:line="68" w:lineRule="exact"/>
              <w:rPr>
                <w:sz w:val="20"/>
                <w:szCs w:val="20"/>
                <w:color w:val="auto"/>
              </w:rPr>
            </w:pPr>
            <w:r>
              <w:rPr>
                <w:rFonts w:ascii="Arial" w:cs="Arial" w:eastAsia="Arial" w:hAnsi="Arial"/>
                <w:sz w:val="7"/>
                <w:szCs w:val="7"/>
                <w:color w:val="4C4C4C"/>
              </w:rPr>
              <w:t>​</w:t>
            </w:r>
          </w:p>
        </w:tc>
        <w:tc>
          <w:tcPr>
            <w:tcW w:w="860" w:type="dxa"/>
            <w:vAlign w:val="bottom"/>
            <w:shd w:val="clear" w:color="auto" w:fill="E1E7EF"/>
          </w:tcPr>
          <w:p>
            <w:pPr>
              <w:spacing w:after="0"/>
              <w:rPr>
                <w:sz w:val="5"/>
                <w:szCs w:val="5"/>
                <w:color w:val="auto"/>
              </w:rPr>
            </w:pPr>
          </w:p>
        </w:tc>
        <w:tc>
          <w:tcPr>
            <w:tcW w:w="160" w:type="dxa"/>
            <w:vAlign w:val="bottom"/>
            <w:shd w:val="clear" w:color="auto" w:fill="E1E7EF"/>
          </w:tcPr>
          <w:p>
            <w:pPr>
              <w:jc w:val="right"/>
              <w:spacing w:after="0" w:line="68" w:lineRule="exact"/>
              <w:rPr>
                <w:sz w:val="20"/>
                <w:szCs w:val="20"/>
                <w:color w:val="auto"/>
              </w:rPr>
            </w:pPr>
            <w:r>
              <w:rPr>
                <w:rFonts w:ascii="Arial" w:cs="Arial" w:eastAsia="Arial" w:hAnsi="Arial"/>
                <w:sz w:val="7"/>
                <w:szCs w:val="7"/>
                <w:color w:val="4C4C4C"/>
              </w:rPr>
              <w:t>​​</w:t>
            </w:r>
          </w:p>
        </w:tc>
        <w:tc>
          <w:tcPr>
            <w:tcW w:w="1120" w:type="dxa"/>
            <w:vAlign w:val="bottom"/>
            <w:shd w:val="clear" w:color="auto" w:fill="E1E7EF"/>
          </w:tcPr>
          <w:p>
            <w:pPr>
              <w:ind w:left="220"/>
              <w:spacing w:after="0" w:line="68" w:lineRule="exact"/>
              <w:rPr>
                <w:sz w:val="20"/>
                <w:szCs w:val="20"/>
                <w:color w:val="auto"/>
              </w:rPr>
            </w:pPr>
            <w:r>
              <w:rPr>
                <w:rFonts w:ascii="Arial" w:cs="Arial" w:eastAsia="Arial" w:hAnsi="Arial"/>
                <w:sz w:val="7"/>
                <w:szCs w:val="7"/>
                <w:color w:val="4C4C4C"/>
              </w:rPr>
              <w:t>​</w:t>
            </w:r>
          </w:p>
        </w:tc>
        <w:tc>
          <w:tcPr>
            <w:tcW w:w="300" w:type="dxa"/>
            <w:vAlign w:val="bottom"/>
            <w:shd w:val="clear" w:color="auto" w:fill="E1E7EF"/>
          </w:tcPr>
          <w:p>
            <w:pPr>
              <w:ind w:left="260"/>
              <w:spacing w:after="0" w:line="68" w:lineRule="exact"/>
              <w:rPr>
                <w:sz w:val="20"/>
                <w:szCs w:val="20"/>
                <w:color w:val="auto"/>
              </w:rPr>
            </w:pPr>
            <w:r>
              <w:rPr>
                <w:rFonts w:ascii="Arial" w:cs="Arial" w:eastAsia="Arial" w:hAnsi="Arial"/>
                <w:sz w:val="7"/>
                <w:szCs w:val="7"/>
                <w:color w:val="4C4C4C"/>
              </w:rPr>
              <w:t>​</w:t>
            </w:r>
          </w:p>
        </w:tc>
        <w:tc>
          <w:tcPr>
            <w:tcW w:w="920" w:type="dxa"/>
            <w:vAlign w:val="bottom"/>
            <w:shd w:val="clear" w:color="auto" w:fill="E1E7EF"/>
          </w:tcPr>
          <w:p>
            <w:pPr>
              <w:spacing w:after="0"/>
              <w:rPr>
                <w:sz w:val="5"/>
                <w:szCs w:val="5"/>
                <w:color w:val="auto"/>
              </w:rPr>
            </w:pPr>
          </w:p>
        </w:tc>
        <w:tc>
          <w:tcPr>
            <w:tcW w:w="1120" w:type="dxa"/>
            <w:vAlign w:val="bottom"/>
            <w:shd w:val="clear" w:color="auto" w:fill="E1E7EF"/>
          </w:tcPr>
          <w:p>
            <w:pPr>
              <w:spacing w:after="0"/>
              <w:rPr>
                <w:sz w:val="5"/>
                <w:szCs w:val="5"/>
                <w:color w:val="auto"/>
              </w:rPr>
            </w:pPr>
          </w:p>
        </w:tc>
        <w:tc>
          <w:tcPr>
            <w:tcW w:w="1500" w:type="dxa"/>
            <w:vAlign w:val="bottom"/>
            <w:shd w:val="clear" w:color="auto" w:fill="E1E7EF"/>
          </w:tcPr>
          <w:p>
            <w:pPr>
              <w:ind w:left="700"/>
              <w:spacing w:after="0" w:line="68" w:lineRule="exact"/>
              <w:rPr>
                <w:sz w:val="20"/>
                <w:szCs w:val="20"/>
                <w:color w:val="auto"/>
              </w:rPr>
            </w:pPr>
            <w:r>
              <w:rPr>
                <w:rFonts w:ascii="Arial" w:cs="Arial" w:eastAsia="Arial" w:hAnsi="Arial"/>
                <w:sz w:val="7"/>
                <w:szCs w:val="7"/>
                <w:color w:val="4C4C4C"/>
              </w:rPr>
              <w:t>​</w:t>
            </w:r>
          </w:p>
        </w:tc>
        <w:tc>
          <w:tcPr>
            <w:tcW w:w="0" w:type="dxa"/>
            <w:vAlign w:val="bottom"/>
          </w:tcPr>
          <w:p>
            <w:pPr>
              <w:spacing w:after="0"/>
              <w:rPr>
                <w:sz w:val="1"/>
                <w:szCs w:val="1"/>
                <w:color w:val="auto"/>
              </w:rPr>
            </w:pPr>
          </w:p>
        </w:tc>
      </w:tr>
      <w:tr>
        <w:trPr>
          <w:trHeight w:val="176"/>
        </w:trPr>
        <w:tc>
          <w:tcPr>
            <w:tcW w:w="600" w:type="dxa"/>
            <w:vAlign w:val="bottom"/>
          </w:tcPr>
          <w:p>
            <w:pPr>
              <w:ind w:left="40"/>
              <w:spacing w:after="0" w:line="175" w:lineRule="exact"/>
              <w:rPr>
                <w:sz w:val="20"/>
                <w:szCs w:val="20"/>
                <w:color w:val="auto"/>
              </w:rPr>
            </w:pPr>
            <w:r>
              <w:rPr>
                <w:rFonts w:ascii="Arial" w:cs="Arial" w:eastAsia="Arial" w:hAnsi="Arial"/>
                <w:sz w:val="16"/>
                <w:szCs w:val="16"/>
                <w:color w:val="4C4C4C"/>
              </w:rPr>
              <w:t>2021</w:t>
            </w:r>
          </w:p>
        </w:tc>
        <w:tc>
          <w:tcPr>
            <w:tcW w:w="300" w:type="dxa"/>
            <w:vAlign w:val="bottom"/>
            <w:vMerge w:val="restart"/>
          </w:tcPr>
          <w:p>
            <w:pPr>
              <w:ind w:left="200"/>
              <w:spacing w:after="0"/>
              <w:rPr>
                <w:sz w:val="20"/>
                <w:szCs w:val="20"/>
                <w:color w:val="auto"/>
              </w:rPr>
            </w:pPr>
            <w:r>
              <w:rPr>
                <w:rFonts w:ascii="Arial" w:cs="Arial" w:eastAsia="Arial" w:hAnsi="Arial"/>
                <w:sz w:val="16"/>
                <w:szCs w:val="16"/>
                <w:color w:val="4C4C4C"/>
              </w:rPr>
              <w:t>​​</w:t>
            </w:r>
          </w:p>
        </w:tc>
        <w:tc>
          <w:tcPr>
            <w:tcW w:w="1060" w:type="dxa"/>
            <w:vAlign w:val="bottom"/>
          </w:tcPr>
          <w:p>
            <w:pPr>
              <w:jc w:val="right"/>
              <w:ind w:right="22"/>
              <w:spacing w:after="0" w:line="175" w:lineRule="exact"/>
              <w:rPr>
                <w:sz w:val="20"/>
                <w:szCs w:val="20"/>
                <w:color w:val="auto"/>
              </w:rPr>
            </w:pPr>
            <w:r>
              <w:rPr>
                <w:rFonts w:ascii="Arial" w:cs="Arial" w:eastAsia="Arial" w:hAnsi="Arial"/>
                <w:sz w:val="16"/>
                <w:szCs w:val="16"/>
                <w:color w:val="4C4C4C"/>
              </w:rPr>
              <w:t>$11,018,879</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4C4C4C"/>
              </w:rPr>
              <w:t>$11,870,240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4C4C4C"/>
              </w:rPr>
              <w:t>​​</w:t>
            </w:r>
          </w:p>
        </w:tc>
        <w:tc>
          <w:tcPr>
            <w:tcW w:w="1120" w:type="dxa"/>
            <w:vAlign w:val="bottom"/>
          </w:tcPr>
          <w:p>
            <w:pPr>
              <w:ind w:left="240"/>
              <w:spacing w:after="0" w:line="175" w:lineRule="exact"/>
              <w:rPr>
                <w:sz w:val="20"/>
                <w:szCs w:val="20"/>
                <w:color w:val="auto"/>
              </w:rPr>
            </w:pPr>
            <w:r>
              <w:rPr>
                <w:rFonts w:ascii="Arial" w:cs="Arial" w:eastAsia="Arial" w:hAnsi="Arial"/>
                <w:sz w:val="16"/>
                <w:szCs w:val="16"/>
                <w:color w:val="4C4C4C"/>
              </w:rPr>
              <w:t>$4,696,518</w:t>
            </w:r>
          </w:p>
        </w:tc>
        <w:tc>
          <w:tcPr>
            <w:tcW w:w="300" w:type="dxa"/>
            <w:vAlign w:val="bottom"/>
            <w:vMerge w:val="restart"/>
          </w:tcPr>
          <w:p>
            <w:pPr>
              <w:ind w:left="260"/>
              <w:spacing w:after="0"/>
              <w:rPr>
                <w:sz w:val="20"/>
                <w:szCs w:val="20"/>
                <w:color w:val="auto"/>
              </w:rPr>
            </w:pPr>
            <w:r>
              <w:rPr>
                <w:rFonts w:ascii="Arial" w:cs="Arial" w:eastAsia="Arial" w:hAnsi="Arial"/>
                <w:sz w:val="16"/>
                <w:szCs w:val="16"/>
                <w:color w:val="4C4C4C"/>
              </w:rPr>
              <w:t>​</w:t>
            </w:r>
          </w:p>
        </w:tc>
        <w:tc>
          <w:tcPr>
            <w:tcW w:w="920" w:type="dxa"/>
            <w:vAlign w:val="bottom"/>
          </w:tcPr>
          <w:p>
            <w:pPr>
              <w:jc w:val="right"/>
              <w:ind w:right="22"/>
              <w:spacing w:after="0" w:line="175" w:lineRule="exact"/>
              <w:rPr>
                <w:sz w:val="20"/>
                <w:szCs w:val="20"/>
                <w:color w:val="auto"/>
              </w:rPr>
            </w:pPr>
            <w:r>
              <w:rPr>
                <w:rFonts w:ascii="Arial" w:cs="Arial" w:eastAsia="Arial" w:hAnsi="Arial"/>
                <w:sz w:val="16"/>
                <w:szCs w:val="16"/>
                <w:color w:val="4C4C4C"/>
                <w:w w:val="99"/>
              </w:rPr>
              <w:t>$4,650,892</w:t>
            </w:r>
          </w:p>
        </w:tc>
        <w:tc>
          <w:tcPr>
            <w:tcW w:w="1120" w:type="dxa"/>
            <w:vAlign w:val="bottom"/>
          </w:tcPr>
          <w:p>
            <w:pPr>
              <w:jc w:val="right"/>
              <w:ind w:right="4"/>
              <w:spacing w:after="0" w:line="175" w:lineRule="exact"/>
              <w:rPr>
                <w:sz w:val="20"/>
                <w:szCs w:val="20"/>
                <w:color w:val="auto"/>
              </w:rPr>
            </w:pPr>
            <w:r>
              <w:rPr>
                <w:rFonts w:ascii="Arial" w:cs="Arial" w:eastAsia="Arial" w:hAnsi="Arial"/>
                <w:sz w:val="16"/>
                <w:szCs w:val="16"/>
                <w:color w:val="4C4C4C"/>
              </w:rPr>
              <w:t>$100.71</w:t>
            </w:r>
          </w:p>
        </w:tc>
        <w:tc>
          <w:tcPr>
            <w:tcW w:w="1500" w:type="dxa"/>
            <w:vAlign w:val="bottom"/>
          </w:tcPr>
          <w:p>
            <w:pPr>
              <w:ind w:left="720"/>
              <w:spacing w:after="0" w:line="175" w:lineRule="exact"/>
              <w:rPr>
                <w:sz w:val="20"/>
                <w:szCs w:val="20"/>
                <w:color w:val="auto"/>
              </w:rPr>
            </w:pPr>
            <w:r>
              <w:rPr>
                <w:rFonts w:ascii="Arial" w:cs="Arial" w:eastAsia="Arial" w:hAnsi="Arial"/>
                <w:sz w:val="16"/>
                <w:szCs w:val="16"/>
                <w:color w:val="4C4C4C"/>
              </w:rPr>
              <w:t>$(59,203)</w:t>
            </w:r>
          </w:p>
        </w:tc>
        <w:tc>
          <w:tcPr>
            <w:tcW w:w="0" w:type="dxa"/>
            <w:vAlign w:val="bottom"/>
          </w:tcPr>
          <w:p>
            <w:pPr>
              <w:spacing w:after="0"/>
              <w:rPr>
                <w:sz w:val="1"/>
                <w:szCs w:val="1"/>
                <w:color w:val="auto"/>
              </w:rPr>
            </w:pPr>
          </w:p>
        </w:tc>
      </w:tr>
      <w:tr>
        <w:trPr>
          <w:trHeight w:val="194"/>
        </w:trPr>
        <w:tc>
          <w:tcPr>
            <w:tcW w:w="600" w:type="dxa"/>
            <w:vAlign w:val="bottom"/>
          </w:tcPr>
          <w:p>
            <w:pPr>
              <w:ind w:left="20"/>
              <w:spacing w:after="0"/>
              <w:rPr>
                <w:sz w:val="20"/>
                <w:szCs w:val="20"/>
                <w:color w:val="auto"/>
              </w:rPr>
            </w:pPr>
            <w:r>
              <w:rPr>
                <w:rFonts w:ascii="Arial" w:cs="Arial" w:eastAsia="Arial" w:hAnsi="Arial"/>
                <w:sz w:val="16"/>
                <w:szCs w:val="16"/>
                <w:color w:val="4C4C4C"/>
              </w:rPr>
              <w:t>​</w:t>
            </w:r>
          </w:p>
        </w:tc>
        <w:tc>
          <w:tcPr>
            <w:tcW w:w="30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ind w:left="200"/>
              <w:spacing w:after="0"/>
              <w:rPr>
                <w:sz w:val="20"/>
                <w:szCs w:val="20"/>
                <w:color w:val="auto"/>
              </w:rPr>
            </w:pPr>
            <w:r>
              <w:rPr>
                <w:rFonts w:ascii="Arial" w:cs="Arial" w:eastAsia="Arial" w:hAnsi="Arial"/>
                <w:sz w:val="16"/>
                <w:szCs w:val="16"/>
                <w:color w:val="4C4C4C"/>
              </w:rPr>
              <w:t>​</w:t>
            </w:r>
          </w:p>
        </w:tc>
        <w:tc>
          <w:tcPr>
            <w:tcW w:w="86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120" w:type="dxa"/>
            <w:vAlign w:val="bottom"/>
          </w:tcPr>
          <w:p>
            <w:pPr>
              <w:ind w:left="220"/>
              <w:spacing w:after="0"/>
              <w:rPr>
                <w:sz w:val="20"/>
                <w:szCs w:val="20"/>
                <w:color w:val="auto"/>
              </w:rPr>
            </w:pPr>
            <w:r>
              <w:rPr>
                <w:rFonts w:ascii="Arial" w:cs="Arial" w:eastAsia="Arial" w:hAnsi="Arial"/>
                <w:sz w:val="16"/>
                <w:szCs w:val="16"/>
                <w:color w:val="4C4C4C"/>
              </w:rPr>
              <w:t>​</w:t>
            </w:r>
          </w:p>
        </w:tc>
        <w:tc>
          <w:tcPr>
            <w:tcW w:w="30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ind w:left="700"/>
              <w:spacing w:after="0"/>
              <w:rPr>
                <w:sz w:val="20"/>
                <w:szCs w:val="20"/>
                <w:color w:val="auto"/>
              </w:rPr>
            </w:pPr>
            <w:r>
              <w:rPr>
                <w:rFonts w:ascii="Arial" w:cs="Arial" w:eastAsia="Arial" w:hAnsi="Arial"/>
                <w:sz w:val="16"/>
                <w:szCs w:val="16"/>
                <w:color w:val="4C4C4C"/>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39370</wp:posOffset>
            </wp:positionV>
            <wp:extent cx="14312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13" w:lineRule="exact"/>
        <w:rPr>
          <w:sz w:val="20"/>
          <w:szCs w:val="20"/>
          <w:color w:val="auto"/>
        </w:rPr>
      </w:pPr>
    </w:p>
    <w:p>
      <w:pPr>
        <w:ind w:left="1620" w:right="479" w:hanging="360"/>
        <w:spacing w:after="0" w:line="246" w:lineRule="auto"/>
        <w:tabs>
          <w:tab w:leader="none" w:pos="1620" w:val="left"/>
        </w:tabs>
        <w:numPr>
          <w:ilvl w:val="0"/>
          <w:numId w:val="88"/>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The PEO for 2025, 2024, 2023, 2022 and 2021 is Mr. Gruber. The Non-PEO NEOs for whom the average compensation is presented in this table for 2022 and 2021 are Messrs. Smull, Ryan, and Bloom and Timothy J. Cesarek, our former Chief Commercial Officer. The Non-PEO NEOs for whom the average compensation is presented in this table for 2023 are Messrs. Smull, Ryan, Cesarek and Bloom and Kimberly T. Bowron, our Chief of Staff. The Non-PEO NEOs for whom the average compensation is presented in this table for 2024 are Messrs. Smull, Ryan, Bloom and Shafer. The Non-PEO NEOs for whom the average compensation is presented in this table for 2025 are Messrs. Agiri, Ryan, Bloom, Shafer and Smull.</w:t>
      </w:r>
    </w:p>
    <w:p>
      <w:pPr>
        <w:spacing w:after="0" w:line="95" w:lineRule="exact"/>
        <w:rPr>
          <w:rFonts w:ascii="Trebuchet MS" w:cs="Trebuchet MS" w:eastAsia="Trebuchet MS" w:hAnsi="Trebuchet MS"/>
          <w:sz w:val="27"/>
          <w:szCs w:val="27"/>
          <w:color w:val="4C4C4C"/>
          <w:vertAlign w:val="superscript"/>
        </w:rPr>
      </w:pPr>
    </w:p>
    <w:p>
      <w:pPr>
        <w:ind w:left="1620" w:right="579" w:hanging="360"/>
        <w:spacing w:after="0" w:line="221" w:lineRule="auto"/>
        <w:tabs>
          <w:tab w:leader="none" w:pos="1620" w:val="left"/>
        </w:tabs>
        <w:numPr>
          <w:ilvl w:val="0"/>
          <w:numId w:val="88"/>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Compensation Actually Paid reflects the exclusions and inclusions of certain amounts for the PEO and the Non-PEO NEOs as set forth below. Equity values are calculated in accordance with FASB ASC Topic 718, and the valuation assumptions used to calculate fair values did not materially differ from those disclosed at the time of grant.</w:t>
      </w:r>
    </w:p>
    <w:p>
      <w:pPr>
        <w:sectPr>
          <w:pgSz w:w="11900" w:h="16838" w:orient="portrait"/>
          <w:cols w:equalWidth="0" w:num="1">
            <w:col w:w="9879"/>
          </w:cols>
          <w:pgMar w:left="580" w:top="97" w:right="1440" w:bottom="1440" w:gutter="0" w:footer="0" w:header="0"/>
        </w:sectPr>
      </w:pPr>
    </w:p>
    <w:p>
      <w:pPr>
        <w:spacing w:after="0" w:line="385"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COMPENSATION TABLES</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346094"/>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69215</wp:posOffset>
            </wp:positionV>
            <wp:extent cx="5212080" cy="291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spacing w:after="0" w:line="126"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FFFFFF"/>
        </w:rPr>
        <w:t>PEO</w:t>
      </w:r>
    </w:p>
    <w:p>
      <w:pPr>
        <w:spacing w:after="0" w:line="6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FFFFFF"/>
        </w:rPr>
        <w:t>Fiscal Year</w:t>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16"/>
          <w:szCs w:val="16"/>
          <w:color w:val="4C4C4C"/>
        </w:rPr>
        <w:t>Summary Compensation Table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22860</wp:posOffset>
            </wp:positionV>
            <wp:extent cx="521208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16"/>
          <w:szCs w:val="16"/>
          <w:color w:val="4C4C4C"/>
        </w:rPr>
        <w:t>Minus: Grant Date Fair Value of Options Awards and Stock Awards Granted in Fiscal Year</w:t>
      </w:r>
    </w:p>
    <w:p>
      <w:pPr>
        <w:spacing w:after="0" w:line="97" w:lineRule="exact"/>
        <w:rPr>
          <w:sz w:val="20"/>
          <w:szCs w:val="20"/>
          <w:color w:val="auto"/>
        </w:rPr>
      </w:pPr>
    </w:p>
    <w:p>
      <w:pPr>
        <w:ind w:left="1480" w:right="580" w:hanging="161"/>
        <w:spacing w:after="0" w:line="259" w:lineRule="auto"/>
        <w:rPr>
          <w:sz w:val="20"/>
          <w:szCs w:val="20"/>
          <w:color w:val="auto"/>
        </w:rPr>
      </w:pPr>
      <w:r>
        <w:rPr>
          <w:rFonts w:ascii="Arial" w:cs="Arial" w:eastAsia="Arial" w:hAnsi="Arial"/>
          <w:sz w:val="16"/>
          <w:szCs w:val="16"/>
          <w:color w:val="4C4C4C"/>
        </w:rPr>
        <w:t>Plus: Fair Value at Fiscal Year-End of Outstanding and Unvested Option Awards and Stock Awards Granted in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91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spacing w:after="0" w:line="42" w:lineRule="exact"/>
        <w:rPr>
          <w:sz w:val="20"/>
          <w:szCs w:val="20"/>
          <w:color w:val="auto"/>
        </w:rPr>
      </w:pPr>
    </w:p>
    <w:p>
      <w:pPr>
        <w:ind w:left="1480" w:right="320" w:hanging="161"/>
        <w:spacing w:after="0" w:line="259" w:lineRule="auto"/>
        <w:rPr>
          <w:sz w:val="20"/>
          <w:szCs w:val="20"/>
          <w:color w:val="auto"/>
        </w:rPr>
      </w:pPr>
      <w:r>
        <w:rPr>
          <w:rFonts w:ascii="Arial" w:cs="Arial" w:eastAsia="Arial" w:hAnsi="Arial"/>
          <w:sz w:val="16"/>
          <w:szCs w:val="16"/>
          <w:color w:val="4C4C4C"/>
        </w:rPr>
        <w:t>Plus: Change in Fair Value as of Fiscal Year-End of Outstanding and Unvested Options Awards and Stock Awards Granted in Prior Fiscal Years</w:t>
      </w:r>
    </w:p>
    <w:p>
      <w:pPr>
        <w:spacing w:after="0" w:line="62" w:lineRule="exact"/>
        <w:rPr>
          <w:sz w:val="20"/>
          <w:szCs w:val="20"/>
          <w:color w:val="auto"/>
        </w:rPr>
      </w:pPr>
    </w:p>
    <w:p>
      <w:pPr>
        <w:ind w:left="1480" w:right="540" w:hanging="161"/>
        <w:spacing w:after="0" w:line="259" w:lineRule="auto"/>
        <w:rPr>
          <w:sz w:val="20"/>
          <w:szCs w:val="20"/>
          <w:color w:val="auto"/>
        </w:rPr>
      </w:pPr>
      <w:r>
        <w:rPr>
          <w:rFonts w:ascii="Arial" w:cs="Arial" w:eastAsia="Arial" w:hAnsi="Arial"/>
          <w:sz w:val="16"/>
          <w:szCs w:val="16"/>
          <w:color w:val="4C4C4C"/>
        </w:rPr>
        <w:t>Plus: Fair Value at Vesting of Option Awards and Stock Awards Granted in Fiscal Year That Vested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91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spacing w:after="0" w:line="42" w:lineRule="exact"/>
        <w:rPr>
          <w:sz w:val="20"/>
          <w:szCs w:val="20"/>
          <w:color w:val="auto"/>
        </w:rPr>
      </w:pPr>
    </w:p>
    <w:p>
      <w:pPr>
        <w:ind w:left="1480" w:right="300" w:hanging="161"/>
        <w:spacing w:after="0" w:line="293" w:lineRule="auto"/>
        <w:rPr>
          <w:sz w:val="20"/>
          <w:szCs w:val="20"/>
          <w:color w:val="auto"/>
        </w:rPr>
      </w:pPr>
      <w:r>
        <w:rPr>
          <w:rFonts w:ascii="Arial" w:cs="Arial" w:eastAsia="Arial" w:hAnsi="Arial"/>
          <w:sz w:val="15"/>
          <w:szCs w:val="15"/>
          <w:color w:val="4C4C4C"/>
        </w:rPr>
        <w:t>Plus: Change in Fair Value as of Vesting Date of Option Awards and Stock Awards Granted in Prior Fiscal Years for Which Applicable Vesting Conditions Were Satisfied During Fiscal Year</w:t>
      </w:r>
    </w:p>
    <w:p>
      <w:pPr>
        <w:spacing w:after="0" w:line="27" w:lineRule="exact"/>
        <w:rPr>
          <w:sz w:val="20"/>
          <w:szCs w:val="20"/>
          <w:color w:val="auto"/>
        </w:rPr>
      </w:pPr>
    </w:p>
    <w:p>
      <w:pPr>
        <w:ind w:left="1480" w:right="440" w:hanging="161"/>
        <w:spacing w:after="0" w:line="286" w:lineRule="auto"/>
        <w:rPr>
          <w:sz w:val="20"/>
          <w:szCs w:val="20"/>
          <w:color w:val="auto"/>
        </w:rPr>
      </w:pPr>
      <w:r>
        <w:rPr>
          <w:rFonts w:ascii="Arial" w:cs="Arial" w:eastAsia="Arial" w:hAnsi="Arial"/>
          <w:sz w:val="16"/>
          <w:szCs w:val="16"/>
          <w:color w:val="4C4C4C"/>
        </w:rPr>
        <w:t>Minus: Fair Value as of Prior Fiscal Year-End of Option Awards and Stock Awards Granted in Prior Fiscal Years That Failed to Meet Applicable Vesting Conditions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320"/>
        <w:spacing w:after="0"/>
        <w:rPr>
          <w:sz w:val="20"/>
          <w:szCs w:val="20"/>
          <w:color w:val="auto"/>
        </w:rPr>
      </w:pPr>
      <w:r>
        <w:rPr>
          <w:rFonts w:ascii="Trebuchet MS" w:cs="Trebuchet MS" w:eastAsia="Trebuchet MS" w:hAnsi="Trebuchet MS"/>
          <w:sz w:val="16"/>
          <w:szCs w:val="16"/>
          <w:b w:val="1"/>
          <w:bCs w:val="1"/>
          <w:color w:val="4C4C4C"/>
        </w:rPr>
        <w:t>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128270</wp:posOffset>
            </wp:positionV>
            <wp:extent cx="5212080" cy="291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spacing w:after="0" w:line="218"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FFFFFF"/>
        </w:rPr>
        <w:t>Non-PEO NEOs</w:t>
      </w:r>
    </w:p>
    <w:p>
      <w:pPr>
        <w:spacing w:after="0" w:line="6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FFFFFF"/>
        </w:rPr>
        <w:t>Fiscal Year</w:t>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16"/>
          <w:szCs w:val="16"/>
          <w:color w:val="4C4C4C"/>
        </w:rPr>
        <w:t>Average Summary Compensation Table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22860</wp:posOffset>
            </wp:positionV>
            <wp:extent cx="521208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16"/>
          <w:szCs w:val="16"/>
          <w:color w:val="4C4C4C"/>
        </w:rPr>
        <w:t>Minus: Grant Date Fair Value of Options Awards and Stock Awards Granted in Fiscal Year</w:t>
      </w:r>
    </w:p>
    <w:p>
      <w:pPr>
        <w:spacing w:after="0" w:line="97" w:lineRule="exact"/>
        <w:rPr>
          <w:sz w:val="20"/>
          <w:szCs w:val="20"/>
          <w:color w:val="auto"/>
        </w:rPr>
      </w:pPr>
    </w:p>
    <w:p>
      <w:pPr>
        <w:ind w:left="1480" w:right="20" w:hanging="161"/>
        <w:spacing w:after="0" w:line="277" w:lineRule="auto"/>
        <w:rPr>
          <w:sz w:val="20"/>
          <w:szCs w:val="20"/>
          <w:color w:val="auto"/>
        </w:rPr>
      </w:pPr>
      <w:r>
        <w:rPr>
          <w:rFonts w:ascii="Arial" w:cs="Arial" w:eastAsia="Arial" w:hAnsi="Arial"/>
          <w:sz w:val="16"/>
          <w:szCs w:val="16"/>
          <w:color w:val="4C4C4C"/>
        </w:rPr>
        <w:t>Plus: Fair Value at Fiscal Year-End of Outstanding and Unvested Option Awards and Stock Awards Granted in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-9525</wp:posOffset>
            </wp:positionV>
            <wp:extent cx="5212080" cy="291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spacing w:after="0" w:line="14" w:lineRule="exact"/>
        <w:rPr>
          <w:sz w:val="20"/>
          <w:szCs w:val="20"/>
          <w:color w:val="auto"/>
        </w:rPr>
      </w:pPr>
    </w:p>
    <w:p>
      <w:pPr>
        <w:ind w:left="1480" w:hanging="161"/>
        <w:spacing w:after="0" w:line="277" w:lineRule="auto"/>
        <w:rPr>
          <w:sz w:val="20"/>
          <w:szCs w:val="20"/>
          <w:color w:val="auto"/>
        </w:rPr>
      </w:pPr>
      <w:r>
        <w:rPr>
          <w:rFonts w:ascii="Arial" w:cs="Arial" w:eastAsia="Arial" w:hAnsi="Arial"/>
          <w:sz w:val="16"/>
          <w:szCs w:val="16"/>
          <w:color w:val="4C4C4C"/>
        </w:rPr>
        <w:t>Plus: Change in Fair Value as of Fiscal Year-End of Outstanding and Unvested Options Awards and Stock Awards Granted in Prior Fiscal Years</w:t>
      </w:r>
    </w:p>
    <w:p>
      <w:pPr>
        <w:spacing w:after="0" w:line="34" w:lineRule="exact"/>
        <w:rPr>
          <w:sz w:val="20"/>
          <w:szCs w:val="20"/>
          <w:color w:val="auto"/>
        </w:rPr>
      </w:pPr>
    </w:p>
    <w:p>
      <w:pPr>
        <w:ind w:left="1480" w:hanging="161"/>
        <w:spacing w:after="0" w:line="277" w:lineRule="auto"/>
        <w:rPr>
          <w:sz w:val="20"/>
          <w:szCs w:val="20"/>
          <w:color w:val="auto"/>
        </w:rPr>
      </w:pPr>
      <w:r>
        <w:rPr>
          <w:rFonts w:ascii="Arial" w:cs="Arial" w:eastAsia="Arial" w:hAnsi="Arial"/>
          <w:sz w:val="16"/>
          <w:szCs w:val="16"/>
          <w:color w:val="4C4C4C"/>
        </w:rPr>
        <w:t>Plus: Fair Value at Vesting of Option Awards and Stock Awards Granted in Fiscal Year That Vested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-9525</wp:posOffset>
            </wp:positionV>
            <wp:extent cx="5212080" cy="291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spacing w:after="0" w:line="14" w:lineRule="exact"/>
        <w:rPr>
          <w:sz w:val="20"/>
          <w:szCs w:val="20"/>
          <w:color w:val="auto"/>
        </w:rPr>
      </w:pPr>
    </w:p>
    <w:p>
      <w:pPr>
        <w:ind w:left="1480" w:hanging="161"/>
        <w:spacing w:after="0" w:line="277" w:lineRule="auto"/>
        <w:rPr>
          <w:sz w:val="20"/>
          <w:szCs w:val="20"/>
          <w:color w:val="auto"/>
        </w:rPr>
      </w:pPr>
      <w:r>
        <w:rPr>
          <w:rFonts w:ascii="Arial" w:cs="Arial" w:eastAsia="Arial" w:hAnsi="Arial"/>
          <w:sz w:val="16"/>
          <w:szCs w:val="16"/>
          <w:color w:val="4C4C4C"/>
        </w:rPr>
        <w:t>Plus: Change in Fair Value as of Vesting Date of Option Awards and Stock Awards Granted in Prior Fiscal Years for Which Applicable Vesting Conditions Were Satisfied During Fiscal Year</w:t>
      </w:r>
    </w:p>
    <w:p>
      <w:pPr>
        <w:spacing w:after="0" w:line="24" w:lineRule="exact"/>
        <w:rPr>
          <w:sz w:val="20"/>
          <w:szCs w:val="20"/>
          <w:color w:val="auto"/>
        </w:rPr>
      </w:pPr>
    </w:p>
    <w:p>
      <w:pPr>
        <w:ind w:left="1480" w:right="40" w:hanging="161"/>
        <w:spacing w:after="0" w:line="293" w:lineRule="auto"/>
        <w:rPr>
          <w:sz w:val="20"/>
          <w:szCs w:val="20"/>
          <w:color w:val="auto"/>
        </w:rPr>
      </w:pPr>
      <w:r>
        <w:rPr>
          <w:rFonts w:ascii="Arial" w:cs="Arial" w:eastAsia="Arial" w:hAnsi="Arial"/>
          <w:sz w:val="16"/>
          <w:szCs w:val="16"/>
          <w:color w:val="4C4C4C"/>
        </w:rPr>
        <w:t>Minus: Fair Value as of Prior Fiscal Year-End of Option Awards and Stock Awards Granted in Prior Fiscal Years That Failed to Meet Applicable Vesting Conditions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-18415</wp:posOffset>
            </wp:positionV>
            <wp:extent cx="521208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320"/>
        <w:spacing w:after="0"/>
        <w:rPr>
          <w:sz w:val="20"/>
          <w:szCs w:val="20"/>
          <w:color w:val="auto"/>
        </w:rPr>
      </w:pPr>
      <w:r>
        <w:rPr>
          <w:rFonts w:ascii="Trebuchet MS" w:cs="Trebuchet MS" w:eastAsia="Trebuchet MS" w:hAnsi="Trebuchet MS"/>
          <w:sz w:val="16"/>
          <w:szCs w:val="16"/>
          <w:b w:val="1"/>
          <w:bCs w:val="1"/>
          <w:color w:val="4C4C4C"/>
        </w:rPr>
        <w:t>Average Compensation Actually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FFFFFF"/>
        </w:rPr>
        <w:t>​</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2025</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4C4C4C"/>
        </w:rPr>
        <w:t>​ $3,471,908 ​</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4C4C4C"/>
        </w:rPr>
        <w:t>​$(2,001,501)​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4C4C4C"/>
        </w:rPr>
        <w:t>​ $3,434,823 ​</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4C4C4C"/>
        </w:rPr>
        <w:t>​  $(400,772)​</w:t>
      </w:r>
    </w:p>
    <w:p>
      <w:pPr>
        <w:spacing w:after="0" w:line="275"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color w:val="4C4C4C"/>
        </w:rPr>
        <w:t>​</w:t>
      </w:r>
      <w:r>
        <w:rPr>
          <w:sz w:val="20"/>
          <w:szCs w:val="20"/>
          <w:color w:val="auto"/>
        </w:rPr>
        <w:tab/>
      </w:r>
      <w:r>
        <w:rPr>
          <w:rFonts w:ascii="Arial" w:cs="Arial" w:eastAsia="Arial" w:hAnsi="Arial"/>
          <w:sz w:val="15"/>
          <w:szCs w:val="15"/>
          <w:color w:val="4C4C4C"/>
        </w:rPr>
        <w:t>$— ​</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4C4C4C"/>
        </w:rPr>
        <w:t>​$(1,481,181)​</w:t>
      </w:r>
    </w:p>
    <w:p>
      <w:pPr>
        <w:spacing w:after="0" w:line="275"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color w:val="4C4C4C"/>
        </w:rPr>
        <w:t>​</w:t>
      </w:r>
      <w:r>
        <w:rPr>
          <w:sz w:val="20"/>
          <w:szCs w:val="20"/>
          <w:color w:val="auto"/>
        </w:rPr>
        <w:tab/>
      </w:r>
      <w:r>
        <w:rPr>
          <w:rFonts w:ascii="Arial" w:cs="Arial" w:eastAsia="Arial" w:hAnsi="Arial"/>
          <w:sz w:val="15"/>
          <w:szCs w:val="15"/>
          <w:color w:val="4C4C4C"/>
        </w:rPr>
        <w:t>$— ​</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4C4C4C"/>
        </w:rPr>
        <w:t>​ $3,023,277 ​</w:t>
      </w:r>
    </w:p>
    <w:p>
      <w:pPr>
        <w:spacing w:after="0" w:line="26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FFFFFF"/>
        </w:rPr>
        <w:t>​</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FFFFFF"/>
        </w:rPr>
        <w:t>2025</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6"/>
          <w:szCs w:val="16"/>
          <w:color w:val="4C4C4C"/>
        </w:rPr>
        <w:t>​$1,421,376 ​</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4C4C4C"/>
        </w:rPr>
        <w:t>​ $(616,082)​</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color w:val="4C4C4C"/>
        </w:rPr>
        <w:t>​$1,050,000 ​</w:t>
      </w:r>
    </w:p>
    <w:p>
      <w:pPr>
        <w:spacing w:after="0" w:line="275"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6"/>
          <w:szCs w:val="16"/>
          <w:color w:val="4C4C4C"/>
        </w:rPr>
        <w:t>​</w:t>
        <w:tab/>
        <w:t>$(98,135)​</w:t>
      </w:r>
    </w:p>
    <w:p>
      <w:pPr>
        <w:spacing w:after="0" w:line="275"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5"/>
          <w:szCs w:val="15"/>
          <w:color w:val="4C4C4C"/>
        </w:rPr>
        <w:t>​</w:t>
      </w:r>
      <w:r>
        <w:rPr>
          <w:sz w:val="20"/>
          <w:szCs w:val="20"/>
          <w:color w:val="auto"/>
        </w:rPr>
        <w:tab/>
      </w:r>
      <w:r>
        <w:rPr>
          <w:rFonts w:ascii="Arial" w:cs="Arial" w:eastAsia="Arial" w:hAnsi="Arial"/>
          <w:sz w:val="15"/>
          <w:szCs w:val="15"/>
          <w:color w:val="4C4C4C"/>
        </w:rPr>
        <w:t>$— ​</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16"/>
          <w:szCs w:val="16"/>
          <w:color w:val="4C4C4C"/>
        </w:rPr>
        <w:t>​ $(359,524)​</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40" w:type="dxa"/>
            <w:vAlign w:val="bottom"/>
          </w:tcPr>
          <w:p>
            <w:pPr>
              <w:spacing w:after="0"/>
              <w:rPr>
                <w:sz w:val="20"/>
                <w:szCs w:val="20"/>
                <w:color w:val="auto"/>
              </w:rPr>
            </w:pPr>
            <w:r>
              <w:rPr>
                <w:rFonts w:ascii="Arial" w:cs="Arial" w:eastAsia="Arial" w:hAnsi="Arial"/>
                <w:sz w:val="16"/>
                <w:szCs w:val="16"/>
                <w:color w:val="4C4C4C"/>
              </w:rPr>
              <w:t>​</w:t>
            </w:r>
          </w:p>
        </w:tc>
        <w:tc>
          <w:tcPr>
            <w:tcW w:w="500" w:type="dxa"/>
            <w:vAlign w:val="bottom"/>
          </w:tcPr>
          <w:p>
            <w:pPr>
              <w:jc w:val="right"/>
              <w:spacing w:after="0"/>
              <w:rPr>
                <w:sz w:val="20"/>
                <w:szCs w:val="20"/>
                <w:color w:val="auto"/>
              </w:rPr>
            </w:pPr>
            <w:r>
              <w:rPr>
                <w:rFonts w:ascii="Arial" w:cs="Arial" w:eastAsia="Arial" w:hAnsi="Arial"/>
                <w:sz w:val="16"/>
                <w:szCs w:val="16"/>
                <w:color w:val="4C4C4C"/>
              </w:rPr>
              <w:t>$—</w:t>
            </w:r>
          </w:p>
        </w:tc>
        <w:tc>
          <w:tcPr>
            <w:tcW w:w="60" w:type="dxa"/>
            <w:vAlign w:val="bottom"/>
          </w:tcPr>
          <w:p>
            <w:pPr>
              <w:ind w:left="20"/>
              <w:spacing w:after="0"/>
              <w:rPr>
                <w:sz w:val="20"/>
                <w:szCs w:val="20"/>
                <w:color w:val="auto"/>
              </w:rPr>
            </w:pPr>
            <w:r>
              <w:rPr>
                <w:rFonts w:ascii="Arial" w:cs="Arial" w:eastAsia="Arial" w:hAnsi="Arial"/>
                <w:sz w:val="16"/>
                <w:szCs w:val="16"/>
                <w:color w:val="4C4C4C"/>
              </w:rPr>
              <w:t>​</w:t>
            </w:r>
          </w:p>
        </w:tc>
      </w:tr>
      <w:tr>
        <w:trPr>
          <w:trHeight w:val="243"/>
        </w:trPr>
        <w:tc>
          <w:tcPr>
            <w:tcW w:w="840" w:type="dxa"/>
            <w:vAlign w:val="bottom"/>
            <w:gridSpan w:val="2"/>
          </w:tcPr>
          <w:p>
            <w:pPr>
              <w:jc w:val="right"/>
              <w:spacing w:after="0"/>
              <w:rPr>
                <w:sz w:val="20"/>
                <w:szCs w:val="20"/>
                <w:color w:val="auto"/>
              </w:rPr>
            </w:pPr>
            <w:r>
              <w:rPr>
                <w:rFonts w:ascii="Arial" w:cs="Arial" w:eastAsia="Arial" w:hAnsi="Arial"/>
                <w:sz w:val="16"/>
                <w:szCs w:val="16"/>
                <w:color w:val="4C4C4C"/>
                <w:w w:val="99"/>
              </w:rPr>
              <w:t>​$1,397,635</w:t>
            </w:r>
          </w:p>
        </w:tc>
        <w:tc>
          <w:tcPr>
            <w:tcW w:w="60" w:type="dxa"/>
            <w:vAlign w:val="bottom"/>
          </w:tcPr>
          <w:p>
            <w:pPr>
              <w:ind w:left="20"/>
              <w:spacing w:after="0"/>
              <w:rPr>
                <w:sz w:val="20"/>
                <w:szCs w:val="20"/>
                <w:color w:val="auto"/>
              </w:rPr>
            </w:pPr>
            <w:r>
              <w:rPr>
                <w:rFonts w:ascii="Arial" w:cs="Arial" w:eastAsia="Arial" w:hAnsi="Arial"/>
                <w:sz w:val="16"/>
                <w:szCs w:val="16"/>
                <w:color w:val="4C4C4C"/>
              </w:rPr>
              <w:t>​</w:t>
            </w:r>
          </w:p>
        </w:tc>
      </w:tr>
    </w:tbl>
    <w:p>
      <w:pPr>
        <w:spacing w:after="0" w:line="200" w:lineRule="exact"/>
        <w:rPr>
          <w:sz w:val="20"/>
          <w:szCs w:val="20"/>
          <w:color w:val="auto"/>
        </w:rPr>
      </w:pPr>
    </w:p>
    <w:p>
      <w:pPr>
        <w:sectPr>
          <w:pgSz w:w="11900" w:h="16838" w:orient="portrait"/>
          <w:cols w:equalWidth="0" w:num="2">
            <w:col w:w="8360" w:space="160"/>
            <w:col w:w="1359"/>
          </w:cols>
          <w:pgMar w:left="580" w:top="97" w:right="1440" w:bottom="1440" w:gutter="0" w:footer="0" w:header="0"/>
          <w:type w:val="continuous"/>
        </w:sectPr>
      </w:pPr>
    </w:p>
    <w:p>
      <w:pPr>
        <w:spacing w:after="0" w:line="8" w:lineRule="exact"/>
        <w:rPr>
          <w:sz w:val="20"/>
          <w:szCs w:val="20"/>
          <w:color w:val="auto"/>
        </w:rPr>
      </w:pPr>
    </w:p>
    <w:p>
      <w:pPr>
        <w:ind w:left="1260" w:right="419"/>
        <w:spacing w:after="0" w:line="262" w:lineRule="auto"/>
        <w:rPr>
          <w:sz w:val="20"/>
          <w:szCs w:val="20"/>
          <w:color w:val="auto"/>
        </w:rPr>
      </w:pPr>
      <w:r>
        <w:rPr>
          <w:rFonts w:ascii="Arial" w:cs="Arial" w:eastAsia="Arial" w:hAnsi="Arial"/>
          <w:sz w:val="18"/>
          <w:szCs w:val="18"/>
          <w:color w:val="4C4C4C"/>
        </w:rPr>
        <w:t>In accordance with Item 402(v) of Regulation S-K, we are providing the following graphical descriptions of the relationships between information presented in the Pay Versus Performance table on compensation actually paid and each of total shareholder return (“TSR”) or net income (loss). We do not utilize TSR and net income (loss) in our executive compensation program. As described in more detail above in the section “Compensation Discussion and Analysis,” part of the compensation our named executive officers are eligible to receive consists of annual cash bonuses that are designed to provide appropriate incentives to our executives to achieve defined annual corporate goals and to reward our executives for achievement towards these goals. Additionally, we view premium-priced stock options, which are part of our executive compensation program, as related to company performance although not directly tied to TSR, because they provide value only if the market price of our common stock increases, and if the executive officer continues in our employment over the vesting period. These stock option awards intend to align our executive officers’ interests with those of our stockholders by providing a continuing financial incentive to maximize long-term value for our stockholders and by encouraging our executive officers to continue in our employment for the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780" w:hanging="520"/>
        <w:spacing w:after="0"/>
        <w:tabs>
          <w:tab w:leader="none" w:pos="1780" w:val="left"/>
        </w:tabs>
        <w:numPr>
          <w:ilvl w:val="0"/>
          <w:numId w:val="89"/>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7920"/>
        <w:spacing w:after="0"/>
        <w:rPr>
          <w:sz w:val="20"/>
          <w:szCs w:val="20"/>
          <w:color w:val="auto"/>
        </w:rPr>
      </w:pPr>
      <w:r>
        <w:rPr>
          <w:rFonts w:ascii="Arial" w:cs="Arial" w:eastAsia="Arial" w:hAnsi="Arial"/>
          <w:sz w:val="14"/>
          <w:szCs w:val="14"/>
          <w:color w:val="346094"/>
        </w:rPr>
        <w:t>COMPENSATION TABLES</w:t>
      </w:r>
    </w:p>
    <w:p>
      <w:pPr>
        <w:spacing w:after="0" w:line="10"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95" w:lineRule="exact"/>
        <w:rPr>
          <w:sz w:val="20"/>
          <w:szCs w:val="20"/>
          <w:color w:val="auto"/>
        </w:rPr>
      </w:pPr>
    </w:p>
    <w:p>
      <w:pPr>
        <w:ind w:left="1620" w:right="1500"/>
        <w:spacing w:after="0" w:line="242" w:lineRule="auto"/>
        <w:rPr>
          <w:sz w:val="20"/>
          <w:szCs w:val="20"/>
          <w:color w:val="auto"/>
        </w:rPr>
      </w:pPr>
      <w:r>
        <w:rPr>
          <w:rFonts w:ascii="Trebuchet MS" w:cs="Trebuchet MS" w:eastAsia="Trebuchet MS" w:hAnsi="Trebuchet MS"/>
          <w:sz w:val="22"/>
          <w:szCs w:val="22"/>
          <w:i w:val="1"/>
          <w:iCs w:val="1"/>
          <w:color w:val="346094"/>
        </w:rPr>
        <w:t>Relationship Between Compensation Actually Paid and Company TSR Based on an Initial Fixed $100 Investment (“TSR Per $100”)</w:t>
      </w:r>
    </w:p>
    <w:p>
      <w:pPr>
        <w:spacing w:after="0" w:line="65" w:lineRule="exact"/>
        <w:rPr>
          <w:sz w:val="20"/>
          <w:szCs w:val="20"/>
          <w:color w:val="auto"/>
        </w:rPr>
      </w:pPr>
    </w:p>
    <w:p>
      <w:pPr>
        <w:jc w:val="center"/>
        <w:ind w:right="-59"/>
        <w:spacing w:after="0"/>
        <w:rPr>
          <w:sz w:val="20"/>
          <w:szCs w:val="20"/>
          <w:color w:val="auto"/>
        </w:rPr>
      </w:pPr>
      <w:r>
        <w:rPr>
          <w:rFonts w:ascii="Trebuchet MS" w:cs="Trebuchet MS" w:eastAsia="Trebuchet MS" w:hAnsi="Trebuchet MS"/>
          <w:sz w:val="18"/>
          <w:szCs w:val="18"/>
          <w:b w:val="1"/>
          <w:bCs w:val="1"/>
          <w:color w:val="346094"/>
        </w:rPr>
        <w:t>Compensation Actually Paid vs. Company TSR Per $100</w:t>
      </w:r>
      <w:r>
        <w:rPr>
          <w:rFonts w:ascii="Times New Roman" w:cs="Times New Roman" w:eastAsia="Times New Roman" w:hAnsi="Times New Roman"/>
          <w:sz w:val="21"/>
          <w:szCs w:val="21"/>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445770</wp:posOffset>
            </wp:positionV>
            <wp:extent cx="4732020" cy="22548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32020"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20"/>
        <w:spacing w:after="0"/>
        <w:rPr>
          <w:sz w:val="20"/>
          <w:szCs w:val="20"/>
          <w:color w:val="auto"/>
        </w:rPr>
      </w:pPr>
      <w:r>
        <w:rPr>
          <w:rFonts w:ascii="Trebuchet MS" w:cs="Trebuchet MS" w:eastAsia="Trebuchet MS" w:hAnsi="Trebuchet MS"/>
          <w:sz w:val="22"/>
          <w:szCs w:val="22"/>
          <w:i w:val="1"/>
          <w:iCs w:val="1"/>
          <w:color w:val="346094"/>
        </w:rPr>
        <w:t>Relationship Between Compensation Actually Paid and Net Income (Loss)</w:t>
      </w:r>
    </w:p>
    <w:p>
      <w:pPr>
        <w:spacing w:after="0" w:line="68" w:lineRule="exact"/>
        <w:rPr>
          <w:sz w:val="20"/>
          <w:szCs w:val="20"/>
          <w:color w:val="auto"/>
        </w:rPr>
      </w:pPr>
    </w:p>
    <w:p>
      <w:pPr>
        <w:jc w:val="center"/>
        <w:ind w:right="-59"/>
        <w:spacing w:after="0"/>
        <w:rPr>
          <w:sz w:val="20"/>
          <w:szCs w:val="20"/>
          <w:color w:val="auto"/>
        </w:rPr>
      </w:pPr>
      <w:r>
        <w:rPr>
          <w:rFonts w:ascii="Trebuchet MS" w:cs="Trebuchet MS" w:eastAsia="Trebuchet MS" w:hAnsi="Trebuchet MS"/>
          <w:sz w:val="18"/>
          <w:szCs w:val="18"/>
          <w:b w:val="1"/>
          <w:bCs w:val="1"/>
          <w:color w:val="346094"/>
        </w:rPr>
        <w:t>Compensation Actually Paid vs. Company Net Income (Loss)</w:t>
      </w:r>
      <w:r>
        <w:rPr>
          <w:rFonts w:ascii="Times New Roman" w:cs="Times New Roman" w:eastAsia="Times New Roman" w:hAnsi="Times New Roman"/>
          <w:sz w:val="21"/>
          <w:szCs w:val="21"/>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445770</wp:posOffset>
            </wp:positionV>
            <wp:extent cx="4869180" cy="22542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6918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20" w:type="dxa"/>
            <w:vAlign w:val="bottom"/>
          </w:tcPr>
          <w:p>
            <w:pPr>
              <w:ind w:left="5880"/>
              <w:spacing w:after="0"/>
              <w:rPr>
                <w:sz w:val="20"/>
                <w:szCs w:val="20"/>
                <w:color w:val="auto"/>
              </w:rPr>
            </w:pPr>
            <w:r>
              <w:rPr>
                <w:rFonts w:ascii="Arial" w:cs="Arial" w:eastAsia="Arial" w:hAnsi="Arial"/>
                <w:sz w:val="18"/>
                <w:szCs w:val="18"/>
                <w:color w:val="346094"/>
                <w:w w:val="93"/>
              </w:rPr>
              <w:t xml:space="preserve">GEVO, INC.  |  </w:t>
            </w:r>
            <w:r>
              <w:rPr>
                <w:rFonts w:ascii="Arial" w:cs="Arial" w:eastAsia="Arial" w:hAnsi="Arial"/>
                <w:sz w:val="18"/>
                <w:szCs w:val="18"/>
                <w:i w:val="1"/>
                <w:iCs w:val="1"/>
                <w:color w:val="4C4C4C"/>
                <w:w w:val="93"/>
              </w:rPr>
              <w:t>2026 PROXY STATEMENT</w:t>
            </w:r>
          </w:p>
        </w:tc>
        <w:tc>
          <w:tcPr>
            <w:tcW w:w="1600" w:type="dxa"/>
            <w:vAlign w:val="bottom"/>
          </w:tcPr>
          <w:p>
            <w:pPr>
              <w:jc w:val="right"/>
              <w:ind w:right="1170"/>
              <w:spacing w:after="0"/>
              <w:rPr>
                <w:sz w:val="20"/>
                <w:szCs w:val="20"/>
                <w:color w:val="auto"/>
              </w:rPr>
            </w:pPr>
            <w:r>
              <w:rPr>
                <w:rFonts w:ascii="Arial" w:cs="Arial" w:eastAsia="Arial" w:hAnsi="Arial"/>
                <w:sz w:val="18"/>
                <w:szCs w:val="18"/>
                <w:color w:val="4C4C4C"/>
              </w:rPr>
              <w:t>57</w:t>
            </w:r>
          </w:p>
        </w:tc>
      </w:tr>
      <w:tr>
        <w:trPr>
          <w:trHeight w:val="395"/>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4800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20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840"/>
        <w:spacing w:after="0"/>
        <w:rPr>
          <w:sz w:val="20"/>
          <w:szCs w:val="20"/>
          <w:color w:val="auto"/>
        </w:rPr>
      </w:pPr>
      <w:r>
        <w:rPr>
          <w:rFonts w:ascii="Trebuchet MS" w:cs="Trebuchet MS" w:eastAsia="Trebuchet MS" w:hAnsi="Trebuchet MS"/>
          <w:sz w:val="29"/>
          <w:szCs w:val="29"/>
          <w:b w:val="1"/>
          <w:bCs w:val="1"/>
          <w:color w:val="FFFFFF"/>
        </w:rPr>
        <w:t>SECURITY OWNERSHIP OF CERTAIN BENEFICIAL OWNERS</w:t>
      </w:r>
    </w:p>
    <w:p>
      <w:pPr>
        <w:jc w:val="center"/>
        <w:ind w:right="-840"/>
        <w:spacing w:after="0"/>
        <w:rPr>
          <w:sz w:val="20"/>
          <w:szCs w:val="20"/>
          <w:color w:val="auto"/>
        </w:rPr>
      </w:pPr>
      <w:r>
        <w:rPr>
          <w:rFonts w:ascii="Trebuchet MS" w:cs="Trebuchet MS" w:eastAsia="Trebuchet MS" w:hAnsi="Trebuchet MS"/>
          <w:sz w:val="29"/>
          <w:szCs w:val="29"/>
          <w:b w:val="1"/>
          <w:bCs w:val="1"/>
          <w:color w:val="FFFFFF"/>
        </w:rPr>
        <w:t xml:space="preserve">AND </w:t>
      </w:r>
      <w:r>
        <w:rPr>
          <w:rFonts w:ascii="Arial" w:cs="Arial" w:eastAsia="Arial" w:hAnsi="Arial"/>
          <w:sz w:val="27"/>
          <w:szCs w:val="27"/>
          <w:b w:val="1"/>
          <w:bCs w:val="1"/>
          <w:color w:val="FFFFFF"/>
        </w:rPr>
        <w:t>M</w:t>
      </w:r>
      <w:r>
        <w:rPr>
          <w:rFonts w:ascii="Trebuchet MS" w:cs="Trebuchet MS" w:eastAsia="Trebuchet MS" w:hAnsi="Trebuchet MS"/>
          <w:sz w:val="29"/>
          <w:szCs w:val="29"/>
          <w:b w:val="1"/>
          <w:bCs w:val="1"/>
          <w:color w:val="FFFFFF"/>
        </w:rPr>
        <w:t>ANAGE</w:t>
      </w:r>
      <w:r>
        <w:rPr>
          <w:rFonts w:ascii="Arial" w:cs="Arial" w:eastAsia="Arial" w:hAnsi="Arial"/>
          <w:sz w:val="27"/>
          <w:szCs w:val="27"/>
          <w:b w:val="1"/>
          <w:bCs w:val="1"/>
          <w:color w:val="FFFFFF"/>
        </w:rPr>
        <w:t>M</w:t>
      </w:r>
      <w:r>
        <w:rPr>
          <w:rFonts w:ascii="Trebuchet MS" w:cs="Trebuchet MS" w:eastAsia="Trebuchet MS" w:hAnsi="Trebuchet MS"/>
          <w:sz w:val="29"/>
          <w:szCs w:val="29"/>
          <w:b w:val="1"/>
          <w:bCs w:val="1"/>
          <w:color w:val="FFFFFF"/>
        </w:rPr>
        <w:t>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The following table sets forth information about the beneficial ownership of our common stock as of</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March 26, 2026 by:</w:t>
      </w:r>
    </w:p>
    <w:p>
      <w:pPr>
        <w:spacing w:after="0" w:line="105" w:lineRule="exact"/>
        <w:rPr>
          <w:sz w:val="20"/>
          <w:szCs w:val="20"/>
          <w:color w:val="auto"/>
        </w:rPr>
      </w:pPr>
    </w:p>
    <w:p>
      <w:pPr>
        <w:ind w:left="1800" w:right="659" w:hanging="180"/>
        <w:spacing w:after="0" w:line="259" w:lineRule="auto"/>
        <w:tabs>
          <w:tab w:leader="none" w:pos="1800" w:val="left"/>
        </w:tabs>
        <w:numPr>
          <w:ilvl w:val="0"/>
          <w:numId w:val="90"/>
        </w:numPr>
        <w:rPr>
          <w:rFonts w:ascii="Arial" w:cs="Arial" w:eastAsia="Arial" w:hAnsi="Arial"/>
          <w:sz w:val="18"/>
          <w:szCs w:val="18"/>
          <w:color w:val="4C4C4C"/>
        </w:rPr>
      </w:pPr>
      <w:r>
        <w:rPr>
          <w:rFonts w:ascii="Arial" w:cs="Arial" w:eastAsia="Arial" w:hAnsi="Arial"/>
          <w:sz w:val="18"/>
          <w:szCs w:val="18"/>
          <w:color w:val="4C4C4C"/>
        </w:rPr>
        <w:t>each person, or group of affiliated persons, known to us to be the beneficial owner of more than 5% of our common stock;</w:t>
      </w:r>
    </w:p>
    <w:p>
      <w:pPr>
        <w:spacing w:after="0" w:line="79" w:lineRule="exact"/>
        <w:rPr>
          <w:rFonts w:ascii="Arial" w:cs="Arial" w:eastAsia="Arial" w:hAnsi="Arial"/>
          <w:sz w:val="18"/>
          <w:szCs w:val="18"/>
          <w:color w:val="4C4C4C"/>
        </w:rPr>
      </w:pPr>
    </w:p>
    <w:p>
      <w:pPr>
        <w:ind w:left="1800" w:hanging="180"/>
        <w:spacing w:after="0"/>
        <w:tabs>
          <w:tab w:leader="none" w:pos="1800" w:val="left"/>
        </w:tabs>
        <w:numPr>
          <w:ilvl w:val="0"/>
          <w:numId w:val="90"/>
        </w:numPr>
        <w:rPr>
          <w:rFonts w:ascii="Arial" w:cs="Arial" w:eastAsia="Arial" w:hAnsi="Arial"/>
          <w:sz w:val="18"/>
          <w:szCs w:val="18"/>
          <w:color w:val="4C4C4C"/>
        </w:rPr>
      </w:pPr>
      <w:r>
        <w:rPr>
          <w:rFonts w:ascii="Arial" w:cs="Arial" w:eastAsia="Arial" w:hAnsi="Arial"/>
          <w:sz w:val="18"/>
          <w:szCs w:val="18"/>
          <w:color w:val="4C4C4C"/>
        </w:rPr>
        <w:t>each named executive officer and each director; and</w:t>
      </w:r>
    </w:p>
    <w:p>
      <w:pPr>
        <w:spacing w:after="0" w:line="90" w:lineRule="exact"/>
        <w:rPr>
          <w:rFonts w:ascii="Arial" w:cs="Arial" w:eastAsia="Arial" w:hAnsi="Arial"/>
          <w:sz w:val="18"/>
          <w:szCs w:val="18"/>
          <w:color w:val="4C4C4C"/>
        </w:rPr>
      </w:pPr>
    </w:p>
    <w:p>
      <w:pPr>
        <w:ind w:left="1800" w:hanging="180"/>
        <w:spacing w:after="0"/>
        <w:tabs>
          <w:tab w:leader="none" w:pos="1800" w:val="left"/>
        </w:tabs>
        <w:numPr>
          <w:ilvl w:val="0"/>
          <w:numId w:val="90"/>
        </w:numPr>
        <w:rPr>
          <w:rFonts w:ascii="Arial" w:cs="Arial" w:eastAsia="Arial" w:hAnsi="Arial"/>
          <w:sz w:val="18"/>
          <w:szCs w:val="18"/>
          <w:color w:val="4C4C4C"/>
        </w:rPr>
      </w:pPr>
      <w:r>
        <w:rPr>
          <w:rFonts w:ascii="Arial" w:cs="Arial" w:eastAsia="Arial" w:hAnsi="Arial"/>
          <w:sz w:val="18"/>
          <w:szCs w:val="18"/>
          <w:color w:val="4C4C4C"/>
        </w:rPr>
        <w:t>all of our executive officers and directors as a group.</w:t>
      </w:r>
    </w:p>
    <w:p>
      <w:pPr>
        <w:spacing w:after="0" w:line="198"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4C4C4C"/>
        </w:rPr>
        <w:t>Unless otherwise noted below, the address of each beneficial owner listed in the table is c/o Gevo, Inc., 345 Inverness Drive South, Building C, Suite 310, Englewood, Colorado 80112. We have determined beneficial ownership in accordance with the rules of the SEC. Except as indicated by the footnotes below, we believe, based on the information furnished to us, that the persons and entities named in the tables below have sole voting and investment power with respect to all shares of common stock that they beneficially own, subject to applicable community property laws.</w:t>
      </w:r>
    </w:p>
    <w:p>
      <w:pPr>
        <w:spacing w:after="0" w:line="168"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4C4C4C"/>
        </w:rPr>
        <w:t>This table is based upon information supplied by our officers, directors and the Schedules 13D and 13G that have been filed with the SEC, and the information is not necessarily indicative of beneficial ownership for any other purpose. Under such rules, beneficial ownership includes any shares as to which the individual or entity has sole or shared voting power or investment power and any shares as to which the individual or entity has the right to acquire beneficial ownership within 60 days of March 26, 2026 through the exercise of any stock option or SAR. The inclusion of such shares, however, does not constitute an admission that the named stockholder is a direct or indirect beneficial owner of, or receives the economic benefit from, such shares and we did not deem these shares outstanding for the purpose of computing the percentage ownership of any other person. All unvested restricted stock awards are included in each holder’s beneficial ownership as holders are entitled to voting rights upon issuance of the restricted stock awards. Applicable percentages are based on 242,882,393 shares of common stock outstanding on March 26, 2026.</w:t>
      </w: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98"/>
        </w:trPr>
        <w:tc>
          <w:tcPr>
            <w:tcW w:w="4380" w:type="dxa"/>
            <w:vAlign w:val="bottom"/>
            <w:shd w:val="clear" w:color="auto" w:fill="346094"/>
          </w:tcPr>
          <w:p>
            <w:pPr>
              <w:spacing w:after="0"/>
              <w:rPr>
                <w:sz w:val="17"/>
                <w:szCs w:val="17"/>
                <w:color w:val="auto"/>
              </w:rPr>
            </w:pPr>
          </w:p>
        </w:tc>
        <w:tc>
          <w:tcPr>
            <w:tcW w:w="2660" w:type="dxa"/>
            <w:vAlign w:val="bottom"/>
            <w:shd w:val="clear" w:color="auto" w:fill="346094"/>
          </w:tcPr>
          <w:p>
            <w:pPr>
              <w:jc w:val="center"/>
              <w:ind w:left="1488"/>
              <w:spacing w:after="0"/>
              <w:rPr>
                <w:sz w:val="20"/>
                <w:szCs w:val="20"/>
                <w:color w:val="auto"/>
              </w:rPr>
            </w:pPr>
            <w:r>
              <w:rPr>
                <w:rFonts w:ascii="Arial" w:cs="Arial" w:eastAsia="Arial" w:hAnsi="Arial"/>
                <w:sz w:val="14"/>
                <w:szCs w:val="14"/>
                <w:b w:val="1"/>
                <w:bCs w:val="1"/>
                <w:color w:val="FFFFFF"/>
                <w:w w:val="99"/>
              </w:rPr>
              <w:t>Number of</w:t>
            </w:r>
          </w:p>
        </w:tc>
        <w:tc>
          <w:tcPr>
            <w:tcW w:w="1100" w:type="dxa"/>
            <w:vAlign w:val="bottom"/>
            <w:shd w:val="clear" w:color="auto" w:fill="346094"/>
          </w:tcPr>
          <w:p>
            <w:pPr>
              <w:jc w:val="center"/>
              <w:ind w:left="48"/>
              <w:spacing w:after="0"/>
              <w:rPr>
                <w:sz w:val="20"/>
                <w:szCs w:val="20"/>
                <w:color w:val="auto"/>
              </w:rPr>
            </w:pPr>
            <w:r>
              <w:rPr>
                <w:rFonts w:ascii="Arial" w:cs="Arial" w:eastAsia="Arial" w:hAnsi="Arial"/>
                <w:sz w:val="14"/>
                <w:szCs w:val="14"/>
                <w:b w:val="1"/>
                <w:bCs w:val="1"/>
                <w:color w:val="FFFFFF"/>
              </w:rPr>
              <w:t>Percentage of</w:t>
            </w:r>
          </w:p>
        </w:tc>
        <w:tc>
          <w:tcPr>
            <w:tcW w:w="60" w:type="dxa"/>
            <w:vAlign w:val="bottom"/>
            <w:shd w:val="clear" w:color="auto" w:fill="346094"/>
          </w:tcPr>
          <w:p>
            <w:pPr>
              <w:spacing w:after="0"/>
              <w:rPr>
                <w:sz w:val="17"/>
                <w:szCs w:val="17"/>
                <w:color w:val="auto"/>
              </w:rPr>
            </w:pPr>
          </w:p>
        </w:tc>
        <w:tc>
          <w:tcPr>
            <w:tcW w:w="20" w:type="dxa"/>
            <w:vAlign w:val="bottom"/>
          </w:tcPr>
          <w:p>
            <w:pPr>
              <w:spacing w:after="0"/>
              <w:rPr>
                <w:sz w:val="17"/>
                <w:szCs w:val="17"/>
                <w:color w:val="auto"/>
              </w:rPr>
            </w:pPr>
          </w:p>
        </w:tc>
      </w:tr>
      <w:tr>
        <w:trPr>
          <w:trHeight w:val="162"/>
        </w:trPr>
        <w:tc>
          <w:tcPr>
            <w:tcW w:w="4380" w:type="dxa"/>
            <w:vAlign w:val="bottom"/>
            <w:shd w:val="clear" w:color="auto" w:fill="346094"/>
          </w:tcPr>
          <w:p>
            <w:pPr>
              <w:spacing w:after="0"/>
              <w:rPr>
                <w:sz w:val="14"/>
                <w:szCs w:val="14"/>
                <w:color w:val="auto"/>
              </w:rPr>
            </w:pPr>
          </w:p>
        </w:tc>
        <w:tc>
          <w:tcPr>
            <w:tcW w:w="2660" w:type="dxa"/>
            <w:vAlign w:val="bottom"/>
            <w:shd w:val="clear" w:color="auto" w:fill="346094"/>
          </w:tcPr>
          <w:p>
            <w:pPr>
              <w:jc w:val="center"/>
              <w:ind w:left="1468"/>
              <w:spacing w:after="0"/>
              <w:rPr>
                <w:sz w:val="20"/>
                <w:szCs w:val="20"/>
                <w:color w:val="auto"/>
              </w:rPr>
            </w:pPr>
            <w:r>
              <w:rPr>
                <w:rFonts w:ascii="Arial" w:cs="Arial" w:eastAsia="Arial" w:hAnsi="Arial"/>
                <w:sz w:val="14"/>
                <w:szCs w:val="14"/>
                <w:b w:val="1"/>
                <w:bCs w:val="1"/>
                <w:color w:val="FFFFFF"/>
                <w:w w:val="94"/>
              </w:rPr>
              <w:t>Shares</w:t>
            </w:r>
          </w:p>
        </w:tc>
        <w:tc>
          <w:tcPr>
            <w:tcW w:w="1100" w:type="dxa"/>
            <w:vAlign w:val="bottom"/>
            <w:shd w:val="clear" w:color="auto" w:fill="346094"/>
          </w:tcPr>
          <w:p>
            <w:pPr>
              <w:jc w:val="center"/>
              <w:ind w:left="28"/>
              <w:spacing w:after="0"/>
              <w:rPr>
                <w:sz w:val="20"/>
                <w:szCs w:val="20"/>
                <w:color w:val="auto"/>
              </w:rPr>
            </w:pPr>
            <w:r>
              <w:rPr>
                <w:rFonts w:ascii="Arial" w:cs="Arial" w:eastAsia="Arial" w:hAnsi="Arial"/>
                <w:sz w:val="14"/>
                <w:szCs w:val="14"/>
                <w:b w:val="1"/>
                <w:bCs w:val="1"/>
                <w:color w:val="FFFFFF"/>
                <w:w w:val="94"/>
              </w:rPr>
              <w:t>Shares</w:t>
            </w:r>
          </w:p>
        </w:tc>
        <w:tc>
          <w:tcPr>
            <w:tcW w:w="60" w:type="dxa"/>
            <w:vAlign w:val="bottom"/>
            <w:shd w:val="clear" w:color="auto" w:fill="346094"/>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380" w:type="dxa"/>
            <w:vAlign w:val="bottom"/>
            <w:shd w:val="clear" w:color="auto" w:fill="346094"/>
          </w:tcPr>
          <w:p>
            <w:pPr>
              <w:spacing w:after="0"/>
              <w:rPr>
                <w:sz w:val="14"/>
                <w:szCs w:val="14"/>
                <w:color w:val="auto"/>
              </w:rPr>
            </w:pPr>
          </w:p>
        </w:tc>
        <w:tc>
          <w:tcPr>
            <w:tcW w:w="2660" w:type="dxa"/>
            <w:vAlign w:val="bottom"/>
            <w:shd w:val="clear" w:color="auto" w:fill="346094"/>
          </w:tcPr>
          <w:p>
            <w:pPr>
              <w:jc w:val="center"/>
              <w:ind w:left="1488"/>
              <w:spacing w:after="0"/>
              <w:rPr>
                <w:sz w:val="20"/>
                <w:szCs w:val="20"/>
                <w:color w:val="auto"/>
              </w:rPr>
            </w:pPr>
            <w:r>
              <w:rPr>
                <w:rFonts w:ascii="Arial" w:cs="Arial" w:eastAsia="Arial" w:hAnsi="Arial"/>
                <w:sz w:val="14"/>
                <w:szCs w:val="14"/>
                <w:b w:val="1"/>
                <w:bCs w:val="1"/>
                <w:color w:val="FFFFFF"/>
              </w:rPr>
              <w:t>Beneficially</w:t>
            </w:r>
          </w:p>
        </w:tc>
        <w:tc>
          <w:tcPr>
            <w:tcW w:w="1100" w:type="dxa"/>
            <w:vAlign w:val="bottom"/>
            <w:shd w:val="clear" w:color="auto" w:fill="346094"/>
          </w:tcPr>
          <w:p>
            <w:pPr>
              <w:jc w:val="center"/>
              <w:ind w:left="48"/>
              <w:spacing w:after="0"/>
              <w:rPr>
                <w:sz w:val="20"/>
                <w:szCs w:val="20"/>
                <w:color w:val="auto"/>
              </w:rPr>
            </w:pPr>
            <w:r>
              <w:rPr>
                <w:rFonts w:ascii="Arial" w:cs="Arial" w:eastAsia="Arial" w:hAnsi="Arial"/>
                <w:sz w:val="14"/>
                <w:szCs w:val="14"/>
                <w:b w:val="1"/>
                <w:bCs w:val="1"/>
                <w:color w:val="FFFFFF"/>
              </w:rPr>
              <w:t>Beneficially</w:t>
            </w:r>
          </w:p>
        </w:tc>
        <w:tc>
          <w:tcPr>
            <w:tcW w:w="60" w:type="dxa"/>
            <w:vAlign w:val="bottom"/>
            <w:shd w:val="clear" w:color="auto" w:fill="346094"/>
          </w:tcPr>
          <w:p>
            <w:pPr>
              <w:spacing w:after="0"/>
              <w:rPr>
                <w:sz w:val="14"/>
                <w:szCs w:val="14"/>
                <w:color w:val="auto"/>
              </w:rPr>
            </w:pPr>
          </w:p>
        </w:tc>
        <w:tc>
          <w:tcPr>
            <w:tcW w:w="20" w:type="dxa"/>
            <w:vAlign w:val="bottom"/>
          </w:tcPr>
          <w:p>
            <w:pPr>
              <w:spacing w:after="0"/>
              <w:rPr>
                <w:sz w:val="14"/>
                <w:szCs w:val="14"/>
                <w:color w:val="auto"/>
              </w:rPr>
            </w:pPr>
          </w:p>
        </w:tc>
      </w:tr>
      <w:tr>
        <w:trPr>
          <w:trHeight w:val="166"/>
        </w:trPr>
        <w:tc>
          <w:tcPr>
            <w:tcW w:w="4380" w:type="dxa"/>
            <w:vAlign w:val="bottom"/>
            <w:shd w:val="clear" w:color="auto" w:fill="346094"/>
          </w:tcPr>
          <w:p>
            <w:pPr>
              <w:ind w:left="60"/>
              <w:spacing w:after="0"/>
              <w:rPr>
                <w:sz w:val="20"/>
                <w:szCs w:val="20"/>
                <w:color w:val="auto"/>
              </w:rPr>
            </w:pPr>
            <w:r>
              <w:rPr>
                <w:rFonts w:ascii="Arial" w:cs="Arial" w:eastAsia="Arial" w:hAnsi="Arial"/>
                <w:sz w:val="14"/>
                <w:szCs w:val="14"/>
                <w:b w:val="1"/>
                <w:bCs w:val="1"/>
                <w:color w:val="FFFFFF"/>
              </w:rPr>
              <w:t>Name and Address of Beneficial Owner</w:t>
            </w:r>
          </w:p>
        </w:tc>
        <w:tc>
          <w:tcPr>
            <w:tcW w:w="2660" w:type="dxa"/>
            <w:vAlign w:val="bottom"/>
            <w:shd w:val="clear" w:color="auto" w:fill="346094"/>
          </w:tcPr>
          <w:p>
            <w:pPr>
              <w:jc w:val="center"/>
              <w:ind w:left="1488"/>
              <w:spacing w:after="0"/>
              <w:rPr>
                <w:sz w:val="20"/>
                <w:szCs w:val="20"/>
                <w:color w:val="auto"/>
              </w:rPr>
            </w:pPr>
            <w:r>
              <w:rPr>
                <w:rFonts w:ascii="Arial" w:cs="Arial" w:eastAsia="Arial" w:hAnsi="Arial"/>
                <w:sz w:val="14"/>
                <w:szCs w:val="14"/>
                <w:b w:val="1"/>
                <w:bCs w:val="1"/>
                <w:color w:val="FFFFFF"/>
                <w:w w:val="98"/>
              </w:rPr>
              <w:t>Owned</w:t>
            </w:r>
          </w:p>
        </w:tc>
        <w:tc>
          <w:tcPr>
            <w:tcW w:w="1100" w:type="dxa"/>
            <w:vAlign w:val="bottom"/>
            <w:shd w:val="clear" w:color="auto" w:fill="346094"/>
          </w:tcPr>
          <w:p>
            <w:pPr>
              <w:jc w:val="center"/>
              <w:ind w:left="48"/>
              <w:spacing w:after="0"/>
              <w:rPr>
                <w:sz w:val="20"/>
                <w:szCs w:val="20"/>
                <w:color w:val="auto"/>
              </w:rPr>
            </w:pPr>
            <w:r>
              <w:rPr>
                <w:rFonts w:ascii="Arial" w:cs="Arial" w:eastAsia="Arial" w:hAnsi="Arial"/>
                <w:sz w:val="14"/>
                <w:szCs w:val="14"/>
                <w:b w:val="1"/>
                <w:bCs w:val="1"/>
                <w:color w:val="FFFFFF"/>
                <w:w w:val="98"/>
              </w:rPr>
              <w:t>Owned</w:t>
            </w:r>
          </w:p>
        </w:tc>
        <w:tc>
          <w:tcPr>
            <w:tcW w:w="60" w:type="dxa"/>
            <w:vAlign w:val="bottom"/>
            <w:shd w:val="clear" w:color="auto" w:fill="346094"/>
          </w:tcPr>
          <w:p>
            <w:pPr>
              <w:ind w:left="40"/>
              <w:spacing w:after="0"/>
              <w:rPr>
                <w:sz w:val="20"/>
                <w:szCs w:val="20"/>
                <w:color w:val="auto"/>
              </w:rPr>
            </w:pPr>
            <w:r>
              <w:rPr>
                <w:rFonts w:ascii="Arial" w:cs="Arial" w:eastAsia="Arial" w:hAnsi="Arial"/>
                <w:sz w:val="1"/>
                <w:szCs w:val="1"/>
                <w:b w:val="1"/>
                <w:bCs w:val="1"/>
                <w:color w:val="FFFFFF"/>
                <w:w w:val="4294942296"/>
              </w:rPr>
              <w:t>​</w:t>
            </w:r>
          </w:p>
        </w:tc>
        <w:tc>
          <w:tcPr>
            <w:tcW w:w="20" w:type="dxa"/>
            <w:vAlign w:val="bottom"/>
          </w:tcPr>
          <w:p>
            <w:pPr>
              <w:spacing w:after="0"/>
              <w:rPr>
                <w:sz w:val="14"/>
                <w:szCs w:val="14"/>
                <w:color w:val="auto"/>
              </w:rPr>
            </w:pPr>
          </w:p>
        </w:tc>
      </w:tr>
    </w:tbl>
    <w:p>
      <w:pPr>
        <w:spacing w:after="0" w:line="2" w:lineRule="exact"/>
        <w:rPr>
          <w:sz w:val="20"/>
          <w:szCs w:val="20"/>
          <w:color w:val="auto"/>
        </w:rPr>
      </w:pPr>
    </w:p>
    <w:p>
      <w:pPr>
        <w:sectPr>
          <w:pgSz w:w="11900" w:h="16838" w:orient="portrait"/>
          <w:cols w:equalWidth="0" w:num="1">
            <w:col w:w="9879"/>
          </w:cols>
          <w:pgMar w:left="580" w:top="97" w:right="1440" w:bottom="1440" w:gutter="0" w:footer="0" w:header="0"/>
        </w:sectPr>
      </w:pPr>
    </w:p>
    <w:p>
      <w:pPr>
        <w:ind w:left="1320"/>
        <w:spacing w:after="0"/>
        <w:rPr>
          <w:sz w:val="20"/>
          <w:szCs w:val="20"/>
          <w:color w:val="auto"/>
        </w:rPr>
      </w:pPr>
      <w:r>
        <w:rPr>
          <w:rFonts w:ascii="Arial" w:cs="Arial" w:eastAsia="Arial" w:hAnsi="Arial"/>
          <w:sz w:val="17"/>
          <w:szCs w:val="17"/>
          <w:b w:val="1"/>
          <w:bCs w:val="1"/>
          <w:color w:val="4C4C4C"/>
        </w:rPr>
        <w:t>Beneficial Owners of More Than 5% of Our Common Stock:</w:t>
      </w:r>
    </w:p>
    <w:p>
      <w:pPr>
        <w:ind w:left="1320"/>
        <w:spacing w:after="0" w:line="213" w:lineRule="auto"/>
        <w:rPr>
          <w:sz w:val="20"/>
          <w:szCs w:val="20"/>
          <w:color w:val="auto"/>
        </w:rPr>
      </w:pPr>
      <w:r>
        <w:rPr>
          <w:rFonts w:ascii="Arial" w:cs="Arial" w:eastAsia="Arial" w:hAnsi="Arial"/>
          <w:sz w:val="18"/>
          <w:szCs w:val="18"/>
          <w:color w:val="4C4C4C"/>
        </w:rPr>
        <w:t>BlackRock, Inc.</w:t>
      </w:r>
      <w:r>
        <w:rPr>
          <w:rFonts w:ascii="Trebuchet MS" w:cs="Trebuchet MS" w:eastAsia="Trebuchet MS" w:hAnsi="Trebuchet MS"/>
          <w:sz w:val="26"/>
          <w:szCs w:val="26"/>
          <w:color w:val="4C4C4C"/>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-157480</wp:posOffset>
            </wp:positionV>
            <wp:extent cx="5212080"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ind w:left="1320"/>
        <w:spacing w:after="0" w:line="221" w:lineRule="auto"/>
        <w:rPr>
          <w:sz w:val="20"/>
          <w:szCs w:val="20"/>
          <w:color w:val="auto"/>
        </w:rPr>
      </w:pPr>
      <w:r>
        <w:rPr>
          <w:rFonts w:ascii="Arial" w:cs="Arial" w:eastAsia="Arial" w:hAnsi="Arial"/>
          <w:sz w:val="18"/>
          <w:szCs w:val="18"/>
          <w:b w:val="1"/>
          <w:bCs w:val="1"/>
          <w:color w:val="4C4C4C"/>
        </w:rPr>
        <w:t>Named Executive Officers and Directors:</w:t>
      </w:r>
    </w:p>
    <w:p>
      <w:pPr>
        <w:ind w:left="1320"/>
        <w:spacing w:after="0" w:line="224" w:lineRule="auto"/>
        <w:rPr>
          <w:sz w:val="20"/>
          <w:szCs w:val="20"/>
          <w:color w:val="auto"/>
        </w:rPr>
      </w:pPr>
      <w:r>
        <w:rPr>
          <w:rFonts w:ascii="Arial" w:cs="Arial" w:eastAsia="Arial" w:hAnsi="Arial"/>
          <w:sz w:val="18"/>
          <w:szCs w:val="18"/>
          <w:color w:val="4C4C4C"/>
        </w:rPr>
        <w:t>Patrick R. Gruber</w:t>
      </w:r>
      <w:r>
        <w:rPr>
          <w:rFonts w:ascii="Trebuchet MS" w:cs="Trebuchet MS" w:eastAsia="Trebuchet MS" w:hAnsi="Trebuchet MS"/>
          <w:sz w:val="26"/>
          <w:szCs w:val="26"/>
          <w:color w:val="4C4C4C"/>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-174625</wp:posOffset>
            </wp:positionV>
            <wp:extent cx="521208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320"/>
        <w:spacing w:after="0" w:line="183" w:lineRule="auto"/>
        <w:rPr>
          <w:sz w:val="20"/>
          <w:szCs w:val="20"/>
          <w:color w:val="auto"/>
        </w:rPr>
      </w:pPr>
      <w:r>
        <w:rPr>
          <w:rFonts w:ascii="Arial" w:cs="Arial" w:eastAsia="Arial" w:hAnsi="Arial"/>
          <w:sz w:val="16"/>
          <w:szCs w:val="16"/>
          <w:color w:val="4C4C4C"/>
        </w:rPr>
        <w:t>Oluwagbemileke (Leke) Agiri</w:t>
      </w:r>
      <w:r>
        <w:rPr>
          <w:rFonts w:ascii="Trebuchet MS" w:cs="Trebuchet MS" w:eastAsia="Trebuchet MS" w:hAnsi="Trebuchet MS"/>
          <w:sz w:val="23"/>
          <w:szCs w:val="23"/>
          <w:color w:val="4C4C4C"/>
          <w:vertAlign w:val="superscript"/>
        </w:rPr>
        <w:t>(3)</w:t>
      </w:r>
      <w:r>
        <w:rPr>
          <w:rFonts w:ascii="Arial" w:cs="Arial" w:eastAsia="Arial" w:hAnsi="Arial"/>
          <w:sz w:val="16"/>
          <w:szCs w:val="16"/>
          <w:color w:val="4C4C4C"/>
        </w:rPr>
        <w:t>​</w:t>
      </w:r>
    </w:p>
    <w:p>
      <w:pPr>
        <w:ind w:left="1320"/>
        <w:spacing w:after="0" w:line="194" w:lineRule="auto"/>
        <w:rPr>
          <w:sz w:val="20"/>
          <w:szCs w:val="20"/>
          <w:color w:val="auto"/>
        </w:rPr>
      </w:pPr>
      <w:r>
        <w:rPr>
          <w:rFonts w:ascii="Arial" w:cs="Arial" w:eastAsia="Arial" w:hAnsi="Arial"/>
          <w:sz w:val="18"/>
          <w:szCs w:val="18"/>
          <w:color w:val="4C4C4C"/>
        </w:rPr>
        <w:t>Christopher M. Ryan</w:t>
      </w:r>
      <w:r>
        <w:rPr>
          <w:rFonts w:ascii="Trebuchet MS" w:cs="Trebuchet MS" w:eastAsia="Trebuchet MS" w:hAnsi="Trebuchet MS"/>
          <w:sz w:val="26"/>
          <w:szCs w:val="26"/>
          <w:color w:val="4C4C4C"/>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-150495</wp:posOffset>
            </wp:positionV>
            <wp:extent cx="521208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320"/>
        <w:spacing w:after="0" w:line="193" w:lineRule="auto"/>
        <w:rPr>
          <w:sz w:val="20"/>
          <w:szCs w:val="20"/>
          <w:color w:val="auto"/>
        </w:rPr>
      </w:pPr>
      <w:r>
        <w:rPr>
          <w:rFonts w:ascii="Arial" w:cs="Arial" w:eastAsia="Arial" w:hAnsi="Arial"/>
          <w:sz w:val="18"/>
          <w:szCs w:val="18"/>
          <w:color w:val="4C4C4C"/>
        </w:rPr>
        <w:t>Paul D. Bloom</w:t>
      </w:r>
      <w:r>
        <w:rPr>
          <w:rFonts w:ascii="Trebuchet MS" w:cs="Trebuchet MS" w:eastAsia="Trebuchet MS" w:hAnsi="Trebuchet MS"/>
          <w:sz w:val="26"/>
          <w:szCs w:val="26"/>
          <w:color w:val="4C4C4C"/>
          <w:vertAlign w:val="superscript"/>
        </w:rPr>
        <w:t>(5)</w:t>
      </w:r>
      <w:r>
        <w:rPr>
          <w:rFonts w:ascii="Arial" w:cs="Arial" w:eastAsia="Arial" w:hAnsi="Arial"/>
          <w:sz w:val="18"/>
          <w:szCs w:val="18"/>
          <w:color w:val="4C4C4C"/>
        </w:rPr>
        <w:t>​</w:t>
      </w:r>
    </w:p>
    <w:p>
      <w:pPr>
        <w:ind w:left="1320"/>
        <w:spacing w:after="0" w:line="193" w:lineRule="auto"/>
        <w:rPr>
          <w:sz w:val="20"/>
          <w:szCs w:val="20"/>
          <w:color w:val="auto"/>
        </w:rPr>
      </w:pPr>
      <w:r>
        <w:rPr>
          <w:rFonts w:ascii="Arial" w:cs="Arial" w:eastAsia="Arial" w:hAnsi="Arial"/>
          <w:sz w:val="18"/>
          <w:szCs w:val="18"/>
          <w:color w:val="4C4C4C"/>
        </w:rPr>
        <w:t>Andrew Shafer</w:t>
      </w:r>
      <w:r>
        <w:rPr>
          <w:rFonts w:ascii="Trebuchet MS" w:cs="Trebuchet MS" w:eastAsia="Trebuchet MS" w:hAnsi="Trebuchet MS"/>
          <w:sz w:val="26"/>
          <w:szCs w:val="26"/>
          <w:color w:val="4C4C4C"/>
          <w:vertAlign w:val="superscript"/>
        </w:rPr>
        <w:t>(6)</w:t>
      </w:r>
      <w:r>
        <w:rPr>
          <w:rFonts w:ascii="Arial" w:cs="Arial" w:eastAsia="Arial" w:hAnsi="Arial"/>
          <w:sz w:val="18"/>
          <w:szCs w:val="18"/>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-149860</wp:posOffset>
            </wp:positionV>
            <wp:extent cx="521208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320"/>
        <w:spacing w:after="0" w:line="193" w:lineRule="auto"/>
        <w:rPr>
          <w:sz w:val="20"/>
          <w:szCs w:val="20"/>
          <w:color w:val="auto"/>
        </w:rPr>
      </w:pPr>
      <w:r>
        <w:rPr>
          <w:rFonts w:ascii="Arial" w:cs="Arial" w:eastAsia="Arial" w:hAnsi="Arial"/>
          <w:sz w:val="18"/>
          <w:szCs w:val="18"/>
          <w:color w:val="4C4C4C"/>
        </w:rPr>
        <w:t>Angelo Amorelli</w:t>
      </w:r>
      <w:r>
        <w:rPr>
          <w:rFonts w:ascii="Trebuchet MS" w:cs="Trebuchet MS" w:eastAsia="Trebuchet MS" w:hAnsi="Trebuchet MS"/>
          <w:sz w:val="26"/>
          <w:szCs w:val="26"/>
          <w:color w:val="4C4C4C"/>
          <w:vertAlign w:val="superscript"/>
        </w:rPr>
        <w:t>(7)</w:t>
      </w:r>
      <w:r>
        <w:rPr>
          <w:rFonts w:ascii="Arial" w:cs="Arial" w:eastAsia="Arial" w:hAnsi="Arial"/>
          <w:sz w:val="18"/>
          <w:szCs w:val="18"/>
          <w:color w:val="4C4C4C"/>
        </w:rPr>
        <w:t>​</w:t>
      </w:r>
    </w:p>
    <w:p>
      <w:pPr>
        <w:ind w:left="1320"/>
        <w:spacing w:after="0" w:line="224" w:lineRule="auto"/>
        <w:rPr>
          <w:sz w:val="20"/>
          <w:szCs w:val="20"/>
          <w:color w:val="auto"/>
        </w:rPr>
      </w:pPr>
      <w:r>
        <w:rPr>
          <w:rFonts w:ascii="Arial" w:cs="Arial" w:eastAsia="Arial" w:hAnsi="Arial"/>
          <w:sz w:val="18"/>
          <w:szCs w:val="18"/>
          <w:color w:val="4C4C4C"/>
        </w:rPr>
        <w:t>James J. Barber</w:t>
      </w:r>
      <w:r>
        <w:rPr>
          <w:rFonts w:ascii="Trebuchet MS" w:cs="Trebuchet MS" w:eastAsia="Trebuchet MS" w:hAnsi="Trebuchet MS"/>
          <w:sz w:val="26"/>
          <w:szCs w:val="26"/>
          <w:color w:val="4C4C4C"/>
          <w:vertAlign w:val="superscript"/>
        </w:rPr>
        <w:t>(8)</w:t>
      </w:r>
      <w:r>
        <w:rPr>
          <w:rFonts w:ascii="Arial" w:cs="Arial" w:eastAsia="Arial" w:hAnsi="Arial"/>
          <w:sz w:val="18"/>
          <w:szCs w:val="18"/>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-174625</wp:posOffset>
            </wp:positionV>
            <wp:extent cx="521208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320"/>
        <w:spacing w:after="0" w:line="184" w:lineRule="auto"/>
        <w:rPr>
          <w:sz w:val="20"/>
          <w:szCs w:val="20"/>
          <w:color w:val="auto"/>
        </w:rPr>
      </w:pPr>
      <w:r>
        <w:rPr>
          <w:rFonts w:ascii="Arial" w:cs="Arial" w:eastAsia="Arial" w:hAnsi="Arial"/>
          <w:sz w:val="16"/>
          <w:szCs w:val="16"/>
          <w:color w:val="4C4C4C"/>
        </w:rPr>
        <w:t>Carol J. Battershell</w:t>
      </w:r>
      <w:r>
        <w:rPr>
          <w:rFonts w:ascii="Trebuchet MS" w:cs="Trebuchet MS" w:eastAsia="Trebuchet MS" w:hAnsi="Trebuchet MS"/>
          <w:sz w:val="23"/>
          <w:szCs w:val="23"/>
          <w:color w:val="4C4C4C"/>
          <w:vertAlign w:val="superscript"/>
        </w:rPr>
        <w:t>(8)</w:t>
      </w:r>
      <w:r>
        <w:rPr>
          <w:rFonts w:ascii="Arial" w:cs="Arial" w:eastAsia="Arial" w:hAnsi="Arial"/>
          <w:sz w:val="16"/>
          <w:szCs w:val="16"/>
          <w:color w:val="4C4C4C"/>
        </w:rPr>
        <w:t>​</w:t>
      </w:r>
    </w:p>
    <w:p>
      <w:pPr>
        <w:ind w:left="1320"/>
        <w:spacing w:after="0" w:line="193" w:lineRule="auto"/>
        <w:rPr>
          <w:sz w:val="20"/>
          <w:szCs w:val="20"/>
          <w:color w:val="auto"/>
        </w:rPr>
      </w:pPr>
      <w:r>
        <w:rPr>
          <w:rFonts w:ascii="Arial" w:cs="Arial" w:eastAsia="Arial" w:hAnsi="Arial"/>
          <w:sz w:val="18"/>
          <w:szCs w:val="18"/>
          <w:color w:val="4C4C4C"/>
        </w:rPr>
        <w:t>William H. Baum</w:t>
      </w:r>
      <w:r>
        <w:rPr>
          <w:rFonts w:ascii="Trebuchet MS" w:cs="Trebuchet MS" w:eastAsia="Trebuchet MS" w:hAnsi="Trebuchet MS"/>
          <w:sz w:val="26"/>
          <w:szCs w:val="26"/>
          <w:color w:val="4C4C4C"/>
          <w:vertAlign w:val="superscript"/>
        </w:rPr>
        <w:t>(9)</w:t>
      </w:r>
      <w:r>
        <w:rPr>
          <w:rFonts w:ascii="Arial" w:cs="Arial" w:eastAsia="Arial" w:hAnsi="Arial"/>
          <w:sz w:val="18"/>
          <w:szCs w:val="18"/>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-149860</wp:posOffset>
            </wp:positionV>
            <wp:extent cx="521208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320"/>
        <w:spacing w:after="0" w:line="193" w:lineRule="auto"/>
        <w:rPr>
          <w:sz w:val="20"/>
          <w:szCs w:val="20"/>
          <w:color w:val="auto"/>
        </w:rPr>
      </w:pPr>
      <w:r>
        <w:rPr>
          <w:rFonts w:ascii="Arial" w:cs="Arial" w:eastAsia="Arial" w:hAnsi="Arial"/>
          <w:sz w:val="18"/>
          <w:szCs w:val="18"/>
          <w:color w:val="4C4C4C"/>
        </w:rPr>
        <w:t>Mary Kathryn Ellet</w:t>
      </w:r>
      <w:r>
        <w:rPr>
          <w:rFonts w:ascii="Trebuchet MS" w:cs="Trebuchet MS" w:eastAsia="Trebuchet MS" w:hAnsi="Trebuchet MS"/>
          <w:sz w:val="26"/>
          <w:szCs w:val="26"/>
          <w:color w:val="4C4C4C"/>
          <w:vertAlign w:val="superscript"/>
        </w:rPr>
        <w:t>(10)</w:t>
      </w:r>
      <w:r>
        <w:rPr>
          <w:rFonts w:ascii="Arial" w:cs="Arial" w:eastAsia="Arial" w:hAnsi="Arial"/>
          <w:sz w:val="18"/>
          <w:szCs w:val="18"/>
          <w:color w:val="4C4C4C"/>
        </w:rPr>
        <w:t>​</w:t>
      </w:r>
    </w:p>
    <w:p>
      <w:pPr>
        <w:ind w:left="1320"/>
        <w:spacing w:after="0" w:line="193" w:lineRule="auto"/>
        <w:rPr>
          <w:sz w:val="20"/>
          <w:szCs w:val="20"/>
          <w:color w:val="auto"/>
        </w:rPr>
      </w:pPr>
      <w:r>
        <w:rPr>
          <w:rFonts w:ascii="Arial" w:cs="Arial" w:eastAsia="Arial" w:hAnsi="Arial"/>
          <w:sz w:val="18"/>
          <w:szCs w:val="18"/>
          <w:color w:val="4C4C4C"/>
        </w:rPr>
        <w:t>Jaime Guillen</w:t>
      </w:r>
      <w:r>
        <w:rPr>
          <w:rFonts w:ascii="Trebuchet MS" w:cs="Trebuchet MS" w:eastAsia="Trebuchet MS" w:hAnsi="Trebuchet MS"/>
          <w:sz w:val="26"/>
          <w:szCs w:val="26"/>
          <w:color w:val="4C4C4C"/>
          <w:vertAlign w:val="superscript"/>
        </w:rPr>
        <w:t>(11)</w:t>
      </w:r>
      <w:r>
        <w:rPr>
          <w:rFonts w:ascii="Arial" w:cs="Arial" w:eastAsia="Arial" w:hAnsi="Arial"/>
          <w:sz w:val="18"/>
          <w:szCs w:val="18"/>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-149860</wp:posOffset>
            </wp:positionV>
            <wp:extent cx="521208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320"/>
        <w:spacing w:after="0" w:line="193" w:lineRule="auto"/>
        <w:rPr>
          <w:sz w:val="20"/>
          <w:szCs w:val="20"/>
          <w:color w:val="auto"/>
        </w:rPr>
      </w:pPr>
      <w:r>
        <w:rPr>
          <w:rFonts w:ascii="Arial" w:cs="Arial" w:eastAsia="Arial" w:hAnsi="Arial"/>
          <w:sz w:val="18"/>
          <w:szCs w:val="18"/>
          <w:color w:val="4C4C4C"/>
        </w:rPr>
        <w:t>Andrew J. Marsh</w:t>
      </w:r>
      <w:r>
        <w:rPr>
          <w:rFonts w:ascii="Trebuchet MS" w:cs="Trebuchet MS" w:eastAsia="Trebuchet MS" w:hAnsi="Trebuchet MS"/>
          <w:sz w:val="26"/>
          <w:szCs w:val="26"/>
          <w:color w:val="4C4C4C"/>
          <w:vertAlign w:val="superscript"/>
        </w:rPr>
        <w:t>(11)</w:t>
      </w:r>
    </w:p>
    <w:p>
      <w:pPr>
        <w:ind w:left="1320"/>
        <w:spacing w:after="0" w:line="193" w:lineRule="auto"/>
        <w:rPr>
          <w:sz w:val="20"/>
          <w:szCs w:val="20"/>
          <w:color w:val="auto"/>
        </w:rPr>
      </w:pPr>
      <w:r>
        <w:rPr>
          <w:rFonts w:ascii="Arial" w:cs="Arial" w:eastAsia="Arial" w:hAnsi="Arial"/>
          <w:sz w:val="18"/>
          <w:szCs w:val="18"/>
          <w:color w:val="4C4C4C"/>
        </w:rPr>
        <w:t>Gary W. Mize</w:t>
      </w:r>
      <w:r>
        <w:rPr>
          <w:rFonts w:ascii="Trebuchet MS" w:cs="Trebuchet MS" w:eastAsia="Trebuchet MS" w:hAnsi="Trebuchet MS"/>
          <w:sz w:val="26"/>
          <w:szCs w:val="26"/>
          <w:color w:val="4C4C4C"/>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-149225</wp:posOffset>
            </wp:positionV>
            <wp:extent cx="521208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7"/>
          <w:szCs w:val="17"/>
          <w:color w:val="4C4C4C"/>
        </w:rPr>
        <w:t>All Executive Officers and Directors as a Group (15 persons)</w:t>
      </w:r>
      <w:r>
        <w:rPr>
          <w:rFonts w:ascii="Trebuchet MS" w:cs="Trebuchet MS" w:eastAsia="Trebuchet MS" w:hAnsi="Trebuchet MS"/>
          <w:sz w:val="25"/>
          <w:szCs w:val="25"/>
          <w:color w:val="4C4C4C"/>
          <w:vertAlign w:val="superscript"/>
        </w:rPr>
        <w:t>(13)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60" w:type="dxa"/>
            <w:vAlign w:val="bottom"/>
          </w:tcPr>
          <w:p>
            <w:pPr>
              <w:spacing w:after="0"/>
              <w:rPr>
                <w:sz w:val="20"/>
                <w:szCs w:val="20"/>
                <w:color w:val="auto"/>
              </w:rPr>
            </w:pPr>
            <w:r>
              <w:rPr>
                <w:rFonts w:ascii="Arial" w:cs="Arial" w:eastAsia="Arial" w:hAnsi="Arial"/>
                <w:sz w:val="18"/>
                <w:szCs w:val="18"/>
                <w:b w:val="1"/>
                <w:bCs w:val="1"/>
                <w:color w:val="4C4C4C"/>
              </w:rPr>
              <w:t>​</w:t>
            </w:r>
          </w:p>
        </w:tc>
        <w:tc>
          <w:tcPr>
            <w:tcW w:w="1100" w:type="dxa"/>
            <w:vAlign w:val="bottom"/>
          </w:tcPr>
          <w:p>
            <w:pPr>
              <w:spacing w:after="0"/>
              <w:rPr>
                <w:sz w:val="19"/>
                <w:szCs w:val="19"/>
                <w:color w:val="auto"/>
              </w:rPr>
            </w:pPr>
          </w:p>
        </w:tc>
        <w:tc>
          <w:tcPr>
            <w:tcW w:w="600" w:type="dxa"/>
            <w:vAlign w:val="bottom"/>
          </w:tcPr>
          <w:p>
            <w:pPr>
              <w:ind w:left="380"/>
              <w:spacing w:after="0"/>
              <w:rPr>
                <w:sz w:val="20"/>
                <w:szCs w:val="20"/>
                <w:color w:val="auto"/>
              </w:rPr>
            </w:pPr>
            <w:r>
              <w:rPr>
                <w:rFonts w:ascii="Arial" w:cs="Arial" w:eastAsia="Arial" w:hAnsi="Arial"/>
                <w:sz w:val="18"/>
                <w:szCs w:val="18"/>
                <w:b w:val="1"/>
                <w:bCs w:val="1"/>
                <w:color w:val="4C4C4C"/>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4C4C4C"/>
              </w:rPr>
              <w:t>​</w:t>
            </w:r>
          </w:p>
        </w:tc>
      </w:tr>
      <w:tr>
        <w:trPr>
          <w:trHeight w:val="227"/>
        </w:trPr>
        <w:tc>
          <w:tcPr>
            <w:tcW w:w="1260" w:type="dxa"/>
            <w:vAlign w:val="bottom"/>
            <w:gridSpan w:val="2"/>
          </w:tcPr>
          <w:p>
            <w:pPr>
              <w:spacing w:after="0"/>
              <w:rPr>
                <w:sz w:val="20"/>
                <w:szCs w:val="20"/>
                <w:color w:val="auto"/>
              </w:rPr>
            </w:pPr>
            <w:r>
              <w:rPr>
                <w:rFonts w:ascii="Arial" w:cs="Arial" w:eastAsia="Arial" w:hAnsi="Arial"/>
                <w:sz w:val="18"/>
                <w:szCs w:val="18"/>
                <w:color w:val="4C4C4C"/>
              </w:rPr>
              <w:t>​16,004,547</w:t>
            </w:r>
          </w:p>
        </w:tc>
        <w:tc>
          <w:tcPr>
            <w:tcW w:w="920" w:type="dxa"/>
            <w:vAlign w:val="bottom"/>
            <w:gridSpan w:val="2"/>
          </w:tcPr>
          <w:p>
            <w:pPr>
              <w:jc w:val="right"/>
              <w:spacing w:after="0"/>
              <w:rPr>
                <w:sz w:val="20"/>
                <w:szCs w:val="20"/>
                <w:color w:val="auto"/>
              </w:rPr>
            </w:pPr>
            <w:r>
              <w:rPr>
                <w:rFonts w:ascii="Arial" w:cs="Arial" w:eastAsia="Arial" w:hAnsi="Arial"/>
                <w:sz w:val="18"/>
                <w:szCs w:val="18"/>
                <w:color w:val="4C4C4C"/>
              </w:rPr>
              <w:t>​6.59% ​</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4C4C4C"/>
              </w:rPr>
              <w:t>​</w:t>
            </w:r>
          </w:p>
        </w:tc>
        <w:tc>
          <w:tcPr>
            <w:tcW w:w="1100" w:type="dxa"/>
            <w:vAlign w:val="bottom"/>
          </w:tcPr>
          <w:p>
            <w:pPr>
              <w:spacing w:after="0"/>
              <w:rPr>
                <w:sz w:val="18"/>
                <w:szCs w:val="18"/>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4C4C4C"/>
              </w:rPr>
              <w:t>​</w:t>
            </w:r>
          </w:p>
        </w:tc>
        <w:tc>
          <w:tcPr>
            <w:tcW w:w="320" w:type="dxa"/>
            <w:vAlign w:val="bottom"/>
          </w:tcPr>
          <w:p>
            <w:pPr>
              <w:jc w:val="right"/>
              <w:spacing w:after="0"/>
              <w:rPr>
                <w:sz w:val="20"/>
                <w:szCs w:val="20"/>
                <w:color w:val="auto"/>
              </w:rPr>
            </w:pPr>
            <w:r>
              <w:rPr>
                <w:rFonts w:ascii="Arial" w:cs="Arial" w:eastAsia="Arial" w:hAnsi="Arial"/>
                <w:sz w:val="18"/>
                <w:szCs w:val="18"/>
                <w:color w:val="4C4C4C"/>
              </w:rPr>
              <w:t>​</w:t>
            </w:r>
          </w:p>
        </w:tc>
      </w:tr>
      <w:tr>
        <w:trPr>
          <w:trHeight w:val="243"/>
        </w:trPr>
        <w:tc>
          <w:tcPr>
            <w:tcW w:w="1260" w:type="dxa"/>
            <w:vAlign w:val="bottom"/>
            <w:gridSpan w:val="2"/>
          </w:tcPr>
          <w:p>
            <w:pPr>
              <w:spacing w:after="0"/>
              <w:rPr>
                <w:sz w:val="20"/>
                <w:szCs w:val="20"/>
                <w:color w:val="auto"/>
              </w:rPr>
            </w:pPr>
            <w:r>
              <w:rPr>
                <w:rFonts w:ascii="Arial" w:cs="Arial" w:eastAsia="Arial" w:hAnsi="Arial"/>
                <w:sz w:val="18"/>
                <w:szCs w:val="18"/>
                <w:color w:val="4C4C4C"/>
              </w:rPr>
              <w:t>​ 6,651,317</w:t>
            </w:r>
          </w:p>
        </w:tc>
        <w:tc>
          <w:tcPr>
            <w:tcW w:w="920" w:type="dxa"/>
            <w:vAlign w:val="bottom"/>
            <w:gridSpan w:val="2"/>
          </w:tcPr>
          <w:p>
            <w:pPr>
              <w:jc w:val="right"/>
              <w:spacing w:after="0"/>
              <w:rPr>
                <w:sz w:val="20"/>
                <w:szCs w:val="20"/>
                <w:color w:val="auto"/>
              </w:rPr>
            </w:pPr>
            <w:r>
              <w:rPr>
                <w:rFonts w:ascii="Arial" w:cs="Arial" w:eastAsia="Arial" w:hAnsi="Arial"/>
                <w:sz w:val="18"/>
                <w:szCs w:val="18"/>
                <w:color w:val="4C4C4C"/>
              </w:rPr>
              <w:t>​2.74% ​</w:t>
            </w:r>
          </w:p>
        </w:tc>
      </w:tr>
      <w:tr>
        <w:trPr>
          <w:trHeight w:val="243"/>
        </w:trPr>
        <w:tc>
          <w:tcPr>
            <w:tcW w:w="160" w:type="dxa"/>
            <w:vAlign w:val="bottom"/>
          </w:tcPr>
          <w:p>
            <w:pPr>
              <w:spacing w:after="0"/>
              <w:rPr>
                <w:sz w:val="20"/>
                <w:szCs w:val="20"/>
                <w:color w:val="auto"/>
              </w:rPr>
            </w:pPr>
            <w:r>
              <w:rPr>
                <w:rFonts w:ascii="Arial" w:cs="Arial" w:eastAsia="Arial" w:hAnsi="Arial"/>
                <w:sz w:val="18"/>
                <w:szCs w:val="18"/>
                <w:color w:val="4C4C4C"/>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4C4C4C"/>
              </w:rPr>
              <w:t>356,247</w:t>
            </w:r>
          </w:p>
        </w:tc>
        <w:tc>
          <w:tcPr>
            <w:tcW w:w="600" w:type="dxa"/>
            <w:vAlign w:val="bottom"/>
          </w:tcPr>
          <w:p>
            <w:pPr>
              <w:ind w:left="380"/>
              <w:spacing w:after="0"/>
              <w:rPr>
                <w:sz w:val="20"/>
                <w:szCs w:val="20"/>
                <w:color w:val="auto"/>
              </w:rPr>
            </w:pPr>
            <w:r>
              <w:rPr>
                <w:rFonts w:ascii="Arial" w:cs="Arial" w:eastAsia="Arial" w:hAnsi="Arial"/>
                <w:sz w:val="18"/>
                <w:szCs w:val="18"/>
                <w:color w:val="4C4C4C"/>
              </w:rPr>
              <w:t>​</w:t>
            </w:r>
          </w:p>
        </w:tc>
        <w:tc>
          <w:tcPr>
            <w:tcW w:w="320" w:type="dxa"/>
            <w:vAlign w:val="bottom"/>
          </w:tcPr>
          <w:p>
            <w:pPr>
              <w:jc w:val="right"/>
              <w:spacing w:after="0"/>
              <w:rPr>
                <w:sz w:val="20"/>
                <w:szCs w:val="20"/>
                <w:color w:val="auto"/>
              </w:rPr>
            </w:pPr>
            <w:r>
              <w:rPr>
                <w:rFonts w:ascii="Arial" w:cs="Arial" w:eastAsia="Arial" w:hAnsi="Arial"/>
                <w:sz w:val="18"/>
                <w:szCs w:val="18"/>
                <w:color w:val="4C4C4C"/>
              </w:rPr>
              <w:t>* ​</w:t>
            </w:r>
          </w:p>
        </w:tc>
      </w:tr>
      <w:tr>
        <w:trPr>
          <w:trHeight w:val="243"/>
        </w:trPr>
        <w:tc>
          <w:tcPr>
            <w:tcW w:w="1260" w:type="dxa"/>
            <w:vAlign w:val="bottom"/>
            <w:gridSpan w:val="2"/>
          </w:tcPr>
          <w:p>
            <w:pPr>
              <w:spacing w:after="0"/>
              <w:rPr>
                <w:sz w:val="20"/>
                <w:szCs w:val="20"/>
                <w:color w:val="auto"/>
              </w:rPr>
            </w:pPr>
            <w:r>
              <w:rPr>
                <w:rFonts w:ascii="Arial" w:cs="Arial" w:eastAsia="Arial" w:hAnsi="Arial"/>
                <w:sz w:val="18"/>
                <w:szCs w:val="18"/>
                <w:color w:val="4C4C4C"/>
              </w:rPr>
              <w:t>​ 2,913,809</w:t>
            </w:r>
          </w:p>
        </w:tc>
        <w:tc>
          <w:tcPr>
            <w:tcW w:w="920" w:type="dxa"/>
            <w:vAlign w:val="bottom"/>
            <w:gridSpan w:val="2"/>
          </w:tcPr>
          <w:p>
            <w:pPr>
              <w:jc w:val="right"/>
              <w:spacing w:after="0"/>
              <w:rPr>
                <w:sz w:val="20"/>
                <w:szCs w:val="20"/>
                <w:color w:val="auto"/>
              </w:rPr>
            </w:pPr>
            <w:r>
              <w:rPr>
                <w:rFonts w:ascii="Arial" w:cs="Arial" w:eastAsia="Arial" w:hAnsi="Arial"/>
                <w:sz w:val="18"/>
                <w:szCs w:val="18"/>
                <w:color w:val="4C4C4C"/>
              </w:rPr>
              <w:t>​1.20% ​</w:t>
            </w:r>
          </w:p>
        </w:tc>
      </w:tr>
      <w:tr>
        <w:trPr>
          <w:trHeight w:val="243"/>
        </w:trPr>
        <w:tc>
          <w:tcPr>
            <w:tcW w:w="1260" w:type="dxa"/>
            <w:vAlign w:val="bottom"/>
            <w:gridSpan w:val="2"/>
          </w:tcPr>
          <w:p>
            <w:pPr>
              <w:spacing w:after="0"/>
              <w:rPr>
                <w:sz w:val="20"/>
                <w:szCs w:val="20"/>
                <w:color w:val="auto"/>
              </w:rPr>
            </w:pPr>
            <w:r>
              <w:rPr>
                <w:rFonts w:ascii="Arial" w:cs="Arial" w:eastAsia="Arial" w:hAnsi="Arial"/>
                <w:sz w:val="18"/>
                <w:szCs w:val="18"/>
                <w:color w:val="4C4C4C"/>
              </w:rPr>
              <w:t>​ 1,898,546</w:t>
            </w:r>
          </w:p>
        </w:tc>
        <w:tc>
          <w:tcPr>
            <w:tcW w:w="600" w:type="dxa"/>
            <w:vAlign w:val="bottom"/>
          </w:tcPr>
          <w:p>
            <w:pPr>
              <w:ind w:left="380"/>
              <w:spacing w:after="0"/>
              <w:rPr>
                <w:sz w:val="20"/>
                <w:szCs w:val="20"/>
                <w:color w:val="auto"/>
              </w:rPr>
            </w:pPr>
            <w:r>
              <w:rPr>
                <w:rFonts w:ascii="Arial" w:cs="Arial" w:eastAsia="Arial" w:hAnsi="Arial"/>
                <w:sz w:val="18"/>
                <w:szCs w:val="18"/>
                <w:color w:val="4C4C4C"/>
              </w:rPr>
              <w:t>​</w:t>
            </w:r>
          </w:p>
        </w:tc>
        <w:tc>
          <w:tcPr>
            <w:tcW w:w="320" w:type="dxa"/>
            <w:vAlign w:val="bottom"/>
          </w:tcPr>
          <w:p>
            <w:pPr>
              <w:jc w:val="right"/>
              <w:spacing w:after="0"/>
              <w:rPr>
                <w:sz w:val="20"/>
                <w:szCs w:val="20"/>
                <w:color w:val="auto"/>
              </w:rPr>
            </w:pPr>
            <w:r>
              <w:rPr>
                <w:rFonts w:ascii="Arial" w:cs="Arial" w:eastAsia="Arial" w:hAnsi="Arial"/>
                <w:sz w:val="18"/>
                <w:szCs w:val="18"/>
                <w:color w:val="4C4C4C"/>
              </w:rPr>
              <w:t>* ​</w:t>
            </w:r>
          </w:p>
        </w:tc>
      </w:tr>
      <w:tr>
        <w:trPr>
          <w:trHeight w:val="243"/>
        </w:trPr>
        <w:tc>
          <w:tcPr>
            <w:tcW w:w="160" w:type="dxa"/>
            <w:vAlign w:val="bottom"/>
          </w:tcPr>
          <w:p>
            <w:pPr>
              <w:spacing w:after="0"/>
              <w:rPr>
                <w:sz w:val="20"/>
                <w:szCs w:val="20"/>
                <w:color w:val="auto"/>
              </w:rPr>
            </w:pPr>
            <w:r>
              <w:rPr>
                <w:rFonts w:ascii="Arial" w:cs="Arial" w:eastAsia="Arial" w:hAnsi="Arial"/>
                <w:sz w:val="18"/>
                <w:szCs w:val="18"/>
                <w:color w:val="4C4C4C"/>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4C4C4C"/>
              </w:rPr>
              <w:t>598,970</w:t>
            </w:r>
          </w:p>
        </w:tc>
        <w:tc>
          <w:tcPr>
            <w:tcW w:w="600" w:type="dxa"/>
            <w:vAlign w:val="bottom"/>
          </w:tcPr>
          <w:p>
            <w:pPr>
              <w:ind w:left="380"/>
              <w:spacing w:after="0"/>
              <w:rPr>
                <w:sz w:val="20"/>
                <w:szCs w:val="20"/>
                <w:color w:val="auto"/>
              </w:rPr>
            </w:pPr>
            <w:r>
              <w:rPr>
                <w:rFonts w:ascii="Arial" w:cs="Arial" w:eastAsia="Arial" w:hAnsi="Arial"/>
                <w:sz w:val="18"/>
                <w:szCs w:val="18"/>
                <w:color w:val="4C4C4C"/>
              </w:rPr>
              <w:t>​</w:t>
            </w:r>
          </w:p>
        </w:tc>
        <w:tc>
          <w:tcPr>
            <w:tcW w:w="320" w:type="dxa"/>
            <w:vAlign w:val="bottom"/>
          </w:tcPr>
          <w:p>
            <w:pPr>
              <w:jc w:val="right"/>
              <w:spacing w:after="0"/>
              <w:rPr>
                <w:sz w:val="20"/>
                <w:szCs w:val="20"/>
                <w:color w:val="auto"/>
              </w:rPr>
            </w:pPr>
            <w:r>
              <w:rPr>
                <w:rFonts w:ascii="Arial" w:cs="Arial" w:eastAsia="Arial" w:hAnsi="Arial"/>
                <w:sz w:val="18"/>
                <w:szCs w:val="18"/>
                <w:color w:val="4C4C4C"/>
              </w:rPr>
              <w:t>* ​</w:t>
            </w:r>
          </w:p>
        </w:tc>
      </w:tr>
      <w:tr>
        <w:trPr>
          <w:trHeight w:val="243"/>
        </w:trPr>
        <w:tc>
          <w:tcPr>
            <w:tcW w:w="160" w:type="dxa"/>
            <w:vAlign w:val="bottom"/>
          </w:tcPr>
          <w:p>
            <w:pPr>
              <w:spacing w:after="0"/>
              <w:rPr>
                <w:sz w:val="20"/>
                <w:szCs w:val="20"/>
                <w:color w:val="auto"/>
              </w:rPr>
            </w:pPr>
            <w:r>
              <w:rPr>
                <w:rFonts w:ascii="Arial" w:cs="Arial" w:eastAsia="Arial" w:hAnsi="Arial"/>
                <w:sz w:val="18"/>
                <w:szCs w:val="18"/>
                <w:color w:val="4C4C4C"/>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4C4C4C"/>
              </w:rPr>
              <w:t>162,098</w:t>
            </w:r>
          </w:p>
        </w:tc>
        <w:tc>
          <w:tcPr>
            <w:tcW w:w="600" w:type="dxa"/>
            <w:vAlign w:val="bottom"/>
          </w:tcPr>
          <w:p>
            <w:pPr>
              <w:ind w:left="380"/>
              <w:spacing w:after="0"/>
              <w:rPr>
                <w:sz w:val="20"/>
                <w:szCs w:val="20"/>
                <w:color w:val="auto"/>
              </w:rPr>
            </w:pPr>
            <w:r>
              <w:rPr>
                <w:rFonts w:ascii="Arial" w:cs="Arial" w:eastAsia="Arial" w:hAnsi="Arial"/>
                <w:sz w:val="18"/>
                <w:szCs w:val="18"/>
                <w:color w:val="4C4C4C"/>
              </w:rPr>
              <w:t>​</w:t>
            </w:r>
          </w:p>
        </w:tc>
        <w:tc>
          <w:tcPr>
            <w:tcW w:w="320" w:type="dxa"/>
            <w:vAlign w:val="bottom"/>
          </w:tcPr>
          <w:p>
            <w:pPr>
              <w:jc w:val="right"/>
              <w:spacing w:after="0"/>
              <w:rPr>
                <w:sz w:val="20"/>
                <w:szCs w:val="20"/>
                <w:color w:val="auto"/>
              </w:rPr>
            </w:pPr>
            <w:r>
              <w:rPr>
                <w:rFonts w:ascii="Arial" w:cs="Arial" w:eastAsia="Arial" w:hAnsi="Arial"/>
                <w:sz w:val="18"/>
                <w:szCs w:val="18"/>
                <w:color w:val="4C4C4C"/>
              </w:rPr>
              <w:t>* ​</w:t>
            </w:r>
          </w:p>
        </w:tc>
      </w:tr>
      <w:tr>
        <w:trPr>
          <w:trHeight w:val="243"/>
        </w:trPr>
        <w:tc>
          <w:tcPr>
            <w:tcW w:w="160" w:type="dxa"/>
            <w:vAlign w:val="bottom"/>
          </w:tcPr>
          <w:p>
            <w:pPr>
              <w:spacing w:after="0"/>
              <w:rPr>
                <w:sz w:val="20"/>
                <w:szCs w:val="20"/>
                <w:color w:val="auto"/>
              </w:rPr>
            </w:pPr>
            <w:r>
              <w:rPr>
                <w:rFonts w:ascii="Arial" w:cs="Arial" w:eastAsia="Arial" w:hAnsi="Arial"/>
                <w:sz w:val="18"/>
                <w:szCs w:val="18"/>
                <w:color w:val="4C4C4C"/>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4C4C4C"/>
              </w:rPr>
              <w:t>134,517</w:t>
            </w:r>
          </w:p>
        </w:tc>
        <w:tc>
          <w:tcPr>
            <w:tcW w:w="600" w:type="dxa"/>
            <w:vAlign w:val="bottom"/>
          </w:tcPr>
          <w:p>
            <w:pPr>
              <w:ind w:left="380"/>
              <w:spacing w:after="0"/>
              <w:rPr>
                <w:sz w:val="20"/>
                <w:szCs w:val="20"/>
                <w:color w:val="auto"/>
              </w:rPr>
            </w:pPr>
            <w:r>
              <w:rPr>
                <w:rFonts w:ascii="Arial" w:cs="Arial" w:eastAsia="Arial" w:hAnsi="Arial"/>
                <w:sz w:val="18"/>
                <w:szCs w:val="18"/>
                <w:color w:val="4C4C4C"/>
              </w:rPr>
              <w:t>​</w:t>
            </w:r>
          </w:p>
        </w:tc>
        <w:tc>
          <w:tcPr>
            <w:tcW w:w="320" w:type="dxa"/>
            <w:vAlign w:val="bottom"/>
          </w:tcPr>
          <w:p>
            <w:pPr>
              <w:jc w:val="right"/>
              <w:spacing w:after="0"/>
              <w:rPr>
                <w:sz w:val="20"/>
                <w:szCs w:val="20"/>
                <w:color w:val="auto"/>
              </w:rPr>
            </w:pPr>
            <w:r>
              <w:rPr>
                <w:rFonts w:ascii="Arial" w:cs="Arial" w:eastAsia="Arial" w:hAnsi="Arial"/>
                <w:sz w:val="18"/>
                <w:szCs w:val="18"/>
                <w:color w:val="4C4C4C"/>
              </w:rPr>
              <w:t>* ​</w:t>
            </w:r>
          </w:p>
        </w:tc>
      </w:tr>
      <w:tr>
        <w:trPr>
          <w:trHeight w:val="243"/>
        </w:trPr>
        <w:tc>
          <w:tcPr>
            <w:tcW w:w="160" w:type="dxa"/>
            <w:vAlign w:val="bottom"/>
          </w:tcPr>
          <w:p>
            <w:pPr>
              <w:spacing w:after="0"/>
              <w:rPr>
                <w:sz w:val="20"/>
                <w:szCs w:val="20"/>
                <w:color w:val="auto"/>
              </w:rPr>
            </w:pPr>
            <w:r>
              <w:rPr>
                <w:rFonts w:ascii="Arial" w:cs="Arial" w:eastAsia="Arial" w:hAnsi="Arial"/>
                <w:sz w:val="18"/>
                <w:szCs w:val="18"/>
                <w:color w:val="4C4C4C"/>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4C4C4C"/>
              </w:rPr>
              <w:t>412,782</w:t>
            </w:r>
          </w:p>
        </w:tc>
        <w:tc>
          <w:tcPr>
            <w:tcW w:w="600" w:type="dxa"/>
            <w:vAlign w:val="bottom"/>
          </w:tcPr>
          <w:p>
            <w:pPr>
              <w:ind w:left="380"/>
              <w:spacing w:after="0"/>
              <w:rPr>
                <w:sz w:val="20"/>
                <w:szCs w:val="20"/>
                <w:color w:val="auto"/>
              </w:rPr>
            </w:pPr>
            <w:r>
              <w:rPr>
                <w:rFonts w:ascii="Arial" w:cs="Arial" w:eastAsia="Arial" w:hAnsi="Arial"/>
                <w:sz w:val="18"/>
                <w:szCs w:val="18"/>
                <w:color w:val="4C4C4C"/>
              </w:rPr>
              <w:t>​</w:t>
            </w:r>
          </w:p>
        </w:tc>
        <w:tc>
          <w:tcPr>
            <w:tcW w:w="320" w:type="dxa"/>
            <w:vAlign w:val="bottom"/>
          </w:tcPr>
          <w:p>
            <w:pPr>
              <w:jc w:val="right"/>
              <w:spacing w:after="0"/>
              <w:rPr>
                <w:sz w:val="20"/>
                <w:szCs w:val="20"/>
                <w:color w:val="auto"/>
              </w:rPr>
            </w:pPr>
            <w:r>
              <w:rPr>
                <w:rFonts w:ascii="Arial" w:cs="Arial" w:eastAsia="Arial" w:hAnsi="Arial"/>
                <w:sz w:val="18"/>
                <w:szCs w:val="18"/>
                <w:color w:val="4C4C4C"/>
              </w:rPr>
              <w:t>* ​</w:t>
            </w:r>
          </w:p>
        </w:tc>
      </w:tr>
      <w:tr>
        <w:trPr>
          <w:trHeight w:val="243"/>
        </w:trPr>
        <w:tc>
          <w:tcPr>
            <w:tcW w:w="160" w:type="dxa"/>
            <w:vAlign w:val="bottom"/>
          </w:tcPr>
          <w:p>
            <w:pPr>
              <w:spacing w:after="0"/>
              <w:rPr>
                <w:sz w:val="20"/>
                <w:szCs w:val="20"/>
                <w:color w:val="auto"/>
              </w:rPr>
            </w:pPr>
            <w:r>
              <w:rPr>
                <w:rFonts w:ascii="Arial" w:cs="Arial" w:eastAsia="Arial" w:hAnsi="Arial"/>
                <w:sz w:val="18"/>
                <w:szCs w:val="18"/>
                <w:color w:val="4C4C4C"/>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4C4C4C"/>
              </w:rPr>
              <w:t>643,720</w:t>
            </w:r>
          </w:p>
        </w:tc>
        <w:tc>
          <w:tcPr>
            <w:tcW w:w="600" w:type="dxa"/>
            <w:vAlign w:val="bottom"/>
          </w:tcPr>
          <w:p>
            <w:pPr>
              <w:ind w:left="380"/>
              <w:spacing w:after="0"/>
              <w:rPr>
                <w:sz w:val="20"/>
                <w:szCs w:val="20"/>
                <w:color w:val="auto"/>
              </w:rPr>
            </w:pPr>
            <w:r>
              <w:rPr>
                <w:rFonts w:ascii="Arial" w:cs="Arial" w:eastAsia="Arial" w:hAnsi="Arial"/>
                <w:sz w:val="18"/>
                <w:szCs w:val="18"/>
                <w:color w:val="4C4C4C"/>
              </w:rPr>
              <w:t>​</w:t>
            </w:r>
          </w:p>
        </w:tc>
        <w:tc>
          <w:tcPr>
            <w:tcW w:w="320" w:type="dxa"/>
            <w:vAlign w:val="bottom"/>
          </w:tcPr>
          <w:p>
            <w:pPr>
              <w:jc w:val="right"/>
              <w:spacing w:after="0"/>
              <w:rPr>
                <w:sz w:val="20"/>
                <w:szCs w:val="20"/>
                <w:color w:val="auto"/>
              </w:rPr>
            </w:pPr>
            <w:r>
              <w:rPr>
                <w:rFonts w:ascii="Arial" w:cs="Arial" w:eastAsia="Arial" w:hAnsi="Arial"/>
                <w:sz w:val="18"/>
                <w:szCs w:val="18"/>
                <w:color w:val="4C4C4C"/>
              </w:rPr>
              <w:t>* ​</w:t>
            </w:r>
          </w:p>
        </w:tc>
      </w:tr>
      <w:tr>
        <w:trPr>
          <w:trHeight w:val="243"/>
        </w:trPr>
        <w:tc>
          <w:tcPr>
            <w:tcW w:w="160" w:type="dxa"/>
            <w:vAlign w:val="bottom"/>
          </w:tcPr>
          <w:p>
            <w:pPr>
              <w:spacing w:after="0"/>
              <w:rPr>
                <w:sz w:val="20"/>
                <w:szCs w:val="20"/>
                <w:color w:val="auto"/>
              </w:rPr>
            </w:pPr>
            <w:r>
              <w:rPr>
                <w:rFonts w:ascii="Arial" w:cs="Arial" w:eastAsia="Arial" w:hAnsi="Arial"/>
                <w:sz w:val="18"/>
                <w:szCs w:val="18"/>
                <w:color w:val="4C4C4C"/>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4C4C4C"/>
              </w:rPr>
              <w:t>421,977</w:t>
            </w:r>
          </w:p>
        </w:tc>
        <w:tc>
          <w:tcPr>
            <w:tcW w:w="600" w:type="dxa"/>
            <w:vAlign w:val="bottom"/>
          </w:tcPr>
          <w:p>
            <w:pPr>
              <w:ind w:left="380"/>
              <w:spacing w:after="0"/>
              <w:rPr>
                <w:sz w:val="20"/>
                <w:szCs w:val="20"/>
                <w:color w:val="auto"/>
              </w:rPr>
            </w:pPr>
            <w:r>
              <w:rPr>
                <w:rFonts w:ascii="Arial" w:cs="Arial" w:eastAsia="Arial" w:hAnsi="Arial"/>
                <w:sz w:val="18"/>
                <w:szCs w:val="18"/>
                <w:color w:val="4C4C4C"/>
              </w:rPr>
              <w:t>​</w:t>
            </w:r>
          </w:p>
        </w:tc>
        <w:tc>
          <w:tcPr>
            <w:tcW w:w="320" w:type="dxa"/>
            <w:vAlign w:val="bottom"/>
          </w:tcPr>
          <w:p>
            <w:pPr>
              <w:jc w:val="right"/>
              <w:spacing w:after="0"/>
              <w:rPr>
                <w:sz w:val="20"/>
                <w:szCs w:val="20"/>
                <w:color w:val="auto"/>
              </w:rPr>
            </w:pPr>
            <w:r>
              <w:rPr>
                <w:rFonts w:ascii="Arial" w:cs="Arial" w:eastAsia="Arial" w:hAnsi="Arial"/>
                <w:sz w:val="18"/>
                <w:szCs w:val="18"/>
                <w:color w:val="4C4C4C"/>
              </w:rPr>
              <w:t>* ​</w:t>
            </w:r>
          </w:p>
        </w:tc>
      </w:tr>
      <w:tr>
        <w:trPr>
          <w:trHeight w:val="243"/>
        </w:trPr>
        <w:tc>
          <w:tcPr>
            <w:tcW w:w="160" w:type="dxa"/>
            <w:vAlign w:val="bottom"/>
          </w:tcPr>
          <w:p>
            <w:pPr>
              <w:spacing w:after="0"/>
              <w:rPr>
                <w:sz w:val="20"/>
                <w:szCs w:val="20"/>
                <w:color w:val="auto"/>
              </w:rPr>
            </w:pPr>
            <w:r>
              <w:rPr>
                <w:rFonts w:ascii="Arial" w:cs="Arial" w:eastAsia="Arial" w:hAnsi="Arial"/>
                <w:sz w:val="18"/>
                <w:szCs w:val="18"/>
                <w:color w:val="4C4C4C"/>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4C4C4C"/>
              </w:rPr>
              <w:t>619,087</w:t>
            </w:r>
          </w:p>
        </w:tc>
        <w:tc>
          <w:tcPr>
            <w:tcW w:w="600" w:type="dxa"/>
            <w:vAlign w:val="bottom"/>
          </w:tcPr>
          <w:p>
            <w:pPr>
              <w:ind w:left="380"/>
              <w:spacing w:after="0"/>
              <w:rPr>
                <w:sz w:val="20"/>
                <w:szCs w:val="20"/>
                <w:color w:val="auto"/>
              </w:rPr>
            </w:pPr>
            <w:r>
              <w:rPr>
                <w:rFonts w:ascii="Arial" w:cs="Arial" w:eastAsia="Arial" w:hAnsi="Arial"/>
                <w:sz w:val="18"/>
                <w:szCs w:val="18"/>
                <w:color w:val="4C4C4C"/>
              </w:rPr>
              <w:t>​</w:t>
            </w:r>
          </w:p>
        </w:tc>
        <w:tc>
          <w:tcPr>
            <w:tcW w:w="320" w:type="dxa"/>
            <w:vAlign w:val="bottom"/>
          </w:tcPr>
          <w:p>
            <w:pPr>
              <w:jc w:val="right"/>
              <w:spacing w:after="0"/>
              <w:rPr>
                <w:sz w:val="20"/>
                <w:szCs w:val="20"/>
                <w:color w:val="auto"/>
              </w:rPr>
            </w:pPr>
            <w:r>
              <w:rPr>
                <w:rFonts w:ascii="Arial" w:cs="Arial" w:eastAsia="Arial" w:hAnsi="Arial"/>
                <w:sz w:val="18"/>
                <w:szCs w:val="18"/>
                <w:color w:val="4C4C4C"/>
              </w:rPr>
              <w:t>* ​</w:t>
            </w:r>
          </w:p>
        </w:tc>
      </w:tr>
      <w:tr>
        <w:trPr>
          <w:trHeight w:val="243"/>
        </w:trPr>
        <w:tc>
          <w:tcPr>
            <w:tcW w:w="160" w:type="dxa"/>
            <w:vAlign w:val="bottom"/>
          </w:tcPr>
          <w:p>
            <w:pPr>
              <w:spacing w:after="0"/>
              <w:rPr>
                <w:sz w:val="20"/>
                <w:szCs w:val="20"/>
                <w:color w:val="auto"/>
              </w:rPr>
            </w:pPr>
            <w:r>
              <w:rPr>
                <w:rFonts w:ascii="Arial" w:cs="Arial" w:eastAsia="Arial" w:hAnsi="Arial"/>
                <w:sz w:val="18"/>
                <w:szCs w:val="18"/>
                <w:color w:val="4C4C4C"/>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4C4C4C"/>
              </w:rPr>
              <w:t>698,710</w:t>
            </w:r>
          </w:p>
        </w:tc>
        <w:tc>
          <w:tcPr>
            <w:tcW w:w="600" w:type="dxa"/>
            <w:vAlign w:val="bottom"/>
          </w:tcPr>
          <w:p>
            <w:pPr>
              <w:ind w:left="380"/>
              <w:spacing w:after="0"/>
              <w:rPr>
                <w:sz w:val="20"/>
                <w:szCs w:val="20"/>
                <w:color w:val="auto"/>
              </w:rPr>
            </w:pPr>
            <w:r>
              <w:rPr>
                <w:rFonts w:ascii="Arial" w:cs="Arial" w:eastAsia="Arial" w:hAnsi="Arial"/>
                <w:sz w:val="18"/>
                <w:szCs w:val="18"/>
                <w:color w:val="4C4C4C"/>
              </w:rPr>
              <w:t>​</w:t>
            </w:r>
          </w:p>
        </w:tc>
        <w:tc>
          <w:tcPr>
            <w:tcW w:w="320" w:type="dxa"/>
            <w:vAlign w:val="bottom"/>
          </w:tcPr>
          <w:p>
            <w:pPr>
              <w:jc w:val="right"/>
              <w:spacing w:after="0"/>
              <w:rPr>
                <w:sz w:val="20"/>
                <w:szCs w:val="20"/>
                <w:color w:val="auto"/>
              </w:rPr>
            </w:pPr>
            <w:r>
              <w:rPr>
                <w:rFonts w:ascii="Arial" w:cs="Arial" w:eastAsia="Arial" w:hAnsi="Arial"/>
                <w:sz w:val="18"/>
                <w:szCs w:val="18"/>
                <w:color w:val="4C4C4C"/>
              </w:rPr>
              <w:t>* ​</w:t>
            </w:r>
          </w:p>
        </w:tc>
      </w:tr>
      <w:tr>
        <w:trPr>
          <w:trHeight w:val="243"/>
        </w:trPr>
        <w:tc>
          <w:tcPr>
            <w:tcW w:w="160" w:type="dxa"/>
            <w:vAlign w:val="bottom"/>
          </w:tcPr>
          <w:p>
            <w:pPr>
              <w:spacing w:after="0"/>
              <w:rPr>
                <w:sz w:val="20"/>
                <w:szCs w:val="20"/>
                <w:color w:val="auto"/>
              </w:rPr>
            </w:pPr>
            <w:r>
              <w:rPr>
                <w:rFonts w:ascii="Arial" w:cs="Arial" w:eastAsia="Arial" w:hAnsi="Arial"/>
                <w:sz w:val="18"/>
                <w:szCs w:val="18"/>
                <w:color w:val="4C4C4C"/>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4C4C4C"/>
              </w:rPr>
              <w:t>481,628</w:t>
            </w:r>
          </w:p>
        </w:tc>
        <w:tc>
          <w:tcPr>
            <w:tcW w:w="600" w:type="dxa"/>
            <w:vAlign w:val="bottom"/>
          </w:tcPr>
          <w:p>
            <w:pPr>
              <w:ind w:left="380"/>
              <w:spacing w:after="0"/>
              <w:rPr>
                <w:sz w:val="20"/>
                <w:szCs w:val="20"/>
                <w:color w:val="auto"/>
              </w:rPr>
            </w:pPr>
            <w:r>
              <w:rPr>
                <w:rFonts w:ascii="Arial" w:cs="Arial" w:eastAsia="Arial" w:hAnsi="Arial"/>
                <w:sz w:val="18"/>
                <w:szCs w:val="18"/>
                <w:color w:val="4C4C4C"/>
              </w:rPr>
              <w:t>​</w:t>
            </w:r>
          </w:p>
        </w:tc>
        <w:tc>
          <w:tcPr>
            <w:tcW w:w="320" w:type="dxa"/>
            <w:vAlign w:val="bottom"/>
          </w:tcPr>
          <w:p>
            <w:pPr>
              <w:jc w:val="right"/>
              <w:spacing w:after="0"/>
              <w:rPr>
                <w:sz w:val="20"/>
                <w:szCs w:val="20"/>
                <w:color w:val="auto"/>
              </w:rPr>
            </w:pPr>
            <w:r>
              <w:rPr>
                <w:rFonts w:ascii="Arial" w:cs="Arial" w:eastAsia="Arial" w:hAnsi="Arial"/>
                <w:sz w:val="18"/>
                <w:szCs w:val="18"/>
                <w:color w:val="4C4C4C"/>
              </w:rPr>
              <w:t>* ​</w:t>
            </w:r>
          </w:p>
        </w:tc>
      </w:tr>
      <w:tr>
        <w:trPr>
          <w:trHeight w:val="243"/>
        </w:trPr>
        <w:tc>
          <w:tcPr>
            <w:tcW w:w="1260" w:type="dxa"/>
            <w:vAlign w:val="bottom"/>
            <w:gridSpan w:val="2"/>
          </w:tcPr>
          <w:p>
            <w:pPr>
              <w:spacing w:after="0"/>
              <w:rPr>
                <w:sz w:val="20"/>
                <w:szCs w:val="20"/>
                <w:color w:val="auto"/>
              </w:rPr>
            </w:pPr>
            <w:r>
              <w:rPr>
                <w:rFonts w:ascii="Arial" w:cs="Arial" w:eastAsia="Arial" w:hAnsi="Arial"/>
                <w:sz w:val="18"/>
                <w:szCs w:val="18"/>
                <w:color w:val="4C4C4C"/>
              </w:rPr>
              <w:t>​17,217,848</w:t>
            </w:r>
          </w:p>
        </w:tc>
        <w:tc>
          <w:tcPr>
            <w:tcW w:w="920" w:type="dxa"/>
            <w:vAlign w:val="bottom"/>
            <w:gridSpan w:val="2"/>
          </w:tcPr>
          <w:p>
            <w:pPr>
              <w:jc w:val="right"/>
              <w:spacing w:after="0"/>
              <w:rPr>
                <w:sz w:val="20"/>
                <w:szCs w:val="20"/>
                <w:color w:val="auto"/>
              </w:rPr>
            </w:pPr>
            <w:r>
              <w:rPr>
                <w:rFonts w:ascii="Arial" w:cs="Arial" w:eastAsia="Arial" w:hAnsi="Arial"/>
                <w:sz w:val="18"/>
                <w:szCs w:val="18"/>
                <w:color w:val="4C4C4C"/>
              </w:rPr>
              <w:t>​7.09% ​</w:t>
            </w:r>
          </w:p>
        </w:tc>
      </w:tr>
    </w:tbl>
    <w:p>
      <w:pPr>
        <w:spacing w:after="0" w:line="223" w:lineRule="exact"/>
        <w:rPr>
          <w:sz w:val="20"/>
          <w:szCs w:val="20"/>
          <w:color w:val="auto"/>
        </w:rPr>
      </w:pPr>
    </w:p>
    <w:p>
      <w:pPr>
        <w:sectPr>
          <w:pgSz w:w="11900" w:h="16838" w:orient="portrait"/>
          <w:cols w:equalWidth="0" w:num="2">
            <w:col w:w="6580" w:space="720"/>
            <w:col w:w="2579"/>
          </w:cols>
          <w:pgMar w:left="580" w:top="97" w:right="1440" w:bottom="1440" w:gutter="0" w:footer="0" w:header="0"/>
          <w:type w:val="continuous"/>
        </w:sectPr>
      </w:pPr>
    </w:p>
    <w:p>
      <w:pPr>
        <w:spacing w:after="0" w:line="146" w:lineRule="exact"/>
        <w:rPr>
          <w:sz w:val="20"/>
          <w:szCs w:val="20"/>
          <w:color w:val="auto"/>
        </w:rPr>
      </w:pPr>
    </w:p>
    <w:p>
      <w:pPr>
        <w:ind w:left="1780" w:hanging="520"/>
        <w:spacing w:after="0"/>
        <w:tabs>
          <w:tab w:leader="none" w:pos="1780" w:val="left"/>
        </w:tabs>
        <w:numPr>
          <w:ilvl w:val="0"/>
          <w:numId w:val="91"/>
        </w:numPr>
        <w:rPr>
          <w:rFonts w:ascii="Arial" w:cs="Arial" w:eastAsia="Arial" w:hAnsi="Arial"/>
          <w:sz w:val="15"/>
          <w:szCs w:val="15"/>
          <w:color w:val="4C4C4C"/>
        </w:rPr>
      </w:pPr>
      <w:r>
        <w:rPr>
          <w:rFonts w:ascii="Arial" w:cs="Arial" w:eastAsia="Arial" w:hAnsi="Arial"/>
          <w:sz w:val="15"/>
          <w:szCs w:val="15"/>
          <w:color w:val="346094"/>
        </w:rPr>
        <w:t xml:space="preserve">GEVO, INC.  |  </w:t>
      </w:r>
      <w:r>
        <w:rPr>
          <w:rFonts w:ascii="Arial" w:cs="Arial" w:eastAsia="Arial" w:hAnsi="Arial"/>
          <w:sz w:val="15"/>
          <w:szCs w:val="15"/>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274320</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4"/>
          <w:szCs w:val="14"/>
          <w:color w:val="346094"/>
        </w:rPr>
        <w:t>SECURITY OWNERSHIP OF CERTAIN BENEFICIAL OWNERS AND MANAGEMENT</w:t>
      </w:r>
    </w:p>
    <w:p>
      <w:pPr>
        <w:spacing w:after="0" w:line="10"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1"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346094"/>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69215</wp:posOffset>
            </wp:positionV>
            <wp:extent cx="14312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58" w:lineRule="exact"/>
        <w:rPr>
          <w:sz w:val="20"/>
          <w:szCs w:val="20"/>
          <w:color w:val="auto"/>
        </w:rPr>
      </w:pPr>
    </w:p>
    <w:p>
      <w:pPr>
        <w:ind w:left="1620" w:hanging="360"/>
        <w:spacing w:after="0"/>
        <w:tabs>
          <w:tab w:leader="none" w:pos="1620" w:val="left"/>
        </w:tabs>
        <w:numPr>
          <w:ilvl w:val="0"/>
          <w:numId w:val="92"/>
        </w:numPr>
        <w:rPr>
          <w:rFonts w:ascii="Arial" w:cs="Arial" w:eastAsia="Arial" w:hAnsi="Arial"/>
          <w:sz w:val="18"/>
          <w:szCs w:val="18"/>
          <w:color w:val="4C4C4C"/>
        </w:rPr>
      </w:pPr>
      <w:r>
        <w:rPr>
          <w:rFonts w:ascii="Arial" w:cs="Arial" w:eastAsia="Arial" w:hAnsi="Arial"/>
          <w:sz w:val="18"/>
          <w:szCs w:val="18"/>
          <w:color w:val="4C4C4C"/>
        </w:rPr>
        <w:t>Represents beneficial ownership of less than 1%.</w:t>
      </w:r>
    </w:p>
    <w:p>
      <w:pPr>
        <w:spacing w:after="0" w:line="77" w:lineRule="exact"/>
        <w:rPr>
          <w:sz w:val="20"/>
          <w:szCs w:val="20"/>
          <w:color w:val="auto"/>
        </w:rPr>
      </w:pPr>
    </w:p>
    <w:p>
      <w:pPr>
        <w:ind w:left="1620" w:right="1820" w:hanging="360"/>
        <w:spacing w:after="0" w:line="198" w:lineRule="auto"/>
        <w:tabs>
          <w:tab w:leader="none" w:pos="1620" w:val="left"/>
        </w:tabs>
        <w:numPr>
          <w:ilvl w:val="0"/>
          <w:numId w:val="93"/>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Based solely on a Schedule 13G filed with the SEC on July 17, 2025 by BlackRock, Inc. The address for the stockholder is 50 Hudson Yards, New York, NY 10001.</w:t>
      </w:r>
    </w:p>
    <w:p>
      <w:pPr>
        <w:spacing w:after="0" w:line="83" w:lineRule="exact"/>
        <w:rPr>
          <w:rFonts w:ascii="Trebuchet MS" w:cs="Trebuchet MS" w:eastAsia="Trebuchet MS" w:hAnsi="Trebuchet MS"/>
          <w:sz w:val="27"/>
          <w:szCs w:val="27"/>
          <w:color w:val="4C4C4C"/>
          <w:vertAlign w:val="superscript"/>
        </w:rPr>
      </w:pPr>
    </w:p>
    <w:p>
      <w:pPr>
        <w:ind w:left="1620" w:right="1840" w:hanging="360"/>
        <w:spacing w:after="0" w:line="204" w:lineRule="auto"/>
        <w:tabs>
          <w:tab w:leader="none" w:pos="1620" w:val="left"/>
        </w:tabs>
        <w:numPr>
          <w:ilvl w:val="0"/>
          <w:numId w:val="93"/>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Includes 2,780,068 shares issuable pursuant to stock options exercisable within 60 days of March 26, 2026.</w:t>
      </w:r>
    </w:p>
    <w:p>
      <w:pPr>
        <w:spacing w:after="0" w:line="70" w:lineRule="exact"/>
        <w:rPr>
          <w:rFonts w:ascii="Trebuchet MS" w:cs="Trebuchet MS" w:eastAsia="Trebuchet MS" w:hAnsi="Trebuchet MS"/>
          <w:sz w:val="27"/>
          <w:szCs w:val="27"/>
          <w:color w:val="4C4C4C"/>
          <w:vertAlign w:val="superscript"/>
        </w:rPr>
      </w:pPr>
    </w:p>
    <w:p>
      <w:pPr>
        <w:ind w:left="1620" w:right="2100" w:hanging="360"/>
        <w:spacing w:after="0" w:line="204" w:lineRule="auto"/>
        <w:tabs>
          <w:tab w:leader="none" w:pos="1620" w:val="left"/>
        </w:tabs>
        <w:numPr>
          <w:ilvl w:val="0"/>
          <w:numId w:val="93"/>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Includes 50,131 shares issuable pursuant to stock options exercisable within 60 days of March 26, 2026.</w:t>
      </w:r>
    </w:p>
    <w:p>
      <w:pPr>
        <w:ind w:left="1620" w:hanging="360"/>
        <w:spacing w:after="0" w:line="218" w:lineRule="auto"/>
        <w:tabs>
          <w:tab w:leader="none" w:pos="1620" w:val="left"/>
        </w:tabs>
        <w:numPr>
          <w:ilvl w:val="0"/>
          <w:numId w:val="93"/>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Includes (i) 1,289,645 shares issuable pursuant to stock options exercisable within 60 days of</w:t>
      </w:r>
    </w:p>
    <w:p>
      <w:pPr>
        <w:spacing w:after="0" w:line="1" w:lineRule="exact"/>
        <w:rPr>
          <w:rFonts w:ascii="Trebuchet MS" w:cs="Trebuchet MS" w:eastAsia="Trebuchet MS" w:hAnsi="Trebuchet MS"/>
          <w:sz w:val="27"/>
          <w:szCs w:val="27"/>
          <w:color w:val="4C4C4C"/>
          <w:vertAlign w:val="superscript"/>
        </w:rPr>
      </w:pPr>
    </w:p>
    <w:p>
      <w:pPr>
        <w:ind w:left="1620" w:right="1280"/>
        <w:spacing w:after="0" w:line="267" w:lineRule="auto"/>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March 26, 2026 and (ii) 64,327 SARs exercisable within 60 days of March 26, 2026. The SARs may be settled upon vesting in cash or shares of common stock, in the Company’s sole discretion.</w:t>
      </w:r>
    </w:p>
    <w:p>
      <w:pPr>
        <w:spacing w:after="0" w:line="65" w:lineRule="exact"/>
        <w:rPr>
          <w:rFonts w:ascii="Trebuchet MS" w:cs="Trebuchet MS" w:eastAsia="Trebuchet MS" w:hAnsi="Trebuchet MS"/>
          <w:sz w:val="27"/>
          <w:szCs w:val="27"/>
          <w:color w:val="4C4C4C"/>
          <w:vertAlign w:val="superscript"/>
        </w:rPr>
      </w:pPr>
    </w:p>
    <w:p>
      <w:pPr>
        <w:ind w:left="1620" w:right="2000" w:hanging="360"/>
        <w:spacing w:after="0" w:line="204" w:lineRule="auto"/>
        <w:tabs>
          <w:tab w:leader="none" w:pos="1620" w:val="left"/>
        </w:tabs>
        <w:numPr>
          <w:ilvl w:val="0"/>
          <w:numId w:val="93"/>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Includes 946,800 shares issuable pursuant to stock options exercisable within 60 days of March 26, 2026.</w:t>
      </w:r>
    </w:p>
    <w:p>
      <w:pPr>
        <w:spacing w:after="0" w:line="70" w:lineRule="exact"/>
        <w:rPr>
          <w:rFonts w:ascii="Trebuchet MS" w:cs="Trebuchet MS" w:eastAsia="Trebuchet MS" w:hAnsi="Trebuchet MS"/>
          <w:sz w:val="27"/>
          <w:szCs w:val="27"/>
          <w:color w:val="4C4C4C"/>
          <w:vertAlign w:val="superscript"/>
        </w:rPr>
      </w:pPr>
    </w:p>
    <w:p>
      <w:pPr>
        <w:ind w:left="1620" w:right="2000" w:hanging="360"/>
        <w:spacing w:after="0" w:line="204" w:lineRule="auto"/>
        <w:tabs>
          <w:tab w:leader="none" w:pos="1620" w:val="left"/>
        </w:tabs>
        <w:numPr>
          <w:ilvl w:val="0"/>
          <w:numId w:val="93"/>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Includes 311,269 shares issuable pursuant to stock options exercisable within 60 days of March 26, 2026.</w:t>
      </w:r>
    </w:p>
    <w:p>
      <w:pPr>
        <w:spacing w:after="0" w:line="70" w:lineRule="exact"/>
        <w:rPr>
          <w:rFonts w:ascii="Trebuchet MS" w:cs="Trebuchet MS" w:eastAsia="Trebuchet MS" w:hAnsi="Trebuchet MS"/>
          <w:sz w:val="27"/>
          <w:szCs w:val="27"/>
          <w:color w:val="4C4C4C"/>
          <w:vertAlign w:val="superscript"/>
        </w:rPr>
      </w:pPr>
    </w:p>
    <w:p>
      <w:pPr>
        <w:ind w:left="1620" w:right="2000" w:hanging="360"/>
        <w:spacing w:after="0" w:line="204" w:lineRule="auto"/>
        <w:tabs>
          <w:tab w:leader="none" w:pos="1620" w:val="left"/>
        </w:tabs>
        <w:numPr>
          <w:ilvl w:val="0"/>
          <w:numId w:val="93"/>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Includes 159,156 shares issuable pursuant to stock options exercisable within 60 days of March 26, 2026.</w:t>
      </w:r>
    </w:p>
    <w:p>
      <w:pPr>
        <w:spacing w:after="0" w:line="84" w:lineRule="exact"/>
        <w:rPr>
          <w:rFonts w:ascii="Trebuchet MS" w:cs="Trebuchet MS" w:eastAsia="Trebuchet MS" w:hAnsi="Trebuchet MS"/>
          <w:sz w:val="27"/>
          <w:szCs w:val="27"/>
          <w:color w:val="4C4C4C"/>
          <w:vertAlign w:val="superscript"/>
        </w:rPr>
      </w:pPr>
    </w:p>
    <w:p>
      <w:pPr>
        <w:ind w:left="1620" w:right="2000" w:hanging="360"/>
        <w:spacing w:after="0" w:line="204" w:lineRule="auto"/>
        <w:tabs>
          <w:tab w:leader="none" w:pos="1620" w:val="left"/>
        </w:tabs>
        <w:numPr>
          <w:ilvl w:val="0"/>
          <w:numId w:val="93"/>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Includes 134,517 shares issuable pursuant to stock options exercisable within 60 days of March 26, 2026.</w:t>
      </w:r>
    </w:p>
    <w:p>
      <w:pPr>
        <w:spacing w:after="0" w:line="70" w:lineRule="exact"/>
        <w:rPr>
          <w:rFonts w:ascii="Trebuchet MS" w:cs="Trebuchet MS" w:eastAsia="Trebuchet MS" w:hAnsi="Trebuchet MS"/>
          <w:sz w:val="27"/>
          <w:szCs w:val="27"/>
          <w:color w:val="4C4C4C"/>
          <w:vertAlign w:val="superscript"/>
        </w:rPr>
      </w:pPr>
    </w:p>
    <w:p>
      <w:pPr>
        <w:ind w:left="1620" w:right="2000" w:hanging="360"/>
        <w:spacing w:after="0" w:line="204" w:lineRule="auto"/>
        <w:tabs>
          <w:tab w:leader="none" w:pos="1620" w:val="left"/>
        </w:tabs>
        <w:numPr>
          <w:ilvl w:val="0"/>
          <w:numId w:val="93"/>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Includes 425,041 shares issuable pursuant to stock options exercisable within 60 days of March 26, 2026.</w:t>
      </w:r>
    </w:p>
    <w:p>
      <w:pPr>
        <w:spacing w:after="0" w:line="70" w:lineRule="exact"/>
        <w:rPr>
          <w:rFonts w:ascii="Trebuchet MS" w:cs="Trebuchet MS" w:eastAsia="Trebuchet MS" w:hAnsi="Trebuchet MS"/>
          <w:sz w:val="27"/>
          <w:szCs w:val="27"/>
          <w:color w:val="4C4C4C"/>
          <w:vertAlign w:val="superscript"/>
        </w:rPr>
      </w:pPr>
    </w:p>
    <w:p>
      <w:pPr>
        <w:ind w:left="1620" w:right="2000" w:hanging="360"/>
        <w:spacing w:after="0" w:line="204" w:lineRule="auto"/>
        <w:tabs>
          <w:tab w:leader="none" w:pos="1620" w:val="left"/>
        </w:tabs>
        <w:numPr>
          <w:ilvl w:val="0"/>
          <w:numId w:val="93"/>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Includes 359,156 shares issuable pursuant to stock options exercisable within 60 days of March 26, 2026.</w:t>
      </w:r>
    </w:p>
    <w:p>
      <w:pPr>
        <w:spacing w:after="0" w:line="84" w:lineRule="exact"/>
        <w:rPr>
          <w:rFonts w:ascii="Trebuchet MS" w:cs="Trebuchet MS" w:eastAsia="Trebuchet MS" w:hAnsi="Trebuchet MS"/>
          <w:sz w:val="27"/>
          <w:szCs w:val="27"/>
          <w:color w:val="4C4C4C"/>
          <w:vertAlign w:val="superscript"/>
        </w:rPr>
      </w:pPr>
    </w:p>
    <w:p>
      <w:pPr>
        <w:ind w:left="1620" w:right="2000" w:hanging="360"/>
        <w:spacing w:after="0" w:line="204" w:lineRule="auto"/>
        <w:tabs>
          <w:tab w:leader="none" w:pos="1620" w:val="left"/>
        </w:tabs>
        <w:numPr>
          <w:ilvl w:val="0"/>
          <w:numId w:val="93"/>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Includes 425,041 shares issuable pursuant to stock options exercisable within 60 days of March 26, 2026.</w:t>
      </w:r>
    </w:p>
    <w:p>
      <w:pPr>
        <w:spacing w:after="0" w:line="70" w:lineRule="exact"/>
        <w:rPr>
          <w:rFonts w:ascii="Trebuchet MS" w:cs="Trebuchet MS" w:eastAsia="Trebuchet MS" w:hAnsi="Trebuchet MS"/>
          <w:sz w:val="27"/>
          <w:szCs w:val="27"/>
          <w:color w:val="4C4C4C"/>
          <w:vertAlign w:val="superscript"/>
        </w:rPr>
      </w:pPr>
    </w:p>
    <w:p>
      <w:pPr>
        <w:ind w:left="1620" w:right="2000" w:hanging="360"/>
        <w:spacing w:after="0" w:line="204" w:lineRule="auto"/>
        <w:tabs>
          <w:tab w:leader="none" w:pos="1620" w:val="left"/>
        </w:tabs>
        <w:numPr>
          <w:ilvl w:val="0"/>
          <w:numId w:val="93"/>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Includes 200,402 shares issuable pursuant to stock options exercisable within 60 days of March 26, 2026.</w:t>
      </w:r>
    </w:p>
    <w:p>
      <w:pPr>
        <w:ind w:left="1620" w:hanging="360"/>
        <w:spacing w:after="0" w:line="218" w:lineRule="auto"/>
        <w:tabs>
          <w:tab w:leader="none" w:pos="1620" w:val="left"/>
        </w:tabs>
        <w:numPr>
          <w:ilvl w:val="0"/>
          <w:numId w:val="93"/>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Includes 8,136,184 shares issuable pursuant to stock options exercisable within 60 days of</w:t>
      </w:r>
    </w:p>
    <w:p>
      <w:pPr>
        <w:spacing w:after="0" w:line="1" w:lineRule="exact"/>
        <w:rPr>
          <w:rFonts w:ascii="Trebuchet MS" w:cs="Trebuchet MS" w:eastAsia="Trebuchet MS" w:hAnsi="Trebuchet MS"/>
          <w:sz w:val="27"/>
          <w:szCs w:val="27"/>
          <w:color w:val="4C4C4C"/>
          <w:vertAlign w:val="superscript"/>
        </w:rPr>
      </w:pPr>
    </w:p>
    <w:p>
      <w:pPr>
        <w:ind w:left="1620" w:right="1280"/>
        <w:spacing w:after="0" w:line="275" w:lineRule="auto"/>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March 26, 2026 and (ii) 64,327 SARs exercisable within 60 days of March 26, 2026. The SARs may be settled upon vesting in cash or shares of common stock, in the Company’s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20" w:type="dxa"/>
            <w:vAlign w:val="bottom"/>
          </w:tcPr>
          <w:p>
            <w:pPr>
              <w:ind w:left="5880"/>
              <w:spacing w:after="0"/>
              <w:rPr>
                <w:sz w:val="20"/>
                <w:szCs w:val="20"/>
                <w:color w:val="auto"/>
              </w:rPr>
            </w:pPr>
            <w:r>
              <w:rPr>
                <w:rFonts w:ascii="Arial" w:cs="Arial" w:eastAsia="Arial" w:hAnsi="Arial"/>
                <w:sz w:val="18"/>
                <w:szCs w:val="18"/>
                <w:color w:val="346094"/>
                <w:w w:val="93"/>
              </w:rPr>
              <w:t xml:space="preserve">GEVO, INC.  |  </w:t>
            </w:r>
            <w:r>
              <w:rPr>
                <w:rFonts w:ascii="Arial" w:cs="Arial" w:eastAsia="Arial" w:hAnsi="Arial"/>
                <w:sz w:val="18"/>
                <w:szCs w:val="18"/>
                <w:i w:val="1"/>
                <w:iCs w:val="1"/>
                <w:color w:val="4C4C4C"/>
                <w:w w:val="93"/>
              </w:rPr>
              <w:t>2026 PROXY STATEMENT</w:t>
            </w:r>
          </w:p>
        </w:tc>
        <w:tc>
          <w:tcPr>
            <w:tcW w:w="1600" w:type="dxa"/>
            <w:vAlign w:val="bottom"/>
          </w:tcPr>
          <w:p>
            <w:pPr>
              <w:jc w:val="right"/>
              <w:ind w:right="1170"/>
              <w:spacing w:after="0"/>
              <w:rPr>
                <w:sz w:val="20"/>
                <w:szCs w:val="20"/>
                <w:color w:val="auto"/>
              </w:rPr>
            </w:pPr>
            <w:r>
              <w:rPr>
                <w:rFonts w:ascii="Arial" w:cs="Arial" w:eastAsia="Arial" w:hAnsi="Arial"/>
                <w:sz w:val="18"/>
                <w:szCs w:val="18"/>
                <w:color w:val="4C4C4C"/>
              </w:rPr>
              <w:t>59</w:t>
            </w:r>
          </w:p>
        </w:tc>
      </w:tr>
      <w:tr>
        <w:trPr>
          <w:trHeight w:val="395"/>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274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960"/>
        <w:spacing w:after="0"/>
        <w:rPr>
          <w:sz w:val="20"/>
          <w:szCs w:val="20"/>
          <w:color w:val="auto"/>
        </w:rPr>
      </w:pPr>
      <w:r>
        <w:rPr>
          <w:rFonts w:ascii="Trebuchet MS" w:cs="Trebuchet MS" w:eastAsia="Trebuchet MS" w:hAnsi="Trebuchet MS"/>
          <w:sz w:val="29"/>
          <w:szCs w:val="29"/>
          <w:b w:val="1"/>
          <w:bCs w:val="1"/>
          <w:color w:val="FFFFFF"/>
        </w:rPr>
        <w:t>EQUITY CO</w:t>
      </w:r>
      <w:r>
        <w:rPr>
          <w:rFonts w:ascii="Arial" w:cs="Arial" w:eastAsia="Arial" w:hAnsi="Arial"/>
          <w:sz w:val="27"/>
          <w:szCs w:val="27"/>
          <w:b w:val="1"/>
          <w:bCs w:val="1"/>
          <w:color w:val="FFFFFF"/>
        </w:rPr>
        <w:t>M</w:t>
      </w:r>
      <w:r>
        <w:rPr>
          <w:rFonts w:ascii="Trebuchet MS" w:cs="Trebuchet MS" w:eastAsia="Trebuchet MS" w:hAnsi="Trebuchet MS"/>
          <w:sz w:val="29"/>
          <w:szCs w:val="29"/>
          <w:b w:val="1"/>
          <w:bCs w:val="1"/>
          <w:color w:val="FFFFFF"/>
        </w:rPr>
        <w:t>PENSATION PLAN INFOR</w:t>
      </w:r>
      <w:r>
        <w:rPr>
          <w:rFonts w:ascii="Arial" w:cs="Arial" w:eastAsia="Arial" w:hAnsi="Arial"/>
          <w:sz w:val="27"/>
          <w:szCs w:val="27"/>
          <w:b w:val="1"/>
          <w:bCs w:val="1"/>
          <w:color w:val="FFFFFF"/>
        </w:rPr>
        <w:t>M</w:t>
      </w:r>
      <w:r>
        <w:rPr>
          <w:rFonts w:ascii="Trebuchet MS" w:cs="Trebuchet MS" w:eastAsia="Trebuchet MS" w:hAnsi="Trebuchet MS"/>
          <w:sz w:val="29"/>
          <w:szCs w:val="29"/>
          <w:b w:val="1"/>
          <w:bCs w:val="1"/>
          <w:color w:val="FFFFFF"/>
        </w:rPr>
        <w:t>ATION TABLE</w:t>
      </w:r>
    </w:p>
    <w:p>
      <w:pPr>
        <w:spacing w:after="0" w:line="234" w:lineRule="exact"/>
        <w:rPr>
          <w:sz w:val="20"/>
          <w:szCs w:val="20"/>
          <w:color w:val="auto"/>
        </w:rPr>
      </w:pPr>
    </w:p>
    <w:p>
      <w:pPr>
        <w:ind w:left="1260" w:right="679"/>
        <w:spacing w:after="0" w:line="259" w:lineRule="auto"/>
        <w:rPr>
          <w:sz w:val="20"/>
          <w:szCs w:val="20"/>
          <w:color w:val="auto"/>
        </w:rPr>
      </w:pPr>
      <w:r>
        <w:rPr>
          <w:rFonts w:ascii="Arial" w:cs="Arial" w:eastAsia="Arial" w:hAnsi="Arial"/>
          <w:sz w:val="18"/>
          <w:szCs w:val="18"/>
          <w:color w:val="4C4C4C"/>
        </w:rPr>
        <w:t>The following table provides certain information with respect to our equity compensation plans in effect as of December 31, 2025:</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198"/>
        </w:trPr>
        <w:tc>
          <w:tcPr>
            <w:tcW w:w="140" w:type="dxa"/>
            <w:vAlign w:val="bottom"/>
            <w:shd w:val="clear" w:color="auto" w:fill="346094"/>
          </w:tcPr>
          <w:p>
            <w:pPr>
              <w:spacing w:after="0"/>
              <w:rPr>
                <w:sz w:val="17"/>
                <w:szCs w:val="17"/>
                <w:color w:val="auto"/>
              </w:rPr>
            </w:pPr>
          </w:p>
        </w:tc>
        <w:tc>
          <w:tcPr>
            <w:tcW w:w="2660" w:type="dxa"/>
            <w:vAlign w:val="bottom"/>
            <w:shd w:val="clear" w:color="auto" w:fill="346094"/>
          </w:tcPr>
          <w:p>
            <w:pPr>
              <w:spacing w:after="0"/>
              <w:rPr>
                <w:sz w:val="17"/>
                <w:szCs w:val="17"/>
                <w:color w:val="auto"/>
              </w:rPr>
            </w:pPr>
          </w:p>
        </w:tc>
        <w:tc>
          <w:tcPr>
            <w:tcW w:w="220" w:type="dxa"/>
            <w:vAlign w:val="bottom"/>
            <w:shd w:val="clear" w:color="auto" w:fill="346094"/>
          </w:tcPr>
          <w:p>
            <w:pPr>
              <w:spacing w:after="0"/>
              <w:rPr>
                <w:sz w:val="17"/>
                <w:szCs w:val="17"/>
                <w:color w:val="auto"/>
              </w:rPr>
            </w:pPr>
          </w:p>
        </w:tc>
        <w:tc>
          <w:tcPr>
            <w:tcW w:w="980" w:type="dxa"/>
            <w:vAlign w:val="bottom"/>
            <w:shd w:val="clear" w:color="auto" w:fill="346094"/>
          </w:tcPr>
          <w:p>
            <w:pPr>
              <w:jc w:val="center"/>
              <w:ind w:left="25"/>
              <w:spacing w:after="0"/>
              <w:rPr>
                <w:sz w:val="20"/>
                <w:szCs w:val="20"/>
                <w:color w:val="auto"/>
              </w:rPr>
            </w:pPr>
            <w:r>
              <w:rPr>
                <w:rFonts w:ascii="Arial" w:cs="Arial" w:eastAsia="Arial" w:hAnsi="Arial"/>
                <w:sz w:val="14"/>
                <w:szCs w:val="14"/>
                <w:b w:val="1"/>
                <w:bCs w:val="1"/>
                <w:color w:val="FFFFFF"/>
              </w:rPr>
              <w:t>Number of</w:t>
            </w:r>
          </w:p>
        </w:tc>
        <w:tc>
          <w:tcPr>
            <w:tcW w:w="160" w:type="dxa"/>
            <w:vAlign w:val="bottom"/>
            <w:shd w:val="clear" w:color="auto" w:fill="346094"/>
          </w:tcPr>
          <w:p>
            <w:pPr>
              <w:spacing w:after="0"/>
              <w:rPr>
                <w:sz w:val="17"/>
                <w:szCs w:val="17"/>
                <w:color w:val="auto"/>
              </w:rPr>
            </w:pPr>
          </w:p>
        </w:tc>
        <w:tc>
          <w:tcPr>
            <w:tcW w:w="200" w:type="dxa"/>
            <w:vAlign w:val="bottom"/>
            <w:shd w:val="clear" w:color="auto" w:fill="346094"/>
          </w:tcPr>
          <w:p>
            <w:pPr>
              <w:spacing w:after="0"/>
              <w:rPr>
                <w:sz w:val="17"/>
                <w:szCs w:val="17"/>
                <w:color w:val="auto"/>
              </w:rPr>
            </w:pPr>
          </w:p>
        </w:tc>
        <w:tc>
          <w:tcPr>
            <w:tcW w:w="1120" w:type="dxa"/>
            <w:vAlign w:val="bottom"/>
            <w:shd w:val="clear" w:color="auto" w:fill="346094"/>
          </w:tcPr>
          <w:p>
            <w:pPr>
              <w:spacing w:after="0"/>
              <w:rPr>
                <w:sz w:val="17"/>
                <w:szCs w:val="17"/>
                <w:color w:val="auto"/>
              </w:rPr>
            </w:pPr>
          </w:p>
        </w:tc>
        <w:tc>
          <w:tcPr>
            <w:tcW w:w="220" w:type="dxa"/>
            <w:vAlign w:val="bottom"/>
            <w:shd w:val="clear" w:color="auto" w:fill="346094"/>
          </w:tcPr>
          <w:p>
            <w:pPr>
              <w:spacing w:after="0"/>
              <w:rPr>
                <w:sz w:val="17"/>
                <w:szCs w:val="17"/>
                <w:color w:val="auto"/>
              </w:rPr>
            </w:pPr>
          </w:p>
        </w:tc>
        <w:tc>
          <w:tcPr>
            <w:tcW w:w="220" w:type="dxa"/>
            <w:vAlign w:val="bottom"/>
            <w:shd w:val="clear" w:color="auto" w:fill="346094"/>
          </w:tcPr>
          <w:p>
            <w:pPr>
              <w:spacing w:after="0"/>
              <w:rPr>
                <w:sz w:val="17"/>
                <w:szCs w:val="17"/>
                <w:color w:val="auto"/>
              </w:rPr>
            </w:pPr>
          </w:p>
        </w:tc>
        <w:tc>
          <w:tcPr>
            <w:tcW w:w="1920" w:type="dxa"/>
            <w:vAlign w:val="bottom"/>
            <w:shd w:val="clear" w:color="auto" w:fill="346094"/>
          </w:tcPr>
          <w:p>
            <w:pPr>
              <w:spacing w:after="0"/>
              <w:rPr>
                <w:sz w:val="17"/>
                <w:szCs w:val="17"/>
                <w:color w:val="auto"/>
              </w:rPr>
            </w:pPr>
          </w:p>
        </w:tc>
        <w:tc>
          <w:tcPr>
            <w:tcW w:w="320" w:type="dxa"/>
            <w:vAlign w:val="bottom"/>
            <w:shd w:val="clear" w:color="auto" w:fill="346094"/>
          </w:tcPr>
          <w:p>
            <w:pPr>
              <w:spacing w:after="0"/>
              <w:rPr>
                <w:sz w:val="17"/>
                <w:szCs w:val="17"/>
                <w:color w:val="auto"/>
              </w:rPr>
            </w:pPr>
          </w:p>
        </w:tc>
        <w:tc>
          <w:tcPr>
            <w:tcW w:w="40" w:type="dxa"/>
            <w:vAlign w:val="bottom"/>
            <w:shd w:val="clear" w:color="auto" w:fill="34609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346094"/>
          </w:tcPr>
          <w:p>
            <w:pPr>
              <w:spacing w:after="0"/>
              <w:rPr>
                <w:sz w:val="14"/>
                <w:szCs w:val="14"/>
                <w:color w:val="auto"/>
              </w:rPr>
            </w:pPr>
          </w:p>
        </w:tc>
        <w:tc>
          <w:tcPr>
            <w:tcW w:w="2660" w:type="dxa"/>
            <w:vAlign w:val="bottom"/>
            <w:shd w:val="clear" w:color="auto" w:fill="346094"/>
          </w:tcPr>
          <w:p>
            <w:pPr>
              <w:spacing w:after="0"/>
              <w:rPr>
                <w:sz w:val="14"/>
                <w:szCs w:val="14"/>
                <w:color w:val="auto"/>
              </w:rPr>
            </w:pPr>
          </w:p>
        </w:tc>
        <w:tc>
          <w:tcPr>
            <w:tcW w:w="220" w:type="dxa"/>
            <w:vAlign w:val="bottom"/>
            <w:shd w:val="clear" w:color="auto" w:fill="346094"/>
          </w:tcPr>
          <w:p>
            <w:pPr>
              <w:spacing w:after="0"/>
              <w:rPr>
                <w:sz w:val="14"/>
                <w:szCs w:val="14"/>
                <w:color w:val="auto"/>
              </w:rPr>
            </w:pPr>
          </w:p>
        </w:tc>
        <w:tc>
          <w:tcPr>
            <w:tcW w:w="114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rPr>
              <w:t>Securities to be</w:t>
            </w:r>
          </w:p>
        </w:tc>
        <w:tc>
          <w:tcPr>
            <w:tcW w:w="200" w:type="dxa"/>
            <w:vAlign w:val="bottom"/>
            <w:shd w:val="clear" w:color="auto" w:fill="346094"/>
          </w:tcPr>
          <w:p>
            <w:pPr>
              <w:spacing w:after="0"/>
              <w:rPr>
                <w:sz w:val="14"/>
                <w:szCs w:val="14"/>
                <w:color w:val="auto"/>
              </w:rPr>
            </w:pPr>
          </w:p>
        </w:tc>
        <w:tc>
          <w:tcPr>
            <w:tcW w:w="1120" w:type="dxa"/>
            <w:vAlign w:val="bottom"/>
            <w:shd w:val="clear" w:color="auto" w:fill="346094"/>
          </w:tcPr>
          <w:p>
            <w:pPr>
              <w:spacing w:after="0"/>
              <w:rPr>
                <w:sz w:val="14"/>
                <w:szCs w:val="14"/>
                <w:color w:val="auto"/>
              </w:rPr>
            </w:pPr>
          </w:p>
        </w:tc>
        <w:tc>
          <w:tcPr>
            <w:tcW w:w="220" w:type="dxa"/>
            <w:vAlign w:val="bottom"/>
            <w:shd w:val="clear" w:color="auto" w:fill="346094"/>
          </w:tcPr>
          <w:p>
            <w:pPr>
              <w:spacing w:after="0"/>
              <w:rPr>
                <w:sz w:val="14"/>
                <w:szCs w:val="14"/>
                <w:color w:val="auto"/>
              </w:rPr>
            </w:pPr>
          </w:p>
        </w:tc>
        <w:tc>
          <w:tcPr>
            <w:tcW w:w="220" w:type="dxa"/>
            <w:vAlign w:val="bottom"/>
            <w:shd w:val="clear" w:color="auto" w:fill="346094"/>
          </w:tcPr>
          <w:p>
            <w:pPr>
              <w:spacing w:after="0"/>
              <w:rPr>
                <w:sz w:val="14"/>
                <w:szCs w:val="14"/>
                <w:color w:val="auto"/>
              </w:rPr>
            </w:pPr>
          </w:p>
        </w:tc>
        <w:tc>
          <w:tcPr>
            <w:tcW w:w="1920" w:type="dxa"/>
            <w:vAlign w:val="bottom"/>
            <w:shd w:val="clear" w:color="auto" w:fill="346094"/>
          </w:tcPr>
          <w:p>
            <w:pPr>
              <w:spacing w:after="0"/>
              <w:rPr>
                <w:sz w:val="14"/>
                <w:szCs w:val="14"/>
                <w:color w:val="auto"/>
              </w:rPr>
            </w:pPr>
          </w:p>
        </w:tc>
        <w:tc>
          <w:tcPr>
            <w:tcW w:w="320" w:type="dxa"/>
            <w:vAlign w:val="bottom"/>
            <w:shd w:val="clear" w:color="auto" w:fill="346094"/>
          </w:tcPr>
          <w:p>
            <w:pPr>
              <w:spacing w:after="0"/>
              <w:rPr>
                <w:sz w:val="14"/>
                <w:szCs w:val="14"/>
                <w:color w:val="auto"/>
              </w:rPr>
            </w:pPr>
          </w:p>
        </w:tc>
        <w:tc>
          <w:tcPr>
            <w:tcW w:w="40" w:type="dxa"/>
            <w:vAlign w:val="bottom"/>
            <w:shd w:val="clear" w:color="auto" w:fill="34609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346094"/>
          </w:tcPr>
          <w:p>
            <w:pPr>
              <w:spacing w:after="0"/>
              <w:rPr>
                <w:sz w:val="14"/>
                <w:szCs w:val="14"/>
                <w:color w:val="auto"/>
              </w:rPr>
            </w:pPr>
          </w:p>
        </w:tc>
        <w:tc>
          <w:tcPr>
            <w:tcW w:w="2660" w:type="dxa"/>
            <w:vAlign w:val="bottom"/>
            <w:shd w:val="clear" w:color="auto" w:fill="346094"/>
          </w:tcPr>
          <w:p>
            <w:pPr>
              <w:spacing w:after="0"/>
              <w:rPr>
                <w:sz w:val="14"/>
                <w:szCs w:val="14"/>
                <w:color w:val="auto"/>
              </w:rPr>
            </w:pPr>
          </w:p>
        </w:tc>
        <w:tc>
          <w:tcPr>
            <w:tcW w:w="220" w:type="dxa"/>
            <w:vAlign w:val="bottom"/>
            <w:shd w:val="clear" w:color="auto" w:fill="346094"/>
          </w:tcPr>
          <w:p>
            <w:pPr>
              <w:spacing w:after="0"/>
              <w:rPr>
                <w:sz w:val="14"/>
                <w:szCs w:val="14"/>
                <w:color w:val="auto"/>
              </w:rPr>
            </w:pPr>
          </w:p>
        </w:tc>
        <w:tc>
          <w:tcPr>
            <w:tcW w:w="980" w:type="dxa"/>
            <w:vAlign w:val="bottom"/>
            <w:shd w:val="clear" w:color="auto" w:fill="346094"/>
          </w:tcPr>
          <w:p>
            <w:pPr>
              <w:jc w:val="center"/>
              <w:ind w:left="25"/>
              <w:spacing w:after="0"/>
              <w:rPr>
                <w:sz w:val="20"/>
                <w:szCs w:val="20"/>
                <w:color w:val="auto"/>
              </w:rPr>
            </w:pPr>
            <w:r>
              <w:rPr>
                <w:rFonts w:ascii="Arial" w:cs="Arial" w:eastAsia="Arial" w:hAnsi="Arial"/>
                <w:sz w:val="14"/>
                <w:szCs w:val="14"/>
                <w:b w:val="1"/>
                <w:bCs w:val="1"/>
                <w:color w:val="FFFFFF"/>
                <w:w w:val="95"/>
              </w:rPr>
              <w:t>Issued Upon</w:t>
            </w:r>
          </w:p>
        </w:tc>
        <w:tc>
          <w:tcPr>
            <w:tcW w:w="160" w:type="dxa"/>
            <w:vAlign w:val="bottom"/>
            <w:shd w:val="clear" w:color="auto" w:fill="346094"/>
          </w:tcPr>
          <w:p>
            <w:pPr>
              <w:spacing w:after="0"/>
              <w:rPr>
                <w:sz w:val="14"/>
                <w:szCs w:val="14"/>
                <w:color w:val="auto"/>
              </w:rPr>
            </w:pPr>
          </w:p>
        </w:tc>
        <w:tc>
          <w:tcPr>
            <w:tcW w:w="200" w:type="dxa"/>
            <w:vAlign w:val="bottom"/>
            <w:shd w:val="clear" w:color="auto" w:fill="346094"/>
          </w:tcPr>
          <w:p>
            <w:pPr>
              <w:spacing w:after="0"/>
              <w:rPr>
                <w:sz w:val="14"/>
                <w:szCs w:val="14"/>
                <w:color w:val="auto"/>
              </w:rPr>
            </w:pPr>
          </w:p>
        </w:tc>
        <w:tc>
          <w:tcPr>
            <w:tcW w:w="1120" w:type="dxa"/>
            <w:vAlign w:val="bottom"/>
            <w:shd w:val="clear" w:color="auto" w:fill="346094"/>
          </w:tcPr>
          <w:p>
            <w:pPr>
              <w:spacing w:after="0"/>
              <w:rPr>
                <w:sz w:val="14"/>
                <w:szCs w:val="14"/>
                <w:color w:val="auto"/>
              </w:rPr>
            </w:pPr>
          </w:p>
        </w:tc>
        <w:tc>
          <w:tcPr>
            <w:tcW w:w="220" w:type="dxa"/>
            <w:vAlign w:val="bottom"/>
            <w:shd w:val="clear" w:color="auto" w:fill="346094"/>
          </w:tcPr>
          <w:p>
            <w:pPr>
              <w:spacing w:after="0"/>
              <w:rPr>
                <w:sz w:val="14"/>
                <w:szCs w:val="14"/>
                <w:color w:val="auto"/>
              </w:rPr>
            </w:pPr>
          </w:p>
        </w:tc>
        <w:tc>
          <w:tcPr>
            <w:tcW w:w="220" w:type="dxa"/>
            <w:vAlign w:val="bottom"/>
            <w:shd w:val="clear" w:color="auto" w:fill="346094"/>
          </w:tcPr>
          <w:p>
            <w:pPr>
              <w:spacing w:after="0"/>
              <w:rPr>
                <w:sz w:val="14"/>
                <w:szCs w:val="14"/>
                <w:color w:val="auto"/>
              </w:rPr>
            </w:pPr>
          </w:p>
        </w:tc>
        <w:tc>
          <w:tcPr>
            <w:tcW w:w="1920" w:type="dxa"/>
            <w:vAlign w:val="bottom"/>
            <w:shd w:val="clear" w:color="auto" w:fill="346094"/>
          </w:tcPr>
          <w:p>
            <w:pPr>
              <w:jc w:val="center"/>
              <w:ind w:left="184"/>
              <w:spacing w:after="0"/>
              <w:rPr>
                <w:sz w:val="20"/>
                <w:szCs w:val="20"/>
                <w:color w:val="auto"/>
              </w:rPr>
            </w:pPr>
            <w:r>
              <w:rPr>
                <w:rFonts w:ascii="Arial" w:cs="Arial" w:eastAsia="Arial" w:hAnsi="Arial"/>
                <w:sz w:val="14"/>
                <w:szCs w:val="14"/>
                <w:b w:val="1"/>
                <w:bCs w:val="1"/>
                <w:color w:val="FFFFFF"/>
              </w:rPr>
              <w:t>Number of Securities</w:t>
            </w:r>
          </w:p>
        </w:tc>
        <w:tc>
          <w:tcPr>
            <w:tcW w:w="320" w:type="dxa"/>
            <w:vAlign w:val="bottom"/>
            <w:shd w:val="clear" w:color="auto" w:fill="346094"/>
          </w:tcPr>
          <w:p>
            <w:pPr>
              <w:spacing w:after="0"/>
              <w:rPr>
                <w:sz w:val="14"/>
                <w:szCs w:val="14"/>
                <w:color w:val="auto"/>
              </w:rPr>
            </w:pPr>
          </w:p>
        </w:tc>
        <w:tc>
          <w:tcPr>
            <w:tcW w:w="40" w:type="dxa"/>
            <w:vAlign w:val="bottom"/>
            <w:shd w:val="clear" w:color="auto" w:fill="34609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346094"/>
          </w:tcPr>
          <w:p>
            <w:pPr>
              <w:spacing w:after="0"/>
              <w:rPr>
                <w:sz w:val="14"/>
                <w:szCs w:val="14"/>
                <w:color w:val="auto"/>
              </w:rPr>
            </w:pPr>
          </w:p>
        </w:tc>
        <w:tc>
          <w:tcPr>
            <w:tcW w:w="2660" w:type="dxa"/>
            <w:vAlign w:val="bottom"/>
            <w:shd w:val="clear" w:color="auto" w:fill="346094"/>
          </w:tcPr>
          <w:p>
            <w:pPr>
              <w:spacing w:after="0"/>
              <w:rPr>
                <w:sz w:val="14"/>
                <w:szCs w:val="14"/>
                <w:color w:val="auto"/>
              </w:rPr>
            </w:pPr>
          </w:p>
        </w:tc>
        <w:tc>
          <w:tcPr>
            <w:tcW w:w="220" w:type="dxa"/>
            <w:vAlign w:val="bottom"/>
            <w:shd w:val="clear" w:color="auto" w:fill="346094"/>
          </w:tcPr>
          <w:p>
            <w:pPr>
              <w:spacing w:after="0"/>
              <w:rPr>
                <w:sz w:val="14"/>
                <w:szCs w:val="14"/>
                <w:color w:val="auto"/>
              </w:rPr>
            </w:pPr>
          </w:p>
        </w:tc>
        <w:tc>
          <w:tcPr>
            <w:tcW w:w="980" w:type="dxa"/>
            <w:vAlign w:val="bottom"/>
            <w:shd w:val="clear" w:color="auto" w:fill="346094"/>
          </w:tcPr>
          <w:p>
            <w:pPr>
              <w:jc w:val="center"/>
              <w:ind w:left="45"/>
              <w:spacing w:after="0"/>
              <w:rPr>
                <w:sz w:val="20"/>
                <w:szCs w:val="20"/>
                <w:color w:val="auto"/>
              </w:rPr>
            </w:pPr>
            <w:r>
              <w:rPr>
                <w:rFonts w:ascii="Arial" w:cs="Arial" w:eastAsia="Arial" w:hAnsi="Arial"/>
                <w:sz w:val="14"/>
                <w:szCs w:val="14"/>
                <w:b w:val="1"/>
                <w:bCs w:val="1"/>
                <w:color w:val="FFFFFF"/>
                <w:w w:val="98"/>
              </w:rPr>
              <w:t>Exercise of</w:t>
            </w:r>
          </w:p>
        </w:tc>
        <w:tc>
          <w:tcPr>
            <w:tcW w:w="160" w:type="dxa"/>
            <w:vAlign w:val="bottom"/>
            <w:shd w:val="clear" w:color="auto" w:fill="346094"/>
          </w:tcPr>
          <w:p>
            <w:pPr>
              <w:spacing w:after="0"/>
              <w:rPr>
                <w:sz w:val="14"/>
                <w:szCs w:val="14"/>
                <w:color w:val="auto"/>
              </w:rPr>
            </w:pPr>
          </w:p>
        </w:tc>
        <w:tc>
          <w:tcPr>
            <w:tcW w:w="200" w:type="dxa"/>
            <w:vAlign w:val="bottom"/>
            <w:shd w:val="clear" w:color="auto" w:fill="346094"/>
          </w:tcPr>
          <w:p>
            <w:pPr>
              <w:spacing w:after="0"/>
              <w:rPr>
                <w:sz w:val="14"/>
                <w:szCs w:val="14"/>
                <w:color w:val="auto"/>
              </w:rPr>
            </w:pPr>
          </w:p>
        </w:tc>
        <w:tc>
          <w:tcPr>
            <w:tcW w:w="134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w w:val="99"/>
              </w:rPr>
              <w:t>Weighted-Average</w:t>
            </w:r>
          </w:p>
        </w:tc>
        <w:tc>
          <w:tcPr>
            <w:tcW w:w="220" w:type="dxa"/>
            <w:vAlign w:val="bottom"/>
            <w:shd w:val="clear" w:color="auto" w:fill="346094"/>
          </w:tcPr>
          <w:p>
            <w:pPr>
              <w:spacing w:after="0"/>
              <w:rPr>
                <w:sz w:val="14"/>
                <w:szCs w:val="14"/>
                <w:color w:val="auto"/>
              </w:rPr>
            </w:pPr>
          </w:p>
        </w:tc>
        <w:tc>
          <w:tcPr>
            <w:tcW w:w="1920" w:type="dxa"/>
            <w:vAlign w:val="bottom"/>
            <w:shd w:val="clear" w:color="auto" w:fill="346094"/>
          </w:tcPr>
          <w:p>
            <w:pPr>
              <w:jc w:val="center"/>
              <w:ind w:left="184"/>
              <w:spacing w:after="0"/>
              <w:rPr>
                <w:sz w:val="20"/>
                <w:szCs w:val="20"/>
                <w:color w:val="auto"/>
              </w:rPr>
            </w:pPr>
            <w:r>
              <w:rPr>
                <w:rFonts w:ascii="Arial" w:cs="Arial" w:eastAsia="Arial" w:hAnsi="Arial"/>
                <w:sz w:val="14"/>
                <w:szCs w:val="14"/>
                <w:b w:val="1"/>
                <w:bCs w:val="1"/>
                <w:color w:val="FFFFFF"/>
                <w:w w:val="99"/>
              </w:rPr>
              <w:t>Remaining Available for</w:t>
            </w:r>
          </w:p>
        </w:tc>
        <w:tc>
          <w:tcPr>
            <w:tcW w:w="320" w:type="dxa"/>
            <w:vAlign w:val="bottom"/>
            <w:shd w:val="clear" w:color="auto" w:fill="346094"/>
          </w:tcPr>
          <w:p>
            <w:pPr>
              <w:spacing w:after="0"/>
              <w:rPr>
                <w:sz w:val="14"/>
                <w:szCs w:val="14"/>
                <w:color w:val="auto"/>
              </w:rPr>
            </w:pPr>
          </w:p>
        </w:tc>
        <w:tc>
          <w:tcPr>
            <w:tcW w:w="40" w:type="dxa"/>
            <w:vAlign w:val="bottom"/>
            <w:shd w:val="clear" w:color="auto" w:fill="34609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346094"/>
          </w:tcPr>
          <w:p>
            <w:pPr>
              <w:spacing w:after="0"/>
              <w:rPr>
                <w:sz w:val="14"/>
                <w:szCs w:val="14"/>
                <w:color w:val="auto"/>
              </w:rPr>
            </w:pPr>
          </w:p>
        </w:tc>
        <w:tc>
          <w:tcPr>
            <w:tcW w:w="2660" w:type="dxa"/>
            <w:vAlign w:val="bottom"/>
            <w:shd w:val="clear" w:color="auto" w:fill="346094"/>
          </w:tcPr>
          <w:p>
            <w:pPr>
              <w:spacing w:after="0"/>
              <w:rPr>
                <w:sz w:val="14"/>
                <w:szCs w:val="14"/>
                <w:color w:val="auto"/>
              </w:rPr>
            </w:pPr>
          </w:p>
        </w:tc>
        <w:tc>
          <w:tcPr>
            <w:tcW w:w="220" w:type="dxa"/>
            <w:vAlign w:val="bottom"/>
            <w:shd w:val="clear" w:color="auto" w:fill="346094"/>
          </w:tcPr>
          <w:p>
            <w:pPr>
              <w:spacing w:after="0"/>
              <w:rPr>
                <w:sz w:val="14"/>
                <w:szCs w:val="14"/>
                <w:color w:val="auto"/>
              </w:rPr>
            </w:pPr>
          </w:p>
        </w:tc>
        <w:tc>
          <w:tcPr>
            <w:tcW w:w="980" w:type="dxa"/>
            <w:vAlign w:val="bottom"/>
            <w:shd w:val="clear" w:color="auto" w:fill="346094"/>
          </w:tcPr>
          <w:p>
            <w:pPr>
              <w:jc w:val="center"/>
              <w:ind w:left="25"/>
              <w:spacing w:after="0"/>
              <w:rPr>
                <w:sz w:val="20"/>
                <w:szCs w:val="20"/>
                <w:color w:val="auto"/>
              </w:rPr>
            </w:pPr>
            <w:r>
              <w:rPr>
                <w:rFonts w:ascii="Arial" w:cs="Arial" w:eastAsia="Arial" w:hAnsi="Arial"/>
                <w:sz w:val="14"/>
                <w:szCs w:val="14"/>
                <w:b w:val="1"/>
                <w:bCs w:val="1"/>
                <w:color w:val="FFFFFF"/>
                <w:w w:val="96"/>
              </w:rPr>
              <w:t>Outstanding</w:t>
            </w:r>
          </w:p>
        </w:tc>
        <w:tc>
          <w:tcPr>
            <w:tcW w:w="160" w:type="dxa"/>
            <w:vAlign w:val="bottom"/>
            <w:shd w:val="clear" w:color="auto" w:fill="346094"/>
          </w:tcPr>
          <w:p>
            <w:pPr>
              <w:spacing w:after="0"/>
              <w:rPr>
                <w:sz w:val="14"/>
                <w:szCs w:val="14"/>
                <w:color w:val="auto"/>
              </w:rPr>
            </w:pPr>
          </w:p>
        </w:tc>
        <w:tc>
          <w:tcPr>
            <w:tcW w:w="200" w:type="dxa"/>
            <w:vAlign w:val="bottom"/>
            <w:shd w:val="clear" w:color="auto" w:fill="346094"/>
          </w:tcPr>
          <w:p>
            <w:pPr>
              <w:spacing w:after="0"/>
              <w:rPr>
                <w:sz w:val="14"/>
                <w:szCs w:val="14"/>
                <w:color w:val="auto"/>
              </w:rPr>
            </w:pPr>
          </w:p>
        </w:tc>
        <w:tc>
          <w:tcPr>
            <w:tcW w:w="134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20" w:type="dxa"/>
            <w:vAlign w:val="bottom"/>
            <w:shd w:val="clear" w:color="auto" w:fill="346094"/>
          </w:tcPr>
          <w:p>
            <w:pPr>
              <w:spacing w:after="0"/>
              <w:rPr>
                <w:sz w:val="14"/>
                <w:szCs w:val="14"/>
                <w:color w:val="auto"/>
              </w:rPr>
            </w:pPr>
          </w:p>
        </w:tc>
        <w:tc>
          <w:tcPr>
            <w:tcW w:w="1920" w:type="dxa"/>
            <w:vAlign w:val="bottom"/>
            <w:shd w:val="clear" w:color="auto" w:fill="346094"/>
          </w:tcPr>
          <w:p>
            <w:pPr>
              <w:jc w:val="center"/>
              <w:ind w:left="184"/>
              <w:spacing w:after="0"/>
              <w:rPr>
                <w:sz w:val="20"/>
                <w:szCs w:val="20"/>
                <w:color w:val="auto"/>
              </w:rPr>
            </w:pPr>
            <w:r>
              <w:rPr>
                <w:rFonts w:ascii="Arial" w:cs="Arial" w:eastAsia="Arial" w:hAnsi="Arial"/>
                <w:sz w:val="14"/>
                <w:szCs w:val="14"/>
                <w:b w:val="1"/>
                <w:bCs w:val="1"/>
                <w:color w:val="FFFFFF"/>
                <w:w w:val="99"/>
              </w:rPr>
              <w:t>Issuance Under Equity</w:t>
            </w:r>
          </w:p>
        </w:tc>
        <w:tc>
          <w:tcPr>
            <w:tcW w:w="320" w:type="dxa"/>
            <w:vAlign w:val="bottom"/>
            <w:shd w:val="clear" w:color="auto" w:fill="346094"/>
          </w:tcPr>
          <w:p>
            <w:pPr>
              <w:spacing w:after="0"/>
              <w:rPr>
                <w:sz w:val="14"/>
                <w:szCs w:val="14"/>
                <w:color w:val="auto"/>
              </w:rPr>
            </w:pPr>
          </w:p>
        </w:tc>
        <w:tc>
          <w:tcPr>
            <w:tcW w:w="40" w:type="dxa"/>
            <w:vAlign w:val="bottom"/>
            <w:shd w:val="clear" w:color="auto" w:fill="34609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346094"/>
          </w:tcPr>
          <w:p>
            <w:pPr>
              <w:spacing w:after="0"/>
              <w:rPr>
                <w:sz w:val="14"/>
                <w:szCs w:val="14"/>
                <w:color w:val="auto"/>
              </w:rPr>
            </w:pPr>
          </w:p>
        </w:tc>
        <w:tc>
          <w:tcPr>
            <w:tcW w:w="2660" w:type="dxa"/>
            <w:vAlign w:val="bottom"/>
            <w:shd w:val="clear" w:color="auto" w:fill="346094"/>
          </w:tcPr>
          <w:p>
            <w:pPr>
              <w:spacing w:after="0"/>
              <w:rPr>
                <w:sz w:val="14"/>
                <w:szCs w:val="14"/>
                <w:color w:val="auto"/>
              </w:rPr>
            </w:pPr>
          </w:p>
        </w:tc>
        <w:tc>
          <w:tcPr>
            <w:tcW w:w="220" w:type="dxa"/>
            <w:vAlign w:val="bottom"/>
            <w:shd w:val="clear" w:color="auto" w:fill="346094"/>
          </w:tcPr>
          <w:p>
            <w:pPr>
              <w:spacing w:after="0"/>
              <w:rPr>
                <w:sz w:val="14"/>
                <w:szCs w:val="14"/>
                <w:color w:val="auto"/>
              </w:rPr>
            </w:pPr>
          </w:p>
        </w:tc>
        <w:tc>
          <w:tcPr>
            <w:tcW w:w="980" w:type="dxa"/>
            <w:vAlign w:val="bottom"/>
            <w:shd w:val="clear" w:color="auto" w:fill="346094"/>
          </w:tcPr>
          <w:p>
            <w:pPr>
              <w:jc w:val="center"/>
              <w:ind w:left="25"/>
              <w:spacing w:after="0"/>
              <w:rPr>
                <w:sz w:val="20"/>
                <w:szCs w:val="20"/>
                <w:color w:val="auto"/>
              </w:rPr>
            </w:pPr>
            <w:r>
              <w:rPr>
                <w:rFonts w:ascii="Arial" w:cs="Arial" w:eastAsia="Arial" w:hAnsi="Arial"/>
                <w:sz w:val="14"/>
                <w:szCs w:val="14"/>
                <w:b w:val="1"/>
                <w:bCs w:val="1"/>
                <w:color w:val="FFFFFF"/>
                <w:w w:val="98"/>
              </w:rPr>
              <w:t>Options,</w:t>
            </w:r>
          </w:p>
        </w:tc>
        <w:tc>
          <w:tcPr>
            <w:tcW w:w="160" w:type="dxa"/>
            <w:vAlign w:val="bottom"/>
            <w:shd w:val="clear" w:color="auto" w:fill="346094"/>
          </w:tcPr>
          <w:p>
            <w:pPr>
              <w:spacing w:after="0"/>
              <w:rPr>
                <w:sz w:val="14"/>
                <w:szCs w:val="14"/>
                <w:color w:val="auto"/>
              </w:rPr>
            </w:pPr>
          </w:p>
        </w:tc>
        <w:tc>
          <w:tcPr>
            <w:tcW w:w="200" w:type="dxa"/>
            <w:vAlign w:val="bottom"/>
            <w:shd w:val="clear" w:color="auto" w:fill="346094"/>
          </w:tcPr>
          <w:p>
            <w:pPr>
              <w:spacing w:after="0"/>
              <w:rPr>
                <w:sz w:val="14"/>
                <w:szCs w:val="14"/>
                <w:color w:val="auto"/>
              </w:rPr>
            </w:pPr>
          </w:p>
        </w:tc>
        <w:tc>
          <w:tcPr>
            <w:tcW w:w="1120" w:type="dxa"/>
            <w:vAlign w:val="bottom"/>
            <w:shd w:val="clear" w:color="auto" w:fill="346094"/>
          </w:tcPr>
          <w:p>
            <w:pPr>
              <w:jc w:val="center"/>
              <w:ind w:left="104"/>
              <w:spacing w:after="0"/>
              <w:rPr>
                <w:sz w:val="20"/>
                <w:szCs w:val="20"/>
                <w:color w:val="auto"/>
              </w:rPr>
            </w:pPr>
            <w:r>
              <w:rPr>
                <w:rFonts w:ascii="Arial" w:cs="Arial" w:eastAsia="Arial" w:hAnsi="Arial"/>
                <w:sz w:val="14"/>
                <w:szCs w:val="14"/>
                <w:b w:val="1"/>
                <w:bCs w:val="1"/>
                <w:color w:val="FFFFFF"/>
                <w:w w:val="99"/>
              </w:rPr>
              <w:t>Outstanding</w:t>
            </w:r>
          </w:p>
        </w:tc>
        <w:tc>
          <w:tcPr>
            <w:tcW w:w="220" w:type="dxa"/>
            <w:vAlign w:val="bottom"/>
            <w:shd w:val="clear" w:color="auto" w:fill="346094"/>
          </w:tcPr>
          <w:p>
            <w:pPr>
              <w:spacing w:after="0"/>
              <w:rPr>
                <w:sz w:val="14"/>
                <w:szCs w:val="14"/>
                <w:color w:val="auto"/>
              </w:rPr>
            </w:pPr>
          </w:p>
        </w:tc>
        <w:tc>
          <w:tcPr>
            <w:tcW w:w="220" w:type="dxa"/>
            <w:vAlign w:val="bottom"/>
            <w:shd w:val="clear" w:color="auto" w:fill="346094"/>
          </w:tcPr>
          <w:p>
            <w:pPr>
              <w:spacing w:after="0"/>
              <w:rPr>
                <w:sz w:val="14"/>
                <w:szCs w:val="14"/>
                <w:color w:val="auto"/>
              </w:rPr>
            </w:pPr>
          </w:p>
        </w:tc>
        <w:tc>
          <w:tcPr>
            <w:tcW w:w="2240" w:type="dxa"/>
            <w:vAlign w:val="bottom"/>
            <w:gridSpan w:val="2"/>
            <w:shd w:val="clear" w:color="auto" w:fill="346094"/>
          </w:tcPr>
          <w:p>
            <w:pPr>
              <w:jc w:val="center"/>
              <w:spacing w:after="0"/>
              <w:rPr>
                <w:sz w:val="20"/>
                <w:szCs w:val="20"/>
                <w:color w:val="auto"/>
              </w:rPr>
            </w:pPr>
            <w:r>
              <w:rPr>
                <w:rFonts w:ascii="Arial" w:cs="Arial" w:eastAsia="Arial" w:hAnsi="Arial"/>
                <w:sz w:val="14"/>
                <w:szCs w:val="14"/>
                <w:b w:val="1"/>
                <w:bCs w:val="1"/>
                <w:color w:val="FFFFFF"/>
                <w:w w:val="97"/>
              </w:rPr>
              <w:t>Compensation Plans (Excluding</w:t>
            </w:r>
          </w:p>
        </w:tc>
        <w:tc>
          <w:tcPr>
            <w:tcW w:w="40" w:type="dxa"/>
            <w:vAlign w:val="bottom"/>
            <w:shd w:val="clear" w:color="auto" w:fill="34609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 w:type="dxa"/>
            <w:vAlign w:val="bottom"/>
            <w:shd w:val="clear" w:color="auto" w:fill="346094"/>
          </w:tcPr>
          <w:p>
            <w:pPr>
              <w:spacing w:after="0"/>
              <w:rPr>
                <w:sz w:val="12"/>
                <w:szCs w:val="12"/>
                <w:color w:val="auto"/>
              </w:rPr>
            </w:pPr>
          </w:p>
        </w:tc>
        <w:tc>
          <w:tcPr>
            <w:tcW w:w="2660" w:type="dxa"/>
            <w:vAlign w:val="bottom"/>
            <w:shd w:val="clear" w:color="auto" w:fill="346094"/>
          </w:tcPr>
          <w:p>
            <w:pPr>
              <w:spacing w:after="0"/>
              <w:rPr>
                <w:sz w:val="12"/>
                <w:szCs w:val="12"/>
                <w:color w:val="auto"/>
              </w:rPr>
            </w:pPr>
          </w:p>
        </w:tc>
        <w:tc>
          <w:tcPr>
            <w:tcW w:w="220" w:type="dxa"/>
            <w:vAlign w:val="bottom"/>
            <w:shd w:val="clear" w:color="auto" w:fill="346094"/>
          </w:tcPr>
          <w:p>
            <w:pPr>
              <w:spacing w:after="0"/>
              <w:rPr>
                <w:sz w:val="12"/>
                <w:szCs w:val="12"/>
                <w:color w:val="auto"/>
              </w:rPr>
            </w:pPr>
          </w:p>
        </w:tc>
        <w:tc>
          <w:tcPr>
            <w:tcW w:w="980" w:type="dxa"/>
            <w:vAlign w:val="bottom"/>
            <w:shd w:val="clear" w:color="auto" w:fill="346094"/>
          </w:tcPr>
          <w:p>
            <w:pPr>
              <w:jc w:val="center"/>
              <w:ind w:left="25"/>
              <w:spacing w:after="0" w:line="142" w:lineRule="exact"/>
              <w:rPr>
                <w:sz w:val="20"/>
                <w:szCs w:val="20"/>
                <w:color w:val="auto"/>
              </w:rPr>
            </w:pPr>
            <w:r>
              <w:rPr>
                <w:rFonts w:ascii="Arial" w:cs="Arial" w:eastAsia="Arial" w:hAnsi="Arial"/>
                <w:sz w:val="14"/>
                <w:szCs w:val="14"/>
                <w:b w:val="1"/>
                <w:bCs w:val="1"/>
                <w:color w:val="FFFFFF"/>
                <w:w w:val="98"/>
              </w:rPr>
              <w:t>Warrants and</w:t>
            </w:r>
          </w:p>
        </w:tc>
        <w:tc>
          <w:tcPr>
            <w:tcW w:w="160" w:type="dxa"/>
            <w:vAlign w:val="bottom"/>
            <w:shd w:val="clear" w:color="auto" w:fill="346094"/>
          </w:tcPr>
          <w:p>
            <w:pPr>
              <w:spacing w:after="0"/>
              <w:rPr>
                <w:sz w:val="12"/>
                <w:szCs w:val="12"/>
                <w:color w:val="auto"/>
              </w:rPr>
            </w:pPr>
          </w:p>
        </w:tc>
        <w:tc>
          <w:tcPr>
            <w:tcW w:w="200" w:type="dxa"/>
            <w:vAlign w:val="bottom"/>
            <w:shd w:val="clear" w:color="auto" w:fill="346094"/>
          </w:tcPr>
          <w:p>
            <w:pPr>
              <w:spacing w:after="0"/>
              <w:rPr>
                <w:sz w:val="12"/>
                <w:szCs w:val="12"/>
                <w:color w:val="auto"/>
              </w:rPr>
            </w:pPr>
          </w:p>
        </w:tc>
        <w:tc>
          <w:tcPr>
            <w:tcW w:w="1340" w:type="dxa"/>
            <w:vAlign w:val="bottom"/>
            <w:gridSpan w:val="2"/>
            <w:shd w:val="clear" w:color="auto" w:fill="346094"/>
          </w:tcPr>
          <w:p>
            <w:pPr>
              <w:jc w:val="center"/>
              <w:spacing w:after="0" w:line="142" w:lineRule="exact"/>
              <w:rPr>
                <w:sz w:val="20"/>
                <w:szCs w:val="20"/>
                <w:color w:val="auto"/>
              </w:rPr>
            </w:pPr>
            <w:r>
              <w:rPr>
                <w:rFonts w:ascii="Arial" w:cs="Arial" w:eastAsia="Arial" w:hAnsi="Arial"/>
                <w:sz w:val="14"/>
                <w:szCs w:val="14"/>
                <w:b w:val="1"/>
                <w:bCs w:val="1"/>
                <w:color w:val="FFFFFF"/>
              </w:rPr>
              <w:t>Options, Warrants</w:t>
            </w:r>
          </w:p>
        </w:tc>
        <w:tc>
          <w:tcPr>
            <w:tcW w:w="220" w:type="dxa"/>
            <w:vAlign w:val="bottom"/>
            <w:shd w:val="clear" w:color="auto" w:fill="346094"/>
          </w:tcPr>
          <w:p>
            <w:pPr>
              <w:spacing w:after="0"/>
              <w:rPr>
                <w:sz w:val="12"/>
                <w:szCs w:val="12"/>
                <w:color w:val="auto"/>
              </w:rPr>
            </w:pPr>
          </w:p>
        </w:tc>
        <w:tc>
          <w:tcPr>
            <w:tcW w:w="1920" w:type="dxa"/>
            <w:vAlign w:val="bottom"/>
            <w:shd w:val="clear" w:color="auto" w:fill="346094"/>
          </w:tcPr>
          <w:p>
            <w:pPr>
              <w:jc w:val="center"/>
              <w:ind w:left="164"/>
              <w:spacing w:after="0" w:line="142" w:lineRule="exact"/>
              <w:rPr>
                <w:sz w:val="20"/>
                <w:szCs w:val="20"/>
                <w:color w:val="auto"/>
              </w:rPr>
            </w:pPr>
            <w:r>
              <w:rPr>
                <w:rFonts w:ascii="Arial" w:cs="Arial" w:eastAsia="Arial" w:hAnsi="Arial"/>
                <w:sz w:val="14"/>
                <w:szCs w:val="14"/>
                <w:b w:val="1"/>
                <w:bCs w:val="1"/>
                <w:color w:val="FFFFFF"/>
              </w:rPr>
              <w:t>Securities Reflected in</w:t>
            </w:r>
          </w:p>
        </w:tc>
        <w:tc>
          <w:tcPr>
            <w:tcW w:w="320" w:type="dxa"/>
            <w:vAlign w:val="bottom"/>
            <w:shd w:val="clear" w:color="auto" w:fill="346094"/>
          </w:tcPr>
          <w:p>
            <w:pPr>
              <w:spacing w:after="0"/>
              <w:rPr>
                <w:sz w:val="12"/>
                <w:szCs w:val="12"/>
                <w:color w:val="auto"/>
              </w:rPr>
            </w:pPr>
          </w:p>
        </w:tc>
        <w:tc>
          <w:tcPr>
            <w:tcW w:w="40" w:type="dxa"/>
            <w:vAlign w:val="bottom"/>
            <w:shd w:val="clear" w:color="auto" w:fill="34609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40" w:type="dxa"/>
            <w:vAlign w:val="bottom"/>
            <w:shd w:val="clear" w:color="auto" w:fill="346094"/>
          </w:tcPr>
          <w:p>
            <w:pPr>
              <w:ind w:left="20"/>
              <w:spacing w:after="0"/>
              <w:rPr>
                <w:sz w:val="20"/>
                <w:szCs w:val="20"/>
                <w:color w:val="auto"/>
              </w:rPr>
            </w:pPr>
            <w:r>
              <w:rPr>
                <w:rFonts w:ascii="Arial" w:cs="Arial" w:eastAsia="Arial" w:hAnsi="Arial"/>
                <w:sz w:val="14"/>
                <w:szCs w:val="14"/>
                <w:b w:val="1"/>
                <w:bCs w:val="1"/>
                <w:color w:val="FFFFFF"/>
              </w:rPr>
              <w:t>​</w:t>
            </w:r>
          </w:p>
        </w:tc>
        <w:tc>
          <w:tcPr>
            <w:tcW w:w="2660" w:type="dxa"/>
            <w:vAlign w:val="bottom"/>
            <w:shd w:val="clear" w:color="auto" w:fill="346094"/>
          </w:tcPr>
          <w:p>
            <w:pPr>
              <w:spacing w:after="0"/>
              <w:rPr>
                <w:sz w:val="17"/>
                <w:szCs w:val="17"/>
                <w:color w:val="auto"/>
              </w:rPr>
            </w:pPr>
          </w:p>
        </w:tc>
        <w:tc>
          <w:tcPr>
            <w:tcW w:w="220" w:type="dxa"/>
            <w:vAlign w:val="bottom"/>
            <w:shd w:val="clear" w:color="auto" w:fill="346094"/>
          </w:tcPr>
          <w:p>
            <w:pPr>
              <w:ind w:left="140"/>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346094"/>
          </w:tcPr>
          <w:p>
            <w:pPr>
              <w:jc w:val="center"/>
              <w:ind w:left="25"/>
              <w:spacing w:after="0" w:line="200" w:lineRule="exact"/>
              <w:rPr>
                <w:sz w:val="20"/>
                <w:szCs w:val="20"/>
                <w:color w:val="auto"/>
              </w:rPr>
            </w:pPr>
            <w:r>
              <w:rPr>
                <w:rFonts w:ascii="Arial" w:cs="Arial" w:eastAsia="Arial" w:hAnsi="Arial"/>
                <w:sz w:val="14"/>
                <w:szCs w:val="14"/>
                <w:b w:val="1"/>
                <w:bCs w:val="1"/>
                <w:color w:val="FFFFFF"/>
                <w:w w:val="90"/>
              </w:rPr>
              <w:t>Rights</w:t>
            </w:r>
            <w:r>
              <w:rPr>
                <w:rFonts w:ascii="Trebuchet MS" w:cs="Trebuchet MS" w:eastAsia="Trebuchet MS" w:hAnsi="Trebuchet MS"/>
                <w:sz w:val="21"/>
                <w:szCs w:val="21"/>
                <w:b w:val="1"/>
                <w:bCs w:val="1"/>
                <w:color w:val="FFFFFF"/>
                <w:w w:val="90"/>
                <w:vertAlign w:val="superscript"/>
              </w:rPr>
              <w:t>(1)</w:t>
            </w:r>
          </w:p>
        </w:tc>
        <w:tc>
          <w:tcPr>
            <w:tcW w:w="160" w:type="dxa"/>
            <w:vAlign w:val="bottom"/>
            <w:shd w:val="clear" w:color="auto" w:fill="346094"/>
          </w:tcPr>
          <w:p>
            <w:pPr>
              <w:spacing w:after="0"/>
              <w:rPr>
                <w:sz w:val="17"/>
                <w:szCs w:val="17"/>
                <w:color w:val="auto"/>
              </w:rPr>
            </w:pPr>
          </w:p>
        </w:tc>
        <w:tc>
          <w:tcPr>
            <w:tcW w:w="200" w:type="dxa"/>
            <w:vAlign w:val="bottom"/>
            <w:shd w:val="clear" w:color="auto" w:fill="346094"/>
          </w:tcPr>
          <w:p>
            <w:pPr>
              <w:jc w:val="right"/>
              <w:spacing w:after="0"/>
              <w:rPr>
                <w:sz w:val="20"/>
                <w:szCs w:val="20"/>
                <w:color w:val="auto"/>
              </w:rPr>
            </w:pPr>
            <w:r>
              <w:rPr>
                <w:rFonts w:ascii="Arial" w:cs="Arial" w:eastAsia="Arial" w:hAnsi="Arial"/>
                <w:sz w:val="14"/>
                <w:szCs w:val="14"/>
                <w:b w:val="1"/>
                <w:bCs w:val="1"/>
                <w:color w:val="FFFFFF"/>
              </w:rPr>
              <w:t>​ ​</w:t>
            </w:r>
          </w:p>
        </w:tc>
        <w:tc>
          <w:tcPr>
            <w:tcW w:w="1120" w:type="dxa"/>
            <w:vAlign w:val="bottom"/>
            <w:shd w:val="clear" w:color="auto" w:fill="346094"/>
          </w:tcPr>
          <w:p>
            <w:pPr>
              <w:jc w:val="center"/>
              <w:ind w:left="104"/>
              <w:spacing w:after="0"/>
              <w:rPr>
                <w:sz w:val="20"/>
                <w:szCs w:val="20"/>
                <w:color w:val="auto"/>
              </w:rPr>
            </w:pPr>
            <w:r>
              <w:rPr>
                <w:rFonts w:ascii="Arial" w:cs="Arial" w:eastAsia="Arial" w:hAnsi="Arial"/>
                <w:sz w:val="14"/>
                <w:szCs w:val="14"/>
                <w:b w:val="1"/>
                <w:bCs w:val="1"/>
                <w:color w:val="FFFFFF"/>
                <w:w w:val="96"/>
              </w:rPr>
              <w:t>and Rights</w:t>
            </w:r>
          </w:p>
        </w:tc>
        <w:tc>
          <w:tcPr>
            <w:tcW w:w="220" w:type="dxa"/>
            <w:vAlign w:val="bottom"/>
            <w:shd w:val="clear" w:color="auto" w:fill="346094"/>
          </w:tcPr>
          <w:p>
            <w:pPr>
              <w:spacing w:after="0"/>
              <w:rPr>
                <w:sz w:val="17"/>
                <w:szCs w:val="17"/>
                <w:color w:val="auto"/>
              </w:rPr>
            </w:pPr>
          </w:p>
        </w:tc>
        <w:tc>
          <w:tcPr>
            <w:tcW w:w="220" w:type="dxa"/>
            <w:vAlign w:val="bottom"/>
            <w:shd w:val="clear" w:color="auto" w:fill="346094"/>
          </w:tcPr>
          <w:p>
            <w:pPr>
              <w:jc w:val="right"/>
              <w:spacing w:after="0"/>
              <w:rPr>
                <w:sz w:val="20"/>
                <w:szCs w:val="20"/>
                <w:color w:val="auto"/>
              </w:rPr>
            </w:pPr>
            <w:r>
              <w:rPr>
                <w:rFonts w:ascii="Arial" w:cs="Arial" w:eastAsia="Arial" w:hAnsi="Arial"/>
                <w:sz w:val="14"/>
                <w:szCs w:val="14"/>
                <w:b w:val="1"/>
                <w:bCs w:val="1"/>
                <w:color w:val="FFFFFF"/>
              </w:rPr>
              <w:t>​ ​</w:t>
            </w:r>
          </w:p>
        </w:tc>
        <w:tc>
          <w:tcPr>
            <w:tcW w:w="1920" w:type="dxa"/>
            <w:vAlign w:val="bottom"/>
            <w:shd w:val="clear" w:color="auto" w:fill="346094"/>
          </w:tcPr>
          <w:p>
            <w:pPr>
              <w:jc w:val="center"/>
              <w:ind w:left="164"/>
              <w:spacing w:after="0" w:line="200" w:lineRule="exact"/>
              <w:rPr>
                <w:sz w:val="20"/>
                <w:szCs w:val="20"/>
                <w:color w:val="auto"/>
              </w:rPr>
            </w:pPr>
            <w:r>
              <w:rPr>
                <w:rFonts w:ascii="Arial" w:cs="Arial" w:eastAsia="Arial" w:hAnsi="Arial"/>
                <w:sz w:val="14"/>
                <w:szCs w:val="14"/>
                <w:b w:val="1"/>
                <w:bCs w:val="1"/>
                <w:color w:val="FFFFFF"/>
                <w:w w:val="98"/>
              </w:rPr>
              <w:t>the First Column)</w:t>
            </w:r>
            <w:r>
              <w:rPr>
                <w:rFonts w:ascii="Trebuchet MS" w:cs="Trebuchet MS" w:eastAsia="Trebuchet MS" w:hAnsi="Trebuchet MS"/>
                <w:sz w:val="21"/>
                <w:szCs w:val="21"/>
                <w:b w:val="1"/>
                <w:bCs w:val="1"/>
                <w:color w:val="FFFFFF"/>
                <w:w w:val="98"/>
                <w:vertAlign w:val="superscript"/>
              </w:rPr>
              <w:t>(2)</w:t>
            </w:r>
          </w:p>
        </w:tc>
        <w:tc>
          <w:tcPr>
            <w:tcW w:w="320" w:type="dxa"/>
            <w:vAlign w:val="bottom"/>
            <w:shd w:val="clear" w:color="auto" w:fill="346094"/>
          </w:tcPr>
          <w:p>
            <w:pPr>
              <w:spacing w:after="0"/>
              <w:rPr>
                <w:sz w:val="17"/>
                <w:szCs w:val="17"/>
                <w:color w:val="auto"/>
              </w:rPr>
            </w:pPr>
          </w:p>
        </w:tc>
        <w:tc>
          <w:tcPr>
            <w:tcW w:w="40" w:type="dxa"/>
            <w:vAlign w:val="bottom"/>
            <w:shd w:val="clear" w:color="auto" w:fill="346094"/>
          </w:tcPr>
          <w:p>
            <w:pPr>
              <w:ind w:left="20"/>
              <w:spacing w:after="0"/>
              <w:rPr>
                <w:sz w:val="20"/>
                <w:szCs w:val="20"/>
                <w:color w:val="auto"/>
              </w:rPr>
            </w:pPr>
            <w:r>
              <w:rPr>
                <w:rFonts w:ascii="Arial" w:cs="Arial" w:eastAsia="Arial" w:hAnsi="Arial"/>
                <w:sz w:val="1"/>
                <w:szCs w:val="1"/>
                <w:b w:val="1"/>
                <w:bCs w:val="1"/>
                <w:color w:val="FFFFFF"/>
                <w:w w:val="4294942296"/>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00" w:type="dxa"/>
            <w:vAlign w:val="bottom"/>
            <w:gridSpan w:val="2"/>
          </w:tcPr>
          <w:p>
            <w:pPr>
              <w:ind w:left="40"/>
              <w:spacing w:after="0"/>
              <w:rPr>
                <w:sz w:val="20"/>
                <w:szCs w:val="20"/>
                <w:color w:val="auto"/>
              </w:rPr>
            </w:pPr>
            <w:r>
              <w:rPr>
                <w:rFonts w:ascii="Arial" w:cs="Arial" w:eastAsia="Arial" w:hAnsi="Arial"/>
                <w:sz w:val="18"/>
                <w:szCs w:val="18"/>
                <w:color w:val="4C4C4C"/>
              </w:rPr>
              <w:t>Equity Compensation Plans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40" w:type="dxa"/>
            <w:vAlign w:val="bottom"/>
          </w:tcPr>
          <w:p>
            <w:pPr>
              <w:ind w:left="20"/>
              <w:spacing w:after="0"/>
              <w:rPr>
                <w:sz w:val="20"/>
                <w:szCs w:val="20"/>
                <w:color w:val="auto"/>
              </w:rPr>
            </w:pPr>
            <w:r>
              <w:rPr>
                <w:rFonts w:ascii="Arial" w:cs="Arial" w:eastAsia="Arial" w:hAnsi="Arial"/>
                <w:sz w:val="18"/>
                <w:szCs w:val="18"/>
                <w:color w:val="4C4C4C"/>
              </w:rPr>
              <w:t>​</w:t>
            </w:r>
          </w:p>
        </w:tc>
        <w:tc>
          <w:tcPr>
            <w:tcW w:w="2660" w:type="dxa"/>
            <w:vAlign w:val="bottom"/>
          </w:tcPr>
          <w:p>
            <w:pPr>
              <w:ind w:left="80"/>
              <w:spacing w:after="0"/>
              <w:rPr>
                <w:sz w:val="20"/>
                <w:szCs w:val="20"/>
                <w:color w:val="auto"/>
              </w:rPr>
            </w:pPr>
            <w:r>
              <w:rPr>
                <w:rFonts w:ascii="Arial" w:cs="Arial" w:eastAsia="Arial" w:hAnsi="Arial"/>
                <w:sz w:val="18"/>
                <w:szCs w:val="18"/>
                <w:color w:val="4C4C4C"/>
              </w:rPr>
              <w:t>Approved by Stockholders:</w:t>
            </w:r>
          </w:p>
        </w:tc>
        <w:tc>
          <w:tcPr>
            <w:tcW w:w="220" w:type="dxa"/>
            <w:vAlign w:val="bottom"/>
          </w:tcPr>
          <w:p>
            <w:pPr>
              <w:ind w:left="140"/>
              <w:spacing w:after="0"/>
              <w:rPr>
                <w:sz w:val="20"/>
                <w:szCs w:val="20"/>
                <w:color w:val="auto"/>
              </w:rPr>
            </w:pPr>
            <w:r>
              <w:rPr>
                <w:rFonts w:ascii="Arial" w:cs="Arial" w:eastAsia="Arial" w:hAnsi="Arial"/>
                <w:sz w:val="18"/>
                <w:szCs w:val="18"/>
                <w:color w:val="4C4C4C"/>
              </w:rPr>
              <w:t>​</w:t>
            </w:r>
          </w:p>
        </w:tc>
        <w:tc>
          <w:tcPr>
            <w:tcW w:w="980" w:type="dxa"/>
            <w:vAlign w:val="bottom"/>
          </w:tcPr>
          <w:p>
            <w:pPr>
              <w:ind w:left="220"/>
              <w:spacing w:after="0"/>
              <w:rPr>
                <w:sz w:val="20"/>
                <w:szCs w:val="20"/>
                <w:color w:val="auto"/>
              </w:rPr>
            </w:pPr>
            <w:r>
              <w:rPr>
                <w:rFonts w:ascii="Arial" w:cs="Arial" w:eastAsia="Arial" w:hAnsi="Arial"/>
                <w:sz w:val="18"/>
                <w:szCs w:val="18"/>
                <w:color w:val="4C4C4C"/>
              </w:rPr>
              <w:t>​</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4C4C4C"/>
              </w:rPr>
              <w:t>​ ​</w:t>
            </w:r>
          </w:p>
        </w:tc>
        <w:tc>
          <w:tcPr>
            <w:tcW w:w="1120" w:type="dxa"/>
            <w:vAlign w:val="bottom"/>
          </w:tcPr>
          <w:p>
            <w:pPr>
              <w:ind w:left="840"/>
              <w:spacing w:after="0"/>
              <w:rPr>
                <w:sz w:val="20"/>
                <w:szCs w:val="20"/>
                <w:color w:val="auto"/>
              </w:rPr>
            </w:pPr>
            <w:r>
              <w:rPr>
                <w:rFonts w:ascii="Arial" w:cs="Arial" w:eastAsia="Arial" w:hAnsi="Arial"/>
                <w:sz w:val="18"/>
                <w:szCs w:val="18"/>
                <w:color w:val="4C4C4C"/>
              </w:rPr>
              <w:t>​</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4C4C4C"/>
              </w:rPr>
              <w:t>​ ​</w:t>
            </w:r>
          </w:p>
        </w:tc>
        <w:tc>
          <w:tcPr>
            <w:tcW w:w="1920" w:type="dxa"/>
            <w:vAlign w:val="bottom"/>
          </w:tcPr>
          <w:p>
            <w:pPr>
              <w:ind w:left="1420"/>
              <w:spacing w:after="0"/>
              <w:rPr>
                <w:sz w:val="20"/>
                <w:szCs w:val="20"/>
                <w:color w:val="auto"/>
              </w:rPr>
            </w:pPr>
            <w:r>
              <w:rPr>
                <w:rFonts w:ascii="Arial" w:cs="Arial" w:eastAsia="Arial" w:hAnsi="Arial"/>
                <w:sz w:val="18"/>
                <w:szCs w:val="18"/>
                <w:color w:val="4C4C4C"/>
              </w:rPr>
              <w:t>​</w:t>
            </w:r>
          </w:p>
        </w:tc>
        <w:tc>
          <w:tcPr>
            <w:tcW w:w="320" w:type="dxa"/>
            <w:vAlign w:val="bottom"/>
          </w:tcPr>
          <w:p>
            <w:pPr>
              <w:spacing w:after="0"/>
              <w:rPr>
                <w:sz w:val="19"/>
                <w:szCs w:val="19"/>
                <w:color w:val="auto"/>
              </w:rPr>
            </w:pPr>
          </w:p>
        </w:tc>
        <w:tc>
          <w:tcPr>
            <w:tcW w:w="60" w:type="dxa"/>
            <w:vAlign w:val="bottom"/>
            <w:gridSpan w:val="2"/>
          </w:tcPr>
          <w:p>
            <w:pPr>
              <w:jc w:val="right"/>
              <w:spacing w:after="0"/>
              <w:rPr>
                <w:sz w:val="20"/>
                <w:szCs w:val="20"/>
                <w:color w:val="auto"/>
              </w:rPr>
            </w:pPr>
            <w:r>
              <w:rPr>
                <w:rFonts w:ascii="Arial" w:cs="Arial" w:eastAsia="Arial" w:hAnsi="Arial"/>
                <w:sz w:val="18"/>
                <w:szCs w:val="18"/>
                <w:color w:val="4C4C4C"/>
              </w:rPr>
              <w:t>​</w:t>
            </w:r>
          </w:p>
        </w:tc>
        <w:tc>
          <w:tcPr>
            <w:tcW w:w="0" w:type="dxa"/>
            <w:vAlign w:val="bottom"/>
          </w:tcPr>
          <w:p>
            <w:pPr>
              <w:spacing w:after="0"/>
              <w:rPr>
                <w:sz w:val="1"/>
                <w:szCs w:val="1"/>
                <w:color w:val="auto"/>
              </w:rPr>
            </w:pPr>
          </w:p>
        </w:tc>
      </w:tr>
      <w:tr>
        <w:trPr>
          <w:trHeight w:val="203"/>
        </w:trPr>
        <w:tc>
          <w:tcPr>
            <w:tcW w:w="140" w:type="dxa"/>
            <w:vAlign w:val="bottom"/>
            <w:vMerge w:val="restart"/>
          </w:tcPr>
          <w:p>
            <w:pPr>
              <w:ind w:left="20"/>
              <w:spacing w:after="0"/>
              <w:rPr>
                <w:sz w:val="20"/>
                <w:szCs w:val="20"/>
                <w:color w:val="auto"/>
              </w:rPr>
            </w:pPr>
            <w:r>
              <w:rPr>
                <w:rFonts w:ascii="Arial" w:cs="Arial" w:eastAsia="Arial" w:hAnsi="Arial"/>
                <w:sz w:val="18"/>
                <w:szCs w:val="18"/>
                <w:color w:val="4C4C4C"/>
              </w:rPr>
              <w:t>​</w:t>
            </w:r>
          </w:p>
        </w:tc>
        <w:tc>
          <w:tcPr>
            <w:tcW w:w="2660" w:type="dxa"/>
            <w:vAlign w:val="bottom"/>
          </w:tcPr>
          <w:p>
            <w:pPr>
              <w:ind w:left="80"/>
              <w:spacing w:after="0" w:line="202" w:lineRule="exact"/>
              <w:rPr>
                <w:sz w:val="20"/>
                <w:szCs w:val="20"/>
                <w:color w:val="auto"/>
              </w:rPr>
            </w:pPr>
            <w:r>
              <w:rPr>
                <w:rFonts w:ascii="Arial" w:cs="Arial" w:eastAsia="Arial" w:hAnsi="Arial"/>
                <w:sz w:val="18"/>
                <w:szCs w:val="18"/>
                <w:color w:val="4C4C4C"/>
              </w:rPr>
              <w:t>2010 Plan</w:t>
            </w:r>
          </w:p>
        </w:tc>
        <w:tc>
          <w:tcPr>
            <w:tcW w:w="220" w:type="dxa"/>
            <w:vAlign w:val="bottom"/>
            <w:vMerge w:val="restart"/>
          </w:tcPr>
          <w:p>
            <w:pPr>
              <w:ind w:left="140"/>
              <w:spacing w:after="0"/>
              <w:rPr>
                <w:sz w:val="20"/>
                <w:szCs w:val="20"/>
                <w:color w:val="auto"/>
              </w:rPr>
            </w:pPr>
            <w:r>
              <w:rPr>
                <w:rFonts w:ascii="Arial" w:cs="Arial" w:eastAsia="Arial" w:hAnsi="Arial"/>
                <w:sz w:val="18"/>
                <w:szCs w:val="18"/>
                <w:color w:val="4C4C4C"/>
              </w:rPr>
              <w:t>​</w:t>
            </w:r>
          </w:p>
        </w:tc>
        <w:tc>
          <w:tcPr>
            <w:tcW w:w="1140" w:type="dxa"/>
            <w:vAlign w:val="bottom"/>
            <w:gridSpan w:val="2"/>
          </w:tcPr>
          <w:p>
            <w:pPr>
              <w:ind w:left="240"/>
              <w:spacing w:after="0" w:line="202" w:lineRule="exact"/>
              <w:rPr>
                <w:sz w:val="20"/>
                <w:szCs w:val="20"/>
                <w:color w:val="auto"/>
              </w:rPr>
            </w:pPr>
            <w:r>
              <w:rPr>
                <w:rFonts w:ascii="Arial" w:cs="Arial" w:eastAsia="Arial" w:hAnsi="Arial"/>
                <w:sz w:val="18"/>
                <w:szCs w:val="18"/>
                <w:color w:val="4C4C4C"/>
                <w:w w:val="97"/>
              </w:rPr>
              <w:t>19,406,619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4C4C4C"/>
              </w:rPr>
              <w:t>​ ​</w:t>
            </w:r>
          </w:p>
        </w:tc>
        <w:tc>
          <w:tcPr>
            <w:tcW w:w="1340" w:type="dxa"/>
            <w:vAlign w:val="bottom"/>
            <w:gridSpan w:val="2"/>
          </w:tcPr>
          <w:p>
            <w:pPr>
              <w:ind w:left="880"/>
              <w:spacing w:after="0" w:line="202" w:lineRule="exact"/>
              <w:rPr>
                <w:sz w:val="20"/>
                <w:szCs w:val="20"/>
                <w:color w:val="auto"/>
              </w:rPr>
            </w:pPr>
            <w:r>
              <w:rPr>
                <w:rFonts w:ascii="Arial" w:cs="Arial" w:eastAsia="Arial" w:hAnsi="Arial"/>
                <w:sz w:val="18"/>
                <w:szCs w:val="18"/>
                <w:color w:val="4C4C4C"/>
                <w:w w:val="97"/>
              </w:rPr>
              <w:t>$1.93</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4C4C4C"/>
              </w:rPr>
              <w:t>​ ​</w:t>
            </w:r>
          </w:p>
        </w:tc>
        <w:tc>
          <w:tcPr>
            <w:tcW w:w="2240" w:type="dxa"/>
            <w:vAlign w:val="bottom"/>
            <w:gridSpan w:val="2"/>
          </w:tcPr>
          <w:p>
            <w:pPr>
              <w:ind w:left="1420"/>
              <w:spacing w:after="0" w:line="202" w:lineRule="exact"/>
              <w:rPr>
                <w:sz w:val="20"/>
                <w:szCs w:val="20"/>
                <w:color w:val="auto"/>
              </w:rPr>
            </w:pPr>
            <w:r>
              <w:rPr>
                <w:rFonts w:ascii="Arial" w:cs="Arial" w:eastAsia="Arial" w:hAnsi="Arial"/>
                <w:sz w:val="18"/>
                <w:szCs w:val="18"/>
                <w:color w:val="4C4C4C"/>
                <w:w w:val="99"/>
              </w:rPr>
              <w:t>9,459,243</w:t>
            </w:r>
          </w:p>
        </w:tc>
        <w:tc>
          <w:tcPr>
            <w:tcW w:w="60" w:type="dxa"/>
            <w:vAlign w:val="bottom"/>
            <w:gridSpan w:val="2"/>
            <w:vMerge w:val="restart"/>
          </w:tcPr>
          <w:p>
            <w:pPr>
              <w:jc w:val="right"/>
              <w:spacing w:after="0"/>
              <w:rPr>
                <w:sz w:val="20"/>
                <w:szCs w:val="20"/>
                <w:color w:val="auto"/>
              </w:rPr>
            </w:pPr>
            <w:r>
              <w:rPr>
                <w:rFonts w:ascii="Arial" w:cs="Arial" w:eastAsia="Arial" w:hAnsi="Arial"/>
                <w:sz w:val="18"/>
                <w:szCs w:val="18"/>
                <w:color w:val="4C4C4C"/>
              </w:rPr>
              <w:t>​</w:t>
            </w:r>
          </w:p>
        </w:tc>
        <w:tc>
          <w:tcPr>
            <w:tcW w:w="0" w:type="dxa"/>
            <w:vAlign w:val="bottom"/>
          </w:tcPr>
          <w:p>
            <w:pPr>
              <w:spacing w:after="0"/>
              <w:rPr>
                <w:sz w:val="1"/>
                <w:szCs w:val="1"/>
                <w:color w:val="auto"/>
              </w:rPr>
            </w:pPr>
          </w:p>
        </w:tc>
      </w:tr>
      <w:tr>
        <w:trPr>
          <w:trHeight w:val="54"/>
        </w:trPr>
        <w:tc>
          <w:tcPr>
            <w:tcW w:w="140" w:type="dxa"/>
            <w:vAlign w:val="bottom"/>
            <w:vMerge w:val="continue"/>
          </w:tcPr>
          <w:p>
            <w:pPr>
              <w:spacing w:after="0"/>
              <w:rPr>
                <w:sz w:val="4"/>
                <w:szCs w:val="4"/>
                <w:color w:val="auto"/>
              </w:rPr>
            </w:pPr>
          </w:p>
        </w:tc>
        <w:tc>
          <w:tcPr>
            <w:tcW w:w="26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80" w:type="dxa"/>
            <w:vAlign w:val="bottom"/>
          </w:tcPr>
          <w:p>
            <w:pPr>
              <w:ind w:left="220"/>
              <w:spacing w:after="0" w:line="54" w:lineRule="exact"/>
              <w:rPr>
                <w:sz w:val="20"/>
                <w:szCs w:val="20"/>
                <w:color w:val="auto"/>
              </w:rPr>
            </w:pPr>
            <w:r>
              <w:rPr>
                <w:rFonts w:ascii="Arial" w:cs="Arial" w:eastAsia="Arial" w:hAnsi="Arial"/>
                <w:sz w:val="6"/>
                <w:szCs w:val="6"/>
                <w:color w:val="4C4C4C"/>
              </w:rPr>
              <w:t>​</w:t>
            </w:r>
          </w:p>
        </w:tc>
        <w:tc>
          <w:tcPr>
            <w:tcW w:w="16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120" w:type="dxa"/>
            <w:vAlign w:val="bottom"/>
          </w:tcPr>
          <w:p>
            <w:pPr>
              <w:ind w:left="840"/>
              <w:spacing w:after="0" w:line="54" w:lineRule="exact"/>
              <w:rPr>
                <w:sz w:val="20"/>
                <w:szCs w:val="20"/>
                <w:color w:val="auto"/>
              </w:rPr>
            </w:pPr>
            <w:r>
              <w:rPr>
                <w:rFonts w:ascii="Arial" w:cs="Arial" w:eastAsia="Arial" w:hAnsi="Arial"/>
                <w:sz w:val="6"/>
                <w:szCs w:val="6"/>
                <w:color w:val="4C4C4C"/>
              </w:rPr>
              <w:t>​</w:t>
            </w: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920" w:type="dxa"/>
            <w:vAlign w:val="bottom"/>
          </w:tcPr>
          <w:p>
            <w:pPr>
              <w:ind w:left="1420"/>
              <w:spacing w:after="0" w:line="54" w:lineRule="exact"/>
              <w:rPr>
                <w:sz w:val="20"/>
                <w:szCs w:val="20"/>
                <w:color w:val="auto"/>
              </w:rPr>
            </w:pPr>
            <w:r>
              <w:rPr>
                <w:rFonts w:ascii="Arial" w:cs="Arial" w:eastAsia="Arial" w:hAnsi="Arial"/>
                <w:sz w:val="6"/>
                <w:szCs w:val="6"/>
                <w:color w:val="4C4C4C"/>
              </w:rPr>
              <w:t>​</w:t>
            </w:r>
          </w:p>
        </w:tc>
        <w:tc>
          <w:tcPr>
            <w:tcW w:w="32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0" w:type="dxa"/>
            <w:vAlign w:val="bottom"/>
          </w:tcPr>
          <w:p>
            <w:pPr>
              <w:ind w:left="20"/>
              <w:spacing w:after="0"/>
              <w:rPr>
                <w:sz w:val="20"/>
                <w:szCs w:val="20"/>
                <w:color w:val="auto"/>
              </w:rPr>
            </w:pPr>
            <w:r>
              <w:rPr>
                <w:rFonts w:ascii="Arial" w:cs="Arial" w:eastAsia="Arial" w:hAnsi="Arial"/>
                <w:sz w:val="18"/>
                <w:szCs w:val="18"/>
                <w:color w:val="4C4C4C"/>
              </w:rPr>
              <w:t>​</w:t>
            </w:r>
          </w:p>
        </w:tc>
        <w:tc>
          <w:tcPr>
            <w:tcW w:w="2660" w:type="dxa"/>
            <w:vAlign w:val="bottom"/>
          </w:tcPr>
          <w:p>
            <w:pPr>
              <w:ind w:left="80"/>
              <w:spacing w:after="0"/>
              <w:rPr>
                <w:sz w:val="20"/>
                <w:szCs w:val="20"/>
                <w:color w:val="auto"/>
              </w:rPr>
            </w:pPr>
            <w:r>
              <w:rPr>
                <w:rFonts w:ascii="Arial" w:cs="Arial" w:eastAsia="Arial" w:hAnsi="Arial"/>
                <w:sz w:val="18"/>
                <w:szCs w:val="18"/>
                <w:color w:val="4C4C4C"/>
              </w:rPr>
              <w:t>Employee Stock Purchase Plan</w:t>
            </w:r>
          </w:p>
        </w:tc>
        <w:tc>
          <w:tcPr>
            <w:tcW w:w="220" w:type="dxa"/>
            <w:vAlign w:val="bottom"/>
          </w:tcPr>
          <w:p>
            <w:pPr>
              <w:ind w:left="140"/>
              <w:spacing w:after="0"/>
              <w:rPr>
                <w:sz w:val="20"/>
                <w:szCs w:val="20"/>
                <w:color w:val="auto"/>
              </w:rPr>
            </w:pPr>
            <w:r>
              <w:rPr>
                <w:rFonts w:ascii="Arial" w:cs="Arial" w:eastAsia="Arial" w:hAnsi="Arial"/>
                <w:sz w:val="18"/>
                <w:szCs w:val="18"/>
                <w:color w:val="4C4C4C"/>
              </w:rPr>
              <w:t>​</w:t>
            </w:r>
          </w:p>
        </w:tc>
        <w:tc>
          <w:tcPr>
            <w:tcW w:w="980" w:type="dxa"/>
            <w:vAlign w:val="bottom"/>
          </w:tcPr>
          <w:p>
            <w:pPr>
              <w:ind w:left="220"/>
              <w:spacing w:after="0"/>
              <w:rPr>
                <w:sz w:val="20"/>
                <w:szCs w:val="20"/>
                <w:color w:val="auto"/>
              </w:rPr>
            </w:pPr>
            <w:r>
              <w:rPr>
                <w:rFonts w:ascii="Arial" w:cs="Arial" w:eastAsia="Arial" w:hAnsi="Arial"/>
                <w:sz w:val="18"/>
                <w:szCs w:val="18"/>
                <w:color w:val="4C4C4C"/>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4C4C4C"/>
              </w:rPr>
              <w:t>— ​ ​</w:t>
            </w:r>
          </w:p>
        </w:tc>
        <w:tc>
          <w:tcPr>
            <w:tcW w:w="1120" w:type="dxa"/>
            <w:vAlign w:val="bottom"/>
          </w:tcPr>
          <w:p>
            <w:pPr>
              <w:ind w:left="840"/>
              <w:spacing w:after="0"/>
              <w:rPr>
                <w:sz w:val="20"/>
                <w:szCs w:val="20"/>
                <w:color w:val="auto"/>
              </w:rPr>
            </w:pPr>
            <w:r>
              <w:rPr>
                <w:rFonts w:ascii="Arial" w:cs="Arial" w:eastAsia="Arial" w:hAnsi="Arial"/>
                <w:sz w:val="18"/>
                <w:szCs w:val="18"/>
                <w:color w:val="4C4C4C"/>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4C4C4C"/>
              </w:rPr>
              <w:t>— ​ ​</w:t>
            </w:r>
          </w:p>
        </w:tc>
        <w:tc>
          <w:tcPr>
            <w:tcW w:w="1920" w:type="dxa"/>
            <w:vAlign w:val="bottom"/>
          </w:tcPr>
          <w:p>
            <w:pPr>
              <w:ind w:left="1420"/>
              <w:spacing w:after="0"/>
              <w:rPr>
                <w:sz w:val="20"/>
                <w:szCs w:val="20"/>
                <w:color w:val="auto"/>
              </w:rPr>
            </w:pPr>
            <w:r>
              <w:rPr>
                <w:rFonts w:ascii="Arial" w:cs="Arial" w:eastAsia="Arial" w:hAnsi="Arial"/>
                <w:sz w:val="18"/>
                <w:szCs w:val="18"/>
                <w:color w:val="4C4C4C"/>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4C4C4C"/>
              </w:rPr>
              <w:t>190 ​</w:t>
            </w:r>
          </w:p>
        </w:tc>
        <w:tc>
          <w:tcPr>
            <w:tcW w:w="0" w:type="dxa"/>
            <w:vAlign w:val="bottom"/>
          </w:tcPr>
          <w:p>
            <w:pPr>
              <w:spacing w:after="0"/>
              <w:rPr>
                <w:sz w:val="1"/>
                <w:szCs w:val="1"/>
                <w:color w:val="auto"/>
              </w:rPr>
            </w:pPr>
          </w:p>
        </w:tc>
      </w:tr>
      <w:tr>
        <w:trPr>
          <w:trHeight w:val="248"/>
        </w:trPr>
        <w:tc>
          <w:tcPr>
            <w:tcW w:w="2800" w:type="dxa"/>
            <w:vAlign w:val="bottom"/>
            <w:gridSpan w:val="2"/>
          </w:tcPr>
          <w:p>
            <w:pPr>
              <w:ind w:left="40"/>
              <w:spacing w:after="0"/>
              <w:rPr>
                <w:sz w:val="20"/>
                <w:szCs w:val="20"/>
                <w:color w:val="auto"/>
              </w:rPr>
            </w:pPr>
            <w:r>
              <w:rPr>
                <w:rFonts w:ascii="Arial" w:cs="Arial" w:eastAsia="Arial" w:hAnsi="Arial"/>
                <w:sz w:val="18"/>
                <w:szCs w:val="18"/>
                <w:color w:val="4C4C4C"/>
              </w:rPr>
              <w:t>Equity Compensation Plans Not</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40" w:type="dxa"/>
            <w:vAlign w:val="bottom"/>
          </w:tcPr>
          <w:p>
            <w:pPr>
              <w:ind w:left="20"/>
              <w:spacing w:after="0"/>
              <w:rPr>
                <w:sz w:val="20"/>
                <w:szCs w:val="20"/>
                <w:color w:val="auto"/>
              </w:rPr>
            </w:pPr>
            <w:r>
              <w:rPr>
                <w:rFonts w:ascii="Arial" w:cs="Arial" w:eastAsia="Arial" w:hAnsi="Arial"/>
                <w:sz w:val="18"/>
                <w:szCs w:val="18"/>
                <w:color w:val="4C4C4C"/>
              </w:rPr>
              <w:t>​</w:t>
            </w:r>
          </w:p>
        </w:tc>
        <w:tc>
          <w:tcPr>
            <w:tcW w:w="2660" w:type="dxa"/>
            <w:vAlign w:val="bottom"/>
          </w:tcPr>
          <w:p>
            <w:pPr>
              <w:ind w:left="80"/>
              <w:spacing w:after="0"/>
              <w:rPr>
                <w:sz w:val="20"/>
                <w:szCs w:val="20"/>
                <w:color w:val="auto"/>
              </w:rPr>
            </w:pPr>
            <w:r>
              <w:rPr>
                <w:rFonts w:ascii="Arial" w:cs="Arial" w:eastAsia="Arial" w:hAnsi="Arial"/>
                <w:sz w:val="18"/>
                <w:szCs w:val="18"/>
                <w:color w:val="4C4C4C"/>
              </w:rPr>
              <w:t>Approved by Stockholders</w:t>
            </w:r>
          </w:p>
        </w:tc>
        <w:tc>
          <w:tcPr>
            <w:tcW w:w="220" w:type="dxa"/>
            <w:vAlign w:val="bottom"/>
          </w:tcPr>
          <w:p>
            <w:pPr>
              <w:ind w:left="140"/>
              <w:spacing w:after="0"/>
              <w:rPr>
                <w:sz w:val="20"/>
                <w:szCs w:val="20"/>
                <w:color w:val="auto"/>
              </w:rPr>
            </w:pPr>
            <w:r>
              <w:rPr>
                <w:rFonts w:ascii="Arial" w:cs="Arial" w:eastAsia="Arial" w:hAnsi="Arial"/>
                <w:sz w:val="18"/>
                <w:szCs w:val="18"/>
                <w:color w:val="4C4C4C"/>
              </w:rPr>
              <w:t>​</w:t>
            </w:r>
          </w:p>
        </w:tc>
        <w:tc>
          <w:tcPr>
            <w:tcW w:w="980" w:type="dxa"/>
            <w:vAlign w:val="bottom"/>
          </w:tcPr>
          <w:p>
            <w:pPr>
              <w:ind w:left="220"/>
              <w:spacing w:after="0"/>
              <w:rPr>
                <w:sz w:val="20"/>
                <w:szCs w:val="20"/>
                <w:color w:val="auto"/>
              </w:rPr>
            </w:pPr>
            <w:r>
              <w:rPr>
                <w:rFonts w:ascii="Arial" w:cs="Arial" w:eastAsia="Arial" w:hAnsi="Arial"/>
                <w:sz w:val="18"/>
                <w:szCs w:val="18"/>
                <w:color w:val="4C4C4C"/>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4C4C4C"/>
              </w:rPr>
              <w:t>— ​ ​</w:t>
            </w:r>
          </w:p>
        </w:tc>
        <w:tc>
          <w:tcPr>
            <w:tcW w:w="1120" w:type="dxa"/>
            <w:vAlign w:val="bottom"/>
          </w:tcPr>
          <w:p>
            <w:pPr>
              <w:ind w:left="840"/>
              <w:spacing w:after="0"/>
              <w:rPr>
                <w:sz w:val="20"/>
                <w:szCs w:val="20"/>
                <w:color w:val="auto"/>
              </w:rPr>
            </w:pPr>
            <w:r>
              <w:rPr>
                <w:rFonts w:ascii="Arial" w:cs="Arial" w:eastAsia="Arial" w:hAnsi="Arial"/>
                <w:sz w:val="18"/>
                <w:szCs w:val="18"/>
                <w:color w:val="4C4C4C"/>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4C4C4C"/>
              </w:rPr>
              <w:t>— ​ ​</w:t>
            </w:r>
          </w:p>
        </w:tc>
        <w:tc>
          <w:tcPr>
            <w:tcW w:w="1920" w:type="dxa"/>
            <w:vAlign w:val="bottom"/>
          </w:tcPr>
          <w:p>
            <w:pPr>
              <w:ind w:left="1420"/>
              <w:spacing w:after="0"/>
              <w:rPr>
                <w:sz w:val="20"/>
                <w:szCs w:val="20"/>
                <w:color w:val="auto"/>
              </w:rPr>
            </w:pPr>
            <w:r>
              <w:rPr>
                <w:rFonts w:ascii="Arial" w:cs="Arial" w:eastAsia="Arial" w:hAnsi="Arial"/>
                <w:sz w:val="18"/>
                <w:szCs w:val="18"/>
                <w:color w:val="4C4C4C"/>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4C4C4C"/>
              </w:rPr>
              <w:t>— ​</w:t>
            </w:r>
          </w:p>
        </w:tc>
        <w:tc>
          <w:tcPr>
            <w:tcW w:w="0" w:type="dxa"/>
            <w:vAlign w:val="bottom"/>
          </w:tcPr>
          <w:p>
            <w:pPr>
              <w:spacing w:after="0"/>
              <w:rPr>
                <w:sz w:val="1"/>
                <w:szCs w:val="1"/>
                <w:color w:val="auto"/>
              </w:rPr>
            </w:pPr>
          </w:p>
        </w:tc>
      </w:tr>
      <w:tr>
        <w:trPr>
          <w:trHeight w:val="262"/>
        </w:trPr>
        <w:tc>
          <w:tcPr>
            <w:tcW w:w="2800" w:type="dxa"/>
            <w:vAlign w:val="bottom"/>
            <w:gridSpan w:val="2"/>
          </w:tcPr>
          <w:p>
            <w:pPr>
              <w:ind w:left="20"/>
              <w:spacing w:after="0"/>
              <w:rPr>
                <w:sz w:val="20"/>
                <w:szCs w:val="20"/>
                <w:color w:val="auto"/>
              </w:rPr>
            </w:pPr>
            <w:r>
              <w:rPr>
                <w:rFonts w:ascii="Arial" w:cs="Arial" w:eastAsia="Arial" w:hAnsi="Arial"/>
                <w:sz w:val="18"/>
                <w:szCs w:val="18"/>
                <w:color w:val="4C4C4C"/>
              </w:rPr>
              <w:t>​Total</w:t>
            </w:r>
          </w:p>
        </w:tc>
        <w:tc>
          <w:tcPr>
            <w:tcW w:w="220" w:type="dxa"/>
            <w:vAlign w:val="bottom"/>
          </w:tcPr>
          <w:p>
            <w:pPr>
              <w:ind w:left="140"/>
              <w:spacing w:after="0"/>
              <w:rPr>
                <w:sz w:val="20"/>
                <w:szCs w:val="20"/>
                <w:color w:val="auto"/>
              </w:rPr>
            </w:pPr>
            <w:r>
              <w:rPr>
                <w:rFonts w:ascii="Arial" w:cs="Arial" w:eastAsia="Arial" w:hAnsi="Arial"/>
                <w:sz w:val="18"/>
                <w:szCs w:val="18"/>
                <w:color w:val="4C4C4C"/>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4C4C4C"/>
              </w:rPr>
              <w:t>​19,406,619 ​ ​</w:t>
            </w:r>
          </w:p>
        </w:tc>
        <w:tc>
          <w:tcPr>
            <w:tcW w:w="1560" w:type="dxa"/>
            <w:vAlign w:val="bottom"/>
            <w:gridSpan w:val="3"/>
          </w:tcPr>
          <w:p>
            <w:pPr>
              <w:jc w:val="right"/>
              <w:spacing w:after="0"/>
              <w:rPr>
                <w:sz w:val="20"/>
                <w:szCs w:val="20"/>
                <w:color w:val="auto"/>
              </w:rPr>
            </w:pPr>
            <w:r>
              <w:rPr>
                <w:rFonts w:ascii="Arial" w:cs="Arial" w:eastAsia="Arial" w:hAnsi="Arial"/>
                <w:sz w:val="18"/>
                <w:szCs w:val="18"/>
                <w:color w:val="4C4C4C"/>
              </w:rPr>
              <w:t>​ 1.93 ​ ​</w:t>
            </w:r>
          </w:p>
        </w:tc>
        <w:tc>
          <w:tcPr>
            <w:tcW w:w="2300" w:type="dxa"/>
            <w:vAlign w:val="bottom"/>
            <w:gridSpan w:val="4"/>
          </w:tcPr>
          <w:p>
            <w:pPr>
              <w:jc w:val="right"/>
              <w:spacing w:after="0"/>
              <w:rPr>
                <w:sz w:val="20"/>
                <w:szCs w:val="20"/>
                <w:color w:val="auto"/>
              </w:rPr>
            </w:pPr>
            <w:r>
              <w:rPr>
                <w:rFonts w:ascii="Arial" w:cs="Arial" w:eastAsia="Arial" w:hAnsi="Arial"/>
                <w:sz w:val="18"/>
                <w:szCs w:val="18"/>
                <w:color w:val="4C4C4C"/>
              </w:rPr>
              <w:t>​9,459,433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-791210</wp:posOffset>
            </wp:positionV>
            <wp:extent cx="5212080" cy="162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-465455</wp:posOffset>
            </wp:positionV>
            <wp:extent cx="5212080" cy="3003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90805</wp:posOffset>
            </wp:positionV>
            <wp:extent cx="14312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79" w:lineRule="exact"/>
        <w:rPr>
          <w:sz w:val="20"/>
          <w:szCs w:val="20"/>
          <w:color w:val="auto"/>
        </w:rPr>
      </w:pPr>
    </w:p>
    <w:p>
      <w:pPr>
        <w:ind w:left="1620" w:hanging="360"/>
        <w:spacing w:after="0"/>
        <w:tabs>
          <w:tab w:leader="none" w:pos="1620" w:val="left"/>
        </w:tabs>
        <w:numPr>
          <w:ilvl w:val="0"/>
          <w:numId w:val="94"/>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Consists only of outstanding stock options.</w:t>
      </w:r>
    </w:p>
    <w:p>
      <w:pPr>
        <w:spacing w:after="0" w:line="95" w:lineRule="exact"/>
        <w:rPr>
          <w:rFonts w:ascii="Trebuchet MS" w:cs="Trebuchet MS" w:eastAsia="Trebuchet MS" w:hAnsi="Trebuchet MS"/>
          <w:sz w:val="27"/>
          <w:szCs w:val="27"/>
          <w:color w:val="4C4C4C"/>
          <w:vertAlign w:val="superscript"/>
        </w:rPr>
      </w:pPr>
    </w:p>
    <w:p>
      <w:pPr>
        <w:ind w:left="1620" w:right="459" w:hanging="360"/>
        <w:spacing w:after="0" w:line="198" w:lineRule="auto"/>
        <w:tabs>
          <w:tab w:leader="none" w:pos="1620" w:val="left"/>
        </w:tabs>
        <w:numPr>
          <w:ilvl w:val="0"/>
          <w:numId w:val="94"/>
        </w:numPr>
        <w:rPr>
          <w:rFonts w:ascii="Trebuchet MS" w:cs="Trebuchet MS" w:eastAsia="Trebuchet MS" w:hAnsi="Trebuchet MS"/>
          <w:sz w:val="27"/>
          <w:szCs w:val="27"/>
          <w:color w:val="4C4C4C"/>
          <w:vertAlign w:val="superscript"/>
        </w:rPr>
      </w:pPr>
      <w:r>
        <w:rPr>
          <w:rFonts w:ascii="Arial" w:cs="Arial" w:eastAsia="Arial" w:hAnsi="Arial"/>
          <w:sz w:val="18"/>
          <w:szCs w:val="18"/>
          <w:color w:val="4C4C4C"/>
        </w:rPr>
        <w:t>Awards issuable under the 2010 Plan may include stock options, SARs, restricted stock, RSUs and other stock-based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780" w:hanging="520"/>
        <w:spacing w:after="0"/>
        <w:tabs>
          <w:tab w:leader="none" w:pos="1780" w:val="left"/>
        </w:tabs>
        <w:numPr>
          <w:ilvl w:val="0"/>
          <w:numId w:val="95"/>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4800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20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840"/>
        <w:spacing w:after="0"/>
        <w:rPr>
          <w:sz w:val="20"/>
          <w:szCs w:val="20"/>
          <w:color w:val="auto"/>
        </w:rPr>
      </w:pPr>
      <w:r>
        <w:rPr>
          <w:rFonts w:ascii="Trebuchet MS" w:cs="Trebuchet MS" w:eastAsia="Trebuchet MS" w:hAnsi="Trebuchet MS"/>
          <w:sz w:val="29"/>
          <w:szCs w:val="29"/>
          <w:b w:val="1"/>
          <w:bCs w:val="1"/>
          <w:color w:val="FFFFFF"/>
        </w:rPr>
        <w:t>CERTAIN RELATIONSHIPS AND RELATED PARTY</w:t>
      </w:r>
    </w:p>
    <w:p>
      <w:pPr>
        <w:jc w:val="center"/>
        <w:ind w:right="-840"/>
        <w:spacing w:after="0"/>
        <w:rPr>
          <w:sz w:val="20"/>
          <w:szCs w:val="20"/>
          <w:color w:val="auto"/>
        </w:rPr>
      </w:pPr>
      <w:r>
        <w:rPr>
          <w:rFonts w:ascii="Trebuchet MS" w:cs="Trebuchet MS" w:eastAsia="Trebuchet MS" w:hAnsi="Trebuchet MS"/>
          <w:sz w:val="29"/>
          <w:szCs w:val="29"/>
          <w:b w:val="1"/>
          <w:bCs w:val="1"/>
          <w:color w:val="FFFFFF"/>
        </w:rPr>
        <w:t>TRANSACTIONS</w:t>
      </w:r>
    </w:p>
    <w:p>
      <w:pPr>
        <w:spacing w:after="0" w:line="222"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Policies and Procedures for Related Party Transactions</w:t>
      </w:r>
    </w:p>
    <w:p>
      <w:pPr>
        <w:spacing w:after="0" w:line="205"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4C4C4C"/>
        </w:rPr>
        <w:t>The Board conducts an appropriate review of and oversees all related party transactions on a continuing basis and reviews potential conflict of interest situations where appropriate. The Board has not adopted formal standards to apply when it reviews, approves or ratifies any related party transaction. However, the Board has followed the following standards: (i) all related party transactions must be fair and reasonable to the Company and on terms comparable to those reasonably expected to be agreed to with independent third parties for the same goods and/or services at the time they are authorized by the Board and (ii) all related party transactions should be authorized, approved or ratified by the affirmative vote of a majority of the directors who have no interest, either directly or indirectly, in any such related party transaction.</w:t>
      </w:r>
    </w:p>
    <w:p>
      <w:pPr>
        <w:spacing w:after="0" w:line="183"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Transactions with Related Persons</w:t>
      </w:r>
    </w:p>
    <w:p>
      <w:pPr>
        <w:spacing w:after="0" w:line="205"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4C4C4C"/>
        </w:rPr>
        <w:t>There have been no transactions, since January 1, 2025, to which we were a party or will be a party, in which the amount involved exceeded or will exceed $120,000 and in which a director, executive officer, holder of more than 5% of our common stock or any member of their immediate family had or will have a direct or indirect material interest, other than compensation arrangements that are described under “Executive Compensation — Employment Arrangements” and “Director Compensation” above.</w:t>
      </w:r>
    </w:p>
    <w:p>
      <w:pPr>
        <w:spacing w:after="0" w:line="180" w:lineRule="exact"/>
        <w:rPr>
          <w:sz w:val="20"/>
          <w:szCs w:val="20"/>
          <w:color w:val="auto"/>
        </w:rPr>
      </w:pPr>
    </w:p>
    <w:p>
      <w:pPr>
        <w:ind w:left="1260"/>
        <w:spacing w:after="0"/>
        <w:rPr>
          <w:sz w:val="20"/>
          <w:szCs w:val="20"/>
          <w:color w:val="auto"/>
        </w:rPr>
      </w:pPr>
      <w:r>
        <w:rPr>
          <w:rFonts w:ascii="Trebuchet MS" w:cs="Trebuchet MS" w:eastAsia="Trebuchet MS" w:hAnsi="Trebuchet MS"/>
          <w:sz w:val="22"/>
          <w:szCs w:val="22"/>
          <w:b w:val="1"/>
          <w:bCs w:val="1"/>
          <w:color w:val="346094"/>
        </w:rPr>
        <w:t>Indemnification Agreements with Directors and Executive Officers</w:t>
      </w:r>
    </w:p>
    <w:p>
      <w:pPr>
        <w:spacing w:after="0" w:line="205"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4C4C4C"/>
        </w:rPr>
        <w:t>We have entered into indemnification agreements with our directors and executive officers under which we agreed to indemnify those individuals under the circumstances and to the extent provided for in the agreements, for expenses, damages, judgments, fines, settlements and any other amounts they may be required to pay in actions, suits or proceedings which they are or may be made a party or threatened to be made a party by reason of their position as a director, officer or other agent of ours, and otherwise to the fullest extent permitted under Delaware law and our Bylaws. We also have an insurance policy covering our directors and executive officers with respect to certain liabilities, including liabilities arising under the Securities Act or otherwise. We believe that these provisions and insurance coverage are necessary to attract and retain qualified directors, officers and other key employees.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880"/>
        <w:spacing w:after="0"/>
        <w:tabs>
          <w:tab w:leader="none" w:pos="9260" w:val="left"/>
        </w:tabs>
        <w:rPr>
          <w:sz w:val="20"/>
          <w:szCs w:val="20"/>
          <w:color w:val="auto"/>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r>
        <w:rPr>
          <w:sz w:val="20"/>
          <w:szCs w:val="20"/>
          <w:color w:val="auto"/>
        </w:rPr>
        <w:tab/>
      </w:r>
      <w:r>
        <w:rPr>
          <w:rFonts w:ascii="Arial" w:cs="Arial" w:eastAsia="Arial" w:hAnsi="Arial"/>
          <w:sz w:val="16"/>
          <w:szCs w:val="16"/>
          <w:color w:val="4C4C4C"/>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274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840"/>
        <w:spacing w:after="0"/>
        <w:rPr>
          <w:sz w:val="20"/>
          <w:szCs w:val="20"/>
          <w:color w:val="auto"/>
        </w:rPr>
      </w:pPr>
      <w:r>
        <w:rPr>
          <w:rFonts w:ascii="Trebuchet MS" w:cs="Trebuchet MS" w:eastAsia="Trebuchet MS" w:hAnsi="Trebuchet MS"/>
          <w:sz w:val="29"/>
          <w:szCs w:val="29"/>
          <w:b w:val="1"/>
          <w:bCs w:val="1"/>
          <w:color w:val="FFFFFF"/>
        </w:rPr>
        <w:t>DELINQUENT SECTION 16(A) REPORTS</w:t>
      </w:r>
    </w:p>
    <w:p>
      <w:pPr>
        <w:spacing w:after="0" w:line="234"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4C4C4C"/>
        </w:rPr>
        <w:t>Section 16(a) of the Exchange Act requires our directors and executive officers, and persons who own more than 10% of a registered class of our equity securities, to file reports of ownership and changes in ownership with the SEC. Based on our review of such reports and written representations from our directors and executive officers, we believe that all such filing requirements were timely met during 2025, except (i) one Form 4 for Andrew Shafer filed on July 11, 2025 to report a sale of common stock on June 20, 2025, and (ii) one Form 4 for Angelo Amorelli filed on August 15, 2025 to report the exercise of stock options and sale of common stock on August 12, 2025 and August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780" w:hanging="520"/>
        <w:spacing w:after="0"/>
        <w:tabs>
          <w:tab w:leader="none" w:pos="1780" w:val="left"/>
        </w:tabs>
        <w:numPr>
          <w:ilvl w:val="0"/>
          <w:numId w:val="96"/>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274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rebuchet MS" w:cs="Trebuchet MS" w:eastAsia="Trebuchet MS" w:hAnsi="Trebuchet MS"/>
          <w:sz w:val="29"/>
          <w:szCs w:val="29"/>
          <w:b w:val="1"/>
          <w:bCs w:val="1"/>
          <w:color w:val="FFFFFF"/>
        </w:rPr>
        <w:t xml:space="preserve">HOUSEHOLDING OF PROXY </w:t>
      </w:r>
      <w:r>
        <w:rPr>
          <w:rFonts w:ascii="Arial" w:cs="Arial" w:eastAsia="Arial" w:hAnsi="Arial"/>
          <w:sz w:val="27"/>
          <w:szCs w:val="27"/>
          <w:b w:val="1"/>
          <w:bCs w:val="1"/>
          <w:color w:val="FFFFFF"/>
        </w:rPr>
        <w:t>M</w:t>
      </w:r>
      <w:r>
        <w:rPr>
          <w:rFonts w:ascii="Trebuchet MS" w:cs="Trebuchet MS" w:eastAsia="Trebuchet MS" w:hAnsi="Trebuchet MS"/>
          <w:sz w:val="29"/>
          <w:szCs w:val="29"/>
          <w:b w:val="1"/>
          <w:bCs w:val="1"/>
          <w:color w:val="FFFFFF"/>
        </w:rPr>
        <w:t>ATERIALS</w:t>
      </w:r>
    </w:p>
    <w:p>
      <w:pPr>
        <w:spacing w:after="0" w:line="234" w:lineRule="exact"/>
        <w:rPr>
          <w:sz w:val="20"/>
          <w:szCs w:val="20"/>
          <w:color w:val="auto"/>
        </w:rPr>
      </w:pPr>
    </w:p>
    <w:p>
      <w:pPr>
        <w:ind w:left="1260" w:right="1280"/>
        <w:spacing w:after="0" w:line="252" w:lineRule="auto"/>
        <w:rPr>
          <w:sz w:val="20"/>
          <w:szCs w:val="20"/>
          <w:color w:val="auto"/>
        </w:rPr>
      </w:pPr>
      <w:r>
        <w:rPr>
          <w:rFonts w:ascii="Arial" w:cs="Arial" w:eastAsia="Arial" w:hAnsi="Arial"/>
          <w:sz w:val="18"/>
          <w:szCs w:val="18"/>
          <w:color w:val="4C4C4C"/>
        </w:rPr>
        <w:t>The SEC has adopted rules that permit companies and intermediaries (</w:t>
      </w:r>
      <w:r>
        <w:rPr>
          <w:rFonts w:ascii="Arial" w:cs="Arial" w:eastAsia="Arial" w:hAnsi="Arial"/>
          <w:sz w:val="18"/>
          <w:szCs w:val="18"/>
          <w:i w:val="1"/>
          <w:iCs w:val="1"/>
          <w:color w:val="4C4C4C"/>
        </w:rPr>
        <w:t>e.g.</w:t>
      </w:r>
      <w:r>
        <w:rPr>
          <w:rFonts w:ascii="Arial" w:cs="Arial" w:eastAsia="Arial" w:hAnsi="Arial"/>
          <w:sz w:val="18"/>
          <w:szCs w:val="18"/>
          <w:color w:val="4C4C4C"/>
        </w:rPr>
        <w:t>, brokers) to satisfy the delivery requirements for proxy materials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69" w:lineRule="exact"/>
        <w:rPr>
          <w:sz w:val="20"/>
          <w:szCs w:val="20"/>
          <w:color w:val="auto"/>
        </w:rPr>
      </w:pPr>
    </w:p>
    <w:p>
      <w:pPr>
        <w:ind w:left="1260" w:right="1300"/>
        <w:spacing w:after="0" w:line="251" w:lineRule="auto"/>
        <w:rPr>
          <w:sz w:val="20"/>
          <w:szCs w:val="20"/>
          <w:color w:val="auto"/>
        </w:rPr>
      </w:pPr>
      <w:r>
        <w:rPr>
          <w:rFonts w:ascii="Arial" w:cs="Arial" w:eastAsia="Arial" w:hAnsi="Arial"/>
          <w:sz w:val="18"/>
          <w:szCs w:val="18"/>
          <w:color w:val="4C4C4C"/>
        </w:rPr>
        <w:t>This year, a number of brokers with account holders who are the Company’s stockholders may be “householding” our proxy materials. A single copy of the proxy materials may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copy of the proxy materials, please (1) notify your broker, (2) direct your written request to Gevo, Inc., c/o Corporate Secretary, 345 Inverness Drive South, Building C, Suite 310, Englewood, Colorado 80112 or (3) call Investor Relations at (303) 858-8358. Stockholders who currently receive multiple copies of the proxy materials at their address and would like to request householding of their communications should contact their brokers. In addition, upon written or oral request to the address or telephone number set forth above, we will promptly deliver a separate copy of the proxy materials to any stockholder at a shared address to which a single copy of the documents was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5212080" cy="274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26" w:lineRule="exact"/>
        <w:rPr>
          <w:sz w:val="20"/>
          <w:szCs w:val="20"/>
          <w:color w:val="auto"/>
        </w:rPr>
      </w:pPr>
    </w:p>
    <w:p>
      <w:pPr>
        <w:ind w:left="1360"/>
        <w:spacing w:after="0"/>
        <w:rPr>
          <w:sz w:val="20"/>
          <w:szCs w:val="20"/>
          <w:color w:val="auto"/>
        </w:rPr>
      </w:pPr>
      <w:r>
        <w:rPr>
          <w:rFonts w:ascii="Trebuchet MS" w:cs="Trebuchet MS" w:eastAsia="Trebuchet MS" w:hAnsi="Trebuchet MS"/>
          <w:sz w:val="29"/>
          <w:szCs w:val="29"/>
          <w:b w:val="1"/>
          <w:bCs w:val="1"/>
          <w:color w:val="FFFFFF"/>
        </w:rPr>
        <w:t>STOCKHOLDER PROPOSALS AND DIRECTOR NO</w:t>
      </w:r>
      <w:r>
        <w:rPr>
          <w:rFonts w:ascii="Arial" w:cs="Arial" w:eastAsia="Arial" w:hAnsi="Arial"/>
          <w:sz w:val="27"/>
          <w:szCs w:val="27"/>
          <w:b w:val="1"/>
          <w:bCs w:val="1"/>
          <w:color w:val="FFFFFF"/>
        </w:rPr>
        <w:t>M</w:t>
      </w:r>
      <w:r>
        <w:rPr>
          <w:rFonts w:ascii="Trebuchet MS" w:cs="Trebuchet MS" w:eastAsia="Trebuchet MS" w:hAnsi="Trebuchet MS"/>
          <w:sz w:val="29"/>
          <w:szCs w:val="29"/>
          <w:b w:val="1"/>
          <w:bCs w:val="1"/>
          <w:color w:val="FFFFFF"/>
        </w:rPr>
        <w:t>INATIONS</w:t>
      </w:r>
    </w:p>
    <w:p>
      <w:pPr>
        <w:spacing w:after="0" w:line="247" w:lineRule="exact"/>
        <w:rPr>
          <w:sz w:val="20"/>
          <w:szCs w:val="20"/>
          <w:color w:val="auto"/>
        </w:rPr>
      </w:pPr>
    </w:p>
    <w:p>
      <w:pPr>
        <w:ind w:left="1260" w:right="1280"/>
        <w:spacing w:after="0" w:line="258" w:lineRule="auto"/>
        <w:rPr>
          <w:sz w:val="20"/>
          <w:szCs w:val="20"/>
          <w:color w:val="auto"/>
        </w:rPr>
      </w:pPr>
      <w:r>
        <w:rPr>
          <w:rFonts w:ascii="Arial" w:cs="Arial" w:eastAsia="Arial" w:hAnsi="Arial"/>
          <w:sz w:val="18"/>
          <w:szCs w:val="18"/>
          <w:color w:val="4C4C4C"/>
        </w:rPr>
        <w:t>Pursuant to Rule 14a-8 under the Exchange Act, stockholders may present proper proposals for inclusion in our proxy statement and for consideration at our next annual meeting of stockholders. Any proposal of a stockholder intended to be included in our proxy statement for the 2027 Annual Meeting of Stockholders pursuant to Rule 14a-8 must be received by us no later than December 10, 2026, unless the date of our 2027 Annual Meeting of Stockholders is more than 30 days before or after May 20, 2027, in which case the proposal must be received a reasonable time before we begin to print and mail our proxy materials. All proposals should be directed to our Corporate Secretary, at 345 Inverness Drive South, Building C, Suite 310, Englewood, Colorado 80112.</w:t>
      </w:r>
    </w:p>
    <w:p>
      <w:pPr>
        <w:spacing w:after="0" w:line="164" w:lineRule="exact"/>
        <w:rPr>
          <w:sz w:val="20"/>
          <w:szCs w:val="20"/>
          <w:color w:val="auto"/>
        </w:rPr>
      </w:pPr>
    </w:p>
    <w:p>
      <w:pPr>
        <w:ind w:left="1260" w:right="1260"/>
        <w:spacing w:after="0" w:line="253" w:lineRule="auto"/>
        <w:rPr>
          <w:sz w:val="20"/>
          <w:szCs w:val="20"/>
          <w:color w:val="auto"/>
        </w:rPr>
      </w:pPr>
      <w:r>
        <w:rPr>
          <w:rFonts w:ascii="Arial" w:cs="Arial" w:eastAsia="Arial" w:hAnsi="Arial"/>
          <w:sz w:val="18"/>
          <w:szCs w:val="18"/>
          <w:color w:val="4C4C4C"/>
        </w:rPr>
        <w:t>Pursuant to the terms of our Bylaws, stockholders wishing to submit proposals or director nominations for consideration at our 2027 Annual Meeting of Stockholders, including those that are not to be included in such proxy statement and proxy, must provide timely notice in writing to our Corporate Secretary, at 345 Inverness Drive South, Building C, Suite 310, Englewood, Colorado 80112. Pursuant to our Bylaws, to be timely, a stockholder’s notice must be delivered to or mailed and received at our principal executive offices not later than the close of business on February 19, 2027 nor earlier than January 20, 2027; provided, however, that if the date of the 2027 Annual Meeting of Stockholders is more than 30 days before or more than 70 days after such anniversary date, notice by stockholders to be timely must be so delivered, or mailed and received, not earlier than the close of business on the 120th day prior to such annual meeting and not later than the close of business on the 90th day prior to such annual meeting or, if later, the 10th day following the day on which public disclosure of the date of such annual meeting was first made. Stockholders are advised to review our Bylaws, which contain additional requirements with respect to advance notice of stockholder proposals and director nominations.</w:t>
      </w:r>
    </w:p>
    <w:p>
      <w:pPr>
        <w:spacing w:after="0" w:line="172" w:lineRule="exact"/>
        <w:rPr>
          <w:sz w:val="20"/>
          <w:szCs w:val="20"/>
          <w:color w:val="auto"/>
        </w:rPr>
      </w:pPr>
    </w:p>
    <w:p>
      <w:pPr>
        <w:jc w:val="both"/>
        <w:ind w:left="1260" w:right="1560"/>
        <w:spacing w:after="0" w:line="253" w:lineRule="auto"/>
        <w:rPr>
          <w:sz w:val="20"/>
          <w:szCs w:val="20"/>
          <w:color w:val="auto"/>
        </w:rPr>
      </w:pPr>
      <w:r>
        <w:rPr>
          <w:rFonts w:ascii="Arial" w:cs="Arial" w:eastAsia="Arial" w:hAnsi="Arial"/>
          <w:sz w:val="18"/>
          <w:szCs w:val="18"/>
          <w:color w:val="4C4C4C"/>
        </w:rPr>
        <w:t>In addition to satisfying the requirements under our Bylaws with respect to advance notice of any nomination, any shareholder that intends to solicit proxies in support of director nominees other than the Company’s nominees must comply with all the requirements of Rule 14a-19 promulgated under the Exchange Act.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20" w:type="dxa"/>
            <w:vAlign w:val="bottom"/>
          </w:tcPr>
          <w:p>
            <w:pPr>
              <w:ind w:left="5880"/>
              <w:spacing w:after="0"/>
              <w:rPr>
                <w:sz w:val="20"/>
                <w:szCs w:val="20"/>
                <w:color w:val="auto"/>
              </w:rPr>
            </w:pPr>
            <w:r>
              <w:rPr>
                <w:rFonts w:ascii="Arial" w:cs="Arial" w:eastAsia="Arial" w:hAnsi="Arial"/>
                <w:sz w:val="18"/>
                <w:szCs w:val="18"/>
                <w:color w:val="346094"/>
                <w:w w:val="93"/>
              </w:rPr>
              <w:t xml:space="preserve">GEVO, INC.  |  </w:t>
            </w:r>
            <w:r>
              <w:rPr>
                <w:rFonts w:ascii="Arial" w:cs="Arial" w:eastAsia="Arial" w:hAnsi="Arial"/>
                <w:sz w:val="18"/>
                <w:szCs w:val="18"/>
                <w:i w:val="1"/>
                <w:iCs w:val="1"/>
                <w:color w:val="4C4C4C"/>
                <w:w w:val="93"/>
              </w:rPr>
              <w:t>2026 PROXY STATEMENT</w:t>
            </w:r>
          </w:p>
        </w:tc>
        <w:tc>
          <w:tcPr>
            <w:tcW w:w="1600" w:type="dxa"/>
            <w:vAlign w:val="bottom"/>
          </w:tcPr>
          <w:p>
            <w:pPr>
              <w:jc w:val="right"/>
              <w:ind w:right="1170"/>
              <w:spacing w:after="0"/>
              <w:rPr>
                <w:sz w:val="20"/>
                <w:szCs w:val="20"/>
                <w:color w:val="auto"/>
              </w:rPr>
            </w:pPr>
            <w:r>
              <w:rPr>
                <w:rFonts w:ascii="Arial" w:cs="Arial" w:eastAsia="Arial" w:hAnsi="Arial"/>
                <w:sz w:val="18"/>
                <w:szCs w:val="18"/>
                <w:color w:val="4C4C4C"/>
              </w:rPr>
              <w:t>63</w:t>
            </w:r>
          </w:p>
        </w:tc>
      </w:tr>
      <w:tr>
        <w:trPr>
          <w:trHeight w:val="395"/>
        </w:trPr>
        <w:tc>
          <w:tcPr>
            <w:tcW w:w="9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274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840"/>
        <w:spacing w:after="0"/>
        <w:rPr>
          <w:sz w:val="20"/>
          <w:szCs w:val="20"/>
          <w:color w:val="auto"/>
        </w:rPr>
      </w:pPr>
      <w:r>
        <w:rPr>
          <w:rFonts w:ascii="Trebuchet MS" w:cs="Trebuchet MS" w:eastAsia="Trebuchet MS" w:hAnsi="Trebuchet MS"/>
          <w:sz w:val="29"/>
          <w:szCs w:val="29"/>
          <w:b w:val="1"/>
          <w:bCs w:val="1"/>
          <w:color w:val="FFFFFF"/>
        </w:rPr>
        <w:t>ANNUAL REPORT</w:t>
      </w:r>
    </w:p>
    <w:p>
      <w:pPr>
        <w:spacing w:after="0" w:line="222" w:lineRule="exact"/>
        <w:rPr>
          <w:sz w:val="20"/>
          <w:szCs w:val="20"/>
          <w:color w:val="auto"/>
        </w:rPr>
      </w:pPr>
    </w:p>
    <w:p>
      <w:pPr>
        <w:ind w:left="1260" w:right="419"/>
        <w:spacing w:after="0" w:line="260" w:lineRule="auto"/>
        <w:rPr>
          <w:sz w:val="20"/>
          <w:szCs w:val="20"/>
          <w:color w:val="auto"/>
        </w:rPr>
      </w:pPr>
      <w:r>
        <w:rPr>
          <w:rFonts w:ascii="Trebuchet MS" w:cs="Trebuchet MS" w:eastAsia="Trebuchet MS" w:hAnsi="Trebuchet MS"/>
          <w:sz w:val="18"/>
          <w:szCs w:val="18"/>
          <w:b w:val="1"/>
          <w:bCs w:val="1"/>
          <w:color w:val="4C4C4C"/>
        </w:rPr>
        <w:t xml:space="preserve">We will provide to any stockholder entitled to vote at our Annual </w:t>
      </w:r>
      <w:r>
        <w:rPr>
          <w:rFonts w:ascii="Arial" w:cs="Arial" w:eastAsia="Arial" w:hAnsi="Arial"/>
          <w:sz w:val="18"/>
          <w:szCs w:val="18"/>
          <w:b w:val="1"/>
          <w:bCs w:val="1"/>
          <w:color w:val="4C4C4C"/>
        </w:rPr>
        <w:t>M</w:t>
      </w:r>
      <w:r>
        <w:rPr>
          <w:rFonts w:ascii="Trebuchet MS" w:cs="Trebuchet MS" w:eastAsia="Trebuchet MS" w:hAnsi="Trebuchet MS"/>
          <w:sz w:val="18"/>
          <w:szCs w:val="18"/>
          <w:b w:val="1"/>
          <w:bCs w:val="1"/>
          <w:color w:val="4C4C4C"/>
        </w:rPr>
        <w:t xml:space="preserve">eeting, at no charge, a copy of our 2025 Annual Report, including the financial statements contained therein. </w:t>
      </w:r>
      <w:r>
        <w:rPr>
          <w:rFonts w:ascii="Arial" w:cs="Arial" w:eastAsia="Arial" w:hAnsi="Arial"/>
          <w:sz w:val="18"/>
          <w:szCs w:val="18"/>
          <w:color w:val="4C4C4C"/>
        </w:rPr>
        <w:t>Requests should</w:t>
      </w:r>
      <w:r>
        <w:rPr>
          <w:rFonts w:ascii="Trebuchet MS" w:cs="Trebuchet MS" w:eastAsia="Trebuchet MS" w:hAnsi="Trebuchet MS"/>
          <w:sz w:val="18"/>
          <w:szCs w:val="18"/>
          <w:b w:val="1"/>
          <w:bCs w:val="1"/>
          <w:color w:val="4C4C4C"/>
        </w:rPr>
        <w:t xml:space="preserve"> </w:t>
      </w:r>
      <w:r>
        <w:rPr>
          <w:rFonts w:ascii="Arial" w:cs="Arial" w:eastAsia="Arial" w:hAnsi="Arial"/>
          <w:sz w:val="18"/>
          <w:szCs w:val="18"/>
          <w:color w:val="4C4C4C"/>
        </w:rPr>
        <w:t>be directed to: Gevo, Inc., Attention: Corporate Secretary, 345 Inverness Drive South, Building C, Suite 310, Englewood, Colorado, 80112, telephone (303) 858-8358.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123825</wp:posOffset>
            </wp:positionV>
            <wp:extent cx="5212080" cy="274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219" w:lineRule="exact"/>
        <w:rPr>
          <w:sz w:val="20"/>
          <w:szCs w:val="20"/>
          <w:color w:val="auto"/>
        </w:rPr>
      </w:pPr>
    </w:p>
    <w:p>
      <w:pPr>
        <w:jc w:val="center"/>
        <w:ind w:right="-840"/>
        <w:spacing w:after="0"/>
        <w:rPr>
          <w:sz w:val="20"/>
          <w:szCs w:val="20"/>
          <w:color w:val="auto"/>
        </w:rPr>
      </w:pPr>
      <w:r>
        <w:rPr>
          <w:rFonts w:ascii="Trebuchet MS" w:cs="Trebuchet MS" w:eastAsia="Trebuchet MS" w:hAnsi="Trebuchet MS"/>
          <w:sz w:val="29"/>
          <w:szCs w:val="29"/>
          <w:b w:val="1"/>
          <w:bCs w:val="1"/>
          <w:color w:val="FFFFFF"/>
        </w:rPr>
        <w:t xml:space="preserve">OTHER </w:t>
      </w:r>
      <w:r>
        <w:rPr>
          <w:rFonts w:ascii="Arial" w:cs="Arial" w:eastAsia="Arial" w:hAnsi="Arial"/>
          <w:sz w:val="27"/>
          <w:szCs w:val="27"/>
          <w:b w:val="1"/>
          <w:bCs w:val="1"/>
          <w:color w:val="FFFFFF"/>
        </w:rPr>
        <w:t>M</w:t>
      </w:r>
      <w:r>
        <w:rPr>
          <w:rFonts w:ascii="Trebuchet MS" w:cs="Trebuchet MS" w:eastAsia="Trebuchet MS" w:hAnsi="Trebuchet MS"/>
          <w:sz w:val="29"/>
          <w:szCs w:val="29"/>
          <w:b w:val="1"/>
          <w:bCs w:val="1"/>
          <w:color w:val="FFFFFF"/>
        </w:rPr>
        <w:t>ATTERS</w:t>
      </w:r>
    </w:p>
    <w:p>
      <w:pPr>
        <w:spacing w:after="0" w:line="222" w:lineRule="exact"/>
        <w:rPr>
          <w:sz w:val="20"/>
          <w:szCs w:val="20"/>
          <w:color w:val="auto"/>
        </w:rPr>
      </w:pPr>
    </w:p>
    <w:p>
      <w:pPr>
        <w:ind w:left="1260" w:right="419"/>
        <w:spacing w:after="0" w:line="272" w:lineRule="auto"/>
        <w:rPr>
          <w:sz w:val="20"/>
          <w:szCs w:val="20"/>
          <w:color w:val="auto"/>
        </w:rPr>
      </w:pPr>
      <w:r>
        <w:rPr>
          <w:rFonts w:ascii="Arial" w:cs="Arial" w:eastAsia="Arial" w:hAnsi="Arial"/>
          <w:sz w:val="18"/>
          <w:szCs w:val="18"/>
          <w:color w:val="4C4C4C"/>
        </w:rPr>
        <w:t>The Board knows of no other matters that will be presented for consideration at our Annual Meeting. If any other matters are properly brought before the Annual Meeting, it is the intention of the persons named in the accompanying proxy to vote on such matters in accordance with their best judgment.</w:t>
      </w:r>
    </w:p>
    <w:p>
      <w:pPr>
        <w:spacing w:after="0" w:line="388" w:lineRule="exact"/>
        <w:rPr>
          <w:sz w:val="20"/>
          <w:szCs w:val="20"/>
          <w:color w:val="auto"/>
        </w:rPr>
      </w:pPr>
    </w:p>
    <w:p>
      <w:pPr>
        <w:ind w:left="5220"/>
        <w:spacing w:after="0"/>
        <w:rPr>
          <w:sz w:val="20"/>
          <w:szCs w:val="20"/>
          <w:color w:val="auto"/>
        </w:rPr>
      </w:pPr>
      <w:r>
        <w:rPr>
          <w:rFonts w:ascii="Arial" w:cs="Arial" w:eastAsia="Arial" w:hAnsi="Arial"/>
          <w:sz w:val="18"/>
          <w:szCs w:val="18"/>
          <w:color w:val="4C4C4C"/>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189865</wp:posOffset>
            </wp:positionV>
            <wp:extent cx="1397000" cy="3340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9700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20"/>
        <w:spacing w:after="0"/>
        <w:rPr>
          <w:sz w:val="20"/>
          <w:szCs w:val="20"/>
          <w:color w:val="auto"/>
        </w:rPr>
      </w:pPr>
      <w:r>
        <w:rPr>
          <w:rFonts w:ascii="Arial" w:cs="Arial" w:eastAsia="Arial" w:hAnsi="Arial"/>
          <w:sz w:val="18"/>
          <w:szCs w:val="18"/>
          <w:color w:val="4C4C4C"/>
        </w:rPr>
        <w:t>E. Cabell Massey</w:t>
      </w:r>
    </w:p>
    <w:p>
      <w:pPr>
        <w:spacing w:after="0" w:line="34"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4C4C4C"/>
        </w:rPr>
        <w:t>Vice President, Legal and Corporate Secretary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April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780" w:hanging="520"/>
        <w:spacing w:after="0"/>
        <w:tabs>
          <w:tab w:leader="none" w:pos="1780" w:val="left"/>
        </w:tabs>
        <w:numPr>
          <w:ilvl w:val="0"/>
          <w:numId w:val="97"/>
        </w:numPr>
        <w:rPr>
          <w:rFonts w:ascii="Arial" w:cs="Arial" w:eastAsia="Arial" w:hAnsi="Arial"/>
          <w:sz w:val="18"/>
          <w:szCs w:val="18"/>
          <w:color w:val="4C4C4C"/>
        </w:rPr>
      </w:pPr>
      <w:r>
        <w:rPr>
          <w:rFonts w:ascii="Arial" w:cs="Arial" w:eastAsia="Arial" w:hAnsi="Arial"/>
          <w:sz w:val="18"/>
          <w:szCs w:val="18"/>
          <w:color w:val="346094"/>
        </w:rPr>
        <w:t xml:space="preserve">GEVO, INC.  |  </w:t>
      </w:r>
      <w:r>
        <w:rPr>
          <w:rFonts w:ascii="Arial" w:cs="Arial" w:eastAsia="Arial" w:hAnsi="Arial"/>
          <w:sz w:val="18"/>
          <w:szCs w:val="18"/>
          <w:i w:val="1"/>
          <w:iCs w:val="1"/>
          <w:color w:val="4C4C4C"/>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6455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86455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5426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854265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1."/>
      <w:numFmt w:val="decimal"/>
      <w:start w:val="1"/>
    </w:lvl>
  </w:abstractNum>
  <w:abstractNum w:abstractNumId="6">
    <w:nsid w:val="75C6C33A"/>
    <w:multiLevelType w:val="hybridMultilevel"/>
    <w:lvl w:ilvl="0">
      <w:lvlJc w:val="left"/>
      <w:lvlText w:val="%1:"/>
      <w:numFmt w:val="upperLetter"/>
      <w:start w:val="1"/>
    </w:lvl>
  </w:abstractNum>
  <w:abstractNum w:abstractNumId="7">
    <w:nsid w:val="12E685FB"/>
    <w:multiLevelType w:val="hybridMultilevel"/>
    <w:lvl w:ilvl="0">
      <w:lvlJc w:val="left"/>
      <w:lvlText w:val="%1:"/>
      <w:numFmt w:val="upperLetter"/>
      <w:start w:val="1"/>
    </w:lvl>
    <w:lvl w:ilvl="1">
      <w:lvlJc w:val="left"/>
      <w:lvlText w:val="%2."/>
      <w:numFmt w:val="decimal"/>
      <w:start w:val="1"/>
    </w:lvl>
  </w:abstractNum>
  <w:abstractNum w:abstractNumId="8">
    <w:nsid w:val="70C6A529"/>
    <w:multiLevelType w:val="hybridMultilevel"/>
    <w:lvl w:ilvl="0">
      <w:lvlJc w:val="left"/>
      <w:lvlText w:val="%1:"/>
      <w:numFmt w:val="upperLetter"/>
      <w:start w:val="1"/>
    </w:lvl>
    <w:lvl w:ilvl="1">
      <w:lvlJc w:val="left"/>
      <w:lvlText w:val="•"/>
      <w:numFmt w:val="bullet"/>
      <w:start w:val="1"/>
    </w:lvl>
  </w:abstractNum>
  <w:abstractNum w:abstractNumId="9">
    <w:nsid w:val="520EEDD1"/>
    <w:multiLevelType w:val="hybridMultilevel"/>
    <w:lvl w:ilvl="0">
      <w:lvlJc w:val="left"/>
      <w:lvlText w:val="%1:"/>
      <w:numFmt w:val="upperLetter"/>
      <w:start w:val="1"/>
    </w:lvl>
  </w:abstractNum>
  <w:abstractNum w:abstractNumId="10">
    <w:nsid w:val="374A3FE6"/>
    <w:multiLevelType w:val="hybridMultilevel"/>
    <w:lvl w:ilvl="0">
      <w:lvlJc w:val="left"/>
      <w:lvlText w:val="%1:"/>
      <w:numFmt w:val="upperLetter"/>
      <w:start w:val="17"/>
    </w:lvl>
  </w:abstractNum>
  <w:abstractNum w:abstractNumId="11">
    <w:nsid w:val="4F4EF005"/>
    <w:multiLevelType w:val="hybridMultilevel"/>
    <w:lvl w:ilvl="0">
      <w:lvlJc w:val="left"/>
      <w:lvlText w:val="%1:"/>
      <w:numFmt w:val="upperLetter"/>
      <w:start w:val="1"/>
    </w:lvl>
  </w:abstractNum>
  <w:abstractNum w:abstractNumId="12">
    <w:nsid w:val="23F9C13C"/>
    <w:multiLevelType w:val="hybridMultilevel"/>
    <w:lvl w:ilvl="0">
      <w:lvlJc w:val="left"/>
      <w:lvlText w:val="2"/>
      <w:numFmt w:val="bullet"/>
      <w:start w:val="1"/>
    </w:lvl>
  </w:abstractNum>
  <w:abstractNum w:abstractNumId="13">
    <w:nsid w:val="649BB77C"/>
    <w:multiLevelType w:val="hybridMultilevel"/>
    <w:lvl w:ilvl="0">
      <w:lvlJc w:val="left"/>
      <w:lvlText w:val="%1:"/>
      <w:numFmt w:val="upperLetter"/>
      <w:start w:val="1"/>
    </w:lvl>
  </w:abstractNum>
  <w:abstractNum w:abstractNumId="14">
    <w:nsid w:val="275AC794"/>
    <w:multiLevelType w:val="hybridMultilevel"/>
    <w:lvl w:ilvl="0">
      <w:lvlJc w:val="left"/>
      <w:lvlText w:val="%1:"/>
      <w:numFmt w:val="upperLetter"/>
      <w:start w:val="1"/>
    </w:lvl>
    <w:lvl w:ilvl="1">
      <w:lvlJc w:val="left"/>
      <w:lvlText w:val="•"/>
      <w:numFmt w:val="bullet"/>
      <w:start w:val="1"/>
    </w:lvl>
  </w:abstractNum>
  <w:abstractNum w:abstractNumId="15">
    <w:nsid w:val="39386575"/>
    <w:multiLevelType w:val="hybridMultilevel"/>
    <w:lvl w:ilvl="0">
      <w:lvlJc w:val="left"/>
      <w:lvlText w:val="%1:"/>
      <w:numFmt w:val="upperLetter"/>
      <w:start w:val="1"/>
    </w:lvl>
  </w:abstractNum>
  <w:abstractNum w:abstractNumId="16">
    <w:nsid w:val="1CF10FD8"/>
    <w:multiLevelType w:val="hybridMultilevel"/>
    <w:lvl w:ilvl="0">
      <w:lvlJc w:val="left"/>
      <w:lvlText w:val="%1:"/>
      <w:numFmt w:val="upperLetter"/>
      <w:start w:val="1"/>
    </w:lvl>
  </w:abstractNum>
  <w:abstractNum w:abstractNumId="17">
    <w:nsid w:val="180115BE"/>
    <w:multiLevelType w:val="hybridMultilevel"/>
    <w:lvl w:ilvl="0">
      <w:lvlJc w:val="left"/>
      <w:lvlText w:val="%1:"/>
      <w:numFmt w:val="upperLetter"/>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1:"/>
      <w:numFmt w:val="upperLetter"/>
      <w:start w:val="17"/>
    </w:lvl>
  </w:abstractNum>
  <w:abstractNum w:abstractNumId="20">
    <w:nsid w:val="354FE9F9"/>
    <w:multiLevelType w:val="hybridMultilevel"/>
    <w:lvl w:ilvl="0">
      <w:lvlJc w:val="left"/>
      <w:lvlText w:val="%1:"/>
      <w:numFmt w:val="upperLetter"/>
      <w:start w:val="1"/>
    </w:lvl>
  </w:abstractNum>
  <w:abstractNum w:abstractNumId="21">
    <w:nsid w:val="15B5AF5C"/>
    <w:multiLevelType w:val="hybridMultilevel"/>
    <w:lvl w:ilvl="0">
      <w:lvlJc w:val="left"/>
      <w:lvlText w:val="4"/>
      <w:numFmt w:val="bullet"/>
      <w:start w:val="1"/>
    </w:lvl>
  </w:abstractNum>
  <w:abstractNum w:abstractNumId="22">
    <w:nsid w:val="741226BB"/>
    <w:multiLevelType w:val="hybridMultilevel"/>
    <w:lvl w:ilvl="0">
      <w:lvlJc w:val="left"/>
      <w:lvlText w:val="%1:"/>
      <w:numFmt w:val="upperLetter"/>
      <w:start w:val="1"/>
    </w:lvl>
  </w:abstractNum>
  <w:abstractNum w:abstractNumId="23">
    <w:nsid w:val="D34B6A8"/>
    <w:multiLevelType w:val="hybridMultilevel"/>
    <w:lvl w:ilvl="0">
      <w:lvlJc w:val="left"/>
      <w:lvlText w:val="%1:"/>
      <w:numFmt w:val="upperLetter"/>
      <w:start w:val="1"/>
    </w:lvl>
  </w:abstractNum>
  <w:abstractNum w:abstractNumId="24">
    <w:nsid w:val="10233C99"/>
    <w:multiLevelType w:val="hybridMultilevel"/>
    <w:lvl w:ilvl="0">
      <w:lvlJc w:val="left"/>
      <w:lvlText w:val="%1:"/>
      <w:numFmt w:val="upperLetter"/>
      <w:start w:val="1"/>
    </w:lvl>
  </w:abstractNum>
  <w:abstractNum w:abstractNumId="25">
    <w:nsid w:val="3F6AB60F"/>
    <w:multiLevelType w:val="hybridMultilevel"/>
    <w:lvl w:ilvl="0">
      <w:lvlJc w:val="left"/>
      <w:lvlText w:val="%1:"/>
      <w:numFmt w:val="upperLetter"/>
      <w:start w:val="1"/>
    </w:lvl>
  </w:abstractNum>
  <w:abstractNum w:abstractNumId="26">
    <w:nsid w:val="61574095"/>
    <w:multiLevelType w:val="hybridMultilevel"/>
    <w:lvl w:ilvl="0">
      <w:lvlJc w:val="left"/>
      <w:lvlText w:val="%1:"/>
      <w:numFmt w:val="upperLetter"/>
      <w:start w:val="1"/>
    </w:lvl>
  </w:abstractNum>
  <w:abstractNum w:abstractNumId="27">
    <w:nsid w:val="7E0C57B1"/>
    <w:multiLevelType w:val="hybridMultilevel"/>
    <w:lvl w:ilvl="0">
      <w:lvlJc w:val="left"/>
      <w:lvlText w:val="6"/>
      <w:numFmt w:val="bullet"/>
      <w:start w:val="1"/>
    </w:lvl>
  </w:abstractNum>
  <w:abstractNum w:abstractNumId="28">
    <w:nsid w:val="77AE35EB"/>
    <w:multiLevelType w:val="hybridMultilevel"/>
    <w:lvl w:ilvl="0">
      <w:lvlJc w:val="left"/>
      <w:lvlText w:val="8"/>
      <w:numFmt w:val="bullet"/>
      <w:start w:val="1"/>
    </w:lvl>
  </w:abstractNum>
  <w:abstractNum w:abstractNumId="29">
    <w:nsid w:val="579BE4F1"/>
    <w:multiLevelType w:val="hybridMultilevel"/>
    <w:lvl w:ilvl="0">
      <w:lvlJc w:val="left"/>
      <w:lvlText w:val="%1"/>
      <w:numFmt w:val="decimal"/>
      <w:start w:val="10"/>
    </w:lvl>
  </w:abstractNum>
  <w:abstractNum w:abstractNumId="30">
    <w:nsid w:val="310C50B3"/>
    <w:multiLevelType w:val="hybridMultilevel"/>
    <w:lvl w:ilvl="0">
      <w:lvlJc w:val="left"/>
      <w:lvlText w:val="%1"/>
      <w:numFmt w:val="decimal"/>
      <w:start w:val="12"/>
    </w:lvl>
  </w:abstractNum>
  <w:abstractNum w:abstractNumId="31">
    <w:nsid w:val="5FF87E05"/>
    <w:multiLevelType w:val="hybridMultilevel"/>
    <w:lvl w:ilvl="0">
      <w:lvlJc w:val="left"/>
      <w:lvlText w:val="%1"/>
      <w:numFmt w:val="decimal"/>
      <w:start w:val="14"/>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1"/>
      <w:numFmt w:val="decimal"/>
      <w:start w:val="16"/>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1"/>
      <w:numFmt w:val="decimal"/>
      <w:start w:val="18"/>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1"/>
      <w:numFmt w:val="decimal"/>
      <w:start w:val="20"/>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1"/>
      <w:numFmt w:val="decimal"/>
      <w:start w:val="22"/>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1"/>
      <w:numFmt w:val="decimal"/>
      <w:start w:val="24"/>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1"/>
      <w:numFmt w:val="decimal"/>
      <w:start w:val="26"/>
    </w:lvl>
  </w:abstractNum>
  <w:abstractNum w:abstractNumId="46">
    <w:nsid w:val="42C296BD"/>
    <w:multiLevelType w:val="hybridMultilevel"/>
    <w:lvl w:ilvl="0">
      <w:lvlJc w:val="left"/>
      <w:lvlText w:val="%1"/>
      <w:numFmt w:val="decimal"/>
      <w:start w:val="28"/>
    </w:lvl>
  </w:abstractNum>
  <w:abstractNum w:abstractNumId="47">
    <w:nsid w:val="168E121F"/>
    <w:multiLevelType w:val="hybridMultilevel"/>
    <w:lvl w:ilvl="0">
      <w:lvlJc w:val="left"/>
      <w:lvlText w:val="(%1)"/>
      <w:numFmt w:val="decimal"/>
      <w:start w:val="1"/>
    </w:lvl>
  </w:abstractNum>
  <w:abstractNum w:abstractNumId="48">
    <w:nsid w:val="1EBA5D23"/>
    <w:multiLevelType w:val="hybridMultilevel"/>
    <w:lvl w:ilvl="0">
      <w:lvlJc w:val="left"/>
      <w:lvlText w:val="%1"/>
      <w:numFmt w:val="decimal"/>
      <w:start w:val="30"/>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1"/>
      <w:numFmt w:val="decimal"/>
      <w:start w:val="32"/>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1"/>
      <w:numFmt w:val="decimal"/>
      <w:start w:val="34"/>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amp;"/>
      <w:numFmt w:val="bullet"/>
      <w:start w:val="1"/>
    </w:lvl>
  </w:abstractNum>
  <w:abstractNum w:abstractNumId="57">
    <w:nsid w:val="42963E5A"/>
    <w:multiLevelType w:val="hybridMultilevel"/>
    <w:lvl w:ilvl="0">
      <w:lvlJc w:val="left"/>
      <w:lvlText w:val="%1"/>
      <w:numFmt w:val="decimal"/>
      <w:start w:val="36"/>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1)"/>
      <w:numFmt w:val="decimal"/>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1"/>
      <w:numFmt w:val="decimal"/>
      <w:start w:val="38"/>
    </w:lvl>
  </w:abstractNum>
  <w:abstractNum w:abstractNumId="64">
    <w:nsid w:val="60B6DF70"/>
    <w:multiLevelType w:val="hybridMultilevel"/>
    <w:lvl w:ilvl="0">
      <w:lvlJc w:val="left"/>
      <w:lvlText w:val="%1"/>
      <w:numFmt w:val="decimal"/>
      <w:start w:val="40"/>
    </w:lvl>
  </w:abstractNum>
  <w:abstractNum w:abstractNumId="65">
    <w:nsid w:val="6A5EE64"/>
    <w:multiLevelType w:val="hybridMultilevel"/>
    <w:lvl w:ilvl="0">
      <w:lvlJc w:val="left"/>
      <w:lvlText w:val="(%1)"/>
      <w:numFmt w:val="lowerRoman"/>
      <w:start w:val="2"/>
    </w:lvl>
  </w:abstractNum>
  <w:abstractNum w:abstractNumId="66">
    <w:nsid w:val="14330624"/>
    <w:multiLevelType w:val="hybridMultilevel"/>
    <w:lvl w:ilvl="0">
      <w:lvlJc w:val="left"/>
      <w:lvlText w:val="%1"/>
      <w:numFmt w:val="decimal"/>
      <w:start w:val="42"/>
    </w:lvl>
  </w:abstractNum>
  <w:abstractNum w:abstractNumId="67">
    <w:nsid w:val="7FFFCA11"/>
    <w:multiLevelType w:val="hybridMultilevel"/>
    <w:lvl w:ilvl="0">
      <w:lvlJc w:val="left"/>
      <w:lvlText w:val="(%1)"/>
      <w:numFmt w:val="decimal"/>
      <w:start w:val="1"/>
    </w:lvl>
  </w:abstractNum>
  <w:abstractNum w:abstractNumId="68">
    <w:nsid w:val="1A27709E"/>
    <w:multiLevelType w:val="hybridMultilevel"/>
    <w:lvl w:ilvl="0">
      <w:lvlJc w:val="left"/>
      <w:lvlText w:val="(%1)"/>
      <w:numFmt w:val="decimal"/>
      <w:start w:val="1"/>
    </w:lvl>
  </w:abstractNum>
  <w:abstractNum w:abstractNumId="69">
    <w:nsid w:val="71EA1109"/>
    <w:multiLevelType w:val="hybridMultilevel"/>
    <w:lvl w:ilvl="0">
      <w:lvlJc w:val="left"/>
      <w:lvlText w:val="%1"/>
      <w:numFmt w:val="decimal"/>
      <w:start w:val="44"/>
    </w:lvl>
  </w:abstractNum>
  <w:abstractNum w:abstractNumId="70">
    <w:nsid w:val="100F59DC"/>
    <w:multiLevelType w:val="hybridMultilevel"/>
    <w:lvl w:ilvl="0">
      <w:lvlJc w:val="left"/>
      <w:lvlText w:val="(%1)"/>
      <w:numFmt w:val="decimal"/>
      <w:start w:val="1"/>
    </w:lvl>
  </w:abstractNum>
  <w:abstractNum w:abstractNumId="71">
    <w:nsid w:val="7FB7E0AA"/>
    <w:multiLevelType w:val="hybridMultilevel"/>
    <w:lvl w:ilvl="0">
      <w:lvlJc w:val="left"/>
      <w:lvlText w:val="(%1)"/>
      <w:numFmt w:val="decimal"/>
      <w:start w:val="5"/>
    </w:lvl>
  </w:abstractNum>
  <w:abstractNum w:abstractNumId="72">
    <w:nsid w:val="6EB5BD4"/>
    <w:multiLevelType w:val="hybridMultilevel"/>
    <w:lvl w:ilvl="0">
      <w:lvlJc w:val="left"/>
      <w:lvlText w:val="%1"/>
      <w:numFmt w:val="decimal"/>
      <w:start w:val="46"/>
    </w:lvl>
  </w:abstractNum>
  <w:abstractNum w:abstractNumId="73">
    <w:nsid w:val="6F6DD9AC"/>
    <w:multiLevelType w:val="hybridMultilevel"/>
    <w:lvl w:ilvl="0">
      <w:lvlJc w:val="left"/>
      <w:lvlText w:val="(%1)"/>
      <w:numFmt w:val="decimal"/>
      <w:start w:val="1"/>
    </w:lvl>
  </w:abstractNum>
  <w:abstractNum w:abstractNumId="74">
    <w:nsid w:val="94211F2"/>
    <w:multiLevelType w:val="hybridMultilevel"/>
    <w:lvl w:ilvl="0">
      <w:lvlJc w:val="left"/>
      <w:lvlText w:val="(%1)"/>
      <w:numFmt w:val="decimal"/>
      <w:start w:val="1"/>
    </w:lvl>
  </w:abstractNum>
  <w:abstractNum w:abstractNumId="75">
    <w:nsid w:val="885E1B"/>
    <w:multiLevelType w:val="hybridMultilevel"/>
    <w:lvl w:ilvl="0">
      <w:lvlJc w:val="left"/>
      <w:lvlText w:val="%1"/>
      <w:numFmt w:val="decimal"/>
      <w:start w:val="48"/>
    </w:lvl>
  </w:abstractNum>
  <w:abstractNum w:abstractNumId="76">
    <w:nsid w:val="76272110"/>
    <w:multiLevelType w:val="hybridMultilevel"/>
    <w:lvl w:ilvl="0">
      <w:lvlJc w:val="left"/>
      <w:lvlText w:val="%1"/>
      <w:numFmt w:val="decimal"/>
      <w:start w:val="50"/>
    </w:lvl>
  </w:abstractNum>
  <w:abstractNum w:abstractNumId="77">
    <w:nsid w:val="4C04A8AF"/>
    <w:multiLevelType w:val="hybridMultilevel"/>
    <w:lvl w:ilvl="0">
      <w:lvlJc w:val="left"/>
      <w:lvlText w:val="%1"/>
      <w:numFmt w:val="decimal"/>
      <w:start w:val="52"/>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1)"/>
      <w:numFmt w:val="decimal"/>
      <w:start w:val="1"/>
    </w:lvl>
  </w:abstractNum>
  <w:abstractNum w:abstractNumId="80">
    <w:nsid w:val="3222E7CD"/>
    <w:multiLevelType w:val="hybridMultilevel"/>
    <w:lvl w:ilvl="0">
      <w:lvlJc w:val="left"/>
      <w:lvlText w:val="(%1)"/>
      <w:numFmt w:val="lowerRoman"/>
      <w:start w:val="2"/>
    </w:lvl>
  </w:abstractNum>
  <w:abstractNum w:abstractNumId="81">
    <w:nsid w:val="74DE0EE3"/>
    <w:multiLevelType w:val="hybridMultilevel"/>
    <w:lvl w:ilvl="0">
      <w:lvlJc w:val="left"/>
      <w:lvlText w:val="(%1)"/>
      <w:numFmt w:val="decimal"/>
      <w:start w:val="1"/>
    </w:lvl>
  </w:abstractNum>
  <w:abstractNum w:abstractNumId="82">
    <w:nsid w:val="68EBC550"/>
    <w:multiLevelType w:val="hybridMultilevel"/>
    <w:lvl w:ilvl="0">
      <w:lvlJc w:val="left"/>
      <w:lvlText w:val="(%1)"/>
      <w:numFmt w:val="decimal"/>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1"/>
      <w:numFmt w:val="decimal"/>
      <w:start w:val="54"/>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1)"/>
      <w:numFmt w:val="decimal"/>
      <w:start w:val="1"/>
    </w:lvl>
  </w:abstractNum>
  <w:abstractNum w:abstractNumId="88">
    <w:nsid w:val="CC1016F"/>
    <w:multiLevelType w:val="hybridMultilevel"/>
    <w:lvl w:ilvl="0">
      <w:lvlJc w:val="left"/>
      <w:lvlText w:val="%1"/>
      <w:numFmt w:val="decimal"/>
      <w:start w:val="56"/>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1"/>
      <w:numFmt w:val="decimal"/>
      <w:start w:val="58"/>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1)"/>
      <w:numFmt w:val="decimal"/>
      <w:start w:val="1"/>
    </w:lvl>
  </w:abstractNum>
  <w:abstractNum w:abstractNumId="93">
    <w:nsid w:val="49DA307D"/>
    <w:multiLevelType w:val="hybridMultilevel"/>
    <w:lvl w:ilvl="0">
      <w:lvlJc w:val="left"/>
      <w:lvlText w:val="(%1)"/>
      <w:numFmt w:val="decimal"/>
      <w:start w:val="1"/>
    </w:lvl>
  </w:abstractNum>
  <w:abstractNum w:abstractNumId="94">
    <w:nsid w:val="7055A5F5"/>
    <w:multiLevelType w:val="hybridMultilevel"/>
    <w:lvl w:ilvl="0">
      <w:lvlJc w:val="left"/>
      <w:lvlText w:val="%1"/>
      <w:numFmt w:val="decimal"/>
      <w:start w:val="60"/>
    </w:lvl>
  </w:abstractNum>
  <w:abstractNum w:abstractNumId="95">
    <w:nsid w:val="5FB8370B"/>
    <w:multiLevelType w:val="hybridMultilevel"/>
    <w:lvl w:ilvl="0">
      <w:lvlJc w:val="left"/>
      <w:lvlText w:val="%1"/>
      <w:numFmt w:val="decimal"/>
      <w:start w:val="62"/>
    </w:lvl>
  </w:abstractNum>
  <w:abstractNum w:abstractNumId="96">
    <w:nsid w:val="50801EE1"/>
    <w:multiLevelType w:val="hybridMultilevel"/>
    <w:lvl w:ilvl="0">
      <w:lvlJc w:val="left"/>
      <w:lvlText w:val="%1"/>
      <w:numFmt w:val="decimal"/>
      <w:start w:val="6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2026-04-09T08:03:34Z</dcterms:created>
  <dcterms:modified xsi:type="dcterms:W3CDTF">2026-04-09T08:03:34Z</dcterms:modified>
</cp:coreProperties>
</file>