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96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Weiss Shai</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22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02/08/2011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Gevo,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GEVO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VGF ADVISERS (US)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27 SOUTH PARK STREET, SUITE 200</w:t>
      </w:r>
    </w:p>
    <w:p>
      <w:pPr>
        <w:spacing w:after="0" w:line="323"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right="1754"/>
        <w:spacing w:after="0"/>
        <w:rPr>
          <w:sz w:val="20"/>
          <w:szCs w:val="20"/>
          <w:color w:val="auto"/>
        </w:rPr>
      </w:pPr>
      <w:r>
        <w:rPr>
          <w:rFonts w:ascii="Arial" w:cs="Arial" w:eastAsia="Arial" w:hAnsi="Arial"/>
          <w:sz w:val="35"/>
          <w:szCs w:val="35"/>
          <w:color w:val="0000FF"/>
          <w:vertAlign w:val="superscript"/>
        </w:rPr>
        <w:t>SAN</w:t>
      </w:r>
      <w:r>
        <w:rPr>
          <w:rFonts w:ascii="Arial" w:cs="Arial" w:eastAsia="Arial" w:hAnsi="Arial"/>
          <w:sz w:val="18"/>
          <w:szCs w:val="18"/>
          <w:color w:val="0000FF"/>
        </w:rPr>
        <w:t xml:space="preserve"> CA 94107 FRANCISCO</w:t>
      </w:r>
    </w:p>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180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3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62"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9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3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980" w:type="dxa"/>
            <w:vAlign w:val="bottom"/>
            <w:vMerge w:val="continue"/>
          </w:tcPr>
          <w:p>
            <w:pPr>
              <w:spacing w:after="0"/>
              <w:rPr>
                <w:sz w:val="15"/>
                <w:szCs w:val="15"/>
                <w:color w:val="auto"/>
              </w:rPr>
            </w:pP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3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Preferred Stock</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1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Common Stock</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3"/>
              </w:rPr>
              <w:t>1,027,397</w:t>
            </w:r>
            <w:r>
              <w:rPr>
                <w:rFonts w:ascii="Arial" w:cs="Arial" w:eastAsia="Arial" w:hAnsi="Arial"/>
                <w:sz w:val="22"/>
                <w:szCs w:val="22"/>
                <w:color w:val="008000"/>
                <w:w w:val="83"/>
                <w:vertAlign w:val="superscript"/>
              </w:rPr>
              <w:t>(3)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5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By fund</w:t>
            </w:r>
            <w:r>
              <w:rPr>
                <w:rFonts w:ascii="Arial" w:cs="Arial" w:eastAsia="Arial" w:hAnsi="Arial"/>
                <w:sz w:val="22"/>
                <w:szCs w:val="22"/>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 Preferred Stock</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1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Common Stock</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456,204</w:t>
            </w:r>
            <w:r>
              <w:rPr>
                <w:rFonts w:ascii="Arial" w:cs="Arial" w:eastAsia="Arial" w:hAnsi="Arial"/>
                <w:sz w:val="22"/>
                <w:szCs w:val="22"/>
                <w:color w:val="008000"/>
                <w:w w:val="84"/>
                <w:vertAlign w:val="superscript"/>
              </w:rPr>
              <w:t>(3)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5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By fund</w:t>
            </w:r>
            <w:r>
              <w:rPr>
                <w:rFonts w:ascii="Arial" w:cs="Arial" w:eastAsia="Arial" w:hAnsi="Arial"/>
                <w:sz w:val="22"/>
                <w:szCs w:val="22"/>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D Preferred Stock</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1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Common Stock</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639,206</w:t>
            </w:r>
            <w:r>
              <w:rPr>
                <w:rFonts w:ascii="Arial" w:cs="Arial" w:eastAsia="Arial" w:hAnsi="Arial"/>
                <w:sz w:val="22"/>
                <w:szCs w:val="22"/>
                <w:color w:val="008000"/>
                <w:w w:val="84"/>
                <w:vertAlign w:val="superscript"/>
              </w:rPr>
              <w:t>(3)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5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By fund</w:t>
            </w:r>
            <w:r>
              <w:rPr>
                <w:rFonts w:ascii="Arial" w:cs="Arial" w:eastAsia="Arial" w:hAnsi="Arial"/>
                <w:sz w:val="22"/>
                <w:szCs w:val="22"/>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D-1 Preferred Stock</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1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Common Stock</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233,645</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(2)</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5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By fund</w:t>
            </w:r>
            <w:r>
              <w:rPr>
                <w:rFonts w:ascii="Arial" w:cs="Arial" w:eastAsia="Arial" w:hAnsi="Arial"/>
                <w:sz w:val="22"/>
                <w:szCs w:val="22"/>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Warrants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01/18/2008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01/18/2018</w:t>
            </w:r>
          </w:p>
        </w:tc>
        <w:tc>
          <w:tcPr>
            <w:tcW w:w="1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Series C Preferred Stock</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28,786</w:t>
            </w:r>
            <w:r>
              <w:rPr>
                <w:rFonts w:ascii="Arial" w:cs="Arial" w:eastAsia="Arial" w:hAnsi="Arial"/>
                <w:sz w:val="22"/>
                <w:szCs w:val="22"/>
                <w:color w:val="008000"/>
                <w:w w:val="84"/>
                <w:vertAlign w:val="superscript"/>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5.48</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By fund</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preferred stock is convertible into shares of the Issuer's common stock at any time on a one-for-one basis and has no expiration date.</w:t>
      </w:r>
    </w:p>
    <w:p>
      <w:pPr>
        <w:spacing w:after="0" w:line="41" w:lineRule="exact"/>
        <w:rPr>
          <w:rFonts w:ascii="Arial" w:cs="Arial" w:eastAsia="Arial" w:hAnsi="Arial"/>
          <w:sz w:val="14"/>
          <w:szCs w:val="14"/>
          <w:color w:val="008000"/>
        </w:rPr>
      </w:pPr>
    </w:p>
    <w:p>
      <w:pPr>
        <w:ind w:left="40" w:right="10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preferred stock is currently convertible into shares of the Issuer's common stock on a one-for-one basis and has no expiration date. However, upon completion of the Issuer's initial public offering, each share of the preferred stock will automatically convert into a number of shares of the Issuer's common stock as determined pursuant to the terms of the Issuer's Amended and Restated Certificate of Incorporation, filed with the Secretary of State of the State of Delaware on May 4, 2010, a copy of which is attached as Exhibit 3.1 to the Issuer's Registration Statement on Form S-1 (File No. 333-168792), as amended, initially filed with the Securities and Exchange Commission on August 12, 2010.</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preferred stock will automatically convert into shares of the Issuer's common stock upon the completion of the Issuer's initial public offering.</w:t>
      </w:r>
    </w:p>
    <w:p>
      <w:pPr>
        <w:spacing w:after="0" w:line="41"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Upon completion of the Issuer's initial public offering, this warrant to purchase shares of Series C Preferred Stock will automatically convert into a warrant to purchase an equal number of shares of the Issuer's common stock.</w:t>
      </w:r>
    </w:p>
    <w:p>
      <w:pPr>
        <w:spacing w:after="0" w:line="30" w:lineRule="exact"/>
        <w:rPr>
          <w:rFonts w:ascii="Arial" w:cs="Arial" w:eastAsia="Arial" w:hAnsi="Arial"/>
          <w:sz w:val="14"/>
          <w:szCs w:val="14"/>
          <w:color w:val="008000"/>
        </w:rPr>
      </w:pPr>
    </w:p>
    <w:p>
      <w:pPr>
        <w:ind w:left="40" w:right="140" w:firstLine="9"/>
        <w:spacing w:after="0" w:line="27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securities are owned directly by Virgin Green Fund I, L.P. (the "Fund"). VGF Partners I, L.P. is the general partner (the "Direct General Partner") of the Fund and may be deemed to have the sole voting and dispositive power over the securities held by the Fund. VGF I Limited is the general partner of the Direct General Partner (the "Ultimate General Partner") and may be deemed to have the sole voting and dispositive power over the securities held by the Fund. Mr. Weiss is a director of the Ultimate General Partner and may be deemed to share in the voting and dispositive power over the securities held by the Fund. Mr. Weiss disclaims beneficial ownership of the securities held by the Fund except to the extent of any pecuniary interest therein.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spacing w:after="0" w:line="278" w:lineRule="auto"/>
        <w:rPr>
          <w:sz w:val="20"/>
          <w:szCs w:val="20"/>
          <w:color w:val="auto"/>
        </w:rPr>
      </w:pPr>
      <w:r>
        <w:rPr>
          <w:rFonts w:ascii="Arial" w:cs="Arial" w:eastAsia="Arial" w:hAnsi="Arial"/>
          <w:sz w:val="12"/>
          <w:szCs w:val="12"/>
          <w:color w:val="008000"/>
        </w:rPr>
        <w:t>Shai Weiss, Anup Jacob, Mark Poole, Niall Ritchie and Stephen Murphy are the directors of VGF I Limited, which serves as the general partner to VGF Partners I, L.P., which serves as the general partner to Virgin Green Fund I, L.P. Each such person disclaims beneficial ownership of any securities (except to the extent of such reporting person's pecuniary interest in such securities) other than any securities being reported herein as being directly owned by such person. This report is one of two reports, each on a separate Form 3, but relating to the same transaction being filed by VGF I Limited and its directors, VGF Partners I, L.P. and Virgin Green Fund I, L.P. Exhibit 24.1 Power of Attorney Exhibit 24.2 Power of Attorney</w:t>
      </w:r>
    </w:p>
    <w:tbl>
      <w:tblPr>
        <w:tblLayout w:type="fixed"/>
        <w:tblInd w:w="6860" w:type="dxa"/>
        <w:tblCellMar>
          <w:top w:w="0" w:type="dxa"/>
          <w:left w:w="0" w:type="dxa"/>
          <w:bottom w:w="0" w:type="dxa"/>
          <w:right w:w="0" w:type="dxa"/>
        </w:tblCellMar>
      </w:tblPr>
      <w:tr>
        <w:trPr>
          <w:trHeight w:val="222"/>
        </w:trPr>
        <w:tc>
          <w:tcPr>
            <w:tcW w:w="212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0000FF"/>
                <w:w w:val="90"/>
              </w:rPr>
              <w:t>/s/ Michael Odai, by power of</w:t>
            </w:r>
          </w:p>
        </w:tc>
        <w:tc>
          <w:tcPr>
            <w:tcW w:w="80" w:type="dxa"/>
            <w:vAlign w:val="bottom"/>
          </w:tcPr>
          <w:p>
            <w:pPr>
              <w:spacing w:after="0"/>
              <w:rPr>
                <w:sz w:val="19"/>
                <w:szCs w:val="19"/>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02/08/2011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KNOW ALL MEN BY THESE PRESENTS, that each undersigned hereby constitutes and appoints MICHAEL D. ODAI his or its true and lawful attorney-in-fact to:</w:t>
      </w:r>
    </w:p>
    <w:p>
      <w:pPr>
        <w:spacing w:after="0" w:line="208" w:lineRule="exact"/>
        <w:rPr>
          <w:sz w:val="20"/>
          <w:szCs w:val="20"/>
          <w:color w:val="auto"/>
        </w:rPr>
      </w:pPr>
    </w:p>
    <w:p>
      <w:pPr>
        <w:ind w:right="1779" w:firstLine="851"/>
        <w:spacing w:after="0" w:line="270" w:lineRule="auto"/>
        <w:tabs>
          <w:tab w:leader="none" w:pos="168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each undersigned (each, a "Reporting Person"), individually or jointly with any other reporting persons, any and all reports, notices, communications and other documents (including, but not limited to, reports on Form D, Schedule 13D, Schedule 13G, Form 13-F, Form 3, Form 4, Form 5 and any applicable registration statements, notice filings or reports) that such Reporting Person may be required or requested to file with the United States Securities and Exchange Commission (the "SEC") pursuant to the Securities Act of 1933, the Securities Exchange Act of 1934, the Investment Company Act of 1940 or the Investment Advisers Act of 1940, each as amended and with the implementing rules and regulations thereto (collectively, the "Reports") with respect to a Reporting Person's (a) status as an officer or director of, or (b) ownership of, or transactions in, securities of, any entity whose securities are beneficially owned (directly or indirectly) by such Reporting Person (each, a "Company") or with respect to a Reporting Person's obligation to register or otherwise provide filings or reports to the SEC;</w:t>
      </w:r>
    </w:p>
    <w:p>
      <w:pPr>
        <w:spacing w:after="0" w:line="386" w:lineRule="exact"/>
        <w:rPr>
          <w:rFonts w:ascii="Courier New" w:cs="Courier New" w:eastAsia="Courier New" w:hAnsi="Courier New"/>
          <w:sz w:val="16"/>
          <w:szCs w:val="16"/>
          <w:color w:val="auto"/>
        </w:rPr>
      </w:pPr>
    </w:p>
    <w:p>
      <w:pPr>
        <w:ind w:right="17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each Reporting Person which may be necessary or desirable to complete and execute any such Reports and timely file such forms and schedules with the SEC and any stock exchange or similar foreign or domestic, federal or state authority; and</w:t>
      </w:r>
    </w:p>
    <w:p>
      <w:pPr>
        <w:spacing w:after="0" w:line="207" w:lineRule="exact"/>
        <w:rPr>
          <w:rFonts w:ascii="Courier New" w:cs="Courier New" w:eastAsia="Courier New" w:hAnsi="Courier New"/>
          <w:sz w:val="18"/>
          <w:szCs w:val="18"/>
          <w:color w:val="auto"/>
        </w:rPr>
      </w:pPr>
    </w:p>
    <w:p>
      <w:pPr>
        <w:ind w:right="18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such Reporting Person, it being understood that the documents executed by such attorney-in-fact on behalf of such Reporting Person, pursuant to this Power of Attorney, shall be in such form and shall contain such terms and conditions as such attorney-in-fact may approve in his discretion.</w:t>
      </w:r>
    </w:p>
    <w:p>
      <w:pPr>
        <w:spacing w:after="0" w:line="211"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Each Reporting Person hereby grants to such attorney-in-fact full power and authority to do and perform all and every act and thing whatsoever requisite, necessary, and proper to be done in the exercise of any of the rights and powers herein granted, as fully to all intents and purposes as such Reporting Person might or could do if personally present, with full power of revocation, hereby ratifying and confirming all that such attorney-in-fact, or his substitute or substitutes, shall lawfully do or cause to be done by virtue of this Power of Attorney and the rights and powers herein granted. Each Reporting Person acknowledges that no such attorney-in-fact, in serving in such capacity at the request of such Reporting Person, is hereby assuming, nor is any Company hereby assuming, any of such Reporting Person's responsibilities to comply with any such registration, filing or reporting requirements of the SEC or any stock exchange or similar foreign or domestic, federal or state authority, including without limitation Section 16 or Section 13 of the Securities Exchange Act of 1934 or otherwise.</w:t>
      </w:r>
    </w:p>
    <w:p>
      <w:pPr>
        <w:spacing w:after="0" w:line="208"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with respect to a Reporting Person until the later of such time that (a) such Reporting Person is no longer required to file Forms 3, 4 and 5 or Schedules 13G/D with respect to such Reporting Person's holdings of and transactions in securities issued by a Company, or (b) such Reporting Person is no longer required to file any other forms, registration statements or similar filings with the United States Securities and Exchange Commission or any other similar federal or state governmental entity, unless this Power of Attorney is earlier</w:t>
      </w:r>
    </w:p>
    <w:p>
      <w:pPr>
        <w:spacing w:after="0" w:line="1" w:lineRule="exact"/>
        <w:rPr>
          <w:sz w:val="20"/>
          <w:szCs w:val="20"/>
          <w:color w:val="auto"/>
        </w:rPr>
      </w:pPr>
    </w:p>
    <w:p>
      <w:pPr>
        <w:ind w:right="1999" w:firstLine="8"/>
        <w:spacing w:after="0" w:line="290" w:lineRule="auto"/>
        <w:tabs>
          <w:tab w:leader="none" w:pos="42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revoked by such Reporting Person in a signed writing delivered to the foregoing attorney-in-fact or (ii) revoked by such foregoing attorney-in-fact.</w:t>
      </w:r>
    </w:p>
    <w:p>
      <w:pPr>
        <w:spacing w:after="0" w:line="17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27th day of April, 2010. This Power of Attorney may be executed in two or more counterparts, each of which shall be deemed to be an original, but all of which together shall constitute one and the same instrument.</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VGF I LIMITED,</w:t>
      </w:r>
    </w:p>
    <w:p>
      <w:pPr>
        <w:ind w:left="3580"/>
        <w:spacing w:after="0" w:line="238" w:lineRule="auto"/>
        <w:rPr>
          <w:sz w:val="20"/>
          <w:szCs w:val="20"/>
          <w:color w:val="auto"/>
        </w:rPr>
      </w:pPr>
      <w:r>
        <w:rPr>
          <w:rFonts w:ascii="Courier New" w:cs="Courier New" w:eastAsia="Courier New" w:hAnsi="Courier New"/>
          <w:sz w:val="18"/>
          <w:szCs w:val="18"/>
          <w:color w:val="auto"/>
        </w:rPr>
        <w:t>a Cayman Islands company</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Shai Weiss</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Shai Weiss, Director</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VGF PARTNERS I, L.P.,</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a Cayman Islands exempted limited partnership</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VGF I Limited,</w:t>
      </w:r>
    </w:p>
    <w:p>
      <w:pPr>
        <w:ind w:left="4020"/>
        <w:spacing w:after="0" w:line="238" w:lineRule="auto"/>
        <w:rPr>
          <w:sz w:val="20"/>
          <w:szCs w:val="20"/>
          <w:color w:val="auto"/>
        </w:rPr>
      </w:pPr>
      <w:r>
        <w:rPr>
          <w:rFonts w:ascii="Courier New" w:cs="Courier New" w:eastAsia="Courier New" w:hAnsi="Courier New"/>
          <w:sz w:val="18"/>
          <w:szCs w:val="18"/>
          <w:color w:val="auto"/>
        </w:rPr>
        <w:t>a Cayman Islands Company</w:t>
      </w:r>
    </w:p>
    <w:p>
      <w:pPr>
        <w:sectPr>
          <w:pgSz w:w="11900" w:h="16838" w:orient="portrait"/>
          <w:cols w:equalWidth="0" w:num="1">
            <w:col w:w="10219"/>
          </w:cols>
          <w:pgMar w:left="240" w:top="136" w:right="1440" w:bottom="0" w:gutter="0" w:footer="0" w:header="0"/>
        </w:sectPr>
      </w:pPr>
    </w:p>
    <w:bookmarkStart w:id="2" w:name="page3"/>
    <w:bookmarkEnd w:id="2"/>
    <w:p>
      <w:pPr>
        <w:ind w:left="2820"/>
        <w:spacing w:after="0"/>
        <w:rPr>
          <w:sz w:val="20"/>
          <w:szCs w:val="20"/>
          <w:color w:val="auto"/>
        </w:rPr>
      </w:pPr>
      <w:r>
        <w:rPr>
          <w:rFonts w:ascii="Courier New" w:cs="Courier New" w:eastAsia="Courier New" w:hAnsi="Courier New"/>
          <w:sz w:val="18"/>
          <w:szCs w:val="18"/>
          <w:color w:val="auto"/>
        </w:rPr>
        <w:t>Its General Partner</w:t>
      </w:r>
    </w:p>
    <w:p>
      <w:pPr>
        <w:spacing w:after="0" w:line="201"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 /s/ Shai Weiss</w:t>
      </w:r>
    </w:p>
    <w:p>
      <w:pPr>
        <w:ind w:left="2820"/>
        <w:spacing w:after="0" w:line="238" w:lineRule="auto"/>
        <w:rPr>
          <w:sz w:val="20"/>
          <w:szCs w:val="20"/>
          <w:color w:val="auto"/>
        </w:rPr>
      </w:pPr>
      <w:r>
        <w:rPr>
          <w:rFonts w:ascii="Courier New" w:cs="Courier New" w:eastAsia="Courier New" w:hAnsi="Courier New"/>
          <w:sz w:val="18"/>
          <w:szCs w:val="18"/>
          <w:color w:val="auto"/>
        </w:rPr>
        <w:t>-----------------------------------------</w:t>
      </w:r>
    </w:p>
    <w:p>
      <w:pPr>
        <w:ind w:left="2820"/>
        <w:spacing w:after="0"/>
        <w:rPr>
          <w:sz w:val="20"/>
          <w:szCs w:val="20"/>
          <w:color w:val="auto"/>
        </w:rPr>
      </w:pPr>
      <w:r>
        <w:rPr>
          <w:rFonts w:ascii="Courier New" w:cs="Courier New" w:eastAsia="Courier New" w:hAnsi="Courier New"/>
          <w:sz w:val="18"/>
          <w:szCs w:val="18"/>
          <w:color w:val="auto"/>
        </w:rPr>
        <w:t>Shai Weiss, Director</w:t>
      </w:r>
    </w:p>
    <w:p>
      <w:pPr>
        <w:spacing w:after="0" w:line="200" w:lineRule="exact"/>
        <w:rPr>
          <w:sz w:val="20"/>
          <w:szCs w:val="20"/>
          <w:color w:val="auto"/>
        </w:rPr>
      </w:pP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VIRGIN GREEN FUND I, L.P.,</w:t>
      </w:r>
    </w:p>
    <w:p>
      <w:pPr>
        <w:ind w:left="2380"/>
        <w:spacing w:after="0" w:line="238" w:lineRule="auto"/>
        <w:rPr>
          <w:sz w:val="20"/>
          <w:szCs w:val="20"/>
          <w:color w:val="auto"/>
        </w:rPr>
      </w:pPr>
      <w:r>
        <w:rPr>
          <w:rFonts w:ascii="Courier New" w:cs="Courier New" w:eastAsia="Courier New" w:hAnsi="Courier New"/>
          <w:sz w:val="18"/>
          <w:szCs w:val="18"/>
          <w:color w:val="auto"/>
        </w:rPr>
        <w:t>a Cayman Islands exempted limited partnership</w:t>
      </w:r>
    </w:p>
    <w:p>
      <w:pPr>
        <w:spacing w:after="0" w:line="202"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 VGF Partners I, L.P.,</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a Cayman Islands exempted limited partnership</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Its General Partner</w:t>
      </w:r>
    </w:p>
    <w:p>
      <w:pPr>
        <w:spacing w:after="0" w:line="201"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 VGF I Limited,</w:t>
      </w:r>
    </w:p>
    <w:p>
      <w:pPr>
        <w:ind w:left="2820"/>
        <w:spacing w:after="0" w:line="238" w:lineRule="auto"/>
        <w:rPr>
          <w:sz w:val="20"/>
          <w:szCs w:val="20"/>
          <w:color w:val="auto"/>
        </w:rPr>
      </w:pPr>
      <w:r>
        <w:rPr>
          <w:rFonts w:ascii="Courier New" w:cs="Courier New" w:eastAsia="Courier New" w:hAnsi="Courier New"/>
          <w:sz w:val="18"/>
          <w:szCs w:val="18"/>
          <w:color w:val="auto"/>
        </w:rPr>
        <w:t>a Cayman Islands company</w:t>
      </w:r>
    </w:p>
    <w:p>
      <w:pPr>
        <w:ind w:left="2820"/>
        <w:spacing w:after="0"/>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 /s/ Shai Weiss</w:t>
      </w:r>
    </w:p>
    <w:p>
      <w:pPr>
        <w:ind w:left="2820"/>
        <w:spacing w:after="0" w:line="238" w:lineRule="auto"/>
        <w:rPr>
          <w:sz w:val="20"/>
          <w:szCs w:val="20"/>
          <w:color w:val="auto"/>
        </w:rPr>
      </w:pPr>
      <w:r>
        <w:rPr>
          <w:rFonts w:ascii="Courier New" w:cs="Courier New" w:eastAsia="Courier New" w:hAnsi="Courier New"/>
          <w:sz w:val="18"/>
          <w:szCs w:val="18"/>
          <w:color w:val="auto"/>
        </w:rPr>
        <w:t>-----------------------------------------</w:t>
      </w:r>
    </w:p>
    <w:p>
      <w:pPr>
        <w:ind w:left="2820"/>
        <w:spacing w:after="0"/>
        <w:rPr>
          <w:sz w:val="20"/>
          <w:szCs w:val="20"/>
          <w:color w:val="auto"/>
        </w:rPr>
      </w:pPr>
      <w:r>
        <w:rPr>
          <w:rFonts w:ascii="Courier New" w:cs="Courier New" w:eastAsia="Courier New" w:hAnsi="Courier New"/>
          <w:sz w:val="18"/>
          <w:szCs w:val="18"/>
          <w:color w:val="auto"/>
        </w:rPr>
        <w:t>Shai Weiss, Director</w:t>
      </w:r>
    </w:p>
    <w:p>
      <w:pPr>
        <w:spacing w:after="0" w:line="200" w:lineRule="exact"/>
        <w:rPr>
          <w:sz w:val="20"/>
          <w:szCs w:val="20"/>
          <w:color w:val="auto"/>
        </w:rPr>
      </w:pP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VGF ADVISERS (US) LLC,</w:t>
      </w:r>
    </w:p>
    <w:p>
      <w:pPr>
        <w:ind w:left="2380"/>
        <w:spacing w:after="0" w:line="238" w:lineRule="auto"/>
        <w:rPr>
          <w:sz w:val="20"/>
          <w:szCs w:val="20"/>
          <w:color w:val="auto"/>
        </w:rPr>
      </w:pPr>
      <w:r>
        <w:rPr>
          <w:rFonts w:ascii="Courier New" w:cs="Courier New" w:eastAsia="Courier New" w:hAnsi="Courier New"/>
          <w:sz w:val="18"/>
          <w:szCs w:val="18"/>
          <w:color w:val="auto"/>
        </w:rPr>
        <w:t>a Delaware limited liability company</w:t>
      </w:r>
    </w:p>
    <w:p>
      <w:pPr>
        <w:spacing w:after="0" w:line="202"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 VGF I Limited,</w:t>
      </w:r>
    </w:p>
    <w:p>
      <w:pPr>
        <w:ind w:left="2820"/>
        <w:spacing w:after="0" w:line="238" w:lineRule="auto"/>
        <w:rPr>
          <w:sz w:val="20"/>
          <w:szCs w:val="20"/>
          <w:color w:val="auto"/>
        </w:rPr>
      </w:pPr>
      <w:r>
        <w:rPr>
          <w:rFonts w:ascii="Courier New" w:cs="Courier New" w:eastAsia="Courier New" w:hAnsi="Courier New"/>
          <w:sz w:val="18"/>
          <w:szCs w:val="18"/>
          <w:color w:val="auto"/>
        </w:rPr>
        <w:t>a Cayman Islands Company</w:t>
      </w:r>
    </w:p>
    <w:p>
      <w:pPr>
        <w:ind w:left="2820"/>
        <w:spacing w:after="0"/>
        <w:rPr>
          <w:sz w:val="20"/>
          <w:szCs w:val="20"/>
          <w:color w:val="auto"/>
        </w:rPr>
      </w:pPr>
      <w:r>
        <w:rPr>
          <w:rFonts w:ascii="Courier New" w:cs="Courier New" w:eastAsia="Courier New" w:hAnsi="Courier New"/>
          <w:sz w:val="18"/>
          <w:szCs w:val="18"/>
          <w:color w:val="auto"/>
        </w:rPr>
        <w:t>Its Managing Member</w:t>
      </w:r>
    </w:p>
    <w:p>
      <w:pPr>
        <w:spacing w:after="0" w:line="200"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 /s/ Shai Weiss</w:t>
      </w:r>
    </w:p>
    <w:p>
      <w:pPr>
        <w:ind w:left="2820"/>
        <w:spacing w:after="0" w:line="238" w:lineRule="auto"/>
        <w:rPr>
          <w:sz w:val="20"/>
          <w:szCs w:val="20"/>
          <w:color w:val="auto"/>
        </w:rPr>
      </w:pPr>
      <w:r>
        <w:rPr>
          <w:rFonts w:ascii="Courier New" w:cs="Courier New" w:eastAsia="Courier New" w:hAnsi="Courier New"/>
          <w:sz w:val="18"/>
          <w:szCs w:val="18"/>
          <w:color w:val="auto"/>
        </w:rPr>
        <w:t>-----------------------------------------</w:t>
      </w:r>
    </w:p>
    <w:p>
      <w:pPr>
        <w:ind w:left="2820"/>
        <w:spacing w:after="0"/>
        <w:rPr>
          <w:sz w:val="20"/>
          <w:szCs w:val="20"/>
          <w:color w:val="auto"/>
        </w:rPr>
      </w:pPr>
      <w:r>
        <w:rPr>
          <w:rFonts w:ascii="Courier New" w:cs="Courier New" w:eastAsia="Courier New" w:hAnsi="Courier New"/>
          <w:sz w:val="18"/>
          <w:szCs w:val="18"/>
          <w:color w:val="auto"/>
        </w:rPr>
        <w:t>Shai Weiss, Director</w:t>
      </w:r>
    </w:p>
    <w:p>
      <w:pPr>
        <w:spacing w:after="0" w:line="200" w:lineRule="exact"/>
        <w:rPr>
          <w:sz w:val="20"/>
          <w:szCs w:val="20"/>
          <w:color w:val="auto"/>
        </w:rPr>
      </w:pP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VGF ADVISERS (UK) LLP,</w:t>
      </w:r>
    </w:p>
    <w:p>
      <w:pPr>
        <w:ind w:left="2380"/>
        <w:spacing w:after="0" w:line="238" w:lineRule="auto"/>
        <w:rPr>
          <w:sz w:val="20"/>
          <w:szCs w:val="20"/>
          <w:color w:val="auto"/>
        </w:rPr>
      </w:pPr>
      <w:r>
        <w:rPr>
          <w:rFonts w:ascii="Courier New" w:cs="Courier New" w:eastAsia="Courier New" w:hAnsi="Courier New"/>
          <w:sz w:val="18"/>
          <w:szCs w:val="18"/>
          <w:color w:val="auto"/>
        </w:rPr>
        <w:t>a United Kingdom limited liability partnership</w:t>
      </w:r>
    </w:p>
    <w:p>
      <w:pPr>
        <w:spacing w:after="0" w:line="202"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 VGF I Limited,</w:t>
      </w:r>
    </w:p>
    <w:p>
      <w:pPr>
        <w:ind w:left="2820"/>
        <w:spacing w:after="0" w:line="238" w:lineRule="auto"/>
        <w:rPr>
          <w:sz w:val="20"/>
          <w:szCs w:val="20"/>
          <w:color w:val="auto"/>
        </w:rPr>
      </w:pPr>
      <w:r>
        <w:rPr>
          <w:rFonts w:ascii="Courier New" w:cs="Courier New" w:eastAsia="Courier New" w:hAnsi="Courier New"/>
          <w:sz w:val="18"/>
          <w:szCs w:val="18"/>
          <w:color w:val="auto"/>
        </w:rPr>
        <w:t>a Cayman Islands Company</w:t>
      </w:r>
    </w:p>
    <w:p>
      <w:pPr>
        <w:ind w:left="2820"/>
        <w:spacing w:after="0"/>
        <w:rPr>
          <w:sz w:val="20"/>
          <w:szCs w:val="20"/>
          <w:color w:val="auto"/>
        </w:rPr>
      </w:pPr>
      <w:r>
        <w:rPr>
          <w:rFonts w:ascii="Courier New" w:cs="Courier New" w:eastAsia="Courier New" w:hAnsi="Courier New"/>
          <w:sz w:val="18"/>
          <w:szCs w:val="18"/>
          <w:color w:val="auto"/>
        </w:rPr>
        <w:t>Its Managing Partner</w:t>
      </w:r>
    </w:p>
    <w:p>
      <w:pPr>
        <w:spacing w:after="0" w:line="200"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 /s/ Shai Weiss</w:t>
      </w:r>
    </w:p>
    <w:p>
      <w:pPr>
        <w:ind w:left="2820"/>
        <w:spacing w:after="0" w:line="238" w:lineRule="auto"/>
        <w:rPr>
          <w:sz w:val="20"/>
          <w:szCs w:val="20"/>
          <w:color w:val="auto"/>
        </w:rPr>
      </w:pPr>
      <w:r>
        <w:rPr>
          <w:rFonts w:ascii="Courier New" w:cs="Courier New" w:eastAsia="Courier New" w:hAnsi="Courier New"/>
          <w:sz w:val="18"/>
          <w:szCs w:val="18"/>
          <w:color w:val="auto"/>
        </w:rPr>
        <w:t>------------------------------------------</w:t>
      </w:r>
    </w:p>
    <w:p>
      <w:pPr>
        <w:ind w:left="2820"/>
        <w:spacing w:after="0"/>
        <w:rPr>
          <w:sz w:val="20"/>
          <w:szCs w:val="20"/>
          <w:color w:val="auto"/>
        </w:rPr>
      </w:pPr>
      <w:r>
        <w:rPr>
          <w:rFonts w:ascii="Courier New" w:cs="Courier New" w:eastAsia="Courier New" w:hAnsi="Courier New"/>
          <w:sz w:val="18"/>
          <w:szCs w:val="18"/>
          <w:color w:val="auto"/>
        </w:rPr>
        <w:t>Shai Weiss, Director</w:t>
      </w:r>
    </w:p>
    <w:p>
      <w:pPr>
        <w:spacing w:after="0" w:line="200" w:lineRule="exact"/>
        <w:rPr>
          <w:sz w:val="20"/>
          <w:szCs w:val="20"/>
          <w:color w:val="auto"/>
        </w:rPr>
      </w:pP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DIRECTORS:</w:t>
      </w:r>
    </w:p>
    <w:p>
      <w:pPr>
        <w:spacing w:after="0" w:line="201"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/s/ Shai Weiss</w:t>
      </w:r>
    </w:p>
    <w:p>
      <w:pPr>
        <w:ind w:left="2820"/>
        <w:spacing w:after="0" w:line="238" w:lineRule="auto"/>
        <w:rPr>
          <w:sz w:val="20"/>
          <w:szCs w:val="20"/>
          <w:color w:val="auto"/>
        </w:rPr>
      </w:pPr>
      <w:r>
        <w:rPr>
          <w:rFonts w:ascii="Courier New" w:cs="Courier New" w:eastAsia="Courier New" w:hAnsi="Courier New"/>
          <w:sz w:val="18"/>
          <w:szCs w:val="18"/>
          <w:color w:val="auto"/>
        </w:rPr>
        <w:t>------------------------------------------</w:t>
      </w:r>
    </w:p>
    <w:p>
      <w:pPr>
        <w:ind w:left="2820"/>
        <w:spacing w:after="0"/>
        <w:rPr>
          <w:sz w:val="20"/>
          <w:szCs w:val="20"/>
          <w:color w:val="auto"/>
        </w:rPr>
      </w:pPr>
      <w:r>
        <w:rPr>
          <w:rFonts w:ascii="Courier New" w:cs="Courier New" w:eastAsia="Courier New" w:hAnsi="Courier New"/>
          <w:sz w:val="18"/>
          <w:szCs w:val="18"/>
          <w:color w:val="auto"/>
        </w:rPr>
        <w:t>Shai Weiss</w:t>
      </w:r>
    </w:p>
    <w:p>
      <w:pPr>
        <w:spacing w:after="0" w:line="200"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/s/ Anup Jacob</w:t>
      </w:r>
    </w:p>
    <w:p>
      <w:pPr>
        <w:ind w:left="2820"/>
        <w:spacing w:after="0" w:line="238" w:lineRule="auto"/>
        <w:rPr>
          <w:sz w:val="20"/>
          <w:szCs w:val="20"/>
          <w:color w:val="auto"/>
        </w:rPr>
      </w:pPr>
      <w:r>
        <w:rPr>
          <w:rFonts w:ascii="Courier New" w:cs="Courier New" w:eastAsia="Courier New" w:hAnsi="Courier New"/>
          <w:sz w:val="18"/>
          <w:szCs w:val="18"/>
          <w:color w:val="auto"/>
        </w:rPr>
        <w:t>------------------------------------------</w:t>
      </w:r>
    </w:p>
    <w:p>
      <w:pPr>
        <w:ind w:left="2820"/>
        <w:spacing w:after="0"/>
        <w:rPr>
          <w:sz w:val="20"/>
          <w:szCs w:val="20"/>
          <w:color w:val="auto"/>
        </w:rPr>
      </w:pPr>
      <w:r>
        <w:rPr>
          <w:rFonts w:ascii="Courier New" w:cs="Courier New" w:eastAsia="Courier New" w:hAnsi="Courier New"/>
          <w:sz w:val="18"/>
          <w:szCs w:val="18"/>
          <w:color w:val="auto"/>
        </w:rPr>
        <w:t>Anup Jacob</w:t>
      </w:r>
    </w:p>
    <w:p>
      <w:pPr>
        <w:spacing w:after="0" w:line="200" w:lineRule="exact"/>
        <w:rPr>
          <w:sz w:val="20"/>
          <w:szCs w:val="20"/>
          <w:color w:val="auto"/>
        </w:rPr>
      </w:pPr>
    </w:p>
    <w:p>
      <w:pPr>
        <w:spacing w:after="0" w:line="203"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w:t>
      </w:r>
    </w:p>
    <w:p>
      <w:pPr>
        <w:ind w:left="2820"/>
        <w:spacing w:after="0" w:line="238" w:lineRule="auto"/>
        <w:rPr>
          <w:sz w:val="20"/>
          <w:szCs w:val="20"/>
          <w:color w:val="auto"/>
        </w:rPr>
      </w:pPr>
      <w:r>
        <w:rPr>
          <w:rFonts w:ascii="Courier New" w:cs="Courier New" w:eastAsia="Courier New" w:hAnsi="Courier New"/>
          <w:sz w:val="18"/>
          <w:szCs w:val="18"/>
          <w:color w:val="auto"/>
        </w:rPr>
        <w:t>Stephen Murphy</w:t>
      </w:r>
    </w:p>
    <w:p>
      <w:pPr>
        <w:spacing w:after="0" w:line="200" w:lineRule="exact"/>
        <w:rPr>
          <w:sz w:val="20"/>
          <w:szCs w:val="20"/>
          <w:color w:val="auto"/>
        </w:rPr>
      </w:pP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w:t>
      </w:r>
    </w:p>
    <w:p>
      <w:pPr>
        <w:ind w:left="2820"/>
        <w:spacing w:after="0" w:line="238" w:lineRule="auto"/>
        <w:rPr>
          <w:sz w:val="20"/>
          <w:szCs w:val="20"/>
          <w:color w:val="auto"/>
        </w:rPr>
      </w:pPr>
      <w:r>
        <w:rPr>
          <w:rFonts w:ascii="Courier New" w:cs="Courier New" w:eastAsia="Courier New" w:hAnsi="Courier New"/>
          <w:sz w:val="18"/>
          <w:szCs w:val="18"/>
          <w:color w:val="auto"/>
        </w:rPr>
        <w:t>Mark Poole</w:t>
      </w:r>
    </w:p>
    <w:p>
      <w:pPr>
        <w:spacing w:after="0" w:line="200" w:lineRule="exact"/>
        <w:rPr>
          <w:sz w:val="20"/>
          <w:szCs w:val="20"/>
          <w:color w:val="auto"/>
        </w:rPr>
      </w:pP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w:t>
      </w:r>
    </w:p>
    <w:p>
      <w:pPr>
        <w:ind w:left="2820"/>
        <w:spacing w:after="0" w:line="238" w:lineRule="auto"/>
        <w:rPr>
          <w:sz w:val="20"/>
          <w:szCs w:val="20"/>
          <w:color w:val="auto"/>
        </w:rPr>
      </w:pPr>
      <w:r>
        <w:rPr>
          <w:rFonts w:ascii="Courier New" w:cs="Courier New" w:eastAsia="Courier New" w:hAnsi="Courier New"/>
          <w:sz w:val="18"/>
          <w:szCs w:val="18"/>
          <w:color w:val="auto"/>
        </w:rPr>
        <w:t>Niall Ritchie</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VGF ADVISERS (US) LLC,</w:t>
      </w:r>
    </w:p>
    <w:p>
      <w:pPr>
        <w:ind w:left="2380"/>
        <w:spacing w:after="0" w:line="238" w:lineRule="auto"/>
        <w:rPr>
          <w:sz w:val="20"/>
          <w:szCs w:val="20"/>
          <w:color w:val="auto"/>
        </w:rPr>
      </w:pPr>
      <w:r>
        <w:rPr>
          <w:rFonts w:ascii="Courier New" w:cs="Courier New" w:eastAsia="Courier New" w:hAnsi="Courier New"/>
          <w:sz w:val="18"/>
          <w:szCs w:val="18"/>
          <w:color w:val="auto"/>
        </w:rPr>
        <w:t>a Delaware limited liability company</w:t>
      </w:r>
    </w:p>
    <w:p>
      <w:pPr>
        <w:spacing w:after="0" w:line="202"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 VGF I Limited,</w:t>
      </w:r>
    </w:p>
    <w:p>
      <w:pPr>
        <w:ind w:left="2820"/>
        <w:spacing w:after="0" w:line="238" w:lineRule="auto"/>
        <w:rPr>
          <w:sz w:val="20"/>
          <w:szCs w:val="20"/>
          <w:color w:val="auto"/>
        </w:rPr>
      </w:pPr>
      <w:r>
        <w:rPr>
          <w:rFonts w:ascii="Courier New" w:cs="Courier New" w:eastAsia="Courier New" w:hAnsi="Courier New"/>
          <w:sz w:val="18"/>
          <w:szCs w:val="18"/>
          <w:color w:val="auto"/>
        </w:rPr>
        <w:t>a Cayman Islands Company</w:t>
      </w:r>
    </w:p>
    <w:p>
      <w:pPr>
        <w:ind w:left="2820"/>
        <w:spacing w:after="0"/>
        <w:rPr>
          <w:sz w:val="20"/>
          <w:szCs w:val="20"/>
          <w:color w:val="auto"/>
        </w:rPr>
      </w:pPr>
      <w:r>
        <w:rPr>
          <w:rFonts w:ascii="Courier New" w:cs="Courier New" w:eastAsia="Courier New" w:hAnsi="Courier New"/>
          <w:sz w:val="18"/>
          <w:szCs w:val="18"/>
          <w:color w:val="auto"/>
        </w:rPr>
        <w:t>Its Managing Member</w:t>
      </w:r>
    </w:p>
    <w:p>
      <w:pPr>
        <w:spacing w:after="0" w:line="200" w:lineRule="exact"/>
        <w:rPr>
          <w:sz w:val="20"/>
          <w:szCs w:val="20"/>
          <w:color w:val="auto"/>
        </w:rPr>
      </w:pP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w:t>
      </w:r>
    </w:p>
    <w:p>
      <w:pPr>
        <w:ind w:left="2820"/>
        <w:spacing w:after="0" w:line="238" w:lineRule="auto"/>
        <w:rPr>
          <w:sz w:val="20"/>
          <w:szCs w:val="20"/>
          <w:color w:val="auto"/>
        </w:rPr>
      </w:pPr>
      <w:r>
        <w:rPr>
          <w:rFonts w:ascii="Courier New" w:cs="Courier New" w:eastAsia="Courier New" w:hAnsi="Courier New"/>
          <w:sz w:val="18"/>
          <w:szCs w:val="18"/>
          <w:color w:val="auto"/>
        </w:rPr>
        <w:t>------------------------------------------</w:t>
      </w:r>
    </w:p>
    <w:p>
      <w:pPr>
        <w:ind w:left="2820"/>
        <w:spacing w:after="0"/>
        <w:rPr>
          <w:sz w:val="20"/>
          <w:szCs w:val="20"/>
          <w:color w:val="auto"/>
        </w:rPr>
      </w:pPr>
      <w:r>
        <w:rPr>
          <w:rFonts w:ascii="Courier New" w:cs="Courier New" w:eastAsia="Courier New" w:hAnsi="Courier New"/>
          <w:sz w:val="18"/>
          <w:szCs w:val="18"/>
          <w:color w:val="auto"/>
        </w:rPr>
        <w:t>Shai Weiss, Director</w:t>
      </w:r>
    </w:p>
    <w:p>
      <w:pPr>
        <w:sectPr>
          <w:pgSz w:w="11900" w:h="16838" w:orient="portrait"/>
          <w:cols w:equalWidth="0" w:num="1">
            <w:col w:w="9019"/>
          </w:cols>
          <w:pgMar w:left="1440" w:top="136" w:right="1440" w:bottom="0" w:gutter="0" w:footer="0" w:header="0"/>
        </w:sectPr>
      </w:pPr>
    </w:p>
    <w:bookmarkStart w:id="3" w:name="page4"/>
    <w:bookmarkEnd w:id="3"/>
    <w:p>
      <w:pPr>
        <w:ind w:left="2380"/>
        <w:spacing w:after="0"/>
        <w:rPr>
          <w:sz w:val="20"/>
          <w:szCs w:val="20"/>
          <w:color w:val="auto"/>
        </w:rPr>
      </w:pPr>
      <w:r>
        <w:rPr>
          <w:rFonts w:ascii="Courier New" w:cs="Courier New" w:eastAsia="Courier New" w:hAnsi="Courier New"/>
          <w:sz w:val="18"/>
          <w:szCs w:val="18"/>
          <w:color w:val="auto"/>
        </w:rPr>
        <w:t>VGF ADVISERS (UK) LLP,</w:t>
      </w:r>
    </w:p>
    <w:p>
      <w:pPr>
        <w:spacing w:after="0" w:line="4"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a United Kingdom limited liability partnership</w:t>
      </w:r>
    </w:p>
    <w:p>
      <w:pPr>
        <w:spacing w:after="0" w:line="218"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 VGF I Limited,</w:t>
      </w:r>
    </w:p>
    <w:p>
      <w:pPr>
        <w:ind w:left="2820"/>
        <w:spacing w:after="0" w:line="238" w:lineRule="auto"/>
        <w:rPr>
          <w:sz w:val="20"/>
          <w:szCs w:val="20"/>
          <w:color w:val="auto"/>
        </w:rPr>
      </w:pPr>
      <w:r>
        <w:rPr>
          <w:rFonts w:ascii="Courier New" w:cs="Courier New" w:eastAsia="Courier New" w:hAnsi="Courier New"/>
          <w:sz w:val="18"/>
          <w:szCs w:val="18"/>
          <w:color w:val="auto"/>
        </w:rPr>
        <w:t>a Cayman Islands Company</w:t>
      </w:r>
    </w:p>
    <w:p>
      <w:pPr>
        <w:ind w:left="2820"/>
        <w:spacing w:after="0"/>
        <w:rPr>
          <w:sz w:val="20"/>
          <w:szCs w:val="20"/>
          <w:color w:val="auto"/>
        </w:rPr>
      </w:pPr>
      <w:r>
        <w:rPr>
          <w:rFonts w:ascii="Courier New" w:cs="Courier New" w:eastAsia="Courier New" w:hAnsi="Courier New"/>
          <w:sz w:val="18"/>
          <w:szCs w:val="18"/>
          <w:color w:val="auto"/>
        </w:rPr>
        <w:t>Its Managing Partner</w:t>
      </w:r>
    </w:p>
    <w:p>
      <w:pPr>
        <w:spacing w:after="0" w:line="200" w:lineRule="exact"/>
        <w:rPr>
          <w:sz w:val="20"/>
          <w:szCs w:val="20"/>
          <w:color w:val="auto"/>
        </w:rPr>
      </w:pP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Shai Weiss, Director</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Shai Weiss</w:t>
      </w:r>
    </w:p>
    <w:p>
      <w:pPr>
        <w:spacing w:after="0" w:line="200" w:lineRule="exact"/>
        <w:rPr>
          <w:sz w:val="20"/>
          <w:szCs w:val="20"/>
          <w:color w:val="auto"/>
        </w:rPr>
      </w:pPr>
    </w:p>
    <w:p>
      <w:pPr>
        <w:spacing w:after="0" w:line="20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Anup Jacob</w:t>
      </w:r>
    </w:p>
    <w:p>
      <w:pPr>
        <w:spacing w:after="0" w:line="201"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/s/ Stephen Murphy</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Stephen Murphy</w:t>
      </w:r>
    </w:p>
    <w:p>
      <w:pPr>
        <w:spacing w:after="0" w:line="201"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/s/ Mark Poole</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Mark Poole</w:t>
      </w:r>
    </w:p>
    <w:p>
      <w:pPr>
        <w:spacing w:after="0" w:line="201"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/s/ Niall Ritchie</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Niall Ritchie</w:t>
      </w:r>
    </w:p>
    <w:p>
      <w:pPr>
        <w:sectPr>
          <w:pgSz w:w="11900" w:h="16838" w:orient="portrait"/>
          <w:cols w:equalWidth="0" w:num="1">
            <w:col w:w="9019"/>
          </w:cols>
          <w:pgMar w:left="1440" w:top="541" w:right="1440" w:bottom="1440"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Know all by these present, that the undersigned hereby constitutes and appoints each of Mark Smith and Brett Lund, signing singly, the undersigned's true and lawful attorneys-in-fact to:</w:t>
      </w:r>
    </w:p>
    <w:p>
      <w:pPr>
        <w:spacing w:after="0" w:line="209" w:lineRule="exact"/>
        <w:rPr>
          <w:sz w:val="20"/>
          <w:szCs w:val="20"/>
          <w:color w:val="auto"/>
        </w:rPr>
      </w:pPr>
    </w:p>
    <w:p>
      <w:pPr>
        <w:ind w:right="1779" w:firstLine="851"/>
        <w:spacing w:after="0" w:line="237" w:lineRule="auto"/>
        <w:tabs>
          <w:tab w:leader="none" w:pos="168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Gevo, Inc. (the "Company"), Forms 3, 4 and 5, in respect of securities of the Company, in accordance with Section 16(a) of the Securities Exchange Act of 1934, as amended (the "Exchange Act") and the rules thereunder;</w:t>
      </w:r>
    </w:p>
    <w:p>
      <w:pPr>
        <w:spacing w:after="0" w:line="208" w:lineRule="exact"/>
        <w:rPr>
          <w:rFonts w:ascii="Courier New" w:cs="Courier New" w:eastAsia="Courier New" w:hAnsi="Courier New"/>
          <w:sz w:val="18"/>
          <w:szCs w:val="18"/>
          <w:color w:val="auto"/>
        </w:rPr>
      </w:pPr>
    </w:p>
    <w:p>
      <w:pPr>
        <w:ind w:right="1779" w:firstLine="851"/>
        <w:spacing w:after="0" w:line="275" w:lineRule="auto"/>
        <w:tabs>
          <w:tab w:leader="none" w:pos="168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82" w:lineRule="exact"/>
        <w:rPr>
          <w:rFonts w:ascii="Courier New" w:cs="Courier New" w:eastAsia="Courier New" w:hAnsi="Courier New"/>
          <w:sz w:val="16"/>
          <w:szCs w:val="16"/>
          <w:color w:val="auto"/>
        </w:rPr>
      </w:pPr>
    </w:p>
    <w:p>
      <w:pPr>
        <w:ind w:right="1779" w:firstLine="851"/>
        <w:spacing w:after="0" w:line="237" w:lineRule="auto"/>
        <w:tabs>
          <w:tab w:leader="none" w:pos="168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99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391"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8th day of February, 2011.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Shai Weiss</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Shai Weiss</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Printed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4"/>
    </w:lvl>
  </w:abstractNum>
  <w:abstractNum w:abstractNumId="1">
    <w:nsid w:val="507ED7AB"/>
    <w:multiLevelType w:val="hybridMultilevel"/>
    <w:lvl w:ilvl="0">
      <w:lvlJc w:val="left"/>
      <w:lvlText w:val="%1."/>
      <w:numFmt w:val="decimal"/>
      <w:start w:val="5"/>
    </w:lvl>
  </w:abstractNum>
  <w:abstractNum w:abstractNumId="2">
    <w:nsid w:val="2EB141F2"/>
    <w:multiLevelType w:val="hybridMultilevel"/>
    <w:lvl w:ilvl="0">
      <w:lvlJc w:val="left"/>
      <w:lvlText w:val="X"/>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78381" TargetMode="External"/><Relationship Id="rId12" Type="http://schemas.openxmlformats.org/officeDocument/2006/relationships/hyperlink" Target="http://www.sec.gov/cgi-bin/browse-edgar?action=getcompany&amp;CIK=00013923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2019-12-17T15:08:37Z</dcterms:created>
  <dcterms:modified xsi:type="dcterms:W3CDTF">2019-12-17T15:08:37Z</dcterms:modified>
</cp:coreProperties>
</file>