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6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xml:space="preserve">☒ </w:t>
      </w:r>
      <w:r>
        <w:rPr>
          <w:rFonts w:ascii="Times New Roman;sans-serif" w:hAnsi="Times New Roman;sans-serif"/>
          <w:b/>
          <w:color w:val="000000"/>
          <w:sz w:val="20"/>
        </w:rPr>
        <w:t xml:space="preserve">QUARTERLY REPORT PURSUANT TO SECTION 13 OR 15(d) OF THE SECURITIES EXCHANGE ACT OF 1934 </w:t>
      </w:r>
    </w:p>
    <w:p>
      <w:pPr>
        <w:pStyle w:val="TextBody"/>
        <w:bidi w:val="0"/>
        <w:spacing w:lineRule="auto" w:line="288" w:before="0" w:after="60"/>
        <w:jc w:val="center"/>
        <w:rPr/>
      </w:pPr>
      <w:r>
        <w:rPr>
          <w:rFonts w:ascii="Times New Roman;sans-serif" w:hAnsi="Times New Roman;sans-serif"/>
          <w:b/>
          <w:color w:val="000000"/>
          <w:sz w:val="20"/>
        </w:rPr>
        <w:t>For the quarterly period ended March 31, 2023</w:t>
      </w:r>
      <w:r>
        <w:rPr>
          <w:color w:val="000000"/>
        </w:rPr>
        <w:t xml:space="preserve">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60"/>
        <w:jc w:val="left"/>
        <w:rPr>
          <w:color w:val="000000"/>
        </w:rPr>
      </w:pPr>
      <w:r>
        <w:rPr>
          <w:color w:val="000000"/>
        </w:rPr>
        <w:t xml:space="preserve">☐ </w:t>
      </w:r>
      <w:r>
        <w:rPr>
          <w:rFonts w:ascii="Times New Roman;sans-serif" w:hAnsi="Times New Roman;sans-serif"/>
          <w:b/>
          <w:color w:val="000000"/>
          <w:sz w:val="20"/>
        </w:rPr>
        <w:t>TRANSITION REPORT PURSUANT TO SECTION 13 OR 15(d) OF THE SECURITIES AND EXCHANGE ACT OF 1934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________________ to ________________</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001-35073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44"/>
        </w:rPr>
      </w:pPr>
      <w:r>
        <w:rPr>
          <w:rFonts w:ascii="Times New Roman;sans-serif" w:hAnsi="Times New Roman;sans-serif"/>
          <w:b/>
          <w:color w:val="000000"/>
          <w:sz w:val="44"/>
        </w:rPr>
        <w:t>GEVO,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83"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87-0747704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br/>
              <w:t>Identification No.)</w:t>
            </w:r>
          </w:p>
        </w:tc>
      </w:tr>
    </w:tbl>
    <w:tbl>
      <w:tblPr>
        <w:tblW w:w="5078" w:type="dxa"/>
        <w:jc w:val="left"/>
        <w:tblInd w:w="0" w:type="dxa"/>
        <w:tblLayout w:type="fixed"/>
        <w:tblCellMar>
          <w:top w:w="28" w:type="dxa"/>
          <w:left w:w="28" w:type="dxa"/>
          <w:bottom w:w="28" w:type="dxa"/>
          <w:right w:w="28" w:type="dxa"/>
        </w:tblCellMar>
      </w:tblPr>
      <w:tblGrid>
        <w:gridCol w:w="1222"/>
        <w:gridCol w:w="1075"/>
        <w:gridCol w:w="1078"/>
        <w:gridCol w:w="109"/>
        <w:gridCol w:w="109"/>
        <w:gridCol w:w="109"/>
        <w:gridCol w:w="109"/>
        <w:gridCol w:w="109"/>
        <w:gridCol w:w="109"/>
        <w:gridCol w:w="307"/>
        <w:gridCol w:w="307"/>
        <w:gridCol w:w="435"/>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345 Inverness Drive South, </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Building C, Suite 310</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Englewood,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80112</w:t>
            </w:r>
          </w:p>
        </w:tc>
      </w:tr>
      <w:tr>
        <w:trPr/>
        <w:tc>
          <w:tcPr>
            <w:tcW w:w="33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(303) 858-8358</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60"/>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3" w:type="dxa"/>
        <w:jc w:val="left"/>
        <w:tblInd w:w="0" w:type="dxa"/>
        <w:tblLayout w:type="fixed"/>
        <w:tblCellMar>
          <w:top w:w="28" w:type="dxa"/>
          <w:left w:w="28" w:type="dxa"/>
          <w:bottom w:w="28" w:type="dxa"/>
          <w:right w:w="28" w:type="dxa"/>
        </w:tblCellMar>
      </w:tblPr>
      <w:tblGrid>
        <w:gridCol w:w="1267"/>
        <w:gridCol w:w="1108"/>
        <w:gridCol w:w="1120"/>
        <w:gridCol w:w="499"/>
        <w:gridCol w:w="499"/>
        <w:gridCol w:w="501"/>
        <w:gridCol w:w="1174"/>
        <w:gridCol w:w="1174"/>
        <w:gridCol w:w="1671"/>
      </w:tblGrid>
      <w:tr>
        <w:trPr/>
        <w:tc>
          <w:tcPr>
            <w:tcW w:w="12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5"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49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GEVO</w:t>
            </w:r>
          </w:p>
        </w:tc>
        <w:tc>
          <w:tcPr>
            <w:tcW w:w="4019"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60"/>
        <w:ind w:left="0" w:right="0" w:firstLine="540"/>
        <w:jc w:val="left"/>
        <w:rPr/>
      </w:pPr>
      <w:r>
        <w:rPr>
          <w:rFonts w:ascii="Times New Roman;sans-serif" w:hAnsi="Times New Roman;sans-serif"/>
          <w:b w:val="false"/>
          <w:color w:val="000000"/>
          <w:sz w:val="20"/>
        </w:rPr>
        <w:t>As of May 9, 2023</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237,246,223 shares of the registrant’s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3"/>
        <w:gridCol w:w="279"/>
        <w:gridCol w:w="279"/>
        <w:gridCol w:w="2689"/>
        <w:gridCol w:w="2617"/>
        <w:gridCol w:w="2625"/>
        <w:gridCol w:w="403"/>
        <w:gridCol w:w="403"/>
        <w:gridCol w:w="587"/>
      </w:tblGrid>
      <w:tr>
        <w:trPr/>
        <w:tc>
          <w:tcPr>
            <w:tcW w:w="3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0">
              <w:r>
                <w:rPr>
                  <w:rStyle w:val="InternetLink"/>
                  <w:rFonts w:ascii="Times New Roman;sans-serif" w:hAnsi="Times New Roman;sans-serif"/>
                  <w:b/>
                  <w:strike w:val="false"/>
                  <w:dstrike w:val="false"/>
                  <w:color w:val="000000"/>
                  <w:sz w:val="20"/>
                  <w:u w:val="none"/>
                  <w:effect w:val="none"/>
                </w:rPr>
                <w:t>PART I. FINANCIAL INFORMATION</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
              <w:r>
                <w:rPr>
                  <w:rStyle w:val="InternetLink"/>
                  <w:rFonts w:ascii="Times New Roman;sans-serif" w:hAnsi="Times New Roman;sans-serif"/>
                  <w:b w:val="false"/>
                  <w:strike w:val="false"/>
                  <w:dstrike w:val="false"/>
                  <w:color w:val="000000"/>
                  <w:sz w:val="20"/>
                  <w:u w:val="none"/>
                  <w:effect w:val="none"/>
                </w:rPr>
                <w:t>Item 1.</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
              <w:r>
                <w:rPr>
                  <w:rStyle w:val="InternetLink"/>
                  <w:rFonts w:ascii="Times New Roman;sans-serif" w:hAnsi="Times New Roman;sans-serif"/>
                  <w:b w:val="false"/>
                  <w:strike w:val="false"/>
                  <w:dstrike w:val="false"/>
                  <w:color w:val="000000"/>
                  <w:sz w:val="20"/>
                  <w:u w:val="none"/>
                  <w:effect w:val="none"/>
                </w:rPr>
                <w:t>Financial Statements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3">
              <w:r>
                <w:rPr>
                  <w:rStyle w:val="InternetLink"/>
                  <w:rFonts w:ascii="Times New Roman;sans-serif" w:hAnsi="Times New Roman;sans-serif"/>
                  <w:b w:val="false"/>
                  <w:strike w:val="false"/>
                  <w:dstrike w:val="false"/>
                  <w:color w:val="000000"/>
                  <w:sz w:val="20"/>
                  <w:u w:val="none"/>
                  <w:effect w:val="none"/>
                </w:rPr>
                <w:t>3</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6">
              <w:r>
                <w:rPr>
                  <w:rStyle w:val="InternetLink"/>
                  <w:rFonts w:ascii="Times New Roman;sans-serif" w:hAnsi="Times New Roman;sans-serif"/>
                  <w:b w:val="false"/>
                  <w:strike w:val="false"/>
                  <w:dstrike w:val="false"/>
                  <w:color w:val="000000"/>
                  <w:sz w:val="20"/>
                  <w:u w:val="none"/>
                  <w:effect w:val="none"/>
                </w:rPr>
                <w:t xml:space="preserve">Consolidated Balance Sheets as of </w:t>
              </w:r>
            </w:hyperlink>
            <w:r>
              <w:rPr>
                <w:rFonts w:ascii="Times New Roman;sans-serif" w:hAnsi="Times New Roman;sans-serif"/>
                <w:b w:val="false"/>
                <w:color w:val="000000"/>
                <w:sz w:val="20"/>
              </w:rPr>
              <w:t>March 31, 2023</w:t>
            </w:r>
            <w:hyperlink w:anchor="i0694703280124e699fc965ae3dadb5ad_16">
              <w:r>
                <w:rPr>
                  <w:rStyle w:val="InternetLink"/>
                  <w:rFonts w:ascii="Times New Roman;sans-serif" w:hAnsi="Times New Roman;sans-serif"/>
                  <w:b w:val="false"/>
                  <w:strike w:val="false"/>
                  <w:dstrike w:val="false"/>
                  <w:color w:val="000000"/>
                  <w:sz w:val="20"/>
                  <w:u w:val="none"/>
                  <w:effect w:val="none"/>
                </w:rPr>
                <w:t xml:space="preserve"> (unaudited) and </w:t>
              </w:r>
            </w:hyperlink>
            <w:r>
              <w:rPr>
                <w:rFonts w:ascii="Times New Roman;sans-serif" w:hAnsi="Times New Roman;sans-serif"/>
                <w:b w:val="false"/>
                <w:color w:val="000000"/>
                <w:sz w:val="20"/>
              </w:rPr>
              <w:t>December 31, 2022</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6">
              <w:r>
                <w:rPr>
                  <w:rStyle w:val="InternetLink"/>
                  <w:rFonts w:ascii="Times New Roman;sans-serif" w:hAnsi="Times New Roman;sans-serif"/>
                  <w:b w:val="false"/>
                  <w:strike w:val="false"/>
                  <w:dstrike w:val="false"/>
                  <w:color w:val="000000"/>
                  <w:sz w:val="20"/>
                  <w:u w:val="none"/>
                  <w:effect w:val="none"/>
                </w:rPr>
                <w:t>3</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9">
              <w:r>
                <w:rPr>
                  <w:rStyle w:val="InternetLink"/>
                  <w:rFonts w:ascii="Times New Roman;sans-serif" w:hAnsi="Times New Roman;sans-serif"/>
                  <w:b w:val="false"/>
                  <w:strike w:val="false"/>
                  <w:dstrike w:val="false"/>
                  <w:color w:val="000000"/>
                  <w:sz w:val="20"/>
                  <w:u w:val="none"/>
                  <w:effect w:val="none"/>
                </w:rPr>
                <w:t xml:space="preserve">Consolidated Statements of Operations for the </w:t>
              </w:r>
            </w:hyperlink>
            <w:r>
              <w:rPr>
                <w:rFonts w:ascii="Times New Roman;sans-serif" w:hAnsi="Times New Roman;sans-serif"/>
                <w:b w:val="false"/>
                <w:color w:val="000000"/>
                <w:sz w:val="20"/>
              </w:rPr>
              <w:t>three</w:t>
            </w:r>
            <w:hyperlink w:anchor="i0694703280124e699fc965ae3dadb5ad_19">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2023</w:t>
            </w:r>
            <w:hyperlink w:anchor="i0694703280124e699fc965ae3dadb5ad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0694703280124e699fc965ae3dadb5ad_19">
              <w:r>
                <w:rPr>
                  <w:rStyle w:val="InternetLink"/>
                  <w:rFonts w:ascii="Times New Roman;sans-serif" w:hAnsi="Times New Roman;sans-serif"/>
                  <w:b w:val="false"/>
                  <w:strike w:val="false"/>
                  <w:dstrike w:val="false"/>
                  <w:color w:val="000000"/>
                  <w:sz w:val="20"/>
                  <w:u w:val="none"/>
                  <w:effect w:val="none"/>
                </w:rPr>
                <w:t xml:space="preserve"> (unaudited)</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9">
              <w:r>
                <w:rPr>
                  <w:rStyle w:val="InternetLink"/>
                  <w:rFonts w:ascii="Times New Roman;sans-serif" w:hAnsi="Times New Roman;sans-serif"/>
                  <w:b w:val="false"/>
                  <w:strike w:val="false"/>
                  <w:dstrike w:val="false"/>
                  <w:color w:val="000000"/>
                  <w:sz w:val="20"/>
                  <w:u w:val="none"/>
                  <w:effect w:val="none"/>
                </w:rPr>
                <w:t>4</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Consolidated Statements of Comprehensive Loss for the </w:t>
              </w:r>
            </w:hyperlink>
            <w:r>
              <w:rPr>
                <w:rFonts w:ascii="Times New Roman;sans-serif" w:hAnsi="Times New Roman;sans-serif"/>
                <w:b w:val="false"/>
                <w:color w:val="000000"/>
                <w:sz w:val="20"/>
              </w:rPr>
              <w:t>three</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2023</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(unaudited)</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22">
              <w:r>
                <w:rPr>
                  <w:rStyle w:val="InternetLink"/>
                  <w:rFonts w:ascii="Times New Roman;sans-serif" w:hAnsi="Times New Roman;sans-serif"/>
                  <w:b w:val="false"/>
                  <w:strike w:val="false"/>
                  <w:dstrike w:val="false"/>
                  <w:color w:val="000000"/>
                  <w:sz w:val="20"/>
                  <w:u w:val="none"/>
                  <w:effect w:val="none"/>
                </w:rPr>
                <w:t>5</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25">
              <w:r>
                <w:rPr>
                  <w:rStyle w:val="InternetLink"/>
                  <w:rFonts w:ascii="Times New Roman;sans-serif" w:hAnsi="Times New Roman;sans-serif"/>
                  <w:b w:val="false"/>
                  <w:strike w:val="false"/>
                  <w:dstrike w:val="false"/>
                  <w:color w:val="000000"/>
                  <w:sz w:val="20"/>
                  <w:u w:val="none"/>
                  <w:effect w:val="none"/>
                </w:rPr>
                <w:t>Consolidated Statements of Stockholders' Equity for the</w:t>
              </w:r>
            </w:hyperlink>
            <w:r>
              <w:rPr>
                <w:rFonts w:ascii="Times New Roman;sans-serif" w:hAnsi="Times New Roman;sans-serif"/>
                <w:b w:val="false"/>
                <w:color w:val="000000"/>
                <w:sz w:val="20"/>
              </w:rPr>
              <w:t xml:space="preserve"> three</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 xml:space="preserve">March 31, 2023 </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2022</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(unaudited)</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25">
              <w:r>
                <w:rPr>
                  <w:rStyle w:val="InternetLink"/>
                  <w:rFonts w:ascii="Times New Roman;sans-serif" w:hAnsi="Times New Roman;sans-serif"/>
                  <w:b w:val="false"/>
                  <w:strike w:val="false"/>
                  <w:dstrike w:val="false"/>
                  <w:color w:val="000000"/>
                  <w:sz w:val="20"/>
                  <w:u w:val="none"/>
                  <w:effect w:val="none"/>
                </w:rPr>
                <w:t>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28">
              <w:r>
                <w:rPr>
                  <w:rStyle w:val="InternetLink"/>
                  <w:rFonts w:ascii="Times New Roman;sans-serif" w:hAnsi="Times New Roman;sans-serif"/>
                  <w:b w:val="false"/>
                  <w:strike w:val="false"/>
                  <w:dstrike w:val="false"/>
                  <w:color w:val="000000"/>
                  <w:sz w:val="20"/>
                  <w:u w:val="none"/>
                  <w:effect w:val="none"/>
                </w:rPr>
                <w:t xml:space="preserve">Consolidated Statements of Cash Flows for the </w:t>
              </w:r>
            </w:hyperlink>
            <w:r>
              <w:rPr>
                <w:rFonts w:ascii="Times New Roman;sans-serif" w:hAnsi="Times New Roman;sans-serif"/>
                <w:b w:val="false"/>
                <w:color w:val="000000"/>
                <w:sz w:val="20"/>
              </w:rPr>
              <w:t>three</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months ended </w:t>
              </w:r>
            </w:hyperlink>
            <w:r>
              <w:rPr>
                <w:rFonts w:ascii="Times New Roman;sans-serif" w:hAnsi="Times New Roman;sans-serif"/>
                <w:b w:val="false"/>
                <w:color w:val="000000"/>
                <w:sz w:val="20"/>
              </w:rPr>
              <w:t>March 31, 2023</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0694703280124e699fc965ae3dadb5ad_22">
              <w:r>
                <w:rPr>
                  <w:rStyle w:val="InternetLink"/>
                  <w:rFonts w:ascii="Times New Roman;sans-serif" w:hAnsi="Times New Roman;sans-serif"/>
                  <w:b w:val="false"/>
                  <w:strike w:val="false"/>
                  <w:dstrike w:val="false"/>
                  <w:color w:val="000000"/>
                  <w:sz w:val="20"/>
                  <w:u w:val="none"/>
                  <w:effect w:val="none"/>
                </w:rPr>
                <w:t xml:space="preserve"> (unaudited)</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28">
              <w:r>
                <w:rPr>
                  <w:rStyle w:val="InternetLink"/>
                  <w:rFonts w:ascii="Times New Roman;sans-serif" w:hAnsi="Times New Roman;sans-serif"/>
                  <w:b w:val="false"/>
                  <w:strike w:val="false"/>
                  <w:dstrike w:val="false"/>
                  <w:color w:val="000000"/>
                  <w:sz w:val="20"/>
                  <w:u w:val="none"/>
                  <w:effect w:val="none"/>
                </w:rPr>
                <w:t>7</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31">
              <w:r>
                <w:rPr>
                  <w:rStyle w:val="InternetLink"/>
                  <w:rFonts w:ascii="Times New Roman;sans-serif" w:hAnsi="Times New Roman;sans-serif"/>
                  <w:b w:val="false"/>
                  <w:strike w:val="false"/>
                  <w:dstrike w:val="false"/>
                  <w:color w:val="000000"/>
                  <w:sz w:val="20"/>
                  <w:u w:val="none"/>
                  <w:effect w:val="none"/>
                </w:rPr>
                <w:t>Notes to Consolidated Financial Statements (unaudited)</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31">
              <w:r>
                <w:rPr>
                  <w:rStyle w:val="InternetLink"/>
                  <w:rFonts w:ascii="Times New Roman;sans-serif" w:hAnsi="Times New Roman;sans-serif"/>
                  <w:b w:val="false"/>
                  <w:strike w:val="false"/>
                  <w:dstrike w:val="false"/>
                  <w:color w:val="000000"/>
                  <w:sz w:val="20"/>
                  <w:u w:val="none"/>
                  <w:effect w:val="none"/>
                </w:rPr>
                <w:t>8</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94">
              <w:r>
                <w:rPr>
                  <w:rStyle w:val="InternetLink"/>
                  <w:rFonts w:ascii="Times New Roman;sans-serif" w:hAnsi="Times New Roman;sans-serif"/>
                  <w:b w:val="false"/>
                  <w:strike w:val="false"/>
                  <w:dstrike w:val="false"/>
                  <w:color w:val="000000"/>
                  <w:sz w:val="20"/>
                  <w:u w:val="none"/>
                  <w:effect w:val="none"/>
                </w:rPr>
                <w:t>Item 2.</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94">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94">
              <w:r>
                <w:rPr>
                  <w:rStyle w:val="InternetLink"/>
                  <w:rFonts w:ascii="Times New Roman;sans-serif" w:hAnsi="Times New Roman;sans-serif"/>
                  <w:b w:val="false"/>
                  <w:strike w:val="false"/>
                  <w:dstrike w:val="false"/>
                  <w:color w:val="000000"/>
                  <w:sz w:val="20"/>
                  <w:u w:val="none"/>
                  <w:effect w:val="none"/>
                </w:rPr>
                <w:t>25</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0">
              <w:r>
                <w:rPr>
                  <w:rStyle w:val="InternetLink"/>
                  <w:rFonts w:ascii="Times New Roman;sans-serif" w:hAnsi="Times New Roman;sans-serif"/>
                  <w:b w:val="false"/>
                  <w:strike w:val="false"/>
                  <w:dstrike w:val="false"/>
                  <w:color w:val="000000"/>
                  <w:sz w:val="20"/>
                  <w:u w:val="none"/>
                  <w:effect w:val="none"/>
                </w:rPr>
                <w:t>Item 3.</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0">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30">
              <w:r>
                <w:rPr>
                  <w:rStyle w:val="InternetLink"/>
                  <w:rFonts w:ascii="Times New Roman;sans-serif" w:hAnsi="Times New Roman;sans-serif"/>
                  <w:b w:val="false"/>
                  <w:strike w:val="false"/>
                  <w:dstrike w:val="false"/>
                  <w:color w:val="000000"/>
                  <w:sz w:val="20"/>
                  <w:u w:val="none"/>
                  <w:effect w:val="none"/>
                </w:rPr>
                <w:t>35</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3">
              <w:r>
                <w:rPr>
                  <w:rStyle w:val="InternetLink"/>
                  <w:rFonts w:ascii="Times New Roman;sans-serif" w:hAnsi="Times New Roman;sans-serif"/>
                  <w:b w:val="false"/>
                  <w:strike w:val="false"/>
                  <w:dstrike w:val="false"/>
                  <w:color w:val="000000"/>
                  <w:sz w:val="20"/>
                  <w:u w:val="none"/>
                  <w:effect w:val="none"/>
                </w:rPr>
                <w:t>Item 4.</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3">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10205" w:type="dxa"/>
            <w:gridSpan w:val="9"/>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36">
              <w:r>
                <w:rPr>
                  <w:rStyle w:val="InternetLink"/>
                  <w:rFonts w:ascii="Times New Roman;sans-serif" w:hAnsi="Times New Roman;sans-serif"/>
                  <w:b/>
                  <w:strike w:val="false"/>
                  <w:dstrike w:val="false"/>
                  <w:color w:val="000000"/>
                  <w:sz w:val="20"/>
                  <w:u w:val="none"/>
                  <w:effect w:val="none"/>
                </w:rPr>
                <w:t>PART II. OTHER INFORMATION</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9">
              <w:r>
                <w:rPr>
                  <w:rStyle w:val="InternetLink"/>
                  <w:rFonts w:ascii="Times New Roman;sans-serif" w:hAnsi="Times New Roman;sans-serif"/>
                  <w:b w:val="false"/>
                  <w:strike w:val="false"/>
                  <w:dstrike w:val="false"/>
                  <w:color w:val="000000"/>
                  <w:sz w:val="20"/>
                  <w:u w:val="none"/>
                  <w:effect w:val="none"/>
                </w:rPr>
                <w:t>Item 1.</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39">
              <w:r>
                <w:rPr>
                  <w:rStyle w:val="InternetLink"/>
                  <w:rFonts w:ascii="Times New Roman;sans-serif" w:hAnsi="Times New Roman;sans-serif"/>
                  <w:b w:val="false"/>
                  <w:strike w:val="false"/>
                  <w:dstrike w:val="false"/>
                  <w:color w:val="000000"/>
                  <w:sz w:val="20"/>
                  <w:u w:val="none"/>
                  <w:effect w:val="none"/>
                </w:rPr>
                <w:t>Legal Proceedings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39">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2">
              <w:r>
                <w:rPr>
                  <w:rStyle w:val="InternetLink"/>
                  <w:rFonts w:ascii="Times New Roman;sans-serif" w:hAnsi="Times New Roman;sans-serif"/>
                  <w:b w:val="false"/>
                  <w:strike w:val="false"/>
                  <w:dstrike w:val="false"/>
                  <w:color w:val="000000"/>
                  <w:sz w:val="20"/>
                  <w:u w:val="none"/>
                  <w:effect w:val="none"/>
                </w:rPr>
                <w:t>Item 1A.</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2">
              <w:r>
                <w:rPr>
                  <w:rStyle w:val="InternetLink"/>
                  <w:rFonts w:ascii="Times New Roman;sans-serif" w:hAnsi="Times New Roman;sans-serif"/>
                  <w:b w:val="false"/>
                  <w:strike w:val="false"/>
                  <w:dstrike w:val="false"/>
                  <w:color w:val="000000"/>
                  <w:sz w:val="20"/>
                  <w:u w:val="none"/>
                  <w:effect w:val="none"/>
                </w:rPr>
                <w:t>Risk Factors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42">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5">
              <w:r>
                <w:rPr>
                  <w:rStyle w:val="InternetLink"/>
                  <w:rFonts w:ascii="Times New Roman;sans-serif" w:hAnsi="Times New Roman;sans-serif"/>
                  <w:b w:val="false"/>
                  <w:strike w:val="false"/>
                  <w:dstrike w:val="false"/>
                  <w:color w:val="000000"/>
                  <w:sz w:val="20"/>
                  <w:u w:val="none"/>
                  <w:effect w:val="none"/>
                </w:rPr>
                <w:t>Item 2.</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5">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45">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8">
              <w:r>
                <w:rPr>
                  <w:rStyle w:val="InternetLink"/>
                  <w:rFonts w:ascii="Times New Roman;sans-serif" w:hAnsi="Times New Roman;sans-serif"/>
                  <w:b w:val="false"/>
                  <w:strike w:val="false"/>
                  <w:dstrike w:val="false"/>
                  <w:color w:val="000000"/>
                  <w:sz w:val="20"/>
                  <w:u w:val="none"/>
                  <w:effect w:val="none"/>
                </w:rPr>
                <w:t>Item 3.</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48">
              <w:r>
                <w:rPr>
                  <w:rStyle w:val="InternetLink"/>
                  <w:rFonts w:ascii="Times New Roman;sans-serif" w:hAnsi="Times New Roman;sans-serif"/>
                  <w:b w:val="false"/>
                  <w:strike w:val="false"/>
                  <w:dstrike w:val="false"/>
                  <w:color w:val="000000"/>
                  <w:sz w:val="20"/>
                  <w:u w:val="none"/>
                  <w:effect w:val="none"/>
                </w:rPr>
                <w:t>Defaults Upon Senior Securities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48">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1">
              <w:r>
                <w:rPr>
                  <w:rStyle w:val="InternetLink"/>
                  <w:rFonts w:ascii="Times New Roman;sans-serif" w:hAnsi="Times New Roman;sans-serif"/>
                  <w:b w:val="false"/>
                  <w:strike w:val="false"/>
                  <w:dstrike w:val="false"/>
                  <w:color w:val="000000"/>
                  <w:sz w:val="20"/>
                  <w:u w:val="none"/>
                  <w:effect w:val="none"/>
                </w:rPr>
                <w:t>Item 4.</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1">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51">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4">
              <w:r>
                <w:rPr>
                  <w:rStyle w:val="InternetLink"/>
                  <w:rFonts w:ascii="Times New Roman;sans-serif" w:hAnsi="Times New Roman;sans-serif"/>
                  <w:b w:val="false"/>
                  <w:strike w:val="false"/>
                  <w:dstrike w:val="false"/>
                  <w:color w:val="000000"/>
                  <w:sz w:val="20"/>
                  <w:u w:val="none"/>
                  <w:effect w:val="none"/>
                </w:rPr>
                <w:t>Item 5.</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4">
              <w:r>
                <w:rPr>
                  <w:rStyle w:val="InternetLink"/>
                  <w:rFonts w:ascii="Times New Roman;sans-serif" w:hAnsi="Times New Roman;sans-serif"/>
                  <w:b w:val="false"/>
                  <w:strike w:val="false"/>
                  <w:dstrike w:val="false"/>
                  <w:color w:val="000000"/>
                  <w:sz w:val="20"/>
                  <w:u w:val="none"/>
                  <w:effect w:val="none"/>
                </w:rPr>
                <w:t>Other Information</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54">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7">
              <w:r>
                <w:rPr>
                  <w:rStyle w:val="InternetLink"/>
                  <w:rFonts w:ascii="Times New Roman;sans-serif" w:hAnsi="Times New Roman;sans-serif"/>
                  <w:b w:val="false"/>
                  <w:strike w:val="false"/>
                  <w:dstrike w:val="false"/>
                  <w:color w:val="000000"/>
                  <w:sz w:val="20"/>
                  <w:u w:val="none"/>
                  <w:effect w:val="none"/>
                </w:rPr>
                <w:t>Item 6.</w:t>
              </w:r>
            </w:hyperlink>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57">
              <w:r>
                <w:rPr>
                  <w:rStyle w:val="InternetLink"/>
                  <w:rFonts w:ascii="Times New Roman;sans-serif" w:hAnsi="Times New Roman;sans-serif"/>
                  <w:b w:val="false"/>
                  <w:strike w:val="false"/>
                  <w:dstrike w:val="false"/>
                  <w:color w:val="000000"/>
                  <w:sz w:val="20"/>
                  <w:u w:val="none"/>
                  <w:effect w:val="none"/>
                </w:rPr>
                <w:t>Exhibits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57">
              <w:r>
                <w:rPr>
                  <w:rStyle w:val="InternetLink"/>
                  <w:rFonts w:ascii="Times New Roman;sans-serif" w:hAnsi="Times New Roman;sans-serif"/>
                  <w:b w:val="false"/>
                  <w:strike w:val="false"/>
                  <w:dstrike w:val="false"/>
                  <w:color w:val="000000"/>
                  <w:sz w:val="20"/>
                  <w:u w:val="none"/>
                  <w:effect w:val="none"/>
                </w:rPr>
                <w:t>36</w:t>
              </w:r>
            </w:hyperlink>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393"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88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9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0694703280124e699fc965ae3dadb5ad_160">
              <w:r>
                <w:rPr>
                  <w:rStyle w:val="InternetLink"/>
                  <w:rFonts w:ascii="Times New Roman;sans-serif" w:hAnsi="Times New Roman;sans-serif"/>
                  <w:b w:val="false"/>
                  <w:strike w:val="false"/>
                  <w:dstrike w:val="false"/>
                  <w:color w:val="000000"/>
                  <w:sz w:val="20"/>
                  <w:u w:val="none"/>
                  <w:effect w:val="none"/>
                </w:rPr>
                <w:t>Signatures</w:t>
              </w:r>
            </w:hyperlink>
          </w:p>
        </w:tc>
        <w:tc>
          <w:tcPr>
            <w:tcW w:w="1393" w:type="dxa"/>
            <w:gridSpan w:val="3"/>
            <w:tcBorders/>
            <w:tcMar>
              <w:top w:w="0" w:type="dxa"/>
              <w:left w:w="0" w:type="dxa"/>
              <w:bottom w:w="0" w:type="dxa"/>
              <w:right w:w="0" w:type="dxa"/>
            </w:tcMar>
            <w:vAlign w:val="center"/>
          </w:tcPr>
          <w:p>
            <w:pPr>
              <w:pStyle w:val="TableContents"/>
              <w:bidi w:val="0"/>
              <w:spacing w:lineRule="auto" w:line="273" w:before="0" w:after="0"/>
              <w:jc w:val="center"/>
              <w:rPr/>
            </w:pPr>
            <w:hyperlink w:anchor="i0694703280124e699fc965ae3dadb5ad_160">
              <w:r>
                <w:rPr>
                  <w:rStyle w:val="InternetLink"/>
                  <w:rFonts w:ascii="Times New Roman;sans-serif" w:hAnsi="Times New Roman;sans-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23"/>
        <w:gridCol w:w="1975"/>
        <w:gridCol w:w="1945"/>
        <w:gridCol w:w="150"/>
        <w:gridCol w:w="150"/>
        <w:gridCol w:w="151"/>
        <w:gridCol w:w="109"/>
        <w:gridCol w:w="109"/>
        <w:gridCol w:w="109"/>
        <w:gridCol w:w="245"/>
        <w:gridCol w:w="923"/>
        <w:gridCol w:w="136"/>
        <w:gridCol w:w="109"/>
        <w:gridCol w:w="109"/>
        <w:gridCol w:w="109"/>
        <w:gridCol w:w="261"/>
        <w:gridCol w:w="983"/>
        <w:gridCol w:w="209"/>
      </w:tblGrid>
      <w:tr>
        <w:trPr/>
        <w:tc>
          <w:tcPr>
            <w:tcW w:w="2423"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6343"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2022</w:t>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237,125 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Marketable securities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167,408 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(current)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receivable, net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386,407 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415,422 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plant and equipment,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183,862 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176,872 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(non-current)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77,219 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right-of-use assets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right-of-use assets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assets,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7,691 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 and other assets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688,694 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700,748 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24,931 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24,760 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(current)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(current)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payable (current)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25,563 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2021 Bonds payable, net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67,408 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67,223 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Loans payable (non-current)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 (non-current)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(non-current)</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 (non-current)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95,233 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95,271 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$0.01 par value per share; 500,000,000 shares authorized; 237,261,164 and 237,166,625 shares issued and outstanding at March 31, 2023, and December 31, 2022, respectively.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1,264,203 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1,259,527 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(655,382)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593,461 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605,477 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stockholders' equity</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688,694 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700,748 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amounts)</w:t>
      </w:r>
    </w:p>
    <w:p>
      <w:pPr>
        <w:pStyle w:val="TextBody"/>
        <w:bidi w:val="0"/>
        <w:spacing w:before="0" w:after="0"/>
        <w:jc w:val="left"/>
        <w:rPr/>
      </w:pPr>
      <w:r>
        <w:rPr/>
      </w:r>
    </w:p>
    <w:tbl>
      <w:tblPr>
        <w:tblW w:w="10182" w:type="dxa"/>
        <w:jc w:val="left"/>
        <w:tblInd w:w="0" w:type="dxa"/>
        <w:tblLayout w:type="fixed"/>
        <w:tblCellMar>
          <w:top w:w="28" w:type="dxa"/>
          <w:left w:w="28" w:type="dxa"/>
          <w:bottom w:w="28" w:type="dxa"/>
          <w:right w:w="28" w:type="dxa"/>
        </w:tblCellMar>
      </w:tblPr>
      <w:tblGrid>
        <w:gridCol w:w="1975"/>
        <w:gridCol w:w="1740"/>
        <w:gridCol w:w="1744"/>
        <w:gridCol w:w="154"/>
        <w:gridCol w:w="154"/>
        <w:gridCol w:w="156"/>
        <w:gridCol w:w="109"/>
        <w:gridCol w:w="109"/>
        <w:gridCol w:w="109"/>
        <w:gridCol w:w="179"/>
        <w:gridCol w:w="179"/>
        <w:gridCol w:w="179"/>
        <w:gridCol w:w="179"/>
        <w:gridCol w:w="321"/>
        <w:gridCol w:w="1184"/>
        <w:gridCol w:w="179"/>
        <w:gridCol w:w="109"/>
        <w:gridCol w:w="109"/>
        <w:gridCol w:w="109"/>
        <w:gridCol w:w="240"/>
        <w:gridCol w:w="811"/>
        <w:gridCol w:w="154"/>
      </w:tblGrid>
      <w:tr>
        <w:trPr/>
        <w:tc>
          <w:tcPr>
            <w:tcW w:w="1975"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7"/>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32" w:type="dxa"/>
            <w:gridSpan w:val="6"/>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4"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operating revenues</w:t>
            </w:r>
          </w:p>
        </w:tc>
        <w:tc>
          <w:tcPr>
            <w:tcW w:w="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2, 19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expenses: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production</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9, 10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 expense</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 expense</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Project development costs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Facility idling costs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1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(20,857)</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Other income (expense)</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income</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 net</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net</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 - basic and diluted</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1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(0.07)</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number of common shares outstanding - basic and diluted</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237,260,681 </w:t>
            </w:r>
          </w:p>
        </w:tc>
        <w:tc>
          <w:tcPr>
            <w:tcW w:w="1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201,925,747 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752" w:type="dxa"/>
        <w:jc w:val="left"/>
        <w:tblInd w:w="0" w:type="dxa"/>
        <w:tblLayout w:type="fixed"/>
        <w:tblCellMar>
          <w:top w:w="28" w:type="dxa"/>
          <w:left w:w="28" w:type="dxa"/>
          <w:bottom w:w="28" w:type="dxa"/>
          <w:right w:w="28" w:type="dxa"/>
        </w:tblCellMar>
      </w:tblPr>
      <w:tblGrid>
        <w:gridCol w:w="1365"/>
        <w:gridCol w:w="1194"/>
        <w:gridCol w:w="1220"/>
        <w:gridCol w:w="150"/>
        <w:gridCol w:w="150"/>
        <w:gridCol w:w="151"/>
        <w:gridCol w:w="109"/>
        <w:gridCol w:w="109"/>
        <w:gridCol w:w="109"/>
        <w:gridCol w:w="109"/>
        <w:gridCol w:w="109"/>
        <w:gridCol w:w="226"/>
        <w:gridCol w:w="226"/>
        <w:gridCol w:w="406"/>
        <w:gridCol w:w="1495"/>
        <w:gridCol w:w="226"/>
        <w:gridCol w:w="109"/>
        <w:gridCol w:w="109"/>
        <w:gridCol w:w="109"/>
        <w:gridCol w:w="196"/>
        <w:gridCol w:w="721"/>
        <w:gridCol w:w="154"/>
      </w:tblGrid>
      <w:tr>
        <w:trPr/>
        <w:tc>
          <w:tcPr>
            <w:tcW w:w="136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398" w:type="dxa"/>
            <w:gridSpan w:val="6"/>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loss</w:t>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(17,618)</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available-for-sale securities</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Comprehensive loss</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(16,693)</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amounts)</w:t>
      </w:r>
    </w:p>
    <w:tbl>
      <w:tblPr>
        <w:tblW w:w="10237" w:type="dxa"/>
        <w:jc w:val="left"/>
        <w:tblInd w:w="0" w:type="dxa"/>
        <w:tblLayout w:type="fixed"/>
        <w:tblCellMar>
          <w:top w:w="28" w:type="dxa"/>
          <w:left w:w="28" w:type="dxa"/>
          <w:bottom w:w="28" w:type="dxa"/>
          <w:right w:w="28" w:type="dxa"/>
        </w:tblCellMar>
      </w:tblPr>
      <w:tblGrid>
        <w:gridCol w:w="701"/>
        <w:gridCol w:w="234"/>
        <w:gridCol w:w="236"/>
        <w:gridCol w:w="165"/>
        <w:gridCol w:w="166"/>
        <w:gridCol w:w="146"/>
        <w:gridCol w:w="109"/>
        <w:gridCol w:w="109"/>
        <w:gridCol w:w="109"/>
        <w:gridCol w:w="525"/>
        <w:gridCol w:w="526"/>
        <w:gridCol w:w="186"/>
        <w:gridCol w:w="109"/>
        <w:gridCol w:w="109"/>
        <w:gridCol w:w="109"/>
        <w:gridCol w:w="196"/>
        <w:gridCol w:w="556"/>
        <w:gridCol w:w="109"/>
        <w:gridCol w:w="109"/>
        <w:gridCol w:w="109"/>
        <w:gridCol w:w="109"/>
        <w:gridCol w:w="196"/>
        <w:gridCol w:w="871"/>
        <w:gridCol w:w="109"/>
        <w:gridCol w:w="109"/>
        <w:gridCol w:w="109"/>
        <w:gridCol w:w="109"/>
        <w:gridCol w:w="265"/>
        <w:gridCol w:w="773"/>
        <w:gridCol w:w="148"/>
        <w:gridCol w:w="109"/>
        <w:gridCol w:w="109"/>
        <w:gridCol w:w="109"/>
        <w:gridCol w:w="196"/>
        <w:gridCol w:w="751"/>
        <w:gridCol w:w="109"/>
        <w:gridCol w:w="109"/>
        <w:gridCol w:w="109"/>
        <w:gridCol w:w="109"/>
        <w:gridCol w:w="200"/>
        <w:gridCol w:w="752"/>
        <w:gridCol w:w="159"/>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7025" w:type="dxa"/>
            <w:gridSpan w:val="30"/>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43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2821"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066" w:type="dxa"/>
            <w:gridSpan w:val="39"/>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 and 2022</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Stockholders’ 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4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237,166,625 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(1,040)</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605,477 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stock-based compensation</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awards and related share issuances, net</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94,539 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237,261,164 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593,461 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201,988,662 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(557,375)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547,255 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warrants</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stock-based compensation</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awards and related share issuances, net</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(240,617)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201,752,722 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(1,587)</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(573,048)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534,435 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8344" w:type="dxa"/>
        <w:jc w:val="left"/>
        <w:tblInd w:w="0" w:type="dxa"/>
        <w:tblLayout w:type="fixed"/>
        <w:tblCellMar>
          <w:top w:w="28" w:type="dxa"/>
          <w:left w:w="28" w:type="dxa"/>
          <w:bottom w:w="28" w:type="dxa"/>
          <w:right w:w="28" w:type="dxa"/>
        </w:tblCellMar>
      </w:tblPr>
      <w:tblGrid>
        <w:gridCol w:w="1845"/>
        <w:gridCol w:w="1621"/>
        <w:gridCol w:w="1633"/>
        <w:gridCol w:w="154"/>
        <w:gridCol w:w="154"/>
        <w:gridCol w:w="156"/>
        <w:gridCol w:w="109"/>
        <w:gridCol w:w="109"/>
        <w:gridCol w:w="109"/>
        <w:gridCol w:w="196"/>
        <w:gridCol w:w="736"/>
        <w:gridCol w:w="109"/>
        <w:gridCol w:w="109"/>
        <w:gridCol w:w="109"/>
        <w:gridCol w:w="109"/>
        <w:gridCol w:w="196"/>
        <w:gridCol w:w="736"/>
        <w:gridCol w:w="154"/>
      </w:tblGrid>
      <w:tr>
        <w:trPr/>
        <w:tc>
          <w:tcPr>
            <w:tcW w:w="1845"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5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4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marketable securities (discount) premium</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expense</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 deposits and other assets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expenses and non-current liabilities</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operating activities</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Acquisitions of property, plant and equipment</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patent portfolio</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and maturity of marketable securities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property, plant and equipment</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marketable securities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(31,993)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provided by investing activities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124,183 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c>
          <w:tcPr>
            <w:tcW w:w="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warrants</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settlement of common stock under stock plans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debt</w:t>
            </w:r>
          </w:p>
        </w:tc>
        <w:tc>
          <w:tcPr>
            <w:tcW w:w="4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finance lease liabilities</w:t>
            </w:r>
          </w:p>
        </w:tc>
        <w:tc>
          <w:tcPr>
            <w:tcW w:w="4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financing activities</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at beginning of period</w:t>
            </w:r>
          </w:p>
        </w:tc>
        <w:tc>
          <w:tcPr>
            <w:tcW w:w="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 at end of period</w:t>
            </w:r>
          </w:p>
        </w:tc>
        <w:tc>
          <w:tcPr>
            <w:tcW w:w="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429" w:type="dxa"/>
        <w:jc w:val="left"/>
        <w:tblInd w:w="0" w:type="dxa"/>
        <w:tblLayout w:type="fixed"/>
        <w:tblCellMar>
          <w:top w:w="28" w:type="dxa"/>
          <w:left w:w="28" w:type="dxa"/>
          <w:bottom w:w="28" w:type="dxa"/>
          <w:right w:w="28" w:type="dxa"/>
        </w:tblCellMar>
      </w:tblPr>
      <w:tblGrid>
        <w:gridCol w:w="1439"/>
        <w:gridCol w:w="1264"/>
        <w:gridCol w:w="1272"/>
        <w:gridCol w:w="196"/>
        <w:gridCol w:w="736"/>
        <w:gridCol w:w="109"/>
        <w:gridCol w:w="109"/>
        <w:gridCol w:w="109"/>
        <w:gridCol w:w="109"/>
        <w:gridCol w:w="196"/>
        <w:gridCol w:w="736"/>
        <w:gridCol w:w="154"/>
      </w:tblGrid>
      <w:tr>
        <w:trPr/>
        <w:tc>
          <w:tcPr>
            <w:tcW w:w="1439"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9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Schedule of cash, cash equivalents and restricted cash</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Non-current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131,080 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563" w:type="dxa"/>
        <w:jc w:val="left"/>
        <w:tblInd w:w="0" w:type="dxa"/>
        <w:tblLayout w:type="fixed"/>
        <w:tblCellMar>
          <w:top w:w="28" w:type="dxa"/>
          <w:left w:w="28" w:type="dxa"/>
          <w:bottom w:w="28" w:type="dxa"/>
          <w:right w:w="28" w:type="dxa"/>
        </w:tblCellMar>
      </w:tblPr>
      <w:tblGrid>
        <w:gridCol w:w="2217"/>
        <w:gridCol w:w="1949"/>
        <w:gridCol w:w="1954"/>
        <w:gridCol w:w="219"/>
        <w:gridCol w:w="723"/>
        <w:gridCol w:w="122"/>
        <w:gridCol w:w="122"/>
        <w:gridCol w:w="122"/>
        <w:gridCol w:w="122"/>
        <w:gridCol w:w="219"/>
        <w:gridCol w:w="622"/>
        <w:gridCol w:w="172"/>
      </w:tblGrid>
      <w:tr>
        <w:trPr/>
        <w:tc>
          <w:tcPr>
            <w:tcW w:w="2217"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and non-cash investing and financing transactions</w:t>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 net of amounts capitalized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purchase of property, plant and equipment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1.Nature of Business, Financial Condition and Basis of Presentation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Nature of business. Gevo, Inc. (Nasdaq: GEVO) ("Gevo", "we", "us", "our", or the "Company," which, unless otherwise indicated, refers to Gevo, Inc. and its subsidiaries), a Delaware corporation founded in 2005, is a growth-oriented company with the mission of solving greenhouse gas ("GHG") emissions for those sectors of the transportation industry that are not amenable to electrification or hydrogen.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 </w:t>
      </w:r>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Gevo's primary market focus, given current demand and growing customer interest, is SAF. The Company believes it also has commercial opportunities for other renewable hydrocarbon products, such as (i) renewable natural gas, also known as biogas (“RNG”), (ii) 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Net-Zero Projects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early 2021, we announced the concept of “Net-Zero Projects” as a series of planned facilities to produce energy dense liquid hydrocarbons using renewable energy and our proprietary technology. The concept of a Net-Zero Project is to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burnt as a fuel for planes, cars, trucks and ships. As announced in February 2022, and as a result of our agreement and relationship with Axens North America, Inc. (“Axens”), Gevo made the decision to utilize Axens’ ethanol fermentation technology instead of our proprietary isobutanol fermentation technology to produce sustainable aviation fuel and other renewable hydrocarbon products in our Net-Zero Projects.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are developing other commercial production projects for SAF at other locations in the United States where we expect to use the design of the ethanol-to-jet plant of Lake Preston. Gevo expects to play the role of developer and licensor; and, depending upon circumstances, partial owner of these projects.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Renewable Natural Gas Facilities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Gevo's RNG facilities in Northwest Iowa ("NW Iowa RNG") are owned by Gevo NW Iowa RNG, LLC, and produce RNG captured from dairy cow manure. The manure is supplied by three local dairies that have over 20,000 milking cows in total. Animal manure can be digested anaerobically to produce biogas, which is then upgraded to pipeline quality gas referred to as RNG. Gevo NW Iowa RNG, LLC sells the produced RNG to the California market through an agreement with BP Canada Energy Marketing Corp. and BP Products North America Inc. (collectively, "BP"). In addition, NW Iowa RNG generates and sells Low Carbon Fuel Standard ("LCFS") credits as well as D3 Renewable Identification Numbers ("RINs") through the production of RNG (collectively, "environmental attributes").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Luverne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Gevo's development plant in Luverne, Minnesota (the "Luverne Facility")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w:t>
      </w:r>
      <w:r>
        <w:rPr>
          <w:rFonts w:ascii="Times New Roman;sans-serif" w:hAnsi="Times New Roman;sans-serif"/>
          <w:b w:val="false"/>
          <w:color w:val="000000"/>
          <w:sz w:val="20"/>
          <w:shd w:fill="FFFFFF" w:val="clear"/>
        </w:rPr>
        <w:t xml:space="preserve">Currently, the activities at the Luverne Facility are minimized to care and maintenance, as the Company has shifted focus to the Net-Zero Projects.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(“GAAP”) along with the instructions to Form 10-Q and Article 10 of Regulation S-X assuming the Company will continue as a going concern. Accordingly, they do not include all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three months ended,</w:t>
      </w:r>
      <w:r>
        <w:rPr>
          <w:color w:val="000000"/>
        </w:rPr>
        <w:t xml:space="preserve"> </w:t>
      </w:r>
      <w:r>
        <w:rPr>
          <w:rFonts w:ascii="Times New Roman;sans-serif" w:hAnsi="Times New Roman;sans-serif"/>
          <w:b w:val="false"/>
          <w:color w:val="000000"/>
          <w:sz w:val="20"/>
        </w:rPr>
        <w:t>March 31, 2023,</w:t>
      </w:r>
      <w:r>
        <w:rPr>
          <w:color w:val="000000"/>
        </w:rPr>
        <w:t xml:space="preserve"> </w:t>
      </w:r>
      <w:r>
        <w:rPr>
          <w:rFonts w:ascii="Times New Roman;sans-serif" w:hAnsi="Times New Roman;sans-serif"/>
          <w:b w:val="false"/>
          <w:color w:val="000000"/>
          <w:sz w:val="20"/>
        </w:rPr>
        <w:t>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2022</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financial statements at December 31, 2022, have been derived from the audited financial statements as of that date. For further information, refer to our audited financial statements and notes thereto included for the year ended December 31, 2022 (the "2022 Annual Report").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Reclassifications.</w:t>
      </w:r>
      <w:r>
        <w:rPr>
          <w:color w:val="000000"/>
        </w:rPr>
        <w:t xml:space="preserve"> </w:t>
      </w:r>
      <w:r>
        <w:rPr>
          <w:rFonts w:ascii="Times New Roman;sans-serif" w:hAnsi="Times New Roman;sans-serif"/>
          <w:b w:val="false"/>
          <w:color w:val="000000"/>
          <w:sz w:val="20"/>
        </w:rPr>
        <w:t>The Company reclassified certain prior period amounts to conform to the current period presentation. The reclassifications included the categorization of depreciation and amortization on the Consolidated Statements of Operations and had no impact on total revenues, total operating expenses, net loss or stockholders' equity for any period.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2.Revenues from Contracts with Customers and Other Revenues</w:t>
      </w:r>
    </w:p>
    <w:p>
      <w:pPr>
        <w:pStyle w:val="TextBody"/>
        <w:bidi w:val="0"/>
        <w:spacing w:before="0" w:after="0"/>
        <w:ind w:left="0" w:right="0" w:firstLine="63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Company’s revenue by major source based on product type (in thousands):</w:t>
      </w:r>
    </w:p>
    <w:p>
      <w:pPr>
        <w:pStyle w:val="TextBody"/>
        <w:bidi w:val="0"/>
        <w:spacing w:before="0" w:after="0"/>
        <w:ind w:left="0" w:right="0" w:firstLine="540"/>
        <w:jc w:val="left"/>
        <w:rPr/>
      </w:pPr>
      <w:r>
        <w:rPr/>
      </w:r>
    </w:p>
    <w:tbl>
      <w:tblPr>
        <w:tblW w:w="7948" w:type="dxa"/>
        <w:jc w:val="left"/>
        <w:tblInd w:w="0" w:type="dxa"/>
        <w:tblLayout w:type="fixed"/>
        <w:tblCellMar>
          <w:top w:w="28" w:type="dxa"/>
          <w:left w:w="28" w:type="dxa"/>
          <w:bottom w:w="28" w:type="dxa"/>
          <w:right w:w="28" w:type="dxa"/>
        </w:tblCellMar>
      </w:tblPr>
      <w:tblGrid>
        <w:gridCol w:w="1173"/>
        <w:gridCol w:w="1031"/>
        <w:gridCol w:w="1035"/>
        <w:gridCol w:w="109"/>
        <w:gridCol w:w="109"/>
        <w:gridCol w:w="109"/>
        <w:gridCol w:w="109"/>
        <w:gridCol w:w="109"/>
        <w:gridCol w:w="263"/>
        <w:gridCol w:w="263"/>
        <w:gridCol w:w="510"/>
        <w:gridCol w:w="1489"/>
        <w:gridCol w:w="263"/>
        <w:gridCol w:w="109"/>
        <w:gridCol w:w="109"/>
        <w:gridCol w:w="109"/>
        <w:gridCol w:w="211"/>
        <w:gridCol w:w="466"/>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Major Goods/Service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Ethanol sales and related products,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Hydrocarbon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natural gas commodity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attribute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3,533 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limited revenues from its development-scale plant, the Luverne Facility, during the three months ended March 31, 2023, and 2022.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pStyle w:val="TextBody"/>
        <w:bidi w:val="0"/>
        <w:spacing w:before="0" w:after="0"/>
        <w:ind w:left="0" w:right="0" w:firstLine="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3.Net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58,651 and 72,434 of dilutive common stock equivalents have been excluded for the three months ended March 31, 2023 and 2022, respectively, as the Company is in a net loss position. See Notes 14 and 18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is calculated as follows (net loss in thousands):</w:t>
      </w:r>
    </w:p>
    <w:p>
      <w:pPr>
        <w:pStyle w:val="TextBody"/>
        <w:bidi w:val="0"/>
        <w:spacing w:before="0" w:after="0"/>
        <w:jc w:val="left"/>
        <w:rPr/>
      </w:pPr>
      <w:r>
        <w:rPr/>
      </w:r>
    </w:p>
    <w:tbl>
      <w:tblPr>
        <w:tblW w:w="8289" w:type="dxa"/>
        <w:jc w:val="left"/>
        <w:tblInd w:w="0" w:type="dxa"/>
        <w:tblLayout w:type="fixed"/>
        <w:tblCellMar>
          <w:top w:w="28" w:type="dxa"/>
          <w:left w:w="28" w:type="dxa"/>
          <w:bottom w:w="28" w:type="dxa"/>
          <w:right w:w="28" w:type="dxa"/>
        </w:tblCellMar>
      </w:tblPr>
      <w:tblGrid>
        <w:gridCol w:w="1308"/>
        <w:gridCol w:w="1144"/>
        <w:gridCol w:w="1162"/>
        <w:gridCol w:w="109"/>
        <w:gridCol w:w="109"/>
        <w:gridCol w:w="228"/>
        <w:gridCol w:w="228"/>
        <w:gridCol w:w="441"/>
        <w:gridCol w:w="1665"/>
        <w:gridCol w:w="228"/>
        <w:gridCol w:w="109"/>
        <w:gridCol w:w="109"/>
        <w:gridCol w:w="109"/>
        <w:gridCol w:w="264"/>
        <w:gridCol w:w="922"/>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237,260,681 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201,925,747 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4.Marketable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in marketable securities are stated at fair value and are available for sale. The following table summarizes the Company's investments in marketable securities (in thousands) as of:</w:t>
      </w:r>
    </w:p>
    <w:p>
      <w:pPr>
        <w:pStyle w:val="TextBody"/>
        <w:bidi w:val="0"/>
        <w:spacing w:before="0" w:after="0"/>
        <w:ind w:left="0" w:right="0" w:firstLine="540"/>
        <w:jc w:val="left"/>
        <w:rPr/>
      </w:pPr>
      <w:r>
        <w:rPr/>
      </w:r>
    </w:p>
    <w:tbl>
      <w:tblPr>
        <w:tblW w:w="10197" w:type="dxa"/>
        <w:jc w:val="left"/>
        <w:tblInd w:w="0" w:type="dxa"/>
        <w:tblLayout w:type="fixed"/>
        <w:tblCellMar>
          <w:top w:w="28" w:type="dxa"/>
          <w:left w:w="28" w:type="dxa"/>
          <w:bottom w:w="28" w:type="dxa"/>
          <w:right w:w="28" w:type="dxa"/>
        </w:tblCellMar>
      </w:tblPr>
      <w:tblGrid>
        <w:gridCol w:w="1464"/>
        <w:gridCol w:w="1282"/>
        <w:gridCol w:w="1289"/>
        <w:gridCol w:w="109"/>
        <w:gridCol w:w="109"/>
        <w:gridCol w:w="109"/>
        <w:gridCol w:w="389"/>
        <w:gridCol w:w="1330"/>
        <w:gridCol w:w="201"/>
        <w:gridCol w:w="109"/>
        <w:gridCol w:w="109"/>
        <w:gridCol w:w="109"/>
        <w:gridCol w:w="571"/>
        <w:gridCol w:w="1306"/>
        <w:gridCol w:w="298"/>
        <w:gridCol w:w="109"/>
        <w:gridCol w:w="109"/>
        <w:gridCol w:w="109"/>
        <w:gridCol w:w="211"/>
        <w:gridCol w:w="721"/>
        <w:gridCol w:w="154"/>
      </w:tblGrid>
      <w:tr>
        <w:trPr/>
        <w:tc>
          <w:tcPr>
            <w:tcW w:w="146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33,012 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51"/>
        <w:gridCol w:w="1268"/>
        <w:gridCol w:w="1265"/>
        <w:gridCol w:w="109"/>
        <w:gridCol w:w="109"/>
        <w:gridCol w:w="109"/>
        <w:gridCol w:w="349"/>
        <w:gridCol w:w="1370"/>
        <w:gridCol w:w="180"/>
        <w:gridCol w:w="109"/>
        <w:gridCol w:w="109"/>
        <w:gridCol w:w="109"/>
        <w:gridCol w:w="472"/>
        <w:gridCol w:w="1426"/>
        <w:gridCol w:w="247"/>
        <w:gridCol w:w="109"/>
        <w:gridCol w:w="109"/>
        <w:gridCol w:w="109"/>
        <w:gridCol w:w="211"/>
        <w:gridCol w:w="826"/>
        <w:gridCol w:w="159"/>
      </w:tblGrid>
      <w:tr>
        <w:trPr/>
        <w:tc>
          <w:tcPr>
            <w:tcW w:w="145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168,448 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167,408 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cost of securities sold is based upon the specific identification method. Interest receivable related to the marketable securities of $0.2 million was included within "Prepaid expenses and other current assets" on the Consolidated Balance Sheets as of March 31, 2023.</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marketable securities totaled $0.6 million and $1.6 million for the three months ended March 31, 2023 and 2022, respectively, and is included in "Investment income" in the Consolidated Statements of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5.Restricted Cash</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Current and non-current restricted cash of $77.8 million consists of amounts held as collateral for letters of credit to provide financing support for development and construction of the NW Iowa RNG and NZ1 projects and interest earned on restricted cash.</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an irrevocable direct pay letter of credit (the "Bond Letter of Credit") with Citibank N.A ("Citibank") in April 2021 to support the 2021 Bonds (as defined below) for the development and construction of NW Iowa RNG. See Note 13, Debt, for additional information on the 2021 Bonds. The Bond Letter of Credit has a 0.5% annual fee and expires April 4, 2024 (unless terminated earlier). The Company deposited $71.2 million with Citibank as restricted cash to secure any amounts drawn under the Bond Letter of Credit. The Company is entitled to receive interest income on the restricted cash. As of March 31, 2023, no amounts have been drawn under the Bond Letter of Credit.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proceeds from issuance of the 2021 Bonds recorded as restricted cash are maintained by the Trustee (as defined below) under the Indenture (as defined below) and are released to the Company to pay costs of the construction of NW Iowa RNG. The Company has used all bond proceeds for the project as of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Credit, which has a 0.3% annual fee and expires September 30, 2024 (unless terminated earlier). As of March 31, 2023, no amounts have been drawn under the Power Letter of Credit.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6.Prepaid Expenses and Other Current Assets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prepaid expenses and other current assets (in thousands) as of:</w:t>
      </w:r>
    </w:p>
    <w:p>
      <w:pPr>
        <w:pStyle w:val="TextBody"/>
        <w:bidi w:val="0"/>
        <w:spacing w:before="0" w:after="0"/>
        <w:ind w:left="0" w:right="0" w:firstLine="540"/>
        <w:jc w:val="left"/>
        <w:rPr/>
      </w:pPr>
      <w:r>
        <w:rPr/>
      </w:r>
    </w:p>
    <w:tbl>
      <w:tblPr>
        <w:tblW w:w="7464" w:type="dxa"/>
        <w:jc w:val="left"/>
        <w:tblInd w:w="0" w:type="dxa"/>
        <w:tblLayout w:type="fixed"/>
        <w:tblCellMar>
          <w:top w:w="28" w:type="dxa"/>
          <w:left w:w="28" w:type="dxa"/>
          <w:bottom w:w="28" w:type="dxa"/>
          <w:right w:w="28" w:type="dxa"/>
        </w:tblCellMar>
      </w:tblPr>
      <w:tblGrid>
        <w:gridCol w:w="1422"/>
        <w:gridCol w:w="1251"/>
        <w:gridCol w:w="1256"/>
        <w:gridCol w:w="324"/>
        <w:gridCol w:w="948"/>
        <w:gridCol w:w="167"/>
        <w:gridCol w:w="109"/>
        <w:gridCol w:w="109"/>
        <w:gridCol w:w="109"/>
        <w:gridCol w:w="380"/>
        <w:gridCol w:w="1110"/>
        <w:gridCol w:w="279"/>
      </w:tblGrid>
      <w:tr>
        <w:trPr/>
        <w:tc>
          <w:tcPr>
            <w:tcW w:w="1422"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feedstock</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other</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7.Leases, Right-of-Use Assets and Related Liabilities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an operating lease contract for the Company’s office and research facility in Englewood, Colorado, which expires in January 2029. The lease contains an option to extend the lease which management does not reasonably expect to exercise, so it is not included in the length of the term. The Company also has one production line piece of equipment with an operating lease that expires in 2024.</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Company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w:t>
      </w:r>
      <w:r>
        <w:rPr>
          <w:rFonts w:ascii="Times New Roman;sans-serif" w:hAnsi="Times New Roman;sans-serif"/>
          <w:b w:val="false"/>
          <w:i/>
          <w:color w:val="000000"/>
          <w:sz w:val="20"/>
        </w:rPr>
        <w: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(i) other quantitative information and (ii) future minimum payments under non-cancelable financing and operating leases as they relate to the Company’s leases (in thousands, except for weighted averages):</w:t>
      </w:r>
    </w:p>
    <w:p>
      <w:pPr>
        <w:pStyle w:val="TextBody"/>
        <w:bidi w:val="0"/>
        <w:spacing w:before="0" w:after="0"/>
        <w:jc w:val="left"/>
        <w:rPr/>
      </w:pPr>
      <w:r>
        <w:rPr/>
      </w:r>
    </w:p>
    <w:tbl>
      <w:tblPr>
        <w:tblW w:w="8697" w:type="dxa"/>
        <w:jc w:val="left"/>
        <w:tblInd w:w="0" w:type="dxa"/>
        <w:tblLayout w:type="fixed"/>
        <w:tblCellMar>
          <w:top w:w="28" w:type="dxa"/>
          <w:left w:w="28" w:type="dxa"/>
          <w:bottom w:w="28" w:type="dxa"/>
          <w:right w:w="28" w:type="dxa"/>
        </w:tblCellMar>
      </w:tblPr>
      <w:tblGrid>
        <w:gridCol w:w="2123"/>
        <w:gridCol w:w="1865"/>
        <w:gridCol w:w="1876"/>
        <w:gridCol w:w="486"/>
        <w:gridCol w:w="251"/>
        <w:gridCol w:w="251"/>
        <w:gridCol w:w="251"/>
        <w:gridCol w:w="251"/>
        <w:gridCol w:w="251"/>
        <w:gridCol w:w="486"/>
        <w:gridCol w:w="251"/>
        <w:gridCol w:w="355"/>
      </w:tblGrid>
      <w:tr>
        <w:trPr/>
        <w:tc>
          <w:tcPr>
            <w:tcW w:w="2123"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586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Information </w:t>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finance leases</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cash flows from finance leases</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finance lease (months)</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operating leases (months)</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Weighted-average discount rate - finance leases</w:t>
            </w:r>
            <w:r>
              <w:rPr>
                <w:color w:val="000000"/>
              </w:rPr>
              <w:t xml:space="preserve"> </w:t>
            </w:r>
            <w:r>
              <w:rPr>
                <w:rFonts w:ascii="Times New Roman;sans-serif" w:hAnsi="Times New Roman;sans-serif"/>
                <w:b w:val="false"/>
                <w:color w:val="000000"/>
                <w:sz w:val="13"/>
              </w:rPr>
              <w:t>(1)</w:t>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Weighted-average discount rate - operating leases</w:t>
            </w:r>
            <w:r>
              <w:rPr>
                <w:color w:val="000000"/>
              </w:rPr>
              <w:t xml:space="preserve"> </w:t>
            </w:r>
            <w:r>
              <w:rPr>
                <w:rFonts w:ascii="Times New Roman;sans-serif" w:hAnsi="Times New Roman;sans-serif"/>
                <w:b w:val="false"/>
                <w:color w:val="000000"/>
                <w:sz w:val="13"/>
              </w:rPr>
              <w:t>(1)</w:t>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270"/>
        <w:jc w:val="left"/>
        <w:rPr/>
      </w:pPr>
      <w:r>
        <w:rPr/>
      </w:r>
    </w:p>
    <w:tbl>
      <w:tblPr>
        <w:tblW w:w="7691" w:type="dxa"/>
        <w:jc w:val="left"/>
        <w:tblInd w:w="0" w:type="dxa"/>
        <w:tblLayout w:type="fixed"/>
        <w:tblCellMar>
          <w:top w:w="28" w:type="dxa"/>
          <w:left w:w="28" w:type="dxa"/>
          <w:bottom w:w="28" w:type="dxa"/>
          <w:right w:w="28" w:type="dxa"/>
        </w:tblCellMar>
      </w:tblPr>
      <w:tblGrid>
        <w:gridCol w:w="1546"/>
        <w:gridCol w:w="1362"/>
        <w:gridCol w:w="1366"/>
        <w:gridCol w:w="372"/>
        <w:gridCol w:w="1086"/>
        <w:gridCol w:w="192"/>
        <w:gridCol w:w="109"/>
        <w:gridCol w:w="109"/>
        <w:gridCol w:w="109"/>
        <w:gridCol w:w="365"/>
        <w:gridCol w:w="808"/>
        <w:gridCol w:w="267"/>
      </w:tblGrid>
      <w:tr>
        <w:trPr/>
        <w:tc>
          <w:tcPr>
            <w:tcW w:w="15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650"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Operating Leases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present value discounts</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14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8.Inventories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inventory balances (in thousands) as of:</w:t>
      </w:r>
    </w:p>
    <w:tbl>
      <w:tblPr>
        <w:tblW w:w="9970" w:type="dxa"/>
        <w:jc w:val="left"/>
        <w:tblInd w:w="0" w:type="dxa"/>
        <w:tblLayout w:type="fixed"/>
        <w:tblCellMar>
          <w:top w:w="28" w:type="dxa"/>
          <w:left w:w="28" w:type="dxa"/>
          <w:bottom w:w="28" w:type="dxa"/>
          <w:right w:w="28" w:type="dxa"/>
        </w:tblCellMar>
      </w:tblPr>
      <w:tblGrid>
        <w:gridCol w:w="2331"/>
        <w:gridCol w:w="2042"/>
        <w:gridCol w:w="2062"/>
        <w:gridCol w:w="324"/>
        <w:gridCol w:w="948"/>
        <w:gridCol w:w="167"/>
        <w:gridCol w:w="109"/>
        <w:gridCol w:w="109"/>
        <w:gridCol w:w="109"/>
        <w:gridCol w:w="380"/>
        <w:gridCol w:w="1110"/>
        <w:gridCol w:w="279"/>
      </w:tblGrid>
      <w:tr>
        <w:trPr/>
        <w:tc>
          <w:tcPr>
            <w:tcW w:w="233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Consumables</w:t>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Catalyst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SAF, Isooctane, Isooctene and other</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Isobutanol</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attributes, net of allowance of $2,122 and $2,378, respectively</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Jet fuel</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Spare parts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6,347 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attributes represent distinguishable and material output from our NW Iowa RNG operations. The Company started allocating the cost of production to the sales value of RNG, credits from California's LCFS program and U.S. Environmental Protection Agency ("EPA") RIN credits. The value of the environmental attributes is reviewed for potential write-downs based on the net realizable value methodology.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w:t>
      </w:r>
      <w:r>
        <w:rPr>
          <w:color w:val="000000"/>
          <w:shd w:fill="FFFFFF" w:val="clear"/>
        </w:rPr>
        <w:t xml:space="preserve"> </w:t>
      </w:r>
      <w:r>
        <w:rPr>
          <w:rFonts w:ascii="Times New Roman;sans-serif" w:hAnsi="Times New Roman;sans-serif"/>
          <w:b w:val="false"/>
          <w:color w:val="000000"/>
          <w:sz w:val="20"/>
          <w:shd w:fill="FFFFFF" w:val="clear"/>
        </w:rPr>
        <w:t xml:space="preserve">March 31, 2023, the Company did </w:t>
      </w:r>
      <w:r>
        <w:rPr>
          <w:rFonts w:ascii="Times New Roman;sans-serif" w:hAnsi="Times New Roman;sans-serif"/>
          <w:b w:val="false"/>
          <w:color w:val="000000"/>
          <w:sz w:val="20"/>
        </w:rPr>
        <w:t>not</w:t>
      </w:r>
      <w:r>
        <w:rPr>
          <w:color w:val="000000"/>
          <w:shd w:fill="FFFFFF" w:val="clear"/>
        </w:rPr>
        <w:t xml:space="preserve"> </w:t>
      </w:r>
      <w:r>
        <w:rPr>
          <w:rFonts w:ascii="Times New Roman;sans-serif" w:hAnsi="Times New Roman;sans-serif"/>
          <w:b w:val="false"/>
          <w:color w:val="000000"/>
          <w:sz w:val="20"/>
          <w:shd w:fill="FFFFFF" w:val="clear"/>
        </w:rPr>
        <w:t>adjust its finished goods and work in process inventory, excluding environmental attributes, to</w:t>
      </w:r>
      <w:r>
        <w:rPr>
          <w:color w:val="000000"/>
        </w:rPr>
        <w:t xml:space="preserve"> </w:t>
      </w:r>
      <w:r>
        <w:rPr>
          <w:rFonts w:ascii="Times New Roman;sans-serif" w:hAnsi="Times New Roman;sans-serif"/>
          <w:b w:val="false"/>
          <w:color w:val="000000"/>
          <w:sz w:val="20"/>
        </w:rPr>
        <w:t>net realizable value. During the three months ended</w:t>
      </w:r>
      <w:r>
        <w:rPr>
          <w:color w:val="000000"/>
          <w:shd w:fill="FFFFFF" w:val="clear"/>
        </w:rPr>
        <w:t xml:space="preserve"> </w:t>
      </w:r>
      <w:r>
        <w:rPr>
          <w:rFonts w:ascii="Times New Roman;sans-serif" w:hAnsi="Times New Roman;sans-serif"/>
          <w:b w:val="false"/>
          <w:color w:val="000000"/>
          <w:sz w:val="20"/>
          <w:shd w:fill="FFFFFF" w:val="clear"/>
        </w:rPr>
        <w:t>March 31, 2022, the Company adjusted its finished goods and work in process inventory to</w:t>
      </w:r>
      <w:r>
        <w:rPr>
          <w:color w:val="000000"/>
        </w:rPr>
        <w:t xml:space="preserve"> </w:t>
      </w:r>
      <w:r>
        <w:rPr>
          <w:rFonts w:ascii="Times New Roman;sans-serif" w:hAnsi="Times New Roman;sans-serif"/>
          <w:b w:val="false"/>
          <w:color w:val="000000"/>
          <w:sz w:val="20"/>
        </w:rPr>
        <w:t>net realizable value and recorded a loss of $2.9 million in cost of production.</w:t>
      </w:r>
    </w:p>
    <w:p>
      <w:pPr>
        <w:pStyle w:val="TextBody"/>
        <w:bidi w:val="0"/>
        <w:spacing w:before="0" w:after="0"/>
        <w:ind w:left="0" w:right="0" w:firstLine="52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9.Property, Plant and Equipment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property, plant and equipment by classification (in thousands) as of:</w:t>
      </w:r>
    </w:p>
    <w:p>
      <w:pPr>
        <w:pStyle w:val="TextBody"/>
        <w:bidi w:val="0"/>
        <w:spacing w:before="0" w:after="0"/>
        <w:jc w:val="left"/>
        <w:rPr/>
      </w:pPr>
      <w:r>
        <w:rPr/>
      </w:r>
    </w:p>
    <w:tbl>
      <w:tblPr>
        <w:tblW w:w="9118" w:type="dxa"/>
        <w:jc w:val="left"/>
        <w:tblInd w:w="0" w:type="dxa"/>
        <w:tblLayout w:type="fixed"/>
        <w:tblCellMar>
          <w:top w:w="28" w:type="dxa"/>
          <w:left w:w="28" w:type="dxa"/>
          <w:bottom w:w="28" w:type="dxa"/>
          <w:right w:w="28" w:type="dxa"/>
        </w:tblCellMar>
      </w:tblPr>
      <w:tblGrid>
        <w:gridCol w:w="1489"/>
        <w:gridCol w:w="1303"/>
        <w:gridCol w:w="1317"/>
        <w:gridCol w:w="109"/>
        <w:gridCol w:w="109"/>
        <w:gridCol w:w="324"/>
        <w:gridCol w:w="948"/>
        <w:gridCol w:w="167"/>
        <w:gridCol w:w="109"/>
        <w:gridCol w:w="317"/>
        <w:gridCol w:w="1244"/>
        <w:gridCol w:w="164"/>
        <w:gridCol w:w="109"/>
        <w:gridCol w:w="109"/>
        <w:gridCol w:w="109"/>
        <w:gridCol w:w="211"/>
        <w:gridCol w:w="82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518"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facilities and 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office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259,316 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183,862 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depreciation expenses of $4.2 million and $1.2 million for the three months ended March 31, 2023 and 2022,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 includes $28.9 million for Gevo, $11.4 million for the Agri-Energy segment ("Agri-Energy") related to a fractionation and hydrocarbon skid, $1.6 million for NW Iowa RNG and $40.9 million for NZ1 at March 31, 2023. Construction in progress includes $25.9 million for Gevo, $11.4 million for Agri-Energy, $1.0 million for NW Iowa RNG and $34.4 million for NZ1 at December 31, 2022. Construction in progress is not subject to depreciation until the assets are placed into service. At March 31, 2023, construction in progress included accruals of $13.3 million.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Borrowing costs.</w:t>
      </w:r>
      <w:r>
        <w:rPr>
          <w:color w:val="000000"/>
        </w:rPr>
        <w:t xml:space="preserve"> </w:t>
      </w:r>
      <w:r>
        <w:rPr>
          <w:rFonts w:ascii="Times New Roman;sans-serif" w:hAnsi="Times New Roman;sans-serif"/>
          <w:b w:val="false"/>
          <w:color w:val="000000"/>
          <w:sz w:val="20"/>
        </w:rPr>
        <w:t>Borrowing costs directly attributable to acquisition and construction of an asset are capitalized until it is completed and ready for its intended use, and thereafter are recognized in profit or loss for the period. The Company did not capitalize interest expense during the three months ended March 31, 2023, and capitalized $0.5 million of interest expense for the three months ended March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10.Intangible Assets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Identifiable intangible assets consist of patents, which management evaluates to determine whether they (i) support current products, (ii) support planned research and development, or (iii) prevent others from competing with Gevo's products.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Company’s intangible assets by classification (in thousands) as of:</w:t>
      </w:r>
    </w:p>
    <w:tbl>
      <w:tblPr>
        <w:tblW w:w="10205" w:type="dxa"/>
        <w:jc w:val="left"/>
        <w:tblInd w:w="0" w:type="dxa"/>
        <w:tblLayout w:type="fixed"/>
        <w:tblCellMar>
          <w:top w:w="28" w:type="dxa"/>
          <w:left w:w="28" w:type="dxa"/>
          <w:bottom w:w="28" w:type="dxa"/>
          <w:right w:w="28" w:type="dxa"/>
        </w:tblCellMar>
      </w:tblPr>
      <w:tblGrid>
        <w:gridCol w:w="451"/>
        <w:gridCol w:w="384"/>
        <w:gridCol w:w="387"/>
        <w:gridCol w:w="353"/>
        <w:gridCol w:w="1031"/>
        <w:gridCol w:w="182"/>
        <w:gridCol w:w="109"/>
        <w:gridCol w:w="109"/>
        <w:gridCol w:w="109"/>
        <w:gridCol w:w="407"/>
        <w:gridCol w:w="1220"/>
        <w:gridCol w:w="212"/>
        <w:gridCol w:w="109"/>
        <w:gridCol w:w="109"/>
        <w:gridCol w:w="109"/>
        <w:gridCol w:w="453"/>
        <w:gridCol w:w="1326"/>
        <w:gridCol w:w="236"/>
        <w:gridCol w:w="109"/>
        <w:gridCol w:w="109"/>
        <w:gridCol w:w="109"/>
        <w:gridCol w:w="754"/>
        <w:gridCol w:w="754"/>
        <w:gridCol w:w="1074"/>
      </w:tblGrid>
      <w:tr>
        <w:trPr/>
        <w:tc>
          <w:tcPr>
            <w:tcW w:w="45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122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983"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22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Identifiable Intangible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Useful Life (Years)</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12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Defensive assets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22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50"/>
        <w:gridCol w:w="383"/>
        <w:gridCol w:w="387"/>
        <w:gridCol w:w="352"/>
        <w:gridCol w:w="1029"/>
        <w:gridCol w:w="181"/>
        <w:gridCol w:w="109"/>
        <w:gridCol w:w="109"/>
        <w:gridCol w:w="109"/>
        <w:gridCol w:w="406"/>
        <w:gridCol w:w="1218"/>
        <w:gridCol w:w="212"/>
        <w:gridCol w:w="109"/>
        <w:gridCol w:w="109"/>
        <w:gridCol w:w="109"/>
        <w:gridCol w:w="455"/>
        <w:gridCol w:w="1333"/>
        <w:gridCol w:w="237"/>
        <w:gridCol w:w="109"/>
        <w:gridCol w:w="109"/>
        <w:gridCol w:w="109"/>
        <w:gridCol w:w="753"/>
        <w:gridCol w:w="753"/>
        <w:gridCol w:w="1075"/>
      </w:tblGrid>
      <w:tr>
        <w:trPr/>
        <w:tc>
          <w:tcPr>
            <w:tcW w:w="4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Identifiable Intangible Assets,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Useful Life (Years)</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1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Defensive assets</w:t>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7,691 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bl>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amortization expense of $0.3 million for each of the three months ended March 31, 2023 and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estimated amortization of intangible assets as of March 31, 2023 (in thousands):</w:t>
      </w:r>
    </w:p>
    <w:p>
      <w:pPr>
        <w:pStyle w:val="TextBody"/>
        <w:bidi w:val="0"/>
        <w:spacing w:before="0" w:after="0"/>
        <w:ind w:left="0" w:right="0" w:firstLine="540"/>
        <w:jc w:val="left"/>
        <w:rPr/>
      </w:pPr>
      <w:r>
        <w:rPr/>
      </w:r>
    </w:p>
    <w:tbl>
      <w:tblPr>
        <w:tblW w:w="6441" w:type="dxa"/>
        <w:jc w:val="left"/>
        <w:tblInd w:w="0" w:type="dxa"/>
        <w:tblLayout w:type="fixed"/>
        <w:tblCellMar>
          <w:top w:w="28" w:type="dxa"/>
          <w:left w:w="28" w:type="dxa"/>
          <w:bottom w:w="28" w:type="dxa"/>
          <w:right w:w="28" w:type="dxa"/>
        </w:tblCellMar>
      </w:tblPr>
      <w:tblGrid>
        <w:gridCol w:w="868"/>
        <w:gridCol w:w="765"/>
        <w:gridCol w:w="767"/>
        <w:gridCol w:w="211"/>
        <w:gridCol w:w="616"/>
        <w:gridCol w:w="109"/>
        <w:gridCol w:w="109"/>
        <w:gridCol w:w="109"/>
        <w:gridCol w:w="109"/>
        <w:gridCol w:w="331"/>
        <w:gridCol w:w="968"/>
        <w:gridCol w:w="171"/>
        <w:gridCol w:w="109"/>
        <w:gridCol w:w="109"/>
        <w:gridCol w:w="109"/>
        <w:gridCol w:w="211"/>
        <w:gridCol w:w="61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Defensive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11.Deposits and Other Assets</w:t>
      </w:r>
    </w:p>
    <w:p>
      <w:pPr>
        <w:pStyle w:val="TextBody"/>
        <w:bidi w:val="0"/>
        <w:spacing w:before="0" w:after="0"/>
        <w:ind w:left="0" w:right="0" w:firstLine="90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deposits and other assets (in thousands) as of:</w:t>
      </w:r>
    </w:p>
    <w:p>
      <w:pPr>
        <w:pStyle w:val="TextBody"/>
        <w:bidi w:val="0"/>
        <w:spacing w:before="0" w:after="0"/>
        <w:ind w:left="0" w:right="0" w:firstLine="900"/>
        <w:jc w:val="left"/>
        <w:rPr/>
      </w:pPr>
      <w:r>
        <w:rPr/>
      </w:r>
    </w:p>
    <w:tbl>
      <w:tblPr>
        <w:tblW w:w="6132" w:type="dxa"/>
        <w:jc w:val="left"/>
        <w:tblInd w:w="0" w:type="dxa"/>
        <w:tblLayout w:type="fixed"/>
        <w:tblCellMar>
          <w:top w:w="28" w:type="dxa"/>
          <w:left w:w="28" w:type="dxa"/>
          <w:bottom w:w="28" w:type="dxa"/>
          <w:right w:w="28" w:type="dxa"/>
        </w:tblCellMar>
      </w:tblPr>
      <w:tblGrid>
        <w:gridCol w:w="941"/>
        <w:gridCol w:w="826"/>
        <w:gridCol w:w="828"/>
        <w:gridCol w:w="292"/>
        <w:gridCol w:w="998"/>
        <w:gridCol w:w="150"/>
        <w:gridCol w:w="109"/>
        <w:gridCol w:w="109"/>
        <w:gridCol w:w="109"/>
        <w:gridCol w:w="344"/>
        <w:gridCol w:w="1175"/>
        <w:gridCol w:w="251"/>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w:t>
            </w:r>
            <w:r>
              <w:rPr>
                <w:color w:val="000000"/>
              </w:rPr>
              <w:t xml:space="preserve"> </w:t>
            </w:r>
            <w:r>
              <w:rPr>
                <w:rFonts w:ascii="Times New Roman;sans-serif" w:hAnsi="Times New Roman;sans-serif"/>
                <w:b w:val="false"/>
                <w:color w:val="000000"/>
                <w:sz w:val="13"/>
              </w:rPr>
              <w:t>(1)</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Prepaid feedstock </w:t>
            </w:r>
            <w:r>
              <w:rPr>
                <w:rFonts w:ascii="Times New Roman;sans-serif" w:hAnsi="Times New Roman;sans-serif"/>
                <w:b w:val="false"/>
                <w:color w:val="000000"/>
                <w:sz w:val="13"/>
              </w:rPr>
              <w:t>(2)</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Equity interest </w:t>
            </w:r>
            <w:r>
              <w:rPr>
                <w:rFonts w:ascii="Times New Roman;sans-serif" w:hAnsi="Times New Roman;sans-serif"/>
                <w:b w:val="false"/>
                <w:color w:val="000000"/>
                <w:sz w:val="13"/>
              </w:rPr>
              <w:t>(3)</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Exclusivity fees</w:t>
            </w:r>
            <w:r>
              <w:rPr>
                <w:color w:val="000000"/>
              </w:rPr>
              <w:t xml:space="preserve"> </w:t>
            </w:r>
            <w:r>
              <w:rPr>
                <w:rFonts w:ascii="Times New Roman;sans-serif" w:hAnsi="Times New Roman;sans-serif"/>
                <w:b w:val="false"/>
                <w:color w:val="000000"/>
                <w:sz w:val="13"/>
              </w:rPr>
              <w:t>(4)</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Deposits receivable </w:t>
            </w:r>
            <w:r>
              <w:rPr>
                <w:rFonts w:ascii="Times New Roman;sans-serif" w:hAnsi="Times New Roman;sans-serif"/>
                <w:b w:val="false"/>
                <w:color w:val="000000"/>
                <w:sz w:val="13"/>
              </w:rPr>
              <w:t>(5)</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net </w:t>
            </w:r>
            <w:r>
              <w:rPr>
                <w:rFonts w:ascii="Times New Roman;sans-serif" w:hAnsi="Times New Roman;sans-serif"/>
                <w:b w:val="false"/>
                <w:color w:val="000000"/>
                <w:sz w:val="13"/>
              </w:rPr>
              <w:t>(6)</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 and other assets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(1)Deposits for legal services and products for NZ1.</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(2)Prepaid feedstock fees, non-current, for the production of RNG.</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 xml:space="preserve">(3)The Company directly holds a 4.6% </w:t>
      </w:r>
      <w:r>
        <w:rPr>
          <w:rFonts w:ascii="Calibri;sans-serif" w:hAnsi="Calibri;sans-serif"/>
          <w:b w:val="false"/>
          <w:color w:val="000000"/>
          <w:sz w:val="20"/>
          <w:shd w:fill="FFFFFF" w:val="clear"/>
        </w:rPr>
        <w:t>int</w:t>
      </w:r>
      <w:r>
        <w:rPr>
          <w:rFonts w:ascii="Times New Roman;sans-serif" w:hAnsi="Times New Roman;sans-serif"/>
          <w:b w:val="false"/>
          <w:color w:val="000000"/>
          <w:sz w:val="20"/>
          <w:shd w:fill="FFFFFF" w:val="clear"/>
        </w:rPr>
        <w:t xml:space="preserve">erest in the Series A Preferred Stock of Zero6 Clean Energy Assets, Inc. ("Zero6"), formerly Juhl Clean Energy Assets, Inc., which is not a publicly listed entity with a readily determinable fair value. The Company therefore measures the securities at cost, which is deemed to be the value indicated by the last observable transaction in Zero6's stock, subject to impairment. The equity interest in Zero6 is also pledged as collateral against </w:t>
      </w:r>
      <w:r>
        <w:rPr>
          <w:rFonts w:ascii="Times New Roman;sans-serif" w:hAnsi="Times New Roman;sans-serif"/>
          <w:b w:val="false"/>
          <w:color w:val="000000"/>
          <w:sz w:val="20"/>
        </w:rPr>
        <w:t>two future obligations to Rock County Wind Fuel, LLC ("RCWF"), a Zero6 subsidiary, see Note 16, Commitments and Contingencies, for additional information.</w:t>
      </w:r>
    </w:p>
    <w:p>
      <w:pPr>
        <w:pStyle w:val="TextBody"/>
        <w:bidi w:val="0"/>
        <w:spacing w:lineRule="auto" w:line="288" w:before="0" w:after="0"/>
        <w:ind w:left="0" w:right="0" w:hanging="36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shd w:fill="FFFFFF" w:val="clear"/>
        </w:rPr>
        <w:t>Axens will provide certain alcohol-to-SAF technologies and services exclusively provided to the Company which may be offset against future license fees subject to the delivery of a process design package.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(5)Deposits provided to a developer of certain wind-farm projects and power utility contractor to induce the contractor to design and construct the power generation, transmission and distribution facilities that will serve NZ1, $5.5 million of which will be either reimbursed or used as an investment into wind generation facility and the remaining $13.5 million is expected to be fully reimbursed upon completion of the project. Gevo has contractual priority liens against the equipment and constructed facilities under the contracts.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(6)Payments which were allocated to the non-lease fuel supply, primarily related to sand separation systems, to support NW Iowa RNG fuel supply agreements prior to commencement of operations, being amortized over the life of the project.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12.Accounts Payable and Accrued Liabilities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accounts payable and accrued liabilities in the Consolidated Balance Sheets (in thousands) as of:</w:t>
      </w:r>
    </w:p>
    <w:tbl>
      <w:tblPr>
        <w:tblW w:w="7392" w:type="dxa"/>
        <w:jc w:val="left"/>
        <w:tblInd w:w="0" w:type="dxa"/>
        <w:tblLayout w:type="fixed"/>
        <w:tblCellMar>
          <w:top w:w="28" w:type="dxa"/>
          <w:left w:w="28" w:type="dxa"/>
          <w:bottom w:w="28" w:type="dxa"/>
          <w:right w:w="28" w:type="dxa"/>
        </w:tblCellMar>
      </w:tblPr>
      <w:tblGrid>
        <w:gridCol w:w="1397"/>
        <w:gridCol w:w="1226"/>
        <w:gridCol w:w="1232"/>
        <w:gridCol w:w="292"/>
        <w:gridCol w:w="998"/>
        <w:gridCol w:w="150"/>
        <w:gridCol w:w="109"/>
        <w:gridCol w:w="109"/>
        <w:gridCol w:w="109"/>
        <w:gridCol w:w="344"/>
        <w:gridCol w:w="1175"/>
        <w:gridCol w:w="251"/>
      </w:tblGrid>
      <w:tr>
        <w:trPr/>
        <w:tc>
          <w:tcPr>
            <w:tcW w:w="139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benefits</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use tax</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accounts payable and accrued liabilities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24,931 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13.Debt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2021 Bond Issuance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Authority and Citibank, N.A. as trustee (the "Trustee"). The 2021 Bonds mature April 1, 2042. The bonds bear interest at 1.5% per annum during the Initial Term Rate Period (as defined in the Indenture), payable semi-annually on January 1 and July 1 of each year. The effective interest rate is 1.0%. The 2021 Bonds are supported by the $71.2 million Bond Letter of Credit; see Note 5, Restricted Cash. The Trustee can draw sufficient amounts on the Bond Letter of Credit to pay the principal and interest until the first mandatory tender date of April 1, 2024. The 2021 Bonds became callable and re-marketable on October 1, 2022. If the 2021 Bonds have not been called and re-marketed by the first mandatory tender date, the Trustee may draw on the Bond Letter of Credit to repay the 2021 Bonds in their entirety at the purchase price. As of March 31, 2023, no amounts have been drawn under the Bond Letter of Credit.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The 2021 Bonds were issued at a premium of $0.8 million and debt issuance costs were $3.0 million. The bond debt is classified as non-current debt and is presented</w:t>
      </w:r>
      <w:r>
        <w:rPr>
          <w:color w:val="EE2724"/>
        </w:rPr>
        <w:t xml:space="preserve"> </w:t>
      </w:r>
      <w:r>
        <w:rPr>
          <w:rFonts w:ascii="Times New Roman;sans-serif" w:hAnsi="Times New Roman;sans-serif"/>
          <w:b w:val="false"/>
          <w:color w:val="000000"/>
          <w:sz w:val="20"/>
        </w:rPr>
        <w:t>net of the premium and issuance costs, which are being amortized over the life of the 2021 Bonds using the interest method. As of March 31, 2023 and December 31, 2022, the premium balance and the debt issuance cost net of amortization were $0.3 million, $0.4 million, $1.0 million, and $1.3 million, respectively.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Loans Payable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2021, the entire balance of $0.5 million of the Company's and $0.1 million of Agri-Energy's loans and accrued interest obtained through the SBA PPP were forgiven. The remaining SBA Loan for Agri-Energy totals $0.2 million, bears interest at 1.0% per annum and matures in April 2025. Monthly payments of $8,230, including interest, began on June 5, 2021, and are payable through April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summary of the Company's debt is as follows (in thousands) as of:</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8"/>
        <w:gridCol w:w="557"/>
        <w:gridCol w:w="556"/>
        <w:gridCol w:w="129"/>
        <w:gridCol w:w="129"/>
        <w:gridCol w:w="129"/>
        <w:gridCol w:w="129"/>
        <w:gridCol w:w="129"/>
        <w:gridCol w:w="129"/>
        <w:gridCol w:w="129"/>
        <w:gridCol w:w="129"/>
        <w:gridCol w:w="129"/>
        <w:gridCol w:w="109"/>
        <w:gridCol w:w="109"/>
        <w:gridCol w:w="109"/>
        <w:gridCol w:w="450"/>
        <w:gridCol w:w="450"/>
        <w:gridCol w:w="452"/>
        <w:gridCol w:w="143"/>
        <w:gridCol w:w="143"/>
        <w:gridCol w:w="143"/>
        <w:gridCol w:w="450"/>
        <w:gridCol w:w="450"/>
        <w:gridCol w:w="452"/>
        <w:gridCol w:w="109"/>
        <w:gridCol w:w="109"/>
        <w:gridCol w:w="109"/>
        <w:gridCol w:w="287"/>
        <w:gridCol w:w="983"/>
        <w:gridCol w:w="147"/>
        <w:gridCol w:w="109"/>
        <w:gridCol w:w="109"/>
        <w:gridCol w:w="109"/>
        <w:gridCol w:w="337"/>
        <w:gridCol w:w="1151"/>
        <w:gridCol w:w="264"/>
      </w:tblGrid>
      <w:tr>
        <w:trPr/>
        <w:tc>
          <w:tcPr>
            <w:tcW w:w="6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6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13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Bonds, net</w:t>
            </w:r>
          </w:p>
        </w:tc>
        <w:tc>
          <w:tcPr>
            <w:tcW w:w="116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67,223 </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Loans</w:t>
            </w:r>
          </w:p>
        </w:tc>
        <w:tc>
          <w:tcPr>
            <w:tcW w:w="1161"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w:t>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3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2023</w:t>
            </w:r>
          </w:p>
        </w:tc>
        <w:tc>
          <w:tcPr>
            <w:tcW w:w="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12"/>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67,541 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67,534 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67,382 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Future payments for the Company's debt are as follows (in thousands): </w:t>
      </w:r>
    </w:p>
    <w:p>
      <w:pPr>
        <w:pStyle w:val="TextBody"/>
        <w:bidi w:val="0"/>
        <w:spacing w:before="0" w:after="0"/>
        <w:ind w:left="0" w:right="0" w:firstLine="540"/>
        <w:jc w:val="left"/>
        <w:rPr/>
      </w:pPr>
      <w:r>
        <w:rPr/>
      </w:r>
    </w:p>
    <w:tbl>
      <w:tblPr>
        <w:tblW w:w="3486" w:type="dxa"/>
        <w:jc w:val="left"/>
        <w:tblInd w:w="0" w:type="dxa"/>
        <w:tblLayout w:type="fixed"/>
        <w:tblCellMar>
          <w:top w:w="28" w:type="dxa"/>
          <w:left w:w="28" w:type="dxa"/>
          <w:bottom w:w="28" w:type="dxa"/>
          <w:right w:w="28" w:type="dxa"/>
        </w:tblCellMar>
      </w:tblPr>
      <w:tblGrid>
        <w:gridCol w:w="868"/>
        <w:gridCol w:w="765"/>
        <w:gridCol w:w="767"/>
        <w:gridCol w:w="211"/>
        <w:gridCol w:w="72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 Ending December 31,</w:t>
            </w:r>
          </w:p>
        </w:tc>
        <w:tc>
          <w:tcPr>
            <w:tcW w:w="108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Total Debt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14.Stock-Based Compensation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Equity incentive plans</w:t>
      </w:r>
      <w:r>
        <w:rPr>
          <w:rFonts w:ascii="Times New Roman;sans-serif" w:hAnsi="Times New Roman;sans-serif"/>
          <w:b w:val="false"/>
          <w:color w:val="000000"/>
          <w:sz w:val="20"/>
        </w:rPr>
        <w:t xml:space="preserve">. In February 2011, the Company’s stockholders approved the Gevo, Inc. 2010 Stock Incentive Plan (as amended and restated to date, the "2010 Plan"), and the Employee Stock Purchase Plan (the "ESPP").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2010 Plan provides for the grant of non-qualified stock options, incentive stock options, stock appreciation rights, restricted stock awards, restricted stock units and other equity awards to employees and directors of the Company. In June 2021, upon approval of the stockholders at the 2021 Annual Meeting of Stockholders, the 2010 Plan was amended and restated, which increased the number of shares of common stock reserved for issuance under the 2010 Plan to 22,980,074 shares. At March 31, 2023, 4,109,441 shares were available for future issuance under the 2010 Plan.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Stock-based compensation expense</w:t>
      </w:r>
      <w:r>
        <w:rPr>
          <w:rFonts w:ascii="Times New Roman;sans-serif" w:hAnsi="Times New Roman;sans-serif"/>
          <w:b w:val="false"/>
          <w:color w:val="000000"/>
          <w:sz w:val="20"/>
        </w:rPr>
        <w:t>. The Company records stock-based compensation expense during the requisite service period for share-based payment awards granted to employees and non-employees.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stock-based compensation expense for the periods indicated (in thousands):</w:t>
      </w:r>
    </w:p>
    <w:p>
      <w:pPr>
        <w:pStyle w:val="TextBody"/>
        <w:bidi w:val="0"/>
        <w:spacing w:before="0" w:after="0"/>
        <w:jc w:val="left"/>
        <w:rPr/>
      </w:pPr>
      <w:r>
        <w:rPr/>
      </w:r>
    </w:p>
    <w:tbl>
      <w:tblPr>
        <w:tblW w:w="7216" w:type="dxa"/>
        <w:jc w:val="left"/>
        <w:tblInd w:w="0" w:type="dxa"/>
        <w:tblLayout w:type="fixed"/>
        <w:tblCellMar>
          <w:top w:w="28" w:type="dxa"/>
          <w:left w:w="28" w:type="dxa"/>
          <w:bottom w:w="28" w:type="dxa"/>
          <w:right w:w="28" w:type="dxa"/>
        </w:tblCellMar>
      </w:tblPr>
      <w:tblGrid>
        <w:gridCol w:w="994"/>
        <w:gridCol w:w="873"/>
        <w:gridCol w:w="878"/>
        <w:gridCol w:w="109"/>
        <w:gridCol w:w="109"/>
        <w:gridCol w:w="263"/>
        <w:gridCol w:w="263"/>
        <w:gridCol w:w="510"/>
        <w:gridCol w:w="1489"/>
        <w:gridCol w:w="263"/>
        <w:gridCol w:w="109"/>
        <w:gridCol w:w="109"/>
        <w:gridCol w:w="109"/>
        <w:gridCol w:w="211"/>
        <w:gridCol w:w="616"/>
        <w:gridCol w:w="311"/>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465"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firstLine="180"/>
              <w:jc w:val="left"/>
              <w:rPr>
                <w:color w:val="000000"/>
              </w:rPr>
            </w:pPr>
            <w:r>
              <w:rPr>
                <w:color w:val="000000"/>
              </w:rPr>
              <w:t> </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Liability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4,677 </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Stock option award activity</w:t>
      </w:r>
      <w:r>
        <w:rPr>
          <w:rFonts w:ascii="Times New Roman;sans-serif" w:hAnsi="Times New Roman;sans-serif"/>
          <w:b w:val="false"/>
          <w:color w:val="000000"/>
          <w:sz w:val="20"/>
        </w:rPr>
        <w:t>. Stock option activity under the Company’s stock incentive plans and changes during the three months ended March 31, 2023,</w:t>
      </w:r>
      <w:r>
        <w:rPr>
          <w:color w:val="000000"/>
        </w:rPr>
        <w:t xml:space="preserve"> </w:t>
      </w:r>
      <w:r>
        <w:rPr>
          <w:rFonts w:ascii="Times New Roman;sans-serif" w:hAnsi="Times New Roman;sans-serif"/>
          <w:b w:val="false"/>
          <w:color w:val="000000"/>
          <w:sz w:val="20"/>
        </w:rPr>
        <w:t>were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6"/>
        <w:gridCol w:w="621"/>
        <w:gridCol w:w="622"/>
        <w:gridCol w:w="594"/>
        <w:gridCol w:w="434"/>
        <w:gridCol w:w="347"/>
        <w:gridCol w:w="109"/>
        <w:gridCol w:w="109"/>
        <w:gridCol w:w="109"/>
        <w:gridCol w:w="522"/>
        <w:gridCol w:w="1266"/>
        <w:gridCol w:w="272"/>
        <w:gridCol w:w="109"/>
        <w:gridCol w:w="109"/>
        <w:gridCol w:w="109"/>
        <w:gridCol w:w="826"/>
        <w:gridCol w:w="826"/>
        <w:gridCol w:w="827"/>
        <w:gridCol w:w="109"/>
        <w:gridCol w:w="109"/>
        <w:gridCol w:w="109"/>
        <w:gridCol w:w="370"/>
        <w:gridCol w:w="713"/>
        <w:gridCol w:w="27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Number of</w:t>
            </w:r>
            <w:r>
              <w:rPr>
                <w:color w:val="000000"/>
              </w:rPr>
              <w:t xml:space="preserve"> </w:t>
            </w:r>
            <w:r>
              <w:rPr>
                <w:rFonts w:ascii="Times New Roman;sans-serif" w:hAnsi="Times New Roman;sans-serif"/>
                <w:b/>
                <w:color w:val="000000"/>
                <w:sz w:val="20"/>
              </w:rPr>
              <w:t>Options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73" w:before="0" w:after="0"/>
              <w:jc w:val="center"/>
              <w:rPr/>
            </w:pPr>
            <w:r>
              <w:rPr>
                <w:rFonts w:ascii="Times New Roman;sans-serif" w:hAnsi="Times New Roman;sans-serif"/>
                <w:b/>
                <w:color w:val="000000"/>
                <w:sz w:val="20"/>
              </w:rPr>
              <w:t xml:space="preserve">Weighted-Average Exercise Price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2022</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5,945,321 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forfeited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(26,173)</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March 31, 2023</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5,975,066 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at March 31, 2023</w:t>
            </w:r>
          </w:p>
        </w:tc>
        <w:tc>
          <w:tcPr>
            <w:tcW w:w="102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1,492,796 </w:t>
            </w:r>
          </w:p>
        </w:tc>
        <w:tc>
          <w:tcPr>
            <w:tcW w:w="34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20"/>
        </w:rPr>
        <w:t>(1)Exercise price of options outstanding range from $2.12 to $11,160 as of March 31, 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higher end of the range is due to the impact of several reverse stock splits during the years 2015 to 2018, subsequent to certain option grants, and relates to awards that expire during 2023.</w:t>
      </w:r>
    </w:p>
    <w:p>
      <w:pPr>
        <w:pStyle w:val="TextBody"/>
        <w:bidi w:val="0"/>
        <w:spacing w:before="0" w:after="0"/>
        <w:ind w:left="0" w:right="0" w:hanging="18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As of March 31, 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total unrecognized compensation expense, net of estimated forfeitures, relating to stock options was $11.6 million, which is expected to be recognized over the remaining weighted-average period of approximately 1.9 years.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Restricted stock</w:t>
      </w:r>
      <w:r>
        <w:rPr>
          <w:rFonts w:ascii="Times New Roman;sans-serif" w:hAnsi="Times New Roman;sans-serif"/>
          <w:b w:val="false"/>
          <w:color w:val="000000"/>
          <w:sz w:val="20"/>
        </w:rPr>
        <w:t>. Non-vested restricted stock awards and the changes during the three months ended March 31, 2023, were as follows:</w:t>
      </w:r>
    </w:p>
    <w:p>
      <w:pPr>
        <w:pStyle w:val="TextBody"/>
        <w:bidi w:val="0"/>
        <w:spacing w:before="0" w:after="0"/>
        <w:jc w:val="left"/>
        <w:rPr/>
      </w:pPr>
      <w:r>
        <w:rPr/>
      </w:r>
    </w:p>
    <w:tbl>
      <w:tblPr>
        <w:tblW w:w="8665" w:type="dxa"/>
        <w:jc w:val="left"/>
        <w:tblInd w:w="0" w:type="dxa"/>
        <w:tblLayout w:type="fixed"/>
        <w:tblCellMar>
          <w:top w:w="28" w:type="dxa"/>
          <w:left w:w="28" w:type="dxa"/>
          <w:bottom w:w="28" w:type="dxa"/>
          <w:right w:w="28" w:type="dxa"/>
        </w:tblCellMar>
      </w:tblPr>
      <w:tblGrid>
        <w:gridCol w:w="1065"/>
        <w:gridCol w:w="935"/>
        <w:gridCol w:w="940"/>
        <w:gridCol w:w="564"/>
        <w:gridCol w:w="564"/>
        <w:gridCol w:w="566"/>
        <w:gridCol w:w="109"/>
        <w:gridCol w:w="109"/>
        <w:gridCol w:w="109"/>
        <w:gridCol w:w="891"/>
        <w:gridCol w:w="2160"/>
        <w:gridCol w:w="653"/>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6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Number of</w:t>
            </w:r>
            <w:r>
              <w:rPr>
                <w:color w:val="000000"/>
              </w:rPr>
              <w:t xml:space="preserve"> </w:t>
            </w:r>
            <w:r>
              <w:rPr>
                <w:rFonts w:ascii="Times New Roman;sans-serif" w:hAnsi="Times New Roman;sans-serif"/>
                <w:b/>
                <w:color w:val="000000"/>
                <w:sz w:val="20"/>
              </w:rPr>
              <w:t>Shares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Grant-Date 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5,254,457 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89,334 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issued</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 or forfeited</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4"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11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5,336,496 </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3.91 </w:t>
            </w:r>
          </w:p>
        </w:tc>
        <w:tc>
          <w:tcPr>
            <w:tcW w:w="6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unrecognized compensation expense, net of estimated forfeitures, relating to restricted stock awards was $14.3 million, which is expected to be recognized over the remaining weighted-average period of approximately 1.8 years. As of March 31, 2023, there are no liability-classified restricted stock awards.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15.Income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incurred operating losses since inception; therefore no provision for income taxes was recorded and all related deferred tax assets are fully reserved. We continue to assess the impact of a deferred tax asset as it relates to income taxes.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16.Commitments and Contingencies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Legal Matters</w:t>
      </w:r>
      <w:r>
        <w:rPr>
          <w:rFonts w:ascii="Times New Roman;sans-serif" w:hAnsi="Times New Roman;sans-serif"/>
          <w:b w:val="false"/>
          <w:color w:val="000000"/>
          <w:sz w:val="20"/>
        </w:rPr>
        <w:t>. From time to time, the Company has been, and</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again become, involved in legal proceedings arising in the 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Indemnifications</w:t>
      </w:r>
      <w:r>
        <w:rPr>
          <w:rFonts w:ascii="Times New Roman;sans-serif" w:hAnsi="Times New Roman;sans-serif"/>
          <w:b w:val="false"/>
          <w:color w:val="000000"/>
          <w:sz w:val="20"/>
        </w:rPr>
        <w:t>. In the ordinary course of its business, the Company makes certain indemnities under which it</w:t>
      </w:r>
      <w:r>
        <w:rPr>
          <w:color w:val="000000"/>
        </w:rPr>
        <w:t xml:space="preserve"> </w:t>
      </w:r>
      <w:r>
        <w:rPr>
          <w:rFonts w:ascii="Times New Roman;sans-serif" w:hAnsi="Times New Roman;sans-serif"/>
          <w:b w:val="false"/>
          <w:color w:val="000000"/>
          <w:sz w:val="20"/>
        </w:rPr>
        <w:t>may</w:t>
      </w:r>
      <w:r>
        <w:rPr>
          <w:color w:val="000000"/>
        </w:rPr>
        <w:t xml:space="preserve"> </w:t>
      </w:r>
      <w:r>
        <w:rPr>
          <w:rFonts w:ascii="Times New Roman;sans-serif" w:hAnsi="Times New Roman;sans-serif"/>
          <w:b w:val="false"/>
          <w:color w:val="000000"/>
          <w:sz w:val="20"/>
        </w:rPr>
        <w:t>be required to make payments in relation to certain transactions. As of March 31, 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Company did not have any liabilities associated with indemnities.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w:t>
      </w:r>
      <w:r>
        <w:rPr>
          <w:color w:val="000000"/>
        </w:rPr>
        <w:t xml:space="preserve"> </w:t>
      </w:r>
      <w:r>
        <w:rPr>
          <w:rFonts w:ascii="Times New Roman;sans-serif" w:hAnsi="Times New Roman;sans-serif"/>
          <w:b w:val="false"/>
          <w:color w:val="000000"/>
          <w:sz w:val="20"/>
        </w:rPr>
        <w:t>may enable it to recover a portion of any future amounts paid. The Company accrues losses for any known contingent liability, including those that may arise from indemnification provisions, when future payment is probable. No such losses have been recorded to date.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Environmental Liabilities</w:t>
      </w:r>
      <w:r>
        <w:rPr>
          <w:rFonts w:ascii="Times New Roman;sans-serif" w:hAnsi="Times New Roman;sans-serif"/>
          <w:b w:val="false"/>
          <w:color w:val="000000"/>
          <w:sz w:val="20"/>
        </w:rPr>
        <w:t>. The Company’s operations are subject to environmental laws and regulations adopted by various 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Fuel Supply Commitment.</w:t>
      </w:r>
      <w:r>
        <w:rPr>
          <w:color w:val="000000"/>
        </w:rPr>
        <w:t xml:space="preserve"> </w:t>
      </w:r>
      <w:r>
        <w:rPr>
          <w:rFonts w:ascii="Times New Roman;sans-serif" w:hAnsi="Times New Roman;sans-serif"/>
          <w:b w:val="false"/>
          <w:color w:val="000000"/>
          <w:sz w:val="20"/>
        </w:rPr>
        <w:t>The Company has three long-term fuel supply contracts to source feedstock for the anaerobic digesters at the NW Iowa RNG project. These contracts provide an annual amount of feedstock to be used in the production of RNG.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Praj Commitment. </w:t>
      </w:r>
      <w:r>
        <w:rPr>
          <w:rFonts w:ascii="Times New Roman;sans-serif" w:hAnsi="Times New Roman;sans-serif"/>
          <w:b w:val="false"/>
          <w:color w:val="000000"/>
          <w:sz w:val="20"/>
        </w:rPr>
        <w:t>In June 2021 the Company contracted with a manufacturer in India to build a fractionation and hydrocarbon skid for $10.2 million. The remaining commitment for the contract is $3.6 million as of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shd w:fill="FFFFFF" w:val="clear"/>
        </w:rPr>
        <w:t xml:space="preserve">Zero6 Commitments. </w:t>
      </w:r>
      <w:r>
        <w:rPr>
          <w:rFonts w:ascii="Times New Roman;sans-serif" w:hAnsi="Times New Roman;sans-serif"/>
          <w:b w:val="false"/>
          <w:color w:val="000000"/>
          <w:sz w:val="20"/>
          <w:shd w:fill="FFFFFF" w:val="clear"/>
        </w:rPr>
        <w:t>In September 2022, the Company entered into a development agreement with Zero6 to construct and operate a wind project for the provision of electric energy for NZ1. Pursuant to the agreement, the Company has committed to pay Zero6 total development charges of $8.6 million, comprised of advanced development fee payments of $0.9 million, certain reimbursable costs of $1.2 million, and $6.5 million upon completion of the project. The Company is not contractually obligated for the specified development charges until certain milestones are met in future periods, and upon completion of the project.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the Company's investment in Zero6, see Note 11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estimated commitments as of March 31, 2023, and thereafter are shown below (in thousands):</w:t>
      </w:r>
    </w:p>
    <w:p>
      <w:pPr>
        <w:pStyle w:val="TextBody"/>
        <w:bidi w:val="0"/>
        <w:spacing w:before="0" w:after="0"/>
        <w:ind w:left="0" w:right="0" w:firstLine="540"/>
        <w:jc w:val="left"/>
        <w:rPr/>
      </w:pPr>
      <w:r>
        <w:rPr/>
      </w:r>
    </w:p>
    <w:tbl>
      <w:tblPr>
        <w:tblW w:w="10227" w:type="dxa"/>
        <w:jc w:val="left"/>
        <w:tblInd w:w="0" w:type="dxa"/>
        <w:tblLayout w:type="fixed"/>
        <w:tblCellMar>
          <w:top w:w="28" w:type="dxa"/>
          <w:left w:w="28" w:type="dxa"/>
          <w:bottom w:w="28" w:type="dxa"/>
          <w:right w:w="28" w:type="dxa"/>
        </w:tblCellMar>
      </w:tblPr>
      <w:tblGrid>
        <w:gridCol w:w="611"/>
        <w:gridCol w:w="287"/>
        <w:gridCol w:w="288"/>
        <w:gridCol w:w="236"/>
        <w:gridCol w:w="691"/>
        <w:gridCol w:w="124"/>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311"/>
      </w:tblGrid>
      <w:tr>
        <w:trPr/>
        <w:tc>
          <w:tcPr>
            <w:tcW w:w="6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1"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2023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2028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Supply Payments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38,136 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Zero6 Commitment</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Praj Commitment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Renewable Energy Credits</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Electricity Above Use (Est.)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58,713 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17.Fair Value Measurements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1 – inputs include quoted market prices in an active market for identical assets or liabilities.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Level 3 – inputs are unobservable and corroborated by little or no market data.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 and fair value, by fair value hierarchy, of the Company's financial instruments at March 31, 2023, and December 31, 2022 are as follows (in thousands):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861"/>
        <w:gridCol w:w="758"/>
        <w:gridCol w:w="760"/>
        <w:gridCol w:w="427"/>
        <w:gridCol w:w="1675"/>
        <w:gridCol w:w="220"/>
        <w:gridCol w:w="109"/>
        <w:gridCol w:w="109"/>
        <w:gridCol w:w="109"/>
        <w:gridCol w:w="292"/>
        <w:gridCol w:w="1144"/>
        <w:gridCol w:w="150"/>
        <w:gridCol w:w="121"/>
        <w:gridCol w:w="121"/>
        <w:gridCol w:w="121"/>
        <w:gridCol w:w="446"/>
        <w:gridCol w:w="860"/>
        <w:gridCol w:w="231"/>
        <w:gridCol w:w="121"/>
        <w:gridCol w:w="121"/>
        <w:gridCol w:w="121"/>
        <w:gridCol w:w="300"/>
        <w:gridCol w:w="577"/>
        <w:gridCol w:w="451"/>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2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March 31, 2023</w:t>
            </w:r>
          </w:p>
        </w:tc>
      </w:tr>
      <w:tr>
        <w:trPr/>
        <w:tc>
          <w:tcPr>
            <w:tcW w:w="237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at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w:t>
              <w:br/>
              <w:t>Active Markets for</w:t>
              <w:br/>
              <w:t>Identical Assets</w:t>
              <w:br/>
              <w:t>(Level 1)</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w:t>
              <w:br/>
              <w:t>Observable Inputs</w:t>
              <w:br/>
              <w:t>(Level 2)</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w:t>
              <w:br/>
              <w:t>(Level 3)</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18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(1)</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342,283 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342,283 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4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7"/>
        <w:gridCol w:w="693"/>
        <w:gridCol w:w="694"/>
        <w:gridCol w:w="423"/>
        <w:gridCol w:w="1658"/>
        <w:gridCol w:w="218"/>
        <w:gridCol w:w="109"/>
        <w:gridCol w:w="109"/>
        <w:gridCol w:w="109"/>
        <w:gridCol w:w="276"/>
        <w:gridCol w:w="1087"/>
        <w:gridCol w:w="143"/>
        <w:gridCol w:w="223"/>
        <w:gridCol w:w="431"/>
        <w:gridCol w:w="115"/>
        <w:gridCol w:w="422"/>
        <w:gridCol w:w="813"/>
        <w:gridCol w:w="219"/>
        <w:gridCol w:w="115"/>
        <w:gridCol w:w="115"/>
        <w:gridCol w:w="115"/>
        <w:gridCol w:w="300"/>
        <w:gridCol w:w="577"/>
        <w:gridCol w:w="4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at December 31, 2022</w:t>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at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Quoted Prices in</w:t>
              <w:br/>
              <w:t>Active Markets for</w:t>
              <w:br/>
              <w:t>Identical Assets</w:t>
              <w:br/>
              <w:t>(Level 1)</w:t>
            </w:r>
          </w:p>
        </w:tc>
        <w:tc>
          <w:tcPr>
            <w:tcW w:w="76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 Other</w:t>
              <w:br/>
              <w:t>Observable Inputs</w:t>
              <w:br/>
              <w:t>(Level 2)</w:t>
            </w:r>
          </w:p>
        </w:tc>
        <w:tc>
          <w:tcPr>
            <w:tcW w:w="3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Significant</w:t>
              <w:br/>
              <w:t>Unobservable</w:t>
              <w:br/>
              <w:t>Inputs</w:t>
              <w:br/>
              <w:t>(Level 3)</w:t>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18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(1)</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237,125 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4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(1)Cash and cash equivalents includes $317.3 million and $200.7 million invested in J.P Morgan U.S. government money market funds as of March 31, 2023 and December 31, 2022,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transfers of assets or liabilities between fair value hierarchy levels between December 31, 2022, and March 31,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March 31, 2023,</w:t>
      </w:r>
      <w:r>
        <w:rPr>
          <w:color w:val="000000"/>
        </w:rPr>
        <w:t xml:space="preserve"> </w:t>
      </w:r>
      <w:r>
        <w:rPr>
          <w:rFonts w:ascii="Times New Roman;sans-serif" w:hAnsi="Times New Roman;sans-serif"/>
          <w:b w:val="false"/>
          <w:color w:val="000000"/>
          <w:sz w:val="20"/>
        </w:rPr>
        <w:t>are summarized as follows (in thousands):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4841" w:type="dxa"/>
        <w:jc w:val="left"/>
        <w:tblInd w:w="0" w:type="dxa"/>
        <w:tblLayout w:type="fixed"/>
        <w:tblCellMar>
          <w:top w:w="28" w:type="dxa"/>
          <w:left w:w="28" w:type="dxa"/>
          <w:bottom w:w="28" w:type="dxa"/>
          <w:right w:w="28" w:type="dxa"/>
        </w:tblCellMar>
      </w:tblPr>
      <w:tblGrid>
        <w:gridCol w:w="402"/>
        <w:gridCol w:w="352"/>
        <w:gridCol w:w="356"/>
        <w:gridCol w:w="292"/>
        <w:gridCol w:w="998"/>
        <w:gridCol w:w="150"/>
        <w:gridCol w:w="109"/>
        <w:gridCol w:w="109"/>
        <w:gridCol w:w="109"/>
        <w:gridCol w:w="381"/>
        <w:gridCol w:w="1305"/>
        <w:gridCol w:w="278"/>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1110"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Bonds</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67,408 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65,334 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18.Stockholders'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Share Issuances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commenced an at-the-market offering program, which allows it to sell and issue shares of its common stock from time to time. In 2021, the at-the-market offering program was amended to provide a total capacity of $500.0 million. As of March 31, 2023, the Company has remaining capacity to issue up to approximately $360.6 million of common stock under the at-the-market offering program.</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March 31, 2023, none of the Series 2022-A Warrants had been exercised.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 xml:space="preserve">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w:t>
      </w:r>
      <w:r>
        <w:rPr>
          <w:rFonts w:ascii="Times New Roman;sans-serif" w:hAnsi="Times New Roman;sans-serif"/>
          <w:b w:val="false"/>
          <w:color w:val="000000"/>
          <w:sz w:val="20"/>
          <w:shd w:fill="FFFFFF" w:val="clear"/>
        </w:rPr>
        <w:t>fund capital projects, working capital and for general corporate purposes</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Warrants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2022-A Warrants and Series 2020-A Warrants are classified as a component of permanent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2022, the remaining Series K warrants expired with 7,126 unexercised warrants.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pertaining to shares issued upon the exercise of warrants:</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325"/>
        <w:gridCol w:w="287"/>
        <w:gridCol w:w="288"/>
        <w:gridCol w:w="281"/>
        <w:gridCol w:w="281"/>
        <w:gridCol w:w="282"/>
        <w:gridCol w:w="109"/>
        <w:gridCol w:w="109"/>
        <w:gridCol w:w="109"/>
        <w:gridCol w:w="351"/>
        <w:gridCol w:w="351"/>
        <w:gridCol w:w="352"/>
        <w:gridCol w:w="109"/>
        <w:gridCol w:w="109"/>
        <w:gridCol w:w="109"/>
        <w:gridCol w:w="237"/>
        <w:gridCol w:w="577"/>
        <w:gridCol w:w="123"/>
        <w:gridCol w:w="109"/>
        <w:gridCol w:w="109"/>
        <w:gridCol w:w="109"/>
        <w:gridCol w:w="751"/>
        <w:gridCol w:w="396"/>
        <w:gridCol w:w="397"/>
        <w:gridCol w:w="109"/>
        <w:gridCol w:w="109"/>
        <w:gridCol w:w="109"/>
        <w:gridCol w:w="816"/>
        <w:gridCol w:w="365"/>
        <w:gridCol w:w="366"/>
        <w:gridCol w:w="109"/>
        <w:gridCol w:w="109"/>
        <w:gridCol w:w="109"/>
        <w:gridCol w:w="770"/>
        <w:gridCol w:w="400"/>
        <w:gridCol w:w="574"/>
      </w:tblGrid>
      <w:tr>
        <w:trPr/>
        <w:tc>
          <w:tcPr>
            <w:tcW w:w="3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Exercise Price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Underlying Warrants on 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Issued upon Warrant Exercises as of 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Underlying Warrants Outstanding as of March 31, 2023</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Series 2020-A Warrants</w:t>
            </w:r>
            <w:r>
              <w:rPr>
                <w:color w:val="000000"/>
              </w:rPr>
              <w:t xml:space="preserve"> </w:t>
            </w:r>
            <w:r>
              <w:rPr>
                <w:rFonts w:ascii="Times New Roman;sans-serif" w:hAnsi="Times New Roman;sans-serif"/>
                <w:b w:val="false"/>
                <w:color w:val="000000"/>
                <w:sz w:val="13"/>
              </w:rPr>
              <w:t>(1)</w:t>
            </w:r>
          </w:p>
        </w:tc>
        <w:tc>
          <w:tcPr>
            <w:tcW w:w="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30,000,000 </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29,914,069 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85,931 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20"/>
              </w:rPr>
              <w:t>Series 2022-A Warrants</w:t>
            </w:r>
            <w:r>
              <w:rPr>
                <w:color w:val="000000"/>
              </w:rPr>
              <w:t xml:space="preserve"> </w:t>
            </w:r>
            <w:r>
              <w:rPr>
                <w:rFonts w:ascii="Times New Roman;sans-serif" w:hAnsi="Times New Roman;sans-serif"/>
                <w:b w:val="false"/>
                <w:color w:val="000000"/>
                <w:sz w:val="13"/>
              </w:rPr>
              <w:t>(1)</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33,333,336 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33,333,336 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Warrants</w:t>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63,333,336 </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29,914,069 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33,419,267 </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(1)Equity-classified warrants.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During the three months ended March 31, 2023</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shd w:fill="FFFFFF" w:val="clear"/>
        </w:rPr>
        <w:t>no</w:t>
      </w:r>
      <w:r>
        <w:rPr>
          <w:color w:val="000000"/>
        </w:rPr>
        <w:t xml:space="preserve"> </w:t>
      </w:r>
      <w:r>
        <w:rPr>
          <w:rFonts w:ascii="Times New Roman;sans-serif" w:hAnsi="Times New Roman;sans-serif"/>
          <w:b w:val="false"/>
          <w:color w:val="000000"/>
          <w:sz w:val="20"/>
        </w:rPr>
        <w:t>warrants were exercised.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19.Segments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purposes of making operating decisions, allocating resources, and evaluating financial performance. As such, management has determined that the Company has organized its operations and activities into</w:t>
      </w:r>
      <w:r>
        <w:rPr>
          <w:color w:val="000000"/>
          <w:shd w:fill="FFFFFF" w:val="clear"/>
        </w:rPr>
        <w:t xml:space="preserve"> </w:t>
      </w:r>
      <w:r>
        <w:rPr>
          <w:rFonts w:ascii="Times New Roman;sans-serif" w:hAnsi="Times New Roman;sans-serif"/>
          <w:b w:val="false"/>
          <w:color w:val="000000"/>
          <w:sz w:val="20"/>
          <w:shd w:fill="FFFFFF" w:val="clear"/>
        </w:rPr>
        <w:t xml:space="preserve">three reportable </w:t>
      </w:r>
      <w:r>
        <w:rPr>
          <w:rFonts w:ascii="Times New Roman;sans-serif" w:hAnsi="Times New Roman;sans-serif"/>
          <w:b w:val="false"/>
          <w:color w:val="000000"/>
          <w:sz w:val="20"/>
        </w:rPr>
        <w:t>segments: (i) Gevo segment; (ii) Agri-Energy segment; and (iii) Renewable Natural Gas seg</w:t>
      </w:r>
      <w:r>
        <w:rPr>
          <w:rFonts w:ascii="Times New Roman;sans-serif" w:hAnsi="Times New Roman;sans-serif"/>
          <w:b w:val="false"/>
          <w:color w:val="000000"/>
          <w:sz w:val="20"/>
          <w:shd w:fill="FFFFFF" w:val="clear"/>
        </w:rPr>
        <w:t>ment. T</w:t>
      </w:r>
      <w:r>
        <w:rPr>
          <w:rFonts w:ascii="Times New Roman;sans-serif" w:hAnsi="Times New Roman;sans-serif"/>
          <w:b w:val="false"/>
          <w:color w:val="000000"/>
          <w:sz w:val="20"/>
        </w:rPr>
        <w:t>ransactions between segments are eliminated in consolidation.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shd w:fill="FFFFFF" w:val="clear"/>
        </w:rPr>
        <w:t>Gevo segment</w:t>
      </w:r>
      <w:r>
        <w:rPr>
          <w:rFonts w:ascii="Times New Roman;sans-serif" w:hAnsi="Times New Roman;sans-serif"/>
          <w:b w:val="false"/>
          <w:color w:val="000000"/>
          <w:sz w:val="20"/>
          <w:shd w:fill="FFFFFF" w:val="clear"/>
        </w:rPr>
        <w:t>. The Gevo segment is responsible for all research and development activities related to transforming renewable energy into energy-dense liquid hydrocarbons that can be used as renewable fuels, such as SAF, with the potential to achieve a “net-zero” greenhouse gas ("GHG") footprint;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w:t>
      </w:r>
    </w:p>
    <w:p>
      <w:pPr>
        <w:pStyle w:val="TextBody"/>
        <w:bidi w:val="0"/>
        <w:spacing w:before="0" w:after="0"/>
        <w:ind w:left="0" w:right="0" w:firstLine="528"/>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shd w:fill="FFFFFF" w:val="clear"/>
        </w:rPr>
        <w:t>Agri-Energy segment</w:t>
      </w:r>
      <w:r>
        <w:rPr>
          <w:rFonts w:ascii="Times New Roman;sans-serif" w:hAnsi="Times New Roman;sans-serif"/>
          <w:b w:val="false"/>
          <w:color w:val="000000"/>
          <w:sz w:val="20"/>
          <w:shd w:fill="FFFFFF" w:val="clear"/>
        </w:rPr>
        <w:t>. The Agri-Energy segment is currently responsible for the operation of the Company’s Luverne Facility and the development and optimization of the pro</w:t>
      </w:r>
      <w:r>
        <w:rPr>
          <w:rFonts w:ascii="Times New Roman;sans-serif" w:hAnsi="Times New Roman;sans-serif"/>
          <w:b w:val="false"/>
          <w:color w:val="000000"/>
          <w:sz w:val="20"/>
        </w:rPr>
        <w:t>duction of isobutanol, ethanol and related products.</w:t>
      </w:r>
    </w:p>
    <w:p>
      <w:pPr>
        <w:pStyle w:val="TextBody"/>
        <w:bidi w:val="0"/>
        <w:spacing w:before="0" w:after="0"/>
        <w:ind w:left="0" w:right="0" w:firstLine="528"/>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Renewable Natural Gas segment</w:t>
      </w:r>
      <w:r>
        <w:rPr>
          <w:rFonts w:ascii="Times New Roman;sans-serif" w:hAnsi="Times New Roman;sans-serif"/>
          <w:b w:val="false"/>
          <w:color w:val="000000"/>
          <w:sz w:val="20"/>
        </w:rPr>
        <w:t>. The Renewable Natural Gas segment produces pipeline quality methane gas captured from dairy cow manure.</w:t>
      </w:r>
    </w:p>
    <w:p>
      <w:pPr>
        <w:pStyle w:val="TextBody"/>
        <w:bidi w:val="0"/>
        <w:spacing w:before="0" w:after="0"/>
        <w:ind w:left="0" w:right="0" w:firstLine="528"/>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528"/>
        <w:jc w:val="left"/>
        <w:rPr/>
      </w:pPr>
      <w:r>
        <w:rPr/>
      </w:r>
    </w:p>
    <w:tbl>
      <w:tblPr>
        <w:tblW w:w="10205" w:type="dxa"/>
        <w:jc w:val="left"/>
        <w:tblInd w:w="0" w:type="dxa"/>
        <w:tblLayout w:type="fixed"/>
        <w:tblCellMar>
          <w:top w:w="28" w:type="dxa"/>
          <w:left w:w="28" w:type="dxa"/>
          <w:bottom w:w="28" w:type="dxa"/>
          <w:right w:w="28" w:type="dxa"/>
        </w:tblCellMar>
      </w:tblPr>
      <w:tblGrid>
        <w:gridCol w:w="1397"/>
        <w:gridCol w:w="1196"/>
        <w:gridCol w:w="1211"/>
        <w:gridCol w:w="211"/>
        <w:gridCol w:w="782"/>
        <w:gridCol w:w="109"/>
        <w:gridCol w:w="109"/>
        <w:gridCol w:w="109"/>
        <w:gridCol w:w="109"/>
        <w:gridCol w:w="263"/>
        <w:gridCol w:w="786"/>
        <w:gridCol w:w="137"/>
        <w:gridCol w:w="109"/>
        <w:gridCol w:w="109"/>
        <w:gridCol w:w="109"/>
        <w:gridCol w:w="378"/>
        <w:gridCol w:w="1295"/>
        <w:gridCol w:w="194"/>
        <w:gridCol w:w="109"/>
        <w:gridCol w:w="109"/>
        <w:gridCol w:w="109"/>
        <w:gridCol w:w="241"/>
        <w:gridCol w:w="842"/>
        <w:gridCol w:w="182"/>
      </w:tblGrid>
      <w:tr>
        <w:trPr/>
        <w:tc>
          <w:tcPr>
            <w:tcW w:w="139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5299" w:type="dxa"/>
            <w:gridSpan w:val="18"/>
            <w:tcBorders/>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5299" w:type="dxa"/>
            <w:gridSpan w:val="18"/>
            <w:tcBorders/>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Agri-Energy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Renewable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patents, plant,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1"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3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Agri-Energy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Renewable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of patents, plant, property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738" w:type="dxa"/>
        <w:jc w:val="left"/>
        <w:tblInd w:w="0" w:type="dxa"/>
        <w:tblLayout w:type="fixed"/>
        <w:tblCellMar>
          <w:top w:w="28" w:type="dxa"/>
          <w:left w:w="28" w:type="dxa"/>
          <w:bottom w:w="28" w:type="dxa"/>
          <w:right w:w="28" w:type="dxa"/>
        </w:tblCellMar>
      </w:tblPr>
      <w:tblGrid>
        <w:gridCol w:w="385"/>
        <w:gridCol w:w="338"/>
        <w:gridCol w:w="341"/>
        <w:gridCol w:w="211"/>
        <w:gridCol w:w="826"/>
        <w:gridCol w:w="109"/>
        <w:gridCol w:w="109"/>
        <w:gridCol w:w="109"/>
        <w:gridCol w:w="109"/>
        <w:gridCol w:w="240"/>
        <w:gridCol w:w="821"/>
        <w:gridCol w:w="125"/>
        <w:gridCol w:w="109"/>
        <w:gridCol w:w="109"/>
        <w:gridCol w:w="109"/>
        <w:gridCol w:w="425"/>
        <w:gridCol w:w="1456"/>
        <w:gridCol w:w="219"/>
        <w:gridCol w:w="109"/>
        <w:gridCol w:w="109"/>
        <w:gridCol w:w="109"/>
        <w:gridCol w:w="223"/>
        <w:gridCol w:w="874"/>
        <w:gridCol w:w="16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Agri-Energy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Renewable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688,694 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Gevo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Agri-Energy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Renewable Natural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573,057 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34,440 </w:t>
            </w:r>
          </w:p>
        </w:tc>
        <w:tc>
          <w:tcPr>
            <w:tcW w:w="12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93,251 </w:t>
            </w:r>
          </w:p>
        </w:tc>
        <w:tc>
          <w:tcPr>
            <w:tcW w:w="2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700,748 </w:t>
            </w:r>
          </w:p>
        </w:tc>
        <w:tc>
          <w:tcPr>
            <w:tcW w:w="16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0694703280124e699fc965ae3dadb5ad_7">
        <w:r>
          <w:rPr>
            <w:rStyle w:val="InternetLink"/>
            <w:rFonts w:ascii="Times New Roman;sans-serif" w:hAnsi="Times New Roman;sans-serif"/>
            <w:b w:val="false"/>
            <w:color w:val="000000"/>
            <w:sz w:val="20"/>
            <w:u w:val="single"/>
          </w:rPr>
          <w:t>Table of Contents</w:t>
        </w:r>
      </w:hyperlink>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20.Subsequent Events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Recent Agreements. </w:t>
      </w:r>
      <w:r>
        <w:rPr>
          <w:rFonts w:ascii="Times New Roman;sans-serif" w:hAnsi="Times New Roman;sans-serif"/>
          <w:b w:val="false"/>
          <w:color w:val="000000"/>
          <w:sz w:val="20"/>
        </w:rPr>
        <w:t>On May 5, 2023, Gevo entered into a Side Agreement (the "Side Agreement") with Axens, which modifies the exclusivity provisions contained in the Company's existing agreement with Axens, permitting Axens to provide certain services and grant certain licenses relating to the conversion of ethanol to hydrocarbons fuels via dehydration, oligomerization, and saturation in certain areas of the Midwest to Phillips 66 Company (“P66”), Archer-Daniels-Midland Company (“ADM” and together with P66, the "Potential Partners"), or a joint venture entity between ADM and P66 (the "JV"). In connection with the Side Agreement, and as consideration for Gevo to share Axens’ technology with P66 and ADM, Gevo, P66 and ADM entered into a Technology Access Agreement, dated as of May 5, 2023 (the “TAA”). As consideration for Gevo entering into the TAA and the Side Agreement, the Potential Partners shall cause the applicable JV to pay Gevo certain milestone payments in connection with the development and production of the hydrocarbon fuels, expected to equal to $50 million if all milestones are achieved. Additionally, the Potential Partners will cause the applicable JV to make royalty payments to Gevo on such renewable hydrocarbons produced during a certain period (subject to a cap) and described in the TAA. The royalty payments are expected to equal at least $75 million if certain conditions and production milestones are achieved.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LG Chem Agreement</w:t>
      </w:r>
      <w:r>
        <w:rPr>
          <w:rFonts w:ascii="Times New Roman;sans-serif" w:hAnsi="Times New Roman;sans-serif"/>
          <w:b w:val="false"/>
          <w:color w:val="000000"/>
          <w:sz w:val="20"/>
        </w:rPr>
        <w:t>. In April 2023, Gevo entered into a joint development agreement with LG Chem, Ltd. ("LG Chem") to develop bio-propylene for renewable chemicals using Gevo’s Ethanol-to-Olefins ("ETO") technology. Under the terms of the agreement, Gevo will provide the core enabling technology it has developed for renewable olefins to be produced from low-carbon ethanol and together the parties will collaborate to accelerate the pilot research, technical scale-up, and commercialization of bio-propylene. LG Chem is expected to bear all scale-up costs for chemicals, in addition to remitting certain payments to Gevo of $1.3 million in the second quarter of 2023, and $1.2 million over the next two years to help defray a portion of the costs associated with the joint development efforts.</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ability to meet production, financial and operational guidance,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also known as biogas ("RNG")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2022 (our “2022 Annual Report”), including Item 1A. "Risk Factors" of our 2022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Report the terms "Gevo", “we,” “us,” “our” and the “Company” refer to Gevo, Inc. and its wholly owned, direct and indirect subsidiaries.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2022 Annual Report.</w:t>
      </w:r>
    </w:p>
    <w:p>
      <w:pPr>
        <w:pStyle w:val="TextBody"/>
        <w:bidi w:val="0"/>
        <w:spacing w:before="0" w:after="0"/>
        <w:ind w:left="0" w:right="0" w:firstLine="34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Gevo, Inc. (Nasdaq: GEVO), a Delaware corporation founded in 2005, is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life-cycle of our products. Our “net-zero” concept means the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market focus, given current demand and growing customer interest, is SAF. We believe we also have additional commercial opportunities for other renewable hydrocarbon products, such as RNG; hydrocarbons for gasoline blendstocks and diesel fuel; ingredients for the chemical industry, such as ethylene and butenes; plastics and materials; and other chemicals. The global fuel consumption by commercial airlines continues to remain strong, with global fuel consumption in the past few years ranging from 52 billion gallons to 60 billion gallons.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there is a growing and significant market demand for SAF production generally based on a number of factors, including: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4"/>
        <w:gridCol w:w="2854"/>
        <w:gridCol w:w="40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40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Biden administration launched a new Sustainable Aviation Fuel Grand Challenge (the "Challenge") to meet the demand for sustainable aviation fuels by working with stakeholders to reduce costs, enhance sustainability, and expand production and use of sustainable aviation fuels which achieve a minimum of a 50% reduction in life cycle GHGs compared to conventional fuel. In addition, the Challenge will adopt the goal of supplying at least 3 billion gallons of SAF per year by 2030 and, by 2050, sufficient SAF to meet 100% of aviation fuel demand, which is currently projected to be around 35 billion gallons per year.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The International Air Transport Association ("IATA") 77</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Annual General Meeting approved a resolution for the global air transport industry to achieve net-zero carbon emissions by the year 2050. IATA has 302 airline members, including Alaska Airlines, American Airlines, Delta Air Lines, FedEx Express, United Airlines and UPS Airlines.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Delta Air Lines committed to spending $1 billion through 2030 with an objective of mitigating emissions from its global business going forward. Delta will invest in innovation, advancing clean air travel technologies, accelerating the reduction of carbon emissions and waste, and establishing new projects to mitigate the balance of emissions.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rPr>
              <w:t xml:space="preserve">The </w:t>
            </w:r>
            <w:r>
              <w:rPr>
                <w:rFonts w:ascii="Times New Roman;sans-serif" w:hAnsi="Times New Roman;sans-serif"/>
                <w:b/>
                <w:i/>
                <w:color w:val="000000"/>
                <w:sz w:val="20"/>
              </w:rPr>
              <w:t>one</w:t>
            </w:r>
            <w:r>
              <w:rPr>
                <w:rFonts w:ascii="Times New Roman;sans-serif" w:hAnsi="Times New Roman;sans-serif"/>
                <w:b w:val="false"/>
                <w:i/>
                <w:color w:val="000000"/>
                <w:sz w:val="20"/>
              </w:rPr>
              <w:t>world®</w:t>
            </w:r>
            <w:r>
              <w:rPr>
                <w:color w:val="000000"/>
              </w:rPr>
              <w:t xml:space="preserve"> </w:t>
            </w:r>
            <w:r>
              <w:rPr>
                <w:rFonts w:ascii="Times New Roman;sans-serif" w:hAnsi="Times New Roman;sans-serif"/>
                <w:b w:val="false"/>
                <w:color w:val="000000"/>
                <w:sz w:val="20"/>
              </w:rPr>
              <w:t>alliance committed to a target of 10% SAF use across the alliance by 2030 and plans to reach net-zero emissions by 2050.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World Economic Forum's Clean Skies for Tomorrow Coalition, a group of airlines, airports, fuel suppliers and other industry stakeholders working to advance the transition to net-zero flying, has announced a joint goal to achieve a blend of 10% SAF in global jet fuel by 2050.</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SAF production process uses carbohydrates as a feedstock. Carbohydrates are plant matter that result from photosynthesis. Photosynthesis is the natural process by which carbon dioxide is captured from the air by plants. The carbon in carbohydrates is renewable because its source is carbon dioxide from the atmosphere. The carbohydrates are fermented to produce alcohol-based intermediate products (e.g., ethanol or isobutanol). The alcohol-based intermediates are then chemically processed to make renewable hydrocarbons. To achieve net-zero carbon intensity ("CI") across the whole life cycle of the products, we believe:</w:t>
      </w:r>
    </w:p>
    <w:p>
      <w:pPr>
        <w:pStyle w:val="TextBody"/>
        <w:bidi w:val="0"/>
        <w:spacing w:before="0" w:after="0"/>
        <w:ind w:left="0" w:right="0" w:firstLine="540"/>
        <w:jc w:val="left"/>
        <w:rPr/>
      </w:pPr>
      <w:r>
        <w:rPr/>
      </w:r>
    </w:p>
    <w:tbl>
      <w:tblPr>
        <w:tblW w:w="7485" w:type="dxa"/>
        <w:jc w:val="left"/>
        <w:tblInd w:w="0" w:type="dxa"/>
        <w:tblLayout w:type="fixed"/>
        <w:tblCellMar>
          <w:top w:w="28" w:type="dxa"/>
          <w:left w:w="28" w:type="dxa"/>
          <w:bottom w:w="28" w:type="dxa"/>
          <w:right w:w="28" w:type="dxa"/>
        </w:tblCellMar>
      </w:tblPr>
      <w:tblGrid>
        <w:gridCol w:w="124"/>
        <w:gridCol w:w="109"/>
        <w:gridCol w:w="109"/>
        <w:gridCol w:w="109"/>
        <w:gridCol w:w="2059"/>
        <w:gridCol w:w="2059"/>
        <w:gridCol w:w="29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0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carbohydrates with a low CI score must be used in production;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0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energy (electricity and heat source) used in production must be de-fossilized;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0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products cannot contain fossil-based carbon.</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sustainably grown industrial field corn (e.g., corn that is grown with precision agricultural techniques and low-till or no till cultivation to conserve nutrients, prevent water runoff, and erosion) is the best feedstock to commercialize for SAF initially because:</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5"/>
        <w:gridCol w:w="2855"/>
        <w:gridCol w:w="4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4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 produces a significant amount of protein and vegetable oil for nutritional products on a per acre basis while also producing an abundance of low CI carbohydrates that can be captured and used as a feedstock for fuels and chemicals;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protein and oil that are produced can be easily separated and sold as co-products into the food chain markets. The protein and oil revenue serves to offset the cost of the corn feedstock;</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carbon footprint of growing corn can be negative, according to calculations completed with the GREET Model, when a full suite of climate-smart agricultural practices is employed on appropriate acres of cropland;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 corn can achieve lower CI scores when grown with climate-smart agricultural techniques than waste raw materials or wood; and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7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residual carbohydrates from corn are the lowest cost carbohydrates available as a renewable raw material, and the production is proven and scalable.</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Net-Zero Projects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early 2021, we announced the concept of "Net-Zero Projects" as a series of planned facilities to produce energy dense liquid hydrocarbons using renewable energy and our proprietary technology. As announced in February 2022, and as a result of our agreement and relationship with Axens North America, Inc. (“Axens”), Gevo made the decision to utilize Axens’ ethanol fermentation technology instead of our proprietary isobutanol fermentation technology to produce sustainable aviation fuel and other renewable hydrocarbon products in our Net-Zero Projects.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400 MGPY of SAF and hydrocarbon supply agreements. The liquid hydrocarbons, when burned, are expected to have a “net-zero” GHG footprint. Along with the hydrocarbons, NZ1 is expected to produce approximately 1,390 million pounds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an exclusive license in the U.S. from Axens to the technology and plant designs to convert alcohols to hydrocarbon fuels. Axens will also provide certain process guarantees for our production process. Additionally, Axens has extensive commercial experience in the technology, design, and deployment of the unit operations needed to convert alcohols to hydrocarbon fuels, based on their experience in the petrochemical industry. The fermentation side of the facility is being engineered with Fluid Quip Technologies, who has extensive experience in fermentation and agriculture-based facilities. We believe that by using known commercial technologies, the plant design risk is substantially decreased.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NZ1 project development is proceeding and engineering work for NZ1 continues. Based on current information, the installed cost for NZ1 is currently forecasted to be approximately $850 million, excluding certain contingencies and financing costs. Upon receiving an invitation from the U.S. Department of Energy ("DOE"), we submitted The Part Two Application for a DOE loan guarantee for a direct lending from Federal Financing Bank. This DOE guarantee lending facility is expected to offer the lowest cost of debt for the project.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to finance the construction of NZ1 at the subsidiary level using a combination of our own capital and third-party capital. The Company expects to retain a carried equity interest in the project and may invest equity in the project using the proceeds from the reimbursement of the Company’s NZ1 development expenditures. Cash distributions from future NZ1 earnings would be proportionate to Gevo’s minority ownership in NZ1 under this expected financing structure which would allow us to conserve and redeploy our capital on other growth projects, including our Net-Zero 2 project ("NZ2"). We currently expect to apply similar development and financing approaches to NZ2 and future Net-Zero Projects to enable growth of SAF production to meet demand for SAF.</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achieve full construction financing for NZ1, we need to secure third-party equity and debt. Given the current interest rate environment and general macroeconomic conditions, a DOE-guaranteed loan is our most attractive debt option. We expect that obtaining a DOE-guaranteed loan will have the benefit of reducing the overall amount of equity required to finance NZ1 and should result in higher project equity returns for investors which should increase the likelihood of Gevo successfully financing NZ1. However, the DOE loan application process is expected to carry into 2024. We expect that our NZ1 plant start-up date will occur twenty-four to thirty months after the financing of NZ1 closes, the timing of which is uncertain. In parallel with the DOE-guaranteed loan process, we continue to explore financing NZ1 without the benefit of the DOE-guaranteed loan.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doing extra engineering work on the NZ1 plant design with a focus on increasing the modularization of its component parts. This means that we expect that the process equipment would be built into modules at a factory, then the modules would be assembled onsite at NZ1, with the goal of minimizing specialized field work typical in plant construction of this type. This approach is expected to help de-risk the cost of, and access to, skilled labor at the site and reduce the supply chain constrictions for some of our long-lead equipment. Increasing the modularization of the plant design is also expected to reduce our spend in advance of securing a third-party equity investor in NZ1.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evaluating and performing early site development work at several sites in the U.S. for our second Net-Zero Project, NZ2. These sites include several greenfield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Renewable Natural Gas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developing RNG and biogas projects to generate incremental profit and to create a long-term option to potentially supply RNG to our Net-Zero Projects as part of our long-term strategy to decarbonize SAF and other hydrocarbon fuels.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2019, we began developing our first RNG facilities in northwest Iowa, which were substantially completed in 2022. Animal manure is digested anaerobically to produce RNG. RNG has value in markets such as California as well as in our hydrocarbon production process by helping us achieve carbon negative GHG emissions on our renewable hydrocarbon products. The end products resulting from such a decarbonization process have lower CI scores and increased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value, in addition to having a more positive impact on the environment. Our initial RNG project, Gevo NW Iowa RNG, LLC ("Gevo RNG"), was developed to generate RNG captured from dairy cow manure which is supplied by three dairies located in Northwest Iowa totaling over 20,000 milking cows.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construction in April 2021. See Note 13 to the Consolidated Financial Statements for further detail.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Gevo RNG began start-up operations and late in the second quarter of 2022, began producing biogas. We have been ramping up its production of biogas since the third quarter of 2022, upgrading raw biogas to RNG, and the injection of RNG into an interconnected natural gas pipeline. The Gevo RNG project was initially designed to generate up to 355,000 MMBtu of RNG per year. We have made incremental improvements and optimizations at Gevo RNG by investing in capital projects that are expected to improve its CI score and expand its potential capacity to approximately 400,000 MMBtu of production capacity. It typically takes 12 months or longer for the project to ramp up to our expected production level, therefore, the production levels this year are expected to be lower at approximately 275,000-300,000 MMBtu.</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Gevo was granted registration approval by the EPA in 2022, allowing us to participate in its Renewable Fuel Standard Program (“RFS Program”) to receive renewable identification numbers ("RINs"). During the first quarter of 2023, we received approval for a temporary pathway under California's Low Carbon Fuel Standard (“LCFS”) program. We expect to continue realizing substantial sales for our environmental attributes, for both LCFS's and RINs in 2023.</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trust and reputation we have attained in the RNG industry, in combination with our understanding of the various and complex environmental attributes, gives us a competitive advantage. We intend to leverage our relationships to identify and execute new project opportunities. Typically, new development opportunities come from our existing relationships with dairy owners who value our reputation in the industry.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Verity Carbon Solutions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critical that we can prove the CI of our products, ensuring that these values are accurate and auditable. The mission of Verity Carbon Solutions ("VCS"), including Verity Tracking, is to document CI and other sustainability attributes, and then apply Distributed Ledger Technology, commonly referred to as the blockchain, to create a record of the products throughout the entire business system. VCS would start from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sold and/or traded in voluntary or compliance carbon markets while preventing double-counting. We believe that in the future, agricultural practices have the potential to sequester large quantities of CO2 as soil organic carbon. VCS intends to document and account for that capture in conjunction with scientifically supported measurement techniques. The potential for VCS is broad and could be applicable to tracking the CI of various items, including, but not limited to, renewable fuels, food, feed and industrial products through the entire business system and value chain. In March 2023, we entered into a joint development framework agreement with Southwest Iowa Renewable Energy which will focus on implementing VCS technology and developing the market for carbon inset credits to help farmers and biofuel producers quantify the CI reductions for their products.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Luverne Facility</w:t>
      </w:r>
    </w:p>
    <w:p>
      <w:pPr>
        <w:pStyle w:val="TextBody"/>
        <w:bidi w:val="0"/>
        <w:spacing w:before="0" w:after="0"/>
        <w:ind w:left="0" w:right="0" w:hanging="18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activities at our Luverne Facility were transitioned to care and maintenance,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integrated GHG reductions.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Developments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Recent Agreements. </w:t>
      </w:r>
      <w:r>
        <w:rPr>
          <w:rFonts w:ascii="Times New Roman;sans-serif" w:hAnsi="Times New Roman;sans-serif"/>
          <w:b w:val="false"/>
          <w:color w:val="000000"/>
          <w:sz w:val="20"/>
        </w:rPr>
        <w:t>On May 5, 2023, Gevo entered into a Side Agreement with Axens, which modifies the exclusivity provisions contained in the Company's existing agreement with Axens, permitting Axens to provide certain services and grant certain licenses relating to the conversion of ethanol to hydrocarbons fuels via dehydration, oligomerization, and saturation in certain areas of the Midwest to Phillips 66 Company (“P66”), Archer-Daniels-Midland Company (“ADM” and together with P66, the "Potential Partners"), or a joint venture entity between ADM and P66 (the "JV"). In connection with the Side Agreement, and as consideration for Gevo to share Axens’ technology with P66 and ADM, Gevo, P66 and ADM entered into a Technology Access Agreement, dated as of May 5, 2023 (the “TAA”). As consideration for Gevo entering into the TAA and the Side Agreement, the Potential Partners shall cause the applicable JV to pay Gevo certain milestone payments in connection with the development and production of the hydrocarbon fuels, expected to equal to $50 million if all milestones are achieved. Additionally, the Potential Partners will cause the applicable JV to make royalty payments to Gevo on such renewable hydrocarbons produced during a certain period (subject to a cap) and described in the TAA. The royalty payments are expected to equal at least $75 million if certain conditions and production milestones are achieved.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LG Chem Agreement</w:t>
      </w:r>
      <w:r>
        <w:rPr>
          <w:rFonts w:ascii="Times New Roman;sans-serif" w:hAnsi="Times New Roman;sans-serif"/>
          <w:b w:val="false"/>
          <w:color w:val="000000"/>
          <w:sz w:val="20"/>
        </w:rPr>
        <w:t>. In April 2023, Gevo entered into a joint development agreement with LG Chem, Ltd. ("LG Chem") a leading global chemical company to develop bio-propylene for renewable chemicals using Gevo’s Ethanol-to-Olefins ("ETO") technology. Gevo’s proprietary ETO technology can target carbon neutral or carbon negative drop-in replacements for traditional petroleum-based building blocks called olefins, including bio-propylene, that can be used for renewable chemicals or fuels including sustainable aviation fuel. These plant-based, renewable olefins would be derived from atmospheric CO2 captured through photosynthesis and are expected to deliver the same performance in final products on the market today. Under the terms of the agreement, Gevo will provide the core enabling technology it has developed for renewable olefins to be produced from low-carbon ethanol and together the parties will collaborate to accelerate the pilot research, technical scale-up, and commercialization of bio-propylene. LG Chem is expected to bear all scale-up costs for chemicals, in addition to remitting certain payments to Gevo of $1.3 million in the second quarter of 2023, and $1.2 million over the next two years to help defray costs associated with the joint development efforts. In addition to this $2.5 million from the joint development agreement, LG Chem agreed to make certain payments to Gevo upon commencement of commercialization as follows:</w:t>
      </w:r>
    </w:p>
    <w:p>
      <w:pPr>
        <w:pStyle w:val="TextBody"/>
        <w:bidi w:val="0"/>
        <w:spacing w:before="0" w:after="0"/>
        <w:ind w:left="0" w:right="0" w:firstLine="540"/>
        <w:jc w:val="left"/>
        <w:rPr/>
      </w:pPr>
      <w:r>
        <w:rPr/>
      </w:r>
    </w:p>
    <w:p>
      <w:pPr>
        <w:pStyle w:val="TextBody"/>
        <w:bidi w:val="0"/>
        <w:spacing w:lineRule="auto" w:line="288" w:before="0" w:after="0"/>
        <w:ind w:left="0" w:right="0" w:firstLine="180"/>
        <w:jc w:val="left"/>
        <w:rPr/>
      </w:pPr>
      <w:r>
        <w:rPr>
          <w:color w:val="000000"/>
        </w:rPr>
        <w:t>•</w:t>
      </w:r>
      <w:r>
        <w:rPr>
          <w:rFonts w:ascii="Times New Roman;sans-serif" w:hAnsi="Times New Roman;sans-serif"/>
          <w:b w:val="false"/>
          <w:color w:val="000000"/>
          <w:sz w:val="20"/>
        </w:rPr>
        <w:t>$5 million upon commencement of commercialization, to be paid ratably over a period of five years</w:t>
      </w:r>
    </w:p>
    <w:p>
      <w:pPr>
        <w:pStyle w:val="TextBody"/>
        <w:bidi w:val="0"/>
        <w:spacing w:lineRule="auto" w:line="288" w:before="0" w:after="0"/>
        <w:ind w:left="0" w:right="0" w:firstLine="180"/>
        <w:jc w:val="left"/>
        <w:rPr/>
      </w:pPr>
      <w:r>
        <w:rPr>
          <w:color w:val="000000"/>
        </w:rPr>
        <w:t>•</w:t>
      </w:r>
      <w:r>
        <w:rPr>
          <w:rFonts w:ascii="Times New Roman;sans-serif" w:hAnsi="Times New Roman;sans-serif"/>
          <w:b w:val="false"/>
          <w:color w:val="000000"/>
          <w:sz w:val="20"/>
        </w:rPr>
        <w:t>1% royalty on Net Sales for the first production facility beginning six years from commercial operation</w:t>
      </w:r>
    </w:p>
    <w:p>
      <w:pPr>
        <w:pStyle w:val="TextBody"/>
        <w:bidi w:val="0"/>
        <w:spacing w:lineRule="auto" w:line="288" w:before="0" w:after="0"/>
        <w:ind w:left="0" w:right="0" w:firstLine="180"/>
        <w:jc w:val="left"/>
        <w:rPr/>
      </w:pPr>
      <w:r>
        <w:rPr>
          <w:color w:val="000000"/>
        </w:rPr>
        <w:t>•</w:t>
      </w:r>
      <w:r>
        <w:rPr>
          <w:rFonts w:ascii="Times New Roman;sans-serif" w:hAnsi="Times New Roman;sans-serif"/>
          <w:b w:val="false"/>
          <w:color w:val="000000"/>
          <w:sz w:val="20"/>
        </w:rPr>
        <w:t>1% royalty on Net Sales for all subsequent production facilities upon commencement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U.S. Department of Agriculture. </w:t>
      </w:r>
      <w:r>
        <w:rPr>
          <w:rFonts w:ascii="Times New Roman;sans-serif" w:hAnsi="Times New Roman;sans-serif"/>
          <w:b w:val="false"/>
          <w:color w:val="000000"/>
          <w:sz w:val="20"/>
        </w:rPr>
        <w:t>In September 2022, the U.S. Department of Agriculture tentatively selected Gevo’s Climate-Smart Farm to Flight proposal for funding with an award ceiling of up to $30 million, subject to negotiation of definitive award agreements in the coming months. The project aims to create critical structural climate-smart market incentives for low CI corn as well as to accelerate the production of SAF to reduce the sector’s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 We continue to negotiate the definitive award agreement and expect it to be completed in second quarter of 2023 with project activity beginning for the 2023 crop year.</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Operating Metrics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revenues reflect both sales of RNG and sales of related environmental attributes. As a result, our revenues are primarily affected by RNG production volume, generation of environmental attributes, and the average realized prices for such products. The following table summarizes the key operating metrics, specifically for the Renewable Natural Gas Segment, which we use to measure performance:</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483"/>
        <w:gridCol w:w="1214"/>
        <w:gridCol w:w="1221"/>
        <w:gridCol w:w="361"/>
        <w:gridCol w:w="1055"/>
        <w:gridCol w:w="186"/>
        <w:gridCol w:w="109"/>
        <w:gridCol w:w="109"/>
        <w:gridCol w:w="109"/>
        <w:gridCol w:w="355"/>
        <w:gridCol w:w="1039"/>
        <w:gridCol w:w="185"/>
        <w:gridCol w:w="109"/>
        <w:gridCol w:w="109"/>
        <w:gridCol w:w="109"/>
        <w:gridCol w:w="211"/>
        <w:gridCol w:w="616"/>
        <w:gridCol w:w="109"/>
        <w:gridCol w:w="109"/>
        <w:gridCol w:w="109"/>
        <w:gridCol w:w="109"/>
        <w:gridCol w:w="344"/>
        <w:gridCol w:w="272"/>
        <w:gridCol w:w="573"/>
      </w:tblGrid>
      <w:tr>
        <w:trPr/>
        <w:tc>
          <w:tcPr>
            <w:tcW w:w="148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 unless otherwise indicated)</w:t>
            </w:r>
          </w:p>
        </w:tc>
        <w:tc>
          <w:tcPr>
            <w:tcW w:w="1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commodity</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environmental attributes - RINs</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environmental attributes - LCFS </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Production expenses </w:t>
            </w:r>
            <w:r>
              <w:rPr>
                <w:rFonts w:ascii="Times New Roman;sans-serif" w:hAnsi="Times New Roman;sans-serif"/>
                <w:b/>
                <w:color w:val="000000"/>
                <w:sz w:val="13"/>
              </w:rPr>
              <w:t>(1)</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3,885 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4,044 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RNG metrics</w:t>
            </w:r>
          </w:p>
        </w:tc>
        <w:tc>
          <w:tcPr>
            <w:tcW w:w="16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production volumes (MMBtu)</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prior period RNG volumes dispensed in current period</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RNG production volumes not dispensed</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Total RNG volumes available for RIN and LCFS generation </w:t>
            </w:r>
            <w:r>
              <w:rPr>
                <w:rFonts w:ascii="Times New Roman;sans-serif" w:hAnsi="Times New Roman;sans-serif"/>
                <w:b w:val="false"/>
                <w:color w:val="000000"/>
                <w:sz w:val="13"/>
              </w:rPr>
              <w:t>(2)</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RIN Metrics</w:t>
            </w:r>
          </w:p>
        </w:tc>
        <w:tc>
          <w:tcPr>
            <w:tcW w:w="1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RIN generation </w:t>
            </w:r>
            <w:r>
              <w:rPr>
                <w:rFonts w:ascii="Times New Roman;sans-serif" w:hAnsi="Times New Roman;sans-serif"/>
                <w:b w:val="false"/>
                <w:color w:val="000000"/>
                <w:sz w:val="13"/>
              </w:rPr>
              <w:t>(3)</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Prior period RINs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RINs available for sale</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RINs sold</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RIN inventory</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RNG volumes not dispensed for RINs (MMBtu) </w:t>
            </w:r>
            <w:r>
              <w:rPr>
                <w:rFonts w:ascii="Times New Roman;sans-serif" w:hAnsi="Times New Roman;sans-serif"/>
                <w:b w:val="false"/>
                <w:color w:val="000000"/>
                <w:sz w:val="13"/>
              </w:rPr>
              <w:t>(4)</w:t>
            </w:r>
          </w:p>
        </w:tc>
        <w:tc>
          <w:tcPr>
            <w:tcW w:w="14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Average realized RIN price </w:t>
            </w:r>
            <w:r>
              <w:rPr>
                <w:rFonts w:ascii="Times New Roman;sans-serif" w:hAnsi="Times New Roman;sans-serif"/>
                <w:b w:val="false"/>
                <w:color w:val="000000"/>
                <w:sz w:val="13"/>
              </w:rPr>
              <w:t>(5)</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LCFS metrics</w:t>
            </w:r>
          </w:p>
        </w:tc>
        <w:tc>
          <w:tcPr>
            <w:tcW w:w="1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LCFS generation </w:t>
            </w:r>
            <w:r>
              <w:rPr>
                <w:rFonts w:ascii="Times New Roman;sans-serif" w:hAnsi="Times New Roman;sans-serif"/>
                <w:b w:val="false"/>
                <w:color w:val="000000"/>
                <w:sz w:val="13"/>
              </w:rPr>
              <w:t>(6)</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LCFS sold</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LCFS inventory</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RNG volumes not dispensed for LCFS (MMBtu)</w:t>
            </w:r>
          </w:p>
        </w:tc>
        <w:tc>
          <w:tcPr>
            <w:tcW w:w="14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Average realized LCFS price </w:t>
            </w:r>
            <w:r>
              <w:rPr>
                <w:rFonts w:ascii="Times New Roman;sans-serif" w:hAnsi="Times New Roman;sans-serif"/>
                <w:b w:val="false"/>
                <w:color w:val="000000"/>
                <w:sz w:val="13"/>
              </w:rPr>
              <w:t>(5)</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(1)Higher per unit cost reflects lower production volumes during the commissioning and ramp-up period which can take up 12 months or longer.</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(2)Represents gas production which has not been dispensed to generate RINs and LCFS.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(3)RINs are generally generated in the month following the gas being dispensed.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(4)One MMBtu of RNG has approximately the same energy content as 11.727 gallons of ethanol, and thus may generate 11.727 RINs under the RFS Program.</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(5)Realized prices for environmental attributes are net of third-party commissions and thus do not correspond directly to index prices.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(6)LCFS credits are generally generated in the calendar quarter following the gas being dispensed.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54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 (in thousands):</w:t>
      </w:r>
    </w:p>
    <w:p>
      <w:pPr>
        <w:pStyle w:val="TextBody"/>
        <w:bidi w:val="0"/>
        <w:spacing w:before="0" w:after="0"/>
        <w:jc w:val="left"/>
        <w:rPr/>
      </w:pPr>
      <w:r>
        <w:rPr/>
      </w:r>
    </w:p>
    <w:tbl>
      <w:tblPr>
        <w:tblW w:w="8800" w:type="dxa"/>
        <w:jc w:val="left"/>
        <w:tblInd w:w="0" w:type="dxa"/>
        <w:tblLayout w:type="fixed"/>
        <w:tblCellMar>
          <w:top w:w="28" w:type="dxa"/>
          <w:left w:w="28" w:type="dxa"/>
          <w:bottom w:w="28" w:type="dxa"/>
          <w:right w:w="28" w:type="dxa"/>
        </w:tblCellMar>
      </w:tblPr>
      <w:tblGrid>
        <w:gridCol w:w="1091"/>
        <w:gridCol w:w="961"/>
        <w:gridCol w:w="962"/>
        <w:gridCol w:w="230"/>
        <w:gridCol w:w="868"/>
        <w:gridCol w:w="118"/>
        <w:gridCol w:w="118"/>
        <w:gridCol w:w="118"/>
        <w:gridCol w:w="118"/>
        <w:gridCol w:w="230"/>
        <w:gridCol w:w="868"/>
        <w:gridCol w:w="118"/>
        <w:gridCol w:w="109"/>
        <w:gridCol w:w="109"/>
        <w:gridCol w:w="109"/>
        <w:gridCol w:w="211"/>
        <w:gridCol w:w="691"/>
        <w:gridCol w:w="109"/>
        <w:gridCol w:w="109"/>
        <w:gridCol w:w="109"/>
        <w:gridCol w:w="109"/>
        <w:gridCol w:w="360"/>
        <w:gridCol w:w="361"/>
        <w:gridCol w:w="614"/>
      </w:tblGrid>
      <w:tr>
        <w:trPr/>
        <w:tc>
          <w:tcPr>
            <w:tcW w:w="10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20"/>
              </w:rPr>
            </w:pPr>
            <w:r>
              <w:rPr>
                <w:rFonts w:ascii="Times New Roman;sans-serif" w:hAnsi="Times New Roman;sans-serif"/>
                <w:b/>
                <w:i/>
                <w:color w:val="000000"/>
                <w:sz w:val="20"/>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development costs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idling costs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(20,857)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net</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(17,618)</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Operating revenue. </w:t>
      </w:r>
      <w:r>
        <w:rPr>
          <w:rFonts w:ascii="Times New Roman;sans-serif" w:hAnsi="Times New Roman;sans-serif"/>
          <w:b w:val="false"/>
          <w:color w:val="000000"/>
          <w:sz w:val="20"/>
        </w:rPr>
        <w:t>During the three months ended March 31, 2023, operating revenue increased $3.8 million compared to the three months ended March 31, 2022, primarily due sales of natural gas from our RNG Project. During the three months ended March 31, 2023, we sold 63,846 MMBtu of RNG from our RNG Project, resulting in natural gas commodity sales of $0.1 million and environmental attribute sales of $3.5 million, as well as $0.4 million of isooctane.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Cost of production.</w:t>
      </w:r>
      <w:r>
        <w:rPr>
          <w:color w:val="000000"/>
        </w:rPr>
        <w:t xml:space="preserve"> </w:t>
      </w:r>
      <w:r>
        <w:rPr>
          <w:rFonts w:ascii="Times New Roman;sans-serif" w:hAnsi="Times New Roman;sans-serif"/>
          <w:b w:val="false"/>
          <w:color w:val="000000"/>
          <w:sz w:val="20"/>
        </w:rPr>
        <w:t>Cost of production increased $1.3 million during the three months ended March 31, 2023, compared to the three months ended March 31, 2022, primarily due to the costs related to RNG production and sales, partially offset by lower costs from minimal production at the Luverne Facility compared to the three months ended March 31, 2022, before it was put into care and maintenance.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Depreciation and amortization increased $3.1 million during the three months ended March 31, 2023, compared to the three months ended March 31, 2022, primarily due to additional depreciation for RNG assets placed into service in 2022 and accelerated depreciation on Agri-Energy segment assets due to shorter lives stemming from the impairment assessment during the third quarter of 2022.</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Research and development expense.</w:t>
      </w:r>
      <w:r>
        <w:rPr>
          <w:color w:val="000000"/>
        </w:rPr>
        <w:t xml:space="preserve"> </w:t>
      </w:r>
      <w:r>
        <w:rPr>
          <w:rFonts w:ascii="Times New Roman;sans-serif" w:hAnsi="Times New Roman;sans-serif"/>
          <w:b w:val="false"/>
          <w:color w:val="000000"/>
          <w:sz w:val="20"/>
        </w:rPr>
        <w:t>Research and development expense remained flat during the three months ended March 31, 2023, compared to the three months ended March 31, 2022, an increase in patent and personnel related costs, as well as lab work and supplies related to our ETO and other technologies was offset by a reduction of consulting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General and administrative expense.</w:t>
      </w:r>
      <w:r>
        <w:rPr>
          <w:color w:val="000000"/>
        </w:rPr>
        <w:t xml:space="preserve"> </w:t>
      </w:r>
      <w:r>
        <w:rPr>
          <w:rFonts w:ascii="Times New Roman;sans-serif" w:hAnsi="Times New Roman;sans-serif"/>
          <w:b w:val="false"/>
          <w:color w:val="000000"/>
          <w:sz w:val="20"/>
        </w:rPr>
        <w:t>General and administrative expense increased $1.4 million during the three months ended March 31, 2023, compared to the three months ended March 31, 2022, primarily due to increases in personnel costs related to hiring of highly qualified and skilled professionals for our strategic projects, including NZ1 and NZ2 projects, as well as VCS and DOE programs. An additional contributor to the increase was non-cash stock-based compensation and professional consulting fees.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Project development costs</w:t>
      </w:r>
      <w:r>
        <w:rPr>
          <w:rFonts w:ascii="Times New Roman;sans-serif" w:hAnsi="Times New Roman;sans-serif"/>
          <w:b w:val="false"/>
          <w:color w:val="000000"/>
          <w:sz w:val="20"/>
        </w:rPr>
        <w:t>. Project development costs are related to our future Net-Zero Projects and VCS which consist primarily of employee expenses, preliminary engineering and technical consulting costs. Project development costs increased $1.9 million during the three months ended March 31, 2023, compared to the three months ended March 31, 2022, primarily due to increases in personnel costs, consulting, and professional fees.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Facility idling costs.</w:t>
      </w:r>
      <w:r>
        <w:rPr>
          <w:color w:val="000000"/>
        </w:rPr>
        <w:t xml:space="preserve"> </w:t>
      </w:r>
      <w:r>
        <w:rPr>
          <w:rFonts w:ascii="Times New Roman;sans-serif" w:hAnsi="Times New Roman;sans-serif"/>
          <w:b w:val="false"/>
          <w:color w:val="000000"/>
          <w:sz w:val="20"/>
        </w:rPr>
        <w:t>Facility idling costs of $1.0 million for the three months ended March 31, 2023, is related to the care and maintenance of our Luverne Facility. We plan to utilize the Luverne Facility as a development scale plant to advance our technology and operational knowledge to help us in achieving operational success as we scale up the production and delivery of hydrocarbons and chemical products for our customers and partners.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Loss from operations</w:t>
      </w:r>
      <w:r>
        <w:rPr>
          <w:rFonts w:ascii="Times New Roman;sans-serif" w:hAnsi="Times New Roman;sans-serif"/>
          <w:b w:val="false"/>
          <w:color w:val="000000"/>
          <w:sz w:val="20"/>
        </w:rPr>
        <w:t>. Our loss from operations increased by $4.9 million during the three months ended March 31, 2023, compared to the three months ended March 31, 2022, primarily due to the increased activities for our Net-Zero Projects and VCS. See explanations for each line item above.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Interest expense</w:t>
      </w:r>
      <w:r>
        <w:rPr>
          <w:rFonts w:ascii="Times New Roman;sans-serif" w:hAnsi="Times New Roman;sans-serif"/>
          <w:b w:val="false"/>
          <w:color w:val="000000"/>
          <w:sz w:val="20"/>
        </w:rPr>
        <w:t>. Interest expense increased $0.5 million during the three months ended March 31, 2023, compared to the three months ended March 31, 2022, primarily due to the interest on the 2021 Bonds, which was capitalized into construction in process during the construction phase of our RNG Project in the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 xml:space="preserve">Investment income. </w:t>
      </w:r>
      <w:r>
        <w:rPr>
          <w:rFonts w:ascii="Times New Roman;sans-serif" w:hAnsi="Times New Roman;sans-serif"/>
          <w:b w:val="false"/>
          <w:color w:val="000000"/>
          <w:sz w:val="20"/>
        </w:rPr>
        <w:t>Investment income increased $2.8 million during the three months ended March 31, 2023, compared to the three months ended March 31, 2022, primarily due to higher interest earned on our cash equivalent investments as a result of higher 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ans-serif" w:hAnsi="Times New Roman;sans-serif"/>
          <w:b w:val="false"/>
          <w:i/>
          <w:color w:val="000000"/>
          <w:sz w:val="20"/>
        </w:rPr>
        <w:t>Other income</w:t>
      </w:r>
      <w:r>
        <w:rPr>
          <w:rFonts w:ascii="Times New Roman;sans-serif" w:hAnsi="Times New Roman;sans-serif"/>
          <w:b w:val="false"/>
          <w:color w:val="000000"/>
          <w:sz w:val="20"/>
        </w:rPr>
        <w:t>. Other income increased $0.7 million for the three months ended March 31, 2023, compared to the three months ended March 31, 2022, primarily due to higher interest earned on our restricted cash balances as a result of higher interest rates.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ans-serif" w:hAnsi="Times New Roman;sans-serif"/>
          <w:b w:val="false"/>
          <w:color w:val="000000"/>
          <w:sz w:val="20"/>
          <w:shd w:fill="FFFFFF" w:val="clear"/>
        </w:rPr>
        <w:t xml:space="preserve">There have been no significant changes to our critical accounting estimates and policies since December 31, 2022. For a description of our other critical accounting policies and estimates that affect our significant judgments and estimates used in the preparation of our consolidated financial statements, refer to “Management's Discussion and Analysis of Financial Condition and Results of Operations—Critical Accounting Estimates” contained in our </w:t>
      </w:r>
      <w:r>
        <w:rPr>
          <w:rFonts w:ascii="Times New Roman;sans-serif" w:hAnsi="Times New Roman;sans-serif"/>
          <w:b w:val="false"/>
          <w:color w:val="000000"/>
          <w:sz w:val="20"/>
        </w:rPr>
        <w:t>2022</w:t>
      </w:r>
      <w:r>
        <w:rPr>
          <w:color w:val="000000"/>
          <w:shd w:fill="FFFFFF" w:val="clear"/>
        </w:rPr>
        <w:t xml:space="preserve"> </w:t>
      </w:r>
      <w:r>
        <w:rPr>
          <w:rFonts w:ascii="Times New Roman;sans-serif" w:hAnsi="Times New Roman;sans-serif"/>
          <w:b w:val="false"/>
          <w:color w:val="000000"/>
          <w:sz w:val="20"/>
          <w:shd w:fill="FFFFFF" w:val="clear"/>
        </w:rPr>
        <w:t>Annual Report.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unaudited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pStyle w:val="TextBody"/>
        <w:bidi w:val="0"/>
        <w:spacing w:before="0" w:after="0"/>
        <w:ind w:left="0" w:right="0" w:firstLine="52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cash and cash equivalents of $342.3 million, current and non-current restricted cash of $77.8 million, and short-term marketable securities of $32.9 million, net of unrealized losses of $0.1 million, totaling $452.9 million in cash, cash equivalents, and marketable securities. As of March 31, 2023, we have net working capital of $360.8 million, with $25.6 million of current liabilities. Our cash equivalents primarily consist of investments in J.P Morgan U.S. government money market funds. Our marketable securities are highly liquid and can be converted to cash when needed for operations, development, and construction. We expect to use our cash, cash equivalents, restricted cash and marketable securities for the following purposes: (i) identification, development, engineering, licensing, acquisition and construction of new production facilities and to fulfill existing offtake agreements for NZ1 and the Company's other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We have financed our operations primarily with proceeds from the issuance of equity, warrants, debt securities, and borrowings under debt facilities. We may fund future operations through additional private and/or public offerings of equity or debt securities. In addition, the Company may seek additional capital, on acceptable terms, through arrangements with strategic partners or from other sources. Notwithstanding, there can be no assurance that the Company will be able to raise additional funds or achieve or sustain profitability or positive cash flows from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transition to profitability is dependent upon, among other things, the successful development and commercialization of its product candidates, the development, licensing, acquisition and construction of commercial level production facilities to support the Company's offtake agreements, the achievement of a level of revenues adequate to support the Company's cost structure, and the ability to raise capital to finance the development, licensing, acquisition, and construction of additional productions facilities.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major sources and uses of cash for each of the periods set forth below (in thousands):</w:t>
      </w:r>
    </w:p>
    <w:p>
      <w:pPr>
        <w:pStyle w:val="TextBody"/>
        <w:bidi w:val="0"/>
        <w:spacing w:before="0" w:after="0"/>
        <w:ind w:left="0" w:right="0" w:firstLine="540"/>
        <w:jc w:val="left"/>
        <w:rPr/>
      </w:pPr>
      <w:r>
        <w:rPr/>
      </w:r>
    </w:p>
    <w:tbl>
      <w:tblPr>
        <w:tblW w:w="6282" w:type="dxa"/>
        <w:jc w:val="left"/>
        <w:tblInd w:w="0" w:type="dxa"/>
        <w:tblLayout w:type="fixed"/>
        <w:tblCellMar>
          <w:top w:w="28" w:type="dxa"/>
          <w:left w:w="28" w:type="dxa"/>
          <w:bottom w:w="28" w:type="dxa"/>
          <w:right w:w="28" w:type="dxa"/>
        </w:tblCellMar>
      </w:tblPr>
      <w:tblGrid>
        <w:gridCol w:w="1248"/>
        <w:gridCol w:w="1099"/>
        <w:gridCol w:w="1102"/>
        <w:gridCol w:w="227"/>
        <w:gridCol w:w="889"/>
        <w:gridCol w:w="117"/>
        <w:gridCol w:w="117"/>
        <w:gridCol w:w="117"/>
        <w:gridCol w:w="117"/>
        <w:gridCol w:w="227"/>
        <w:gridCol w:w="857"/>
        <w:gridCol w:w="165"/>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(19,446)</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from operating activities are personnel-related expenses, and research and development-related expenses, including costs incurred under development agreements, costs of licensing of technology, legal-related costs, and other expenses for preliminary project development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net cash used for operating activities was $19.4 million compared to $12.5 million for the three months ended March 31, 2022. Non-cash charges primarily consisted of stock-based compensation expense of $4.7 million, depreciation and amortization of $4.6 million and other non-cash expense of $0.2 million, partially offset by non-cash amortization of discounts on marketable securities of $0.1 million. The net cash outflow from changes in operating assets and liabilities increased $7.4 million, primarily due to increased cash outflows of $10.5 million in prepaid expenses and other current assets due to deposits to secure long-lead equipment power transmission and distribution facilities for NZ1, and $1.2 million related to increases in accounts receivable primarily due to higher sales of environmental attributes. These were partially offset by $1.6 million of decreased costs associated with the sale of environmental attribute inventory and $2.7 million of accounts payable.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Investing Activities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used $124.2 million in cash for investing activities, of which $135.6 million related to proceeds from sales and maturities of marketable securities, and $11.4 million of investments in our capital projects, including $1.5 million in the RNG Project, $8.0 million for NZ1, as well as $2.0 million in other projects.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NZ1 project development is proceeding with water and wind energy development agreements executed in the third quarter of 2022, and other key milestones are on track for completion in accordance with our comprehensive project plan. Based on the ongoing engineering work, the installed cost for NZ1 is currently forecasted to be approximately $850 million, excluding certain contingencies and financing costs. Upon receiving an invitation from the DOE, we submitted The Part Two Application for a DOE loan guarantee for a direct lending from Federal Financing Bank. This DOE guarantee lending facility is expected to offer the lowest cost of debt for the project. In light of this route to debt financing,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working with our contractors to reduce our projected spend prior to financial close from our originally projected $100 million to $200 million range.</w:t>
      </w:r>
    </w:p>
    <w:p>
      <w:pPr>
        <w:pStyle w:val="TextBody"/>
        <w:bidi w:val="0"/>
        <w:spacing w:before="0" w:after="0"/>
        <w:jc w:val="left"/>
        <w:rPr/>
      </w:pPr>
      <w:r>
        <w:rPr/>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2022 we allocated approximately $25 million to develop our next Net-Zero Project, of which we have spent approximately $11 million. Based on our progress and discretion we anticipate spending the remaining $14 million in the next four to six months. Gevo is in the process of identifying and performing early site development work for additional SAF production locations. These potential sites include several greenfield locations that are particularly advantageous in terms of potential economics, opportunities to decarbonize, and time to market.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we had $0.1 million of net cash used in financing activities, primarily due to payments for finance lease liabilities and certain equipment loans.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expect to finance the construction of NZ1 at the subsidiary level using third-party capital. The Company expects to retain a carried equity interest in the project and may invest additional equity in the project using the proceeds from the reimbursement of the Company's NZ1 development expenditures. Cash distributions from future NZ1 earnings would be proportionate to Gevo’s minority ownership in NZ1 under this expected financing structure which would reduce revenue to us but allow us to conserve and redeploy capital on other growth projects, including NZ2. We expect to apply similar development and financing approaches to NZ2 and future Net-Zero Projects to enable rapid growth of SAF production to meet current contractual demand for SAF.</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2022 Annual Report.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pStyle w:val="TextBody"/>
        <w:bidi w:val="0"/>
        <w:spacing w:before="0" w:after="0"/>
        <w:ind w:left="0" w:right="0" w:firstLine="528"/>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2023,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that occurred during the three months ended March 31,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discussion of legal matters is found in Note 16, Commitments and Contingencies, in the accompanying Notes to the Financial Statements included in Part I - Item 1. Financial Statements of this Report.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discussed in Part I, Item 1A. “Risk Factors” in our 2022 Annual Report, which could materially affect our business, financial condition, cash flows or future results. There have been no material changes in our risk factors included in our 2022 Annual Report. The risk factors in our 2022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2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528"/>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594"/>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exhibits listed below are filed or furnished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092"/>
        <w:gridCol w:w="1092"/>
        <w:gridCol w:w="1103"/>
        <w:gridCol w:w="109"/>
        <w:gridCol w:w="109"/>
        <w:gridCol w:w="109"/>
        <w:gridCol w:w="195"/>
        <w:gridCol w:w="195"/>
        <w:gridCol w:w="196"/>
        <w:gridCol w:w="109"/>
        <w:gridCol w:w="109"/>
        <w:gridCol w:w="109"/>
        <w:gridCol w:w="342"/>
        <w:gridCol w:w="281"/>
        <w:gridCol w:w="197"/>
        <w:gridCol w:w="109"/>
        <w:gridCol w:w="109"/>
        <w:gridCol w:w="109"/>
        <w:gridCol w:w="492"/>
        <w:gridCol w:w="339"/>
        <w:gridCol w:w="290"/>
        <w:gridCol w:w="109"/>
        <w:gridCol w:w="109"/>
        <w:gridCol w:w="109"/>
        <w:gridCol w:w="245"/>
        <w:gridCol w:w="245"/>
        <w:gridCol w:w="246"/>
        <w:gridCol w:w="109"/>
        <w:gridCol w:w="109"/>
        <w:gridCol w:w="109"/>
        <w:gridCol w:w="272"/>
        <w:gridCol w:w="272"/>
        <w:gridCol w:w="398"/>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24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8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Filed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Times New Roman;sans-serif" w:hAnsi="Times New Roman;sans-serif"/>
                  <w:b w:val="false"/>
                  <w:color w:val="000000"/>
                  <w:sz w:val="20"/>
                  <w:u w:val="single"/>
                </w:rPr>
                <w:t>Amended and Restated Certificate of Incorporation of Gevo, Inc.</w:t>
              </w:r>
            </w:hyperlink>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001-35073</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ans-serif" w:hAnsi="Times New Roman;sans-serif"/>
                  <w:b w:val="false"/>
                  <w:color w:val="000000"/>
                  <w:sz w:val="20"/>
                  <w:u w:val="single"/>
                </w:rPr>
                <w:t>Second Amended and Restated Bylaws of Gevo, Inc.</w:t>
              </w:r>
            </w:hyperlink>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ans-serif" w:hAnsi="Times New Roman;sans-serif"/>
                <w:b w:val="false"/>
                <w:color w:val="000000"/>
                <w:sz w:val="20"/>
              </w:rPr>
              <w:br/>
              <w:t>8-K</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001-35073</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November 24, 2021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
              <w:r>
                <w:rPr>
                  <w:rStyle w:val="InternetLink"/>
                  <w:rFonts w:ascii="Times New Roman;sans-serif" w:hAnsi="Times New Roman;sans-serif"/>
                  <w:b w:val="false"/>
                  <w:color w:val="000000"/>
                  <w:sz w:val="20"/>
                  <w:u w:val="single"/>
                </w:rPr>
                <w:t>Form of Gevo, Inc. Common Stock Certificate.</w:t>
              </w:r>
            </w:hyperlink>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ans-serif" w:hAnsi="Times New Roman;sans-serif"/>
                <w:b w:val="false"/>
                <w:color w:val="000000"/>
                <w:sz w:val="20"/>
              </w:rPr>
              <w:br/>
              <w:t>S-1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82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333-168792</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1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19, 2011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94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u w:val="single"/>
                </w:rPr>
                <w:t>Amended and Restated Fuel Supply Agreement, dated March 15, 2023, by and between Gevo, Inc. and Kolmar Americas,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001-35073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15,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7"/>
        <w:gridCol w:w="248"/>
        <w:gridCol w:w="109"/>
        <w:gridCol w:w="109"/>
        <w:gridCol w:w="109"/>
        <w:gridCol w:w="1324"/>
        <w:gridCol w:w="1324"/>
        <w:gridCol w:w="1338"/>
        <w:gridCol w:w="109"/>
        <w:gridCol w:w="109"/>
        <w:gridCol w:w="109"/>
        <w:gridCol w:w="195"/>
        <w:gridCol w:w="195"/>
        <w:gridCol w:w="196"/>
        <w:gridCol w:w="109"/>
        <w:gridCol w:w="109"/>
        <w:gridCol w:w="109"/>
        <w:gridCol w:w="168"/>
        <w:gridCol w:w="168"/>
        <w:gridCol w:w="170"/>
        <w:gridCol w:w="109"/>
        <w:gridCol w:w="109"/>
        <w:gridCol w:w="109"/>
        <w:gridCol w:w="236"/>
        <w:gridCol w:w="236"/>
        <w:gridCol w:w="237"/>
        <w:gridCol w:w="109"/>
        <w:gridCol w:w="109"/>
        <w:gridCol w:w="109"/>
        <w:gridCol w:w="245"/>
        <w:gridCol w:w="245"/>
        <w:gridCol w:w="246"/>
        <w:gridCol w:w="109"/>
        <w:gridCol w:w="109"/>
        <w:gridCol w:w="109"/>
        <w:gridCol w:w="272"/>
        <w:gridCol w:w="272"/>
        <w:gridCol w:w="40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18"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Filed</w:t>
            </w:r>
          </w:p>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Herewith</w:t>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3exhibit311.htm">
              <w:r>
                <w:rPr>
                  <w:rStyle w:val="InternetLink"/>
                  <w:rFonts w:ascii="Times New Roman;sans-serif" w:hAnsi="Times New Roman;sans-serif"/>
                  <w:b w:val="false"/>
                  <w:color w:val="000000"/>
                  <w:sz w:val="20"/>
                  <w:u w:val="single"/>
                </w:rPr>
                <w:t>Section 302 Certification of the Principal Executive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3exhibit312.htm">
              <w:r>
                <w:rPr>
                  <w:rStyle w:val="InternetLink"/>
                  <w:rFonts w:ascii="Times New Roman;sans-serif" w:hAnsi="Times New Roman;sans-serif"/>
                  <w:b w:val="false"/>
                  <w:color w:val="000000"/>
                  <w:sz w:val="20"/>
                  <w:u w:val="single"/>
                </w:rPr>
                <w:t>Section 302 Certification of the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12023exhibit321.htm">
              <w:r>
                <w:rPr>
                  <w:rStyle w:val="InternetLink"/>
                  <w:rFonts w:ascii="Times New Roman;sans-serif" w:hAnsi="Times New Roman;sans-serif"/>
                  <w:b w:val="false"/>
                  <w:color w:val="000000"/>
                  <w:sz w:val="20"/>
                  <w:u w:val="single"/>
                </w:rPr>
                <w:t>Section 906 Certification of the Principal Executive Officer and Principal Financial Officer.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r>
              <w:rPr>
                <w:rFonts w:ascii="Times New Roman;sans-serif" w:hAnsi="Times New Roman;sans-serif"/>
                <w:b w:val="false"/>
                <w:color w:val="000000"/>
                <w:sz w:val="20"/>
              </w:rPr>
              <w:br/>
              <w:t>**</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 </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4"/>
              </w:rPr>
            </w:pPr>
            <w:r>
              <w:rPr>
                <w:rFonts w:ascii="Arial;sans-serif" w:hAnsi="Arial;sans-serif"/>
                <w:b w:val="false"/>
                <w:color w:val="000000"/>
                <w:sz w:val="24"/>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the exhibit have been omitted pursuant to Rule 601(b)(10) of Regulation S-K. The omitted information is not material and is the type of information that the registrant treats as private or confidential.</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Gevo,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(REGISTRANT)</w:t>
      </w:r>
    </w:p>
    <w:p>
      <w:pPr>
        <w:pStyle w:val="TextBody"/>
        <w:bidi w:val="0"/>
        <w:spacing w:before="0" w:after="0"/>
        <w:jc w:val="left"/>
        <w:rPr/>
      </w:pPr>
      <w:r>
        <w:rPr/>
      </w:r>
    </w:p>
    <w:tbl>
      <w:tblPr>
        <w:tblW w:w="4919" w:type="dxa"/>
        <w:jc w:val="left"/>
        <w:tblInd w:w="0" w:type="dxa"/>
        <w:tblLayout w:type="fixed"/>
        <w:tblCellMar>
          <w:top w:w="28" w:type="dxa"/>
          <w:left w:w="28" w:type="dxa"/>
          <w:bottom w:w="28" w:type="dxa"/>
          <w:right w:w="28" w:type="dxa"/>
        </w:tblCellMar>
      </w:tblPr>
      <w:tblGrid>
        <w:gridCol w:w="151"/>
        <w:gridCol w:w="134"/>
        <w:gridCol w:w="135"/>
        <w:gridCol w:w="1317"/>
        <w:gridCol w:w="1317"/>
        <w:gridCol w:w="186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Alisher Nurmat</w:t>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49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Alisher Nurmat, CPA</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Vice President and Controller</w:t>
            </w:r>
          </w:p>
          <w:p>
            <w:pPr>
              <w:pStyle w:val="TableContents"/>
              <w:bidi w:val="0"/>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(Duly Authorized Officer and Principal Accounting Officer)</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Patrick R. Gruber, certify that: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Gevo, Inc. (the “Registrant”);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p>
      <w:pPr>
        <w:pStyle w:val="TextBody"/>
        <w:bidi w:val="0"/>
        <w:spacing w:lineRule="auto" w:line="240" w:before="0" w:after="0"/>
        <w:jc w:val="left"/>
        <w:rPr>
          <w:color w:val="000000"/>
        </w:rPr>
      </w:pPr>
      <w:r>
        <w:rPr>
          <w:color w:val="000000"/>
        </w:rPr>
        <w:t> </w:t>
      </w:r>
    </w:p>
    <w:tbl>
      <w:tblPr>
        <w:tblW w:w="2265" w:type="dxa"/>
        <w:jc w:val="left"/>
        <w:tblInd w:w="0" w:type="dxa"/>
        <w:tblLayout w:type="fixed"/>
        <w:tblCellMar>
          <w:top w:w="28" w:type="dxa"/>
          <w:left w:w="28" w:type="dxa"/>
          <w:bottom w:w="28" w:type="dxa"/>
          <w:right w:w="28" w:type="dxa"/>
        </w:tblCellMar>
      </w:tblPr>
      <w:tblGrid>
        <w:gridCol w:w="726"/>
        <w:gridCol w:w="638"/>
        <w:gridCol w:w="90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Patrick R. Gruber</w:t>
            </w:r>
          </w:p>
        </w:tc>
      </w:tr>
      <w:tr>
        <w:trPr/>
        <w:tc>
          <w:tcPr>
            <w:tcW w:w="22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Patrick R. Gruber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L. Lynn Smull, certify that: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Gevo, Inc. (the “Registrant”);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120" w:after="283"/>
        <w:ind w:left="0" w:right="0" w:hanging="4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p>
      <w:pPr>
        <w:pStyle w:val="TextBody"/>
        <w:bidi w:val="0"/>
        <w:spacing w:lineRule="auto" w:line="240" w:before="0" w:after="0"/>
        <w:jc w:val="left"/>
        <w:rPr>
          <w:color w:val="000000"/>
        </w:rPr>
      </w:pPr>
      <w:r>
        <w:rPr>
          <w:color w:val="000000"/>
        </w:rPr>
        <w:t> </w:t>
      </w:r>
    </w:p>
    <w:tbl>
      <w:tblPr>
        <w:tblW w:w="2384" w:type="dxa"/>
        <w:jc w:val="left"/>
        <w:tblInd w:w="0" w:type="dxa"/>
        <w:tblLayout w:type="fixed"/>
        <w:tblCellMar>
          <w:top w:w="28" w:type="dxa"/>
          <w:left w:w="28" w:type="dxa"/>
          <w:bottom w:w="28" w:type="dxa"/>
          <w:right w:w="28" w:type="dxa"/>
        </w:tblCellMar>
      </w:tblPr>
      <w:tblGrid>
        <w:gridCol w:w="760"/>
        <w:gridCol w:w="668"/>
        <w:gridCol w:w="956"/>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 Lynn Smull</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L. Lynn Smull</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Chief Financial Officer</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CERTIFICATIONS PURSUANT TO SECTION 906 OF THE SARBANES-OXLEY ACT OF 2002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Patrick R. Gruber, Chief Executive Officer of Gevo, Inc. (the "Company"), and I, L. Lynn Smull, Chief Financial Officer of the Company, certify, pursuant to 18 U.S.C. Section 1350, as adopted pursuant to Section 906 of the Sarbanes-Oxley Act of 2002, that:</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Quarterly Report on Form 10-Q of the Company for the quarter ended March 31, 2023 (the "Report"), fully complies with the requirements of Section 13(a) or 15(d) of the Securities Exchange Act of 1934, as amended; and</w:t>
      </w:r>
    </w:p>
    <w:p>
      <w:pPr>
        <w:pStyle w:val="TextBody"/>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for the period covered by the Report.</w:t>
      </w:r>
    </w:p>
    <w:p>
      <w:pPr>
        <w:pStyle w:val="TextBody"/>
        <w:bidi w:val="0"/>
        <w:spacing w:lineRule="auto" w:line="240" w:before="360" w:after="283"/>
        <w:jc w:val="left"/>
        <w:rPr>
          <w:color w:val="000000"/>
        </w:rPr>
      </w:pPr>
      <w:r>
        <w:rPr>
          <w:color w:val="000000"/>
        </w:rPr>
        <w:t> </w:t>
      </w:r>
    </w:p>
    <w:tbl>
      <w:tblPr>
        <w:tblW w:w="2384" w:type="dxa"/>
        <w:jc w:val="left"/>
        <w:tblInd w:w="0" w:type="dxa"/>
        <w:tblLayout w:type="fixed"/>
        <w:tblCellMar>
          <w:top w:w="28" w:type="dxa"/>
          <w:left w:w="28" w:type="dxa"/>
          <w:bottom w:w="28" w:type="dxa"/>
          <w:right w:w="28" w:type="dxa"/>
        </w:tblCellMar>
      </w:tblPr>
      <w:tblGrid>
        <w:gridCol w:w="761"/>
        <w:gridCol w:w="670"/>
        <w:gridCol w:w="953"/>
      </w:tblGrid>
      <w:tr>
        <w:trPr/>
        <w:tc>
          <w:tcPr>
            <w:tcW w:w="76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May 10, 2023</w:t>
            </w:r>
          </w:p>
          <w:p>
            <w:pPr>
              <w:pStyle w:val="TableContents"/>
              <w:bidi w:val="0"/>
              <w:spacing w:before="0" w:after="2"/>
              <w:jc w:val="left"/>
              <w:rPr/>
            </w:pPr>
            <w:r>
              <w:rPr/>
            </w:r>
          </w:p>
          <w:p>
            <w:pPr>
              <w:pStyle w:val="TableContents"/>
              <w:bidi w:val="0"/>
              <w:spacing w:before="0" w:after="0"/>
              <w:jc w:val="left"/>
              <w:rPr/>
            </w:pPr>
            <w:r>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Patrick R. Gruber</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Patrick R. Gruber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Chief Executive Officer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(Principal Executive Officer)</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L. Lynn Smull</w:t>
            </w:r>
          </w:p>
        </w:tc>
      </w:tr>
      <w:tr>
        <w:trPr/>
        <w:tc>
          <w:tcPr>
            <w:tcW w:w="23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L. Lynn Smull</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Chief Financial Officer</w:t>
            </w:r>
          </w:p>
          <w:p>
            <w:pPr>
              <w:pStyle w:val="TableContents"/>
              <w:bidi w:val="0"/>
              <w:spacing w:lineRule="auto" w:line="319" w:before="0" w:after="2"/>
              <w:jc w:val="center"/>
              <w:rPr>
                <w:rFonts w:ascii="Times New Roman;sans-serif" w:hAnsi="Times New Roman;sans-serif"/>
                <w:b/>
                <w:color w:val="000000"/>
                <w:sz w:val="16"/>
              </w:rPr>
            </w:pPr>
            <w:r>
              <w:rPr>
                <w:rFonts w:ascii="Times New Roman;sans-serif" w:hAnsi="Times New Roman;sans-serif"/>
                <w:b/>
                <w:color w:val="000000"/>
                <w:sz w:val="16"/>
              </w:rPr>
              <w:t>(Principal Accounting Officer)</w:t>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92380/000143774922004346/ex_337695.htm" TargetMode="External"/><Relationship Id="rId3" Type="http://schemas.openxmlformats.org/officeDocument/2006/relationships/hyperlink" Target="https://www.sec.gov/Archives/edgar/data/1392380/000143774921027382/ex_310252.htm" TargetMode="External"/><Relationship Id="rId4" Type="http://schemas.openxmlformats.org/officeDocument/2006/relationships/hyperlink" Target="http://www.sec.gov/Archives/edgar/data/1392380/000119312511009935/dex41.htm" TargetMode="External"/><Relationship Id="rId5" Type="http://schemas.openxmlformats.org/officeDocument/2006/relationships/hyperlink" Target="https://www.sec.gov/Archives/edgar/data/1392380/000139238023000015/kolmar-fuelsupplyagreemen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17956</Words>
  <Characters>99379</Characters>
  <CharactersWithSpaces>116098</CharactersWithSpaces>
  <Paragraphs>2237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