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3820" w:right="1600" w:hanging="3812"/>
        <w:spacing w:after="0" w:line="500" w:lineRule="auto"/>
        <w:tabs>
          <w:tab w:leader="none" w:pos="50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2880" w:right="1160" w:hanging="2872"/>
        <w:spacing w:after="0" w:line="493" w:lineRule="auto"/>
        <w:tabs>
          <w:tab w:leader="none" w:pos="49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AND EXCHANGE ACT OF 1934 For the transition period from ________________ to ________________</w:t>
      </w:r>
    </w:p>
    <w:p>
      <w:pPr>
        <w:ind w:left="42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GEVO,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60" w:type="dxa"/>
            <w:vAlign w:val="bottom"/>
            <w:gridSpan w:val="2"/>
          </w:tcPr>
          <w:p>
            <w:pPr>
              <w:jc w:val="center"/>
              <w:ind w:right="810"/>
              <w:spacing w:after="0"/>
              <w:rPr>
                <w:sz w:val="20"/>
                <w:szCs w:val="20"/>
                <w:color w:val="auto"/>
              </w:rPr>
            </w:pPr>
            <w:r>
              <w:rPr>
                <w:rFonts w:ascii="Arial" w:cs="Arial" w:eastAsia="Arial" w:hAnsi="Arial"/>
                <w:sz w:val="18"/>
                <w:szCs w:val="18"/>
                <w:b w:val="1"/>
                <w:bCs w:val="1"/>
                <w:color w:val="auto"/>
                <w:w w:val="91"/>
              </w:rPr>
              <w:t>Delaware</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8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rPr>
              <w:t>87-0747704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(State or other jurisdiction of</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1"/>
              </w:rPr>
              <w:t>incorporation or organization)</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846"/>
        </w:trPr>
        <w:tc>
          <w:tcPr>
            <w:tcW w:w="300" w:type="dxa"/>
            <w:vAlign w:val="bottom"/>
          </w:tcPr>
          <w:p>
            <w:pPr>
              <w:spacing w:after="0"/>
              <w:rPr>
                <w:sz w:val="24"/>
                <w:szCs w:val="24"/>
                <w:color w:val="auto"/>
              </w:rPr>
            </w:pPr>
          </w:p>
        </w:tc>
        <w:tc>
          <w:tcPr>
            <w:tcW w:w="44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345 Inverness Drive South, Building C, Suite 310</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60" w:type="dxa"/>
            <w:vAlign w:val="bottom"/>
            <w:gridSpan w:val="2"/>
          </w:tcPr>
          <w:p>
            <w:pPr>
              <w:jc w:val="center"/>
              <w:ind w:right="810"/>
              <w:spacing w:after="0"/>
              <w:rPr>
                <w:sz w:val="20"/>
                <w:szCs w:val="20"/>
                <w:color w:val="auto"/>
              </w:rPr>
            </w:pPr>
            <w:r>
              <w:rPr>
                <w:rFonts w:ascii="Arial" w:cs="Arial" w:eastAsia="Arial" w:hAnsi="Arial"/>
                <w:sz w:val="18"/>
                <w:szCs w:val="18"/>
                <w:b w:val="1"/>
                <w:bCs w:val="1"/>
                <w:color w:val="auto"/>
                <w:w w:val="90"/>
              </w:rPr>
              <w:t>Englewood, CO</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80" w:type="dxa"/>
            <w:vAlign w:val="bottom"/>
            <w:gridSpan w:val="2"/>
          </w:tcPr>
          <w:p>
            <w:pPr>
              <w:jc w:val="right"/>
              <w:ind w:right="2070"/>
              <w:spacing w:after="0"/>
              <w:rPr>
                <w:sz w:val="20"/>
                <w:szCs w:val="20"/>
                <w:color w:val="auto"/>
              </w:rPr>
            </w:pPr>
            <w:r>
              <w:rPr>
                <w:rFonts w:ascii="Arial" w:cs="Arial" w:eastAsia="Arial" w:hAnsi="Arial"/>
                <w:sz w:val="18"/>
                <w:szCs w:val="18"/>
                <w:b w:val="1"/>
                <w:bCs w:val="1"/>
                <w:color w:val="auto"/>
              </w:rPr>
              <w:t>80112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(303) 858-8358</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8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89"/>
              </w:rPr>
              <w:t>(Registrant's telephone number,</w:t>
            </w:r>
          </w:p>
        </w:tc>
        <w:tc>
          <w:tcPr>
            <w:tcW w:w="2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9"/>
              </w:rPr>
              <w:t>including area code)</w:t>
            </w:r>
          </w:p>
        </w:tc>
        <w:tc>
          <w:tcPr>
            <w:tcW w:w="2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5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300" w:type="dxa"/>
            <w:vAlign w:val="bottom"/>
          </w:tcPr>
          <w:p>
            <w:pPr>
              <w:spacing w:after="0"/>
              <w:rPr>
                <w:sz w:val="24"/>
                <w:szCs w:val="24"/>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60" w:type="dxa"/>
            <w:vAlign w:val="bottom"/>
            <w:gridSpan w:val="2"/>
          </w:tcPr>
          <w:p>
            <w:pPr>
              <w:jc w:val="center"/>
              <w:ind w:right="1530"/>
              <w:spacing w:after="0"/>
              <w:rPr>
                <w:sz w:val="20"/>
                <w:szCs w:val="20"/>
                <w:color w:val="auto"/>
              </w:rPr>
            </w:pPr>
            <w:r>
              <w:rPr>
                <w:rFonts w:ascii="Arial" w:cs="Arial" w:eastAsia="Arial" w:hAnsi="Arial"/>
                <w:sz w:val="18"/>
                <w:szCs w:val="18"/>
                <w:b w:val="1"/>
                <w:bCs w:val="1"/>
                <w:color w:val="auto"/>
                <w:w w:val="89"/>
              </w:rPr>
              <w:t>Title of Each Class</w:t>
            </w:r>
          </w:p>
        </w:tc>
        <w:tc>
          <w:tcPr>
            <w:tcW w:w="400" w:type="dxa"/>
            <w:vAlign w:val="bottom"/>
          </w:tcPr>
          <w:p>
            <w:pPr>
              <w:spacing w:after="0"/>
              <w:rPr>
                <w:sz w:val="24"/>
                <w:szCs w:val="24"/>
                <w:color w:val="auto"/>
              </w:rPr>
            </w:pPr>
          </w:p>
        </w:tc>
        <w:tc>
          <w:tcPr>
            <w:tcW w:w="196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Trading Symbol</w:t>
            </w:r>
          </w:p>
        </w:tc>
        <w:tc>
          <w:tcPr>
            <w:tcW w:w="41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4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89"/>
              </w:rPr>
              <w:t>Common Stock, par value $0.01 per share</w:t>
            </w:r>
          </w:p>
        </w:tc>
        <w:tc>
          <w:tcPr>
            <w:tcW w:w="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GEVO</w:t>
            </w:r>
          </w:p>
        </w:tc>
        <w:tc>
          <w:tcPr>
            <w:tcW w:w="2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0"/>
              </w:rPr>
              <w:t>Nasdaq Capital Market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40" w:right="4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20"/>
              <w:spacing w:after="0"/>
              <w:rPr>
                <w:sz w:val="20"/>
                <w:szCs w:val="20"/>
                <w:color w:val="auto"/>
              </w:rPr>
            </w:pPr>
            <w:r>
              <w:rPr>
                <w:rFonts w:ascii="Arial" w:cs="Arial" w:eastAsia="Arial" w:hAnsi="Arial"/>
                <w:sz w:val="18"/>
                <w:szCs w:val="18"/>
                <w:color w:val="auto"/>
              </w:rPr>
              <w:t>Accelerated filer</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20"/>
              <w:spacing w:after="0"/>
              <w:rPr>
                <w:sz w:val="20"/>
                <w:szCs w:val="20"/>
                <w:color w:val="auto"/>
              </w:rPr>
            </w:pPr>
            <w:r>
              <w:rPr>
                <w:rFonts w:ascii="Arial" w:cs="Arial" w:eastAsia="Arial" w:hAnsi="Arial"/>
                <w:sz w:val="18"/>
                <w:szCs w:val="18"/>
                <w:color w:val="auto"/>
              </w:rPr>
              <w:t>Smaller reporting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00" w:type="dxa"/>
            <w:vAlign w:val="bottom"/>
          </w:tcPr>
          <w:p>
            <w:pPr>
              <w:ind w:left="1520"/>
              <w:spacing w:after="0"/>
              <w:rPr>
                <w:sz w:val="20"/>
                <w:szCs w:val="20"/>
                <w:color w:val="auto"/>
              </w:rPr>
            </w:pPr>
            <w:r>
              <w:rPr>
                <w:rFonts w:ascii="Arial" w:cs="Arial" w:eastAsia="Arial" w:hAnsi="Arial"/>
                <w:sz w:val="18"/>
                <w:szCs w:val="18"/>
                <w:color w:val="auto"/>
              </w:rPr>
              <w:t>Emerging growth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April 30, 2021, 198,150,332 shares of the registrant’s common stock were outstanding.</w:t>
      </w:r>
    </w:p>
    <w:p>
      <w:pPr>
        <w:sectPr>
          <w:pgSz w:w="11900" w:h="16838" w:orient="portrait"/>
          <w:cols w:equalWidth="0" w:num="1">
            <w:col w:w="11240"/>
          </w:cols>
          <w:pgMar w:left="320" w:top="692"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80" w:type="dxa"/>
            <w:vAlign w:val="bottom"/>
            <w:gridSpan w:val="11"/>
          </w:tcPr>
          <w:p>
            <w:pPr>
              <w:jc w:val="center"/>
              <w:ind w:right="3080"/>
              <w:spacing w:after="0"/>
              <w:rPr>
                <w:sz w:val="20"/>
                <w:szCs w:val="20"/>
                <w:color w:val="auto"/>
              </w:rPr>
            </w:pPr>
            <w:r>
              <w:rPr>
                <w:rFonts w:ascii="Arial" w:cs="Arial" w:eastAsia="Arial" w:hAnsi="Arial"/>
                <w:sz w:val="18"/>
                <w:szCs w:val="18"/>
                <w:b w:val="1"/>
                <w:bCs w:val="1"/>
                <w:color w:val="auto"/>
              </w:rPr>
              <w:t>GEVO, 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1"/>
          </w:tcPr>
          <w:p>
            <w:pPr>
              <w:jc w:val="center"/>
              <w:ind w:right="3060"/>
              <w:spacing w:after="0"/>
              <w:rPr>
                <w:sz w:val="20"/>
                <w:szCs w:val="20"/>
                <w:color w:val="auto"/>
              </w:rPr>
            </w:pPr>
            <w:r>
              <w:rPr>
                <w:rFonts w:ascii="Arial" w:cs="Arial" w:eastAsia="Arial" w:hAnsi="Arial"/>
                <w:sz w:val="18"/>
                <w:szCs w:val="18"/>
                <w:b w:val="1"/>
                <w:bCs w:val="1"/>
                <w:color w:val="auto"/>
                <w:w w:val="99"/>
              </w:rPr>
              <w:t>FORM 10-Q</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80" w:type="dxa"/>
            <w:vAlign w:val="bottom"/>
            <w:gridSpan w:val="14"/>
          </w:tcPr>
          <w:p>
            <w:pPr>
              <w:jc w:val="center"/>
              <w:ind w:right="1760"/>
              <w:spacing w:after="0"/>
              <w:rPr>
                <w:sz w:val="20"/>
                <w:szCs w:val="20"/>
                <w:color w:val="auto"/>
              </w:rPr>
            </w:pPr>
            <w:r>
              <w:rPr>
                <w:rFonts w:ascii="Arial" w:cs="Arial" w:eastAsia="Arial" w:hAnsi="Arial"/>
                <w:sz w:val="18"/>
                <w:szCs w:val="18"/>
                <w:b w:val="1"/>
                <w:bCs w:val="1"/>
                <w:color w:val="auto"/>
                <w:w w:val="99"/>
              </w:rPr>
              <w:t>FOR THE QUARTERLY PERIOD ENDED MARCH 31, 2021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80" w:type="dxa"/>
            <w:vAlign w:val="bottom"/>
            <w:gridSpan w:val="11"/>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20" w:type="dxa"/>
            <w:vAlign w:val="bottom"/>
            <w:gridSpan w:val="6"/>
            <w:vMerge w:val="restart"/>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2920" w:type="dxa"/>
            <w:vAlign w:val="bottom"/>
            <w:gridSpan w:val="6"/>
            <w:vMerge w:val="restart"/>
          </w:tcPr>
          <w:p>
            <w:pPr>
              <w:spacing w:after="0"/>
              <w:rPr>
                <w:sz w:val="24"/>
                <w:szCs w:val="24"/>
                <w:color w:val="auto"/>
              </w:rPr>
            </w:pPr>
          </w:p>
        </w:tc>
        <w:tc>
          <w:tcPr>
            <w:tcW w:w="1140" w:type="dxa"/>
            <w:vAlign w:val="bottom"/>
          </w:tcPr>
          <w:p>
            <w:pPr>
              <w:ind w:left="6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20" w:type="dxa"/>
            <w:vAlign w:val="bottom"/>
            <w:tcBorders>
              <w:bottom w:val="single" w:sz="8" w:color="0000EE"/>
            </w:tcBorders>
            <w:gridSpan w:val="6"/>
            <w:vMerge w:val="continue"/>
          </w:tcPr>
          <w:p>
            <w:pPr>
              <w:spacing w:after="0"/>
              <w:rPr>
                <w:sz w:val="15"/>
                <w:szCs w:val="15"/>
                <w:color w:val="auto"/>
              </w:rPr>
            </w:pPr>
          </w:p>
        </w:tc>
        <w:tc>
          <w:tcPr>
            <w:tcW w:w="2920" w:type="dxa"/>
            <w:vAlign w:val="bottom"/>
            <w:gridSpan w:val="6"/>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896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140" w:type="dxa"/>
            <w:vAlign w:val="bottom"/>
          </w:tcPr>
          <w:p>
            <w:pPr>
              <w:jc w:val="center"/>
              <w:ind w:left="49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96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March 31, 2021 (unaudited) and December 31, 2020</w:t>
              </w:r>
            </w:hyperlink>
          </w:p>
        </w:tc>
        <w:tc>
          <w:tcPr>
            <w:tcW w:w="114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96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months ended March 31, 2021 and 2020 (unaudited)</w:t>
              </w:r>
            </w:hyperlink>
          </w:p>
        </w:tc>
        <w:tc>
          <w:tcPr>
            <w:tcW w:w="114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960" w:type="dxa"/>
            <w:vAlign w:val="bottom"/>
            <w:gridSpan w:val="21"/>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Consolidated Statements of Stockholders' Equity for the three months ended March 31, 2021 and 2020 (unaudited)</w:t>
              </w:r>
            </w:hyperlink>
          </w:p>
        </w:tc>
        <w:tc>
          <w:tcPr>
            <w:tcW w:w="114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three months ended March 31, 2021 and 2020 (unaudited)</w:t>
              </w:r>
            </w:hyperlink>
          </w:p>
        </w:tc>
        <w:tc>
          <w:tcPr>
            <w:tcW w:w="64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96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114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500" w:type="dxa"/>
            <w:vAlign w:val="bottom"/>
            <w:gridSpan w:val="4"/>
          </w:tcPr>
          <w:p>
            <w:pPr>
              <w:spacing w:after="0"/>
              <w:rPr>
                <w:sz w:val="24"/>
                <w:szCs w:val="24"/>
                <w:color w:val="auto"/>
              </w:rPr>
            </w:pPr>
          </w:p>
        </w:tc>
        <w:tc>
          <w:tcPr>
            <w:tcW w:w="1140" w:type="dxa"/>
            <w:vAlign w:val="bottom"/>
          </w:tcPr>
          <w:p>
            <w:pPr>
              <w:jc w:val="center"/>
              <w:ind w:left="51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4600" w:type="dxa"/>
            <w:vAlign w:val="bottom"/>
            <w:gridSpan w:val="8"/>
          </w:tcPr>
          <w:p>
            <w:pPr>
              <w:spacing w:after="0"/>
              <w:rPr>
                <w:sz w:val="17"/>
                <w:szCs w:val="17"/>
                <w:color w:val="auto"/>
              </w:rPr>
            </w:pPr>
          </w:p>
        </w:tc>
        <w:tc>
          <w:tcPr>
            <w:tcW w:w="114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96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114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1"/>
          </w:tcPr>
          <w:p>
            <w:pPr>
              <w:jc w:val="center"/>
              <w:ind w:right="3080"/>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OTHER INFORMATION</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Legal Proceedings</w:t>
              </w:r>
            </w:hyperlink>
          </w:p>
        </w:tc>
        <w:tc>
          <w:tcPr>
            <w:tcW w:w="1740" w:type="dxa"/>
            <w:vAlign w:val="bottom"/>
            <w:gridSpan w:val="5"/>
          </w:tcPr>
          <w:p>
            <w:pPr>
              <w:spacing w:after="0"/>
              <w:rPr>
                <w:sz w:val="24"/>
                <w:szCs w:val="24"/>
                <w:color w:val="auto"/>
              </w:rPr>
            </w:pPr>
          </w:p>
        </w:tc>
        <w:tc>
          <w:tcPr>
            <w:tcW w:w="2800" w:type="dxa"/>
            <w:vAlign w:val="bottom"/>
            <w:tcBorders>
              <w:top w:val="single" w:sz="8" w:color="0000EE"/>
            </w:tcBorders>
            <w:gridSpan w:val="4"/>
          </w:tcPr>
          <w:p>
            <w:pPr>
              <w:spacing w:after="0"/>
              <w:rPr>
                <w:sz w:val="24"/>
                <w:szCs w:val="24"/>
                <w:color w:val="auto"/>
              </w:rPr>
            </w:pPr>
          </w:p>
        </w:tc>
        <w:tc>
          <w:tcPr>
            <w:tcW w:w="3080" w:type="dxa"/>
            <w:vAlign w:val="bottom"/>
            <w:gridSpan w:val="7"/>
          </w:tcPr>
          <w:p>
            <w:pPr>
              <w:spacing w:after="0"/>
              <w:rPr>
                <w:sz w:val="24"/>
                <w:szCs w:val="24"/>
                <w:color w:val="auto"/>
              </w:rPr>
            </w:pPr>
          </w:p>
        </w:tc>
        <w:tc>
          <w:tcPr>
            <w:tcW w:w="1140" w:type="dxa"/>
            <w:vAlign w:val="bottom"/>
          </w:tcPr>
          <w:p>
            <w:pPr>
              <w:jc w:val="center"/>
              <w:ind w:left="510"/>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96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114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96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114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4620" w:type="dxa"/>
            <w:vAlign w:val="bottom"/>
            <w:gridSpan w:val="9"/>
          </w:tcPr>
          <w:p>
            <w:pPr>
              <w:spacing w:after="0"/>
              <w:rPr>
                <w:sz w:val="17"/>
                <w:szCs w:val="17"/>
                <w:color w:val="auto"/>
              </w:rPr>
            </w:pPr>
          </w:p>
        </w:tc>
        <w:tc>
          <w:tcPr>
            <w:tcW w:w="114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6640" w:type="dxa"/>
            <w:vAlign w:val="bottom"/>
            <w:gridSpan w:val="13"/>
          </w:tcPr>
          <w:p>
            <w:pPr>
              <w:spacing w:after="0"/>
              <w:rPr>
                <w:sz w:val="17"/>
                <w:szCs w:val="17"/>
                <w:color w:val="auto"/>
              </w:rPr>
            </w:pPr>
          </w:p>
        </w:tc>
        <w:tc>
          <w:tcPr>
            <w:tcW w:w="114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Other Information</w:t>
              </w:r>
            </w:hyperlink>
          </w:p>
        </w:tc>
        <w:tc>
          <w:tcPr>
            <w:tcW w:w="7640" w:type="dxa"/>
            <w:vAlign w:val="bottom"/>
            <w:gridSpan w:val="17"/>
          </w:tcPr>
          <w:p>
            <w:pPr>
              <w:spacing w:after="0"/>
              <w:rPr>
                <w:sz w:val="17"/>
                <w:szCs w:val="17"/>
                <w:color w:val="auto"/>
              </w:rPr>
            </w:pPr>
          </w:p>
        </w:tc>
        <w:tc>
          <w:tcPr>
            <w:tcW w:w="114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96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114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0" w:type="dxa"/>
            <w:vAlign w:val="bottom"/>
            <w:gridSpan w:val="19"/>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1140" w:type="dxa"/>
            <w:vAlign w:val="bottom"/>
          </w:tcPr>
          <w:p>
            <w:pPr>
              <w:jc w:val="center"/>
              <w:ind w:left="510"/>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120" w:type="dxa"/>
            <w:vAlign w:val="bottom"/>
            <w:gridSpan w:val="12"/>
          </w:tcPr>
          <w:p>
            <w:pPr>
              <w:jc w:val="center"/>
              <w:ind w:left="2230"/>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GEVO,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7"/>
              </w:rPr>
              <w:t>Consolidated Balance Sheets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March 31, 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525,323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78,338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533,524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83,270</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66,408</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Deposits and other assets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4,508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2,421</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608,728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152,099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9,710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4,125</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Loans payable - other (current)</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10,726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4,932</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Loans payable - other (long-term)</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13,037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5,720</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(See Note 12)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 $0.01 par value per share; 250,000,000 authorized; 198,050,449 and 128,138,311 shares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issued and outstanding at March 31, 2021 and December 31, 2020, respectively.</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1,101,939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643,269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(508,229)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(498,172)</w:t>
            </w:r>
          </w:p>
        </w:tc>
      </w:tr>
      <w:tr>
        <w:trPr>
          <w:trHeight w:val="209"/>
        </w:trPr>
        <w:tc>
          <w:tcPr>
            <w:tcW w:w="8000" w:type="dxa"/>
            <w:vAlign w:val="bottom"/>
            <w:tcBorders>
              <w:top w:val="single" w:sz="8" w:color="CCEEFF"/>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595,691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146,379</w:t>
            </w:r>
          </w:p>
        </w:tc>
        <w:tc>
          <w:tcPr>
            <w:tcW w:w="100" w:type="dxa"/>
            <w:vAlign w:val="bottom"/>
            <w:tcBorders>
              <w:top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152,099</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8320" w:type="dxa"/>
            <w:vAlign w:val="bottom"/>
            <w:gridSpan w:val="4"/>
          </w:tcPr>
          <w:p>
            <w:pPr>
              <w:jc w:val="center"/>
              <w:ind w:left="270"/>
              <w:spacing w:after="0"/>
              <w:rPr>
                <w:sz w:val="20"/>
                <w:szCs w:val="20"/>
                <w:color w:val="auto"/>
              </w:rPr>
            </w:pPr>
            <w:r>
              <w:rPr>
                <w:rFonts w:ascii="Arial" w:cs="Arial" w:eastAsia="Arial" w:hAnsi="Arial"/>
                <w:sz w:val="18"/>
                <w:szCs w:val="18"/>
                <w:color w:val="auto"/>
                <w:w w:val="89"/>
              </w:rPr>
              <w:t>See the accompanying Notes to the unaudited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GEVO,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Ethanol sales and related products,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3,700</w:t>
            </w: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Hydrocarbon revenue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Grant and other revenue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8,139</w:t>
            </w:r>
          </w:p>
        </w:tc>
      </w:tr>
      <w:tr>
        <w:trPr>
          <w:trHeight w:val="209"/>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(4,314)</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w:t>
            </w: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Preliminary stage project costs</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7,977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3,662</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(9,878)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(7,976)</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(Loss) on modification of 2020 Notes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gain from change in fair value of derivative warrant liability</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(Loss) from change in fair value of 2020/21 Notes embedded derivative liability</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(1,277)</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(10,057)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(9,253)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(0.64)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 - basic and diluted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183,566,524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14,472,798</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8320" w:type="dxa"/>
            <w:vAlign w:val="bottom"/>
            <w:gridSpan w:val="4"/>
          </w:tcPr>
          <w:p>
            <w:pPr>
              <w:jc w:val="center"/>
              <w:ind w:left="270"/>
              <w:spacing w:after="0"/>
              <w:rPr>
                <w:sz w:val="20"/>
                <w:szCs w:val="20"/>
                <w:color w:val="auto"/>
              </w:rPr>
            </w:pPr>
            <w:r>
              <w:rPr>
                <w:rFonts w:ascii="Arial" w:cs="Arial" w:eastAsia="Arial" w:hAnsi="Arial"/>
                <w:sz w:val="18"/>
                <w:szCs w:val="18"/>
                <w:color w:val="auto"/>
                <w:w w:val="89"/>
              </w:rPr>
              <w:t>See the accompanying Notes to the unaudited Consolidated Financial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156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rPr>
              <w:t>GEVO, INC.</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300" w:type="dxa"/>
            <w:vAlign w:val="bottom"/>
            <w:gridSpan w:val="7"/>
          </w:tcPr>
          <w:p>
            <w:pPr>
              <w:jc w:val="center"/>
              <w:ind w:left="2290"/>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100" w:type="dxa"/>
            <w:vAlign w:val="bottom"/>
            <w:gridSpan w:val="6"/>
          </w:tcPr>
          <w:p>
            <w:pPr>
              <w:jc w:val="center"/>
              <w:ind w:left="2510"/>
              <w:spacing w:after="0"/>
              <w:rPr>
                <w:sz w:val="20"/>
                <w:szCs w:val="20"/>
                <w:color w:val="auto"/>
              </w:rPr>
            </w:pPr>
            <w:r>
              <w:rPr>
                <w:rFonts w:ascii="Arial" w:cs="Arial" w:eastAsia="Arial" w:hAnsi="Arial"/>
                <w:sz w:val="18"/>
                <w:szCs w:val="18"/>
                <w:b w:val="1"/>
                <w:bCs w:val="1"/>
                <w:color w:val="auto"/>
                <w:w w:val="88"/>
              </w:rPr>
              <w:t>(In thousands, except share amounts)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6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Stockholders’</w:t>
            </w:r>
          </w:p>
        </w:tc>
      </w:tr>
      <w:tr>
        <w:trPr>
          <w:trHeight w:val="210"/>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209"/>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Balance, December 31,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128,138,311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1,282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643,269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(498,172)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146,379</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 net of issue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68,170,579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457,008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457,690</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stock upon exercise of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1,863,058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Issuance of common stock under stock plans, net of taxes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(10,057)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(10,057)</w:t>
            </w: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Balance, March 31,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198,050,449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1,981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1,101,939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(508,229)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595,691</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Balance, December 31, 2019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14,083,232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530,349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(457,986)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72,504</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 net of issue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425,776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w w:val="95"/>
              </w:rPr>
              <w:t>Issuance of common stock under stock plans, net of taxes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105,882</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(9,253)</w:t>
            </w:r>
          </w:p>
        </w:tc>
      </w:tr>
      <w:tr>
        <w:trPr>
          <w:trHeight w:val="209"/>
        </w:trPr>
        <w:tc>
          <w:tcPr>
            <w:tcW w:w="12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14,614,890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531,587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(467,239)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64,493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GEVO,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(10,057)</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(9,253)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Loss (gain) from change in fair value of derivative warrant liability</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from change in fair value of 2020/21 Notes embedded derivative liability</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Non-cash lease expense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 deposits and other assets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payable, accrued expenses and long-term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(1,137)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jc w:val="center"/>
              <w:ind w:right="3990"/>
              <w:spacing w:after="0"/>
              <w:rPr>
                <w:sz w:val="20"/>
                <w:szCs w:val="20"/>
                <w:color w:val="auto"/>
              </w:rPr>
            </w:pPr>
            <w:r>
              <w:rPr>
                <w:rFonts w:ascii="Arial" w:cs="Arial" w:eastAsia="Arial" w:hAnsi="Arial"/>
                <w:sz w:val="18"/>
                <w:szCs w:val="18"/>
                <w:color w:val="auto"/>
                <w:w w:val="90"/>
              </w:rPr>
              <w:t>Net cash used in operating activities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(6,975)</w:t>
            </w:r>
          </w:p>
        </w:tc>
      </w:tr>
      <w:tr>
        <w:trPr>
          <w:trHeight w:val="209"/>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Acquisitions of property, plant and equipment</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(4,630)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jc w:val="center"/>
              <w:ind w:right="4010"/>
              <w:spacing w:after="0"/>
              <w:rPr>
                <w:sz w:val="20"/>
                <w:szCs w:val="20"/>
                <w:color w:val="auto"/>
              </w:rPr>
            </w:pPr>
            <w:r>
              <w:rPr>
                <w:rFonts w:ascii="Arial" w:cs="Arial" w:eastAsia="Arial" w:hAnsi="Arial"/>
                <w:sz w:val="18"/>
                <w:szCs w:val="18"/>
                <w:color w:val="auto"/>
                <w:w w:val="90"/>
              </w:rPr>
              <w:t>Net cash used in investing activities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Debt and equity offering costs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(31,683)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and common stock warrants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489,373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warrants</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of loans payable - other</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r>
      <w:tr>
        <w:trPr>
          <w:trHeight w:val="210"/>
        </w:trPr>
        <w:tc>
          <w:tcPr>
            <w:tcW w:w="8000" w:type="dxa"/>
            <w:vAlign w:val="bottom"/>
            <w:tcBorders>
              <w:top w:val="single" w:sz="8" w:color="CCEEFF"/>
            </w:tcBorders>
            <w:gridSpan w:val="2"/>
          </w:tcPr>
          <w:p>
            <w:pPr>
              <w:jc w:val="center"/>
              <w:ind w:right="3970"/>
              <w:spacing w:after="0"/>
              <w:rPr>
                <w:sz w:val="20"/>
                <w:szCs w:val="20"/>
                <w:color w:val="auto"/>
              </w:rPr>
            </w:pPr>
            <w:r>
              <w:rPr>
                <w:rFonts w:ascii="Arial" w:cs="Arial" w:eastAsia="Arial" w:hAnsi="Arial"/>
                <w:sz w:val="18"/>
                <w:szCs w:val="18"/>
                <w:color w:val="auto"/>
                <w:w w:val="91"/>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458,780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top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446,985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(7,013)</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16,302</w:t>
            </w:r>
          </w:p>
        </w:tc>
      </w:tr>
      <w:tr>
        <w:trPr>
          <w:trHeight w:val="250"/>
        </w:trPr>
        <w:tc>
          <w:tcPr>
            <w:tcW w:w="1280" w:type="dxa"/>
            <w:vAlign w:val="bottom"/>
            <w:tcBorders>
              <w:top w:val="single" w:sz="8" w:color="CCEEFF"/>
            </w:tcBorders>
          </w:tcPr>
          <w:p>
            <w:pPr>
              <w:spacing w:after="0"/>
              <w:rPr>
                <w:sz w:val="21"/>
                <w:szCs w:val="21"/>
                <w:color w:val="auto"/>
              </w:rPr>
            </w:pPr>
          </w:p>
        </w:tc>
        <w:tc>
          <w:tcPr>
            <w:tcW w:w="67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525,323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3"/>
        </w:trPr>
        <w:tc>
          <w:tcPr>
            <w:tcW w:w="1280" w:type="dxa"/>
            <w:vAlign w:val="bottom"/>
          </w:tcPr>
          <w:p>
            <w:pPr>
              <w:spacing w:after="0"/>
              <w:rPr>
                <w:sz w:val="24"/>
                <w:szCs w:val="24"/>
                <w:color w:val="auto"/>
              </w:rPr>
            </w:pPr>
          </w:p>
        </w:tc>
        <w:tc>
          <w:tcPr>
            <w:tcW w:w="8320" w:type="dxa"/>
            <w:vAlign w:val="bottom"/>
            <w:gridSpan w:val="4"/>
          </w:tcPr>
          <w:p>
            <w:pPr>
              <w:jc w:val="center"/>
              <w:ind w:left="270"/>
              <w:spacing w:after="0"/>
              <w:rPr>
                <w:sz w:val="20"/>
                <w:szCs w:val="20"/>
                <w:color w:val="auto"/>
              </w:rPr>
            </w:pPr>
            <w:r>
              <w:rPr>
                <w:rFonts w:ascii="Arial" w:cs="Arial" w:eastAsia="Arial" w:hAnsi="Arial"/>
                <w:sz w:val="18"/>
                <w:szCs w:val="18"/>
                <w:color w:val="auto"/>
                <w:w w:val="89"/>
              </w:rPr>
              <w:t>See the accompanying Notes to the unaudited Consolidated Financial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Arial" w:cs="Arial" w:eastAsia="Arial" w:hAnsi="Arial"/>
                <w:sz w:val="18"/>
                <w:szCs w:val="18"/>
                <w:color w:val="auto"/>
                <w:w w:val="79"/>
              </w:rPr>
              <w:t>6</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30"/>
              <w:spacing w:after="0"/>
              <w:rPr>
                <w:sz w:val="20"/>
                <w:szCs w:val="20"/>
                <w:color w:val="auto"/>
              </w:rPr>
            </w:pPr>
            <w:r>
              <w:rPr>
                <w:rFonts w:ascii="Arial" w:cs="Arial" w:eastAsia="Arial" w:hAnsi="Arial"/>
                <w:sz w:val="18"/>
                <w:szCs w:val="18"/>
                <w:b w:val="1"/>
                <w:bCs w:val="1"/>
                <w:color w:val="auto"/>
              </w:rPr>
              <w:t>GEVO, INC.</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Consolidated Statements of Cash Flows - Continued</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 of cash and non-cash investing and financing transactions</w:t>
            </w:r>
          </w:p>
        </w:tc>
        <w:tc>
          <w:tcPr>
            <w:tcW w:w="28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395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purchase of property, plant and equipment</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12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380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Original issue discount paid with 2020/21 Notes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282</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 purchased with financing lease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Right-of-use asset purchased with operating lease</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1,562</w:t>
            </w:r>
          </w:p>
        </w:tc>
        <w:tc>
          <w:tcPr>
            <w:tcW w:w="126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Financial Condition and Basis of Presentation</w:t>
      </w:r>
    </w:p>
    <w:p>
      <w:pPr>
        <w:spacing w:after="0" w:line="229"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i w:val="1"/>
          <w:iCs w:val="1"/>
          <w:color w:val="auto"/>
        </w:rPr>
        <w:t>Nature of Business</w:t>
      </w:r>
      <w:r>
        <w:rPr>
          <w:rFonts w:ascii="Arial" w:cs="Arial" w:eastAsia="Arial" w:hAnsi="Arial"/>
          <w:sz w:val="18"/>
          <w:szCs w:val="18"/>
          <w:color w:val="auto"/>
        </w:rPr>
        <w:t>. Gevo, Inc. (“Gevo” or the “Company,” which, unless otherwise indicated, refers to Gevo, Inc. and its subsidiaries) is a growth-oriented renewable fuels technology and development company that is commercializing the next generation of renewable low-carbon liquid transportation fuels, such as sustainable aviation fuel (“SAF”) and renewable isooctane (which we refer to as “renewable premium gasoline”), with the potential to achieve a “net zero” greenhouse gas (“GHG”) footprint and address global needs of reducing GHG emissions with sustainable alternatives to petroleum fuels. Its technology transforms carbon from the atmosphere using photosynthetic energy, wind energy and biogas energy into liquid hydrocarbons with a low or potentially “net-zero” GHG footprint.</w:t>
      </w:r>
    </w:p>
    <w:p>
      <w:pPr>
        <w:spacing w:after="0" w:line="192"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As next generation renewable fuels, Gevo's hydrocarbon transportation fuels have the advantage of being “drop-in” substitutes for conventional fuels that are derived from crude oil, working seamlessly and without modification in existing fossil-fuel based engines, supply chains and storage infrastructure. In addition, with SAF, the carbon footprint of air travel can be reduced, or in the long run, eliminated on a net carbon basis, without change to planes or fuel systems. In addition to the potential of net-zero carbon emissions across the whole fuel life-cycle, its renewable fuels eliminate other pollutants associated with the burning of traditional fossil fuels such as particulates and sulfur, while delivering superior performance.</w:t>
      </w:r>
    </w:p>
    <w:p>
      <w:pPr>
        <w:spacing w:after="0" w:line="176" w:lineRule="exact"/>
        <w:rPr>
          <w:sz w:val="20"/>
          <w:szCs w:val="20"/>
          <w:color w:val="auto"/>
        </w:rPr>
      </w:pPr>
    </w:p>
    <w:p>
      <w:pPr>
        <w:ind w:right="220" w:firstLine="486"/>
        <w:spacing w:after="0" w:line="272" w:lineRule="auto"/>
        <w:rPr>
          <w:sz w:val="20"/>
          <w:szCs w:val="20"/>
          <w:color w:val="auto"/>
        </w:rPr>
      </w:pPr>
      <w:r>
        <w:rPr>
          <w:rFonts w:ascii="Arial" w:cs="Arial" w:eastAsia="Arial" w:hAnsi="Arial"/>
          <w:sz w:val="17"/>
          <w:szCs w:val="17"/>
          <w:color w:val="auto"/>
        </w:rPr>
        <w:t>Gevo uses low-carbon, renewable resource-based raw materials as feedstocks. In the near-term, its feedstocks will primarily consist of non-food corn. As the Company's technology is applied globally, feedstocks can consist of sugar cane, molasses or other cellulosic sugars derived from wood, agricultural residues and waste. Gevo's patented fermentation yeast biocatalyst produces isobutanol, a four-carbon alcohol, via the fermentation of renewable plant biomass carbohydrates. The resulting renewable isobutanol has a variety of direct applications but, more importantly to our fundamental strategy, serves as a building block to make renewable isooctane (which we refer to as renewable premium gasoline) and SAF using simple and common chemical conversion processes. The Company also plans to reduce or eliminate fossil-based process energy inputs by replacing them with renewable energy such as wind-powered electricity and renewable natural gas (“RNG”).</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Gevo's technology represents a new generation of renewable fuel technology that overcomes the limitations of first-generation renewable fuels.</w:t>
      </w:r>
    </w:p>
    <w:p>
      <w:pPr>
        <w:spacing w:after="0" w:line="248"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Ultimately, the Company believes that the attainment of profitable operations is dependent upon future events, including, but not limited to (i) the successful development of the Net-Zero 1 Project, for the production of energy dense liquid hydrocarbons using renewable energy and our proprietary technology; and (ii) the achievement of a level of revenues adequate to support its cost structure.</w:t>
      </w:r>
    </w:p>
    <w:p>
      <w:pPr>
        <w:spacing w:after="0" w:line="184" w:lineRule="exact"/>
        <w:rPr>
          <w:sz w:val="20"/>
          <w:szCs w:val="20"/>
          <w:color w:val="auto"/>
        </w:rPr>
      </w:pPr>
    </w:p>
    <w:p>
      <w:pPr>
        <w:ind w:right="100" w:firstLine="486"/>
        <w:spacing w:after="0" w:line="284" w:lineRule="auto"/>
        <w:rPr>
          <w:sz w:val="20"/>
          <w:szCs w:val="20"/>
          <w:color w:val="auto"/>
        </w:rPr>
      </w:pPr>
      <w:r>
        <w:rPr>
          <w:rFonts w:ascii="Arial" w:cs="Arial" w:eastAsia="Arial" w:hAnsi="Arial"/>
          <w:sz w:val="16"/>
          <w:szCs w:val="16"/>
          <w:i w:val="1"/>
          <w:iCs w:val="1"/>
          <w:color w:val="auto"/>
        </w:rPr>
        <w:t xml:space="preserve">COVID-19. </w:t>
      </w:r>
      <w:r>
        <w:rPr>
          <w:rFonts w:ascii="Arial" w:cs="Arial" w:eastAsia="Arial" w:hAnsi="Arial"/>
          <w:sz w:val="16"/>
          <w:szCs w:val="16"/>
          <w:color w:val="auto"/>
        </w:rPr>
        <w:t>The novel coronavirus ("COVID-19") pandemic has had an adverse impact on global commercial activity, including the global</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industry and its supply chain, and has contributed to significant volatility in financial markets. It has also resulted in increased travel restrictions and extended shutdowns of businesses in various industries including, among others, the airline industry, and significantly reduced overall economic output. It is possible that that the impact of the COVID-19 pandemic on general economic activity could continue to negatively impact the Company's revenue and operating results for 2021 and beyond. In light of the current and potential future disruption to its business operations and those of its customers, suppliers and other third parties with whom the Company does business, management considered the impact of the COVID-19 pandemic on its business. The impact of the COVID-19 pandemic on the global transportation industry could continue to result in less demand for the</w:t>
      </w:r>
    </w:p>
    <w:p>
      <w:pPr>
        <w:spacing w:after="0" w:line="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Company's transportation fuel products, which could have a material adverse effect on the Company's business, financial condition and prospects for the foreseeable future.</w:t>
      </w:r>
    </w:p>
    <w:p>
      <w:pPr>
        <w:spacing w:after="0" w:line="185"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During the first quarter of 2020, we suspended our ethanol production at our production facility in Luverne, Minnesota (the "Luverne Facility") due to COVID-19 and an unfavorable commodity environment, largely the result of greater corn costs as compared to national markets than the region has historically produced. The suspension of ethanol production and reduction in the Company's workforce that occurred during the first quarter of 2020 due to the impact of COVID-19 had an adverse impact on Gevo's financial results for the three months ended March 31, 2021 reducing revenue by 98% compared to the three months ended March 31, 2020. There is also a risk that COVID-19 could have a material adverse impact on the development of the Company's Net-Zero 1 Project, customer demand and cash flow, depending on the extent of our future production activities.</w:t>
      </w:r>
    </w:p>
    <w:p>
      <w:pPr>
        <w:spacing w:after="0" w:line="16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Company has considered multiple scenarios, with both positive and negative inputs, as part of the significant estimates and assumptions that are inherent in its financial statements and are based on trends in customer behavior and the economic environment throughout the three months ended March 31, 2021 and beyond as the COVID-19 pandemic has impacted the industries in which the Company operates. These estimates and assumptions include the collectability of billed receivables and the estimation of revenue and tangible assets. With regard to collectability, the Company believes it may face atypical delays in client payments going forward but the Company has not experienced significant delays in collection as of March 31, 2021. In addition, management believes that the demand for certain discretionary lines of business may decrease, and that such decrease will impact its financial results in succeeding periods. Non-discretionary lines of business may also be adversely affected, for example because reduced economic activity or disruption in hydrocarbon markets reduces demand for or the extent of SAF, isooctane and isooctene.</w:t>
      </w:r>
    </w:p>
    <w:p>
      <w:pPr>
        <w:spacing w:after="0" w:line="165"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i w:val="1"/>
          <w:iCs w:val="1"/>
          <w:color w:val="auto"/>
        </w:rPr>
        <w:t>Financial Condition</w:t>
      </w:r>
      <w:r>
        <w:rPr>
          <w:rFonts w:ascii="Arial" w:cs="Arial" w:eastAsia="Arial" w:hAnsi="Arial"/>
          <w:sz w:val="17"/>
          <w:szCs w:val="17"/>
          <w:color w:val="auto"/>
        </w:rPr>
        <w:t>. The Company has incurred consolidated net losses since inception and had a significant accumulated deficit as of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The Company’s cash and cash equivalents as of March 31, 2021 totaled $525.3 million. Gevo expects to use its cash and cash equivalents for the following purposes: (i) development of the Luverne Facility expansion plan; (ii) identification of new production facilities and to plan for expanded production to fulfill existing off-take agreements; (iii) operating activities at the Company’s corporate headquarters in Colorado, including research and development work; (iv) development projects associated with the Company's RNG projects; (v) exploration of strategic alternatives and additional financings, including project financing; and (vi) future debt service obligations.</w:t>
      </w:r>
    </w:p>
    <w:p>
      <w:pPr>
        <w:spacing w:after="0" w:line="178"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Company expects to incur future net losses as it continues to fund the development and commercialization of its product candidates. To date, the Company has financed its operations primarily with proceeds from issuance of equity and debt securities, borrowings under debt facilities and product sales. The Company’s transition to profitability is dependent upon, among other things, the successful development and commercialization of its product candidates and the achievement of a level of revenues adequate to support the Company’s cost structure. The Company may never achieve profitability or positive cash flows, and unless and until it does, the Company will continue to need to raise additional capital. Management intends to fund future operations through additional private and/or public offerings of debt or equity securities. In addition, the Company may seek additional capital through arrangements with strategic partners or from other sources, and it will continue to address its cost structure. Notwithstanding, there can be no assurance that</w:t>
      </w:r>
    </w:p>
    <w:p>
      <w:pPr>
        <w:sectPr>
          <w:pgSz w:w="11900" w:h="16838" w:orient="portrait"/>
          <w:cols w:equalWidth="0" w:num="1">
            <w:col w:w="11240"/>
          </w:cols>
          <w:pgMar w:left="320" w:top="125" w:right="339" w:bottom="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the Company will be able to raise additional funds or achieve or sustain profitability or positive cash flows from operations. Management believes it has adequate cash to fund operations for at least one year from the date the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i w:val="1"/>
          <w:iCs w:val="1"/>
          <w:color w:val="auto"/>
        </w:rPr>
        <w:t xml:space="preserve">January 2021 Offering. </w:t>
      </w:r>
      <w:r>
        <w:rPr>
          <w:rFonts w:ascii="Arial" w:cs="Arial" w:eastAsia="Arial" w:hAnsi="Arial"/>
          <w:sz w:val="18"/>
          <w:szCs w:val="18"/>
          <w:color w:val="auto"/>
        </w:rPr>
        <w:t>On January 19, 2021, the Company completed a registered direct offering pursuant to a securities purchase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institutional and accredited investors providing for the issuance and sale by the Company of an aggregate of 43,750,000 shares of the Company’s common stock (the “2021 Shares”) at a price of $8.00 per share (the “January 2021 Offering”).</w:t>
      </w:r>
    </w:p>
    <w:p>
      <w:pPr>
        <w:spacing w:after="0" w:line="184"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net proceeds to the Company from the January 2021 Offering were approximately $321.9 million, after deducting placement agent fees and other estimated offering expenses payable by the Company.</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February 2018, the Company commenced an at-the-market offering program, which allows it to sell and issue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its common stock from time-to-time. In December 2020, the at-the-market offering program was amended to provide available capacity of $150.0 million.</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months ended March 31, 2021, the Company issued 24,420,579 shares of common stock under the at-the-market offering program for total proceeds of $135.8 million, net of commissions and other offering related expenses.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March 31, 2021, the Company has remaining capacity to issue up to approximately $10.6 million of common stock under the at-the-market offering program.</w:t>
      </w:r>
    </w:p>
    <w:p>
      <w:pPr>
        <w:spacing w:after="0" w:line="1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unaudited consolidated financial statements of the Company (which include the accounts of its wholly-owned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Gevo Asset, LLC (“Gevo Asset”), Gevo RNG Holdco, LLC ("Gevo RNG Holdco"), Gevo NW Iowa RNG, LLC ("Gevo RNG") and Agri-Energy, LLC (“Agri-Energy”)) have been prepared, without audit, pursuant to the rules and regulations of the U.S. Securities and Exchange Commission (the “SEC”). Accordingly, they do not include all information and footnotes required by accounting principles generally accepted in the United States (“GAAP”) for complete financial statements. These statements reflect all normal and recurring adjustments which, in the opinion of management, are necessary to present fairly the financial position, results of operations and cash flows of the Company at March 31, 2021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2020.</w:t>
      </w:r>
    </w:p>
    <w:p>
      <w:pPr>
        <w:spacing w:after="0" w:line="18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i w:val="1"/>
          <w:iCs w:val="1"/>
          <w:color w:val="auto"/>
        </w:rPr>
        <w:t xml:space="preserve">Preliminary Stage Project Costs. </w:t>
      </w:r>
      <w:r>
        <w:rPr>
          <w:rFonts w:ascii="Arial" w:cs="Arial" w:eastAsia="Arial" w:hAnsi="Arial"/>
          <w:sz w:val="18"/>
          <w:szCs w:val="18"/>
          <w:color w:val="auto"/>
        </w:rPr>
        <w:t>Preliminary stage project costs consist of research and development expense in addition to selling,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related to our RNG and Net-Zero projects.</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The Company reclassified certain prior period amounts to conform to the current period presentation, including the categorization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preliminary stage project costs on the Consolidated Statements of Operations. These reclassifications had no impact on total revenues, total cost of goods sold, total operating expenses, net loss or stockholders' equity for any period.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There is no provision for income taxes because the Company has incurred operating losses since inception.</w:t>
      </w:r>
    </w:p>
    <w:p>
      <w:pPr>
        <w:spacing w:after="0" w:line="225" w:lineRule="exact"/>
        <w:rPr>
          <w:sz w:val="20"/>
          <w:szCs w:val="20"/>
          <w:color w:val="auto"/>
        </w:rPr>
      </w:pPr>
    </w:p>
    <w:p>
      <w:pPr>
        <w:jc w:val="both"/>
        <w:ind w:right="260" w:firstLine="486"/>
        <w:spacing w:after="0" w:line="279" w:lineRule="auto"/>
        <w:rPr>
          <w:sz w:val="20"/>
          <w:szCs w:val="20"/>
          <w:color w:val="auto"/>
        </w:rPr>
      </w:pPr>
      <w:r>
        <w:rPr>
          <w:rFonts w:ascii="Arial" w:cs="Arial" w:eastAsia="Arial" w:hAnsi="Arial"/>
          <w:sz w:val="17"/>
          <w:szCs w:val="17"/>
          <w:i w:val="1"/>
          <w:iCs w:val="1"/>
          <w:color w:val="auto"/>
        </w:rPr>
        <w:t xml:space="preserve">Concentration of Business Risk. </w:t>
      </w:r>
      <w:r>
        <w:rPr>
          <w:rFonts w:ascii="Arial" w:cs="Arial" w:eastAsia="Arial" w:hAnsi="Arial"/>
          <w:sz w:val="17"/>
          <w:szCs w:val="17"/>
          <w:color w:val="auto"/>
        </w:rPr>
        <w:t>As of March 31, 2021, four companies, Total Petrochemicals &amp; Refining USA, Inc. ("Total"), Juhl Clean Energy</w:t>
      </w:r>
      <w:r>
        <w:rPr>
          <w:rFonts w:ascii="Arial" w:cs="Arial" w:eastAsia="Arial" w:hAnsi="Arial"/>
          <w:sz w:val="17"/>
          <w:szCs w:val="17"/>
          <w:i w:val="1"/>
          <w:iCs w:val="1"/>
          <w:color w:val="auto"/>
        </w:rPr>
        <w:t xml:space="preserve"> </w:t>
      </w:r>
      <w:r>
        <w:rPr>
          <w:rFonts w:ascii="Arial" w:cs="Arial" w:eastAsia="Arial" w:hAnsi="Arial"/>
          <w:sz w:val="17"/>
          <w:szCs w:val="17"/>
          <w:color w:val="auto"/>
        </w:rPr>
        <w:t>Assets, Inc. ("Juhl"), AvFuel Corporation ("AvFuel") and Wisconsin Bioproducts ("Wisconsin"), comprised approximately 41%, 27%, 16% and 14%, or approximately 98% in total, of the Company's outstanding trade accounts receivable, respectively. As of December 31, 2020, one customer, HCS Group GmbH ("HCS") comprised approximately 79% of the Company's outstanding trade accounts receivable, respectively.</w:t>
      </w:r>
    </w:p>
    <w:p>
      <w:pPr>
        <w:spacing w:after="0" w:line="171"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For the three months ended March 31, 2021, New Vision, LLC ("New Vision") and Av Fuel accounted for approximately 79% and 15%, or approximately 94% in total, of the Company's consolidated revenue, respectively. For the three months ended March 31, 2020, Eco-Energy, LLC ("Eco-Energy") and Purina Animal Nutrition, LLC ("Purina") represented approximately 73% and 22%, or approximately 95% in total, of the Company's consolidated revenue, respectively. Total, AvFuel, Wisconsin and HCS are customers of the Company's Gevo segment. New Vision, Eco-Energy and Purina are customers of the Company's Agri-Energy segment (see Note 14).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29" w:lineRule="exact"/>
        <w:rPr>
          <w:sz w:val="20"/>
          <w:szCs w:val="20"/>
          <w:color w:val="auto"/>
        </w:rPr>
      </w:pPr>
    </w:p>
    <w:p>
      <w:pPr>
        <w:ind w:right="120" w:firstLine="475"/>
        <w:spacing w:after="0" w:line="257" w:lineRule="auto"/>
        <w:rPr>
          <w:sz w:val="20"/>
          <w:szCs w:val="20"/>
          <w:color w:val="auto"/>
        </w:rPr>
      </w:pPr>
      <w:r>
        <w:rPr>
          <w:rFonts w:ascii="Arial" w:cs="Arial" w:eastAsia="Arial" w:hAnsi="Arial"/>
          <w:sz w:val="18"/>
          <w:szCs w:val="18"/>
          <w:color w:val="auto"/>
        </w:rPr>
        <w:t>Basic earnings (loss) per share is computed by dividing the net loss for the period by the weighted-average number of common shares outstanding during the period. Diluted earnings (loss) per share (“EPS”) includes the dilutive effect of common stock equivalents and is computed using the weighted-average number of common stock and common stock equivalents outstanding during the reporting period. Diluted EPS for the three months ended March 31, 2021 and 2020 excluded common stock equivalents because the effect of their inclusion would be anti-dilutive or would decrease the reported loss per share.</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securities outstanding that could potentially dilute the calculation of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4"/>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Warrants to purchase common stock - liability classified</w:t>
            </w:r>
          </w:p>
        </w:tc>
        <w:tc>
          <w:tcPr>
            <w:tcW w:w="1480" w:type="dxa"/>
            <w:vAlign w:val="bottom"/>
          </w:tcPr>
          <w:p>
            <w:pPr>
              <w:jc w:val="right"/>
              <w:spacing w:after="0"/>
              <w:rPr>
                <w:sz w:val="20"/>
                <w:szCs w:val="20"/>
                <w:color w:val="auto"/>
              </w:rPr>
            </w:pPr>
            <w:r>
              <w:rPr>
                <w:rFonts w:ascii="Arial" w:cs="Arial" w:eastAsia="Arial" w:hAnsi="Arial"/>
                <w:sz w:val="18"/>
                <w:szCs w:val="18"/>
                <w:color w:val="auto"/>
              </w:rPr>
              <w:t>56,735</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54,669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common stock - equity classified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94,108</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Conversion of 2020/21 Notes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6,713,817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 appreciation rights</w:t>
            </w:r>
          </w:p>
        </w:tc>
        <w:tc>
          <w:tcPr>
            <w:tcW w:w="1480" w:type="dxa"/>
            <w:vAlign w:val="bottom"/>
          </w:tcPr>
          <w:p>
            <w:pPr>
              <w:jc w:val="right"/>
              <w:spacing w:after="0"/>
              <w:rPr>
                <w:sz w:val="20"/>
                <w:szCs w:val="20"/>
                <w:color w:val="auto"/>
              </w:rPr>
            </w:pPr>
            <w:r>
              <w:rPr>
                <w:rFonts w:ascii="Arial" w:cs="Arial" w:eastAsia="Arial" w:hAnsi="Arial"/>
                <w:sz w:val="18"/>
                <w:szCs w:val="18"/>
                <w:color w:val="auto"/>
              </w:rPr>
              <w:t>67,739</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67,739</w:t>
            </w:r>
          </w:p>
        </w:tc>
      </w:tr>
      <w:tr>
        <w:trPr>
          <w:trHeight w:val="209"/>
        </w:trPr>
        <w:tc>
          <w:tcPr>
            <w:tcW w:w="80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tcPr>
          <w:p>
            <w:pPr>
              <w:jc w:val="right"/>
              <w:spacing w:after="0"/>
              <w:rPr>
                <w:sz w:val="20"/>
                <w:szCs w:val="20"/>
                <w:color w:val="auto"/>
              </w:rPr>
            </w:pPr>
            <w:r>
              <w:rPr>
                <w:rFonts w:ascii="Arial" w:cs="Arial" w:eastAsia="Arial" w:hAnsi="Arial"/>
                <w:sz w:val="18"/>
                <w:szCs w:val="18"/>
                <w:color w:val="auto"/>
              </w:rPr>
              <w:t>220,099</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6,837,786</w:t>
            </w:r>
          </w:p>
        </w:tc>
      </w:tr>
      <w:tr>
        <w:trPr>
          <w:trHeight w:val="20"/>
        </w:trPr>
        <w:tc>
          <w:tcPr>
            <w:tcW w:w="8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 and Other Revenues</w:t>
      </w:r>
    </w:p>
    <w:p>
      <w:pPr>
        <w:spacing w:after="0" w:line="229" w:lineRule="exact"/>
        <w:rPr>
          <w:sz w:val="20"/>
          <w:szCs w:val="20"/>
          <w:color w:val="auto"/>
        </w:rPr>
      </w:pPr>
    </w:p>
    <w:p>
      <w:pPr>
        <w:ind w:right="240" w:firstLine="567"/>
        <w:spacing w:after="0" w:line="342" w:lineRule="auto"/>
        <w:rPr>
          <w:sz w:val="20"/>
          <w:szCs w:val="20"/>
          <w:color w:val="auto"/>
        </w:rPr>
      </w:pPr>
      <w:r>
        <w:rPr>
          <w:rFonts w:ascii="Arial" w:cs="Arial" w:eastAsia="Arial" w:hAnsi="Arial"/>
          <w:sz w:val="16"/>
          <w:szCs w:val="16"/>
          <w:color w:val="auto"/>
        </w:rPr>
        <w:t>The Company’s current and historical revenues have consisted of the following: (a) hydrocarbon revenue; (b) ethanol sales and related products revenue, net; and (c) grant and other revenue, which primarily has historically consisted of revenues from governmental and cooperative research grants.</w:t>
      </w:r>
    </w:p>
    <w:p>
      <w:pPr>
        <w:spacing w:after="0" w:line="124" w:lineRule="exact"/>
        <w:rPr>
          <w:sz w:val="20"/>
          <w:szCs w:val="20"/>
          <w:color w:val="auto"/>
        </w:rPr>
      </w:pPr>
    </w:p>
    <w:p>
      <w:pPr>
        <w:ind w:right="360" w:firstLine="567"/>
        <w:spacing w:after="0" w:line="263" w:lineRule="auto"/>
        <w:rPr>
          <w:sz w:val="20"/>
          <w:szCs w:val="20"/>
          <w:color w:val="auto"/>
        </w:rPr>
      </w:pPr>
      <w:r>
        <w:rPr>
          <w:rFonts w:ascii="Arial" w:cs="Arial" w:eastAsia="Arial" w:hAnsi="Arial"/>
          <w:sz w:val="18"/>
          <w:szCs w:val="18"/>
          <w:i w:val="1"/>
          <w:iCs w:val="1"/>
          <w:color w:val="auto"/>
        </w:rPr>
        <w:t xml:space="preserve">Hydrocarbon revenue. </w:t>
      </w:r>
      <w:r>
        <w:rPr>
          <w:rFonts w:ascii="Arial" w:cs="Arial" w:eastAsia="Arial" w:hAnsi="Arial"/>
          <w:sz w:val="18"/>
          <w:szCs w:val="18"/>
          <w:color w:val="auto"/>
        </w:rPr>
        <w:t>Hydrocarbon revenues include sales of SAF, isooctene and isooctane and are sold mostly on a free-on-board, shipping</w:t>
      </w:r>
      <w:r>
        <w:rPr>
          <w:rFonts w:ascii="Arial" w:cs="Arial" w:eastAsia="Arial" w:hAnsi="Arial"/>
          <w:sz w:val="18"/>
          <w:szCs w:val="18"/>
          <w:i w:val="1"/>
          <w:iCs w:val="1"/>
          <w:color w:val="auto"/>
        </w:rPr>
        <w:t xml:space="preserve"> </w:t>
      </w:r>
      <w:r>
        <w:rPr>
          <w:rFonts w:ascii="Arial" w:cs="Arial" w:eastAsia="Arial" w:hAnsi="Arial"/>
          <w:sz w:val="18"/>
          <w:szCs w:val="18"/>
          <w:color w:val="auto"/>
        </w:rPr>
        <w:t>point basis. Each transaction occurs independent of any other sale, and once sold, there are no future obligations on the part of the Company to provide post-sale support or promises to deliver future goods or services.</w:t>
      </w:r>
    </w:p>
    <w:p>
      <w:pPr>
        <w:spacing w:after="0" w:line="184" w:lineRule="exact"/>
        <w:rPr>
          <w:sz w:val="20"/>
          <w:szCs w:val="20"/>
          <w:color w:val="auto"/>
        </w:rPr>
      </w:pPr>
    </w:p>
    <w:p>
      <w:pPr>
        <w:ind w:right="360" w:firstLine="567"/>
        <w:spacing w:after="0" w:line="311" w:lineRule="auto"/>
        <w:rPr>
          <w:sz w:val="20"/>
          <w:szCs w:val="20"/>
          <w:color w:val="auto"/>
        </w:rPr>
      </w:pPr>
      <w:r>
        <w:rPr>
          <w:rFonts w:ascii="Arial" w:cs="Arial" w:eastAsia="Arial" w:hAnsi="Arial"/>
          <w:sz w:val="16"/>
          <w:szCs w:val="16"/>
          <w:i w:val="1"/>
          <w:iCs w:val="1"/>
          <w:color w:val="auto"/>
        </w:rPr>
        <w:t xml:space="preserve">Ethanol sales and related products revenues. </w:t>
      </w:r>
      <w:r>
        <w:rPr>
          <w:rFonts w:ascii="Arial" w:cs="Arial" w:eastAsia="Arial" w:hAnsi="Arial"/>
          <w:sz w:val="16"/>
          <w:szCs w:val="16"/>
          <w:color w:val="auto"/>
        </w:rPr>
        <w:t>Ethanol sales and related products revenues are sold to customers on a free-on-board, shipping</w:t>
      </w:r>
      <w:r>
        <w:rPr>
          <w:rFonts w:ascii="Arial" w:cs="Arial" w:eastAsia="Arial" w:hAnsi="Arial"/>
          <w:sz w:val="16"/>
          <w:szCs w:val="16"/>
          <w:i w:val="1"/>
          <w:iCs w:val="1"/>
          <w:color w:val="auto"/>
        </w:rPr>
        <w:t xml:space="preserve"> </w:t>
      </w:r>
      <w:r>
        <w:rPr>
          <w:rFonts w:ascii="Arial" w:cs="Arial" w:eastAsia="Arial" w:hAnsi="Arial"/>
          <w:sz w:val="16"/>
          <w:szCs w:val="16"/>
          <w:color w:val="auto"/>
        </w:rPr>
        <w:t>point basis. Revenue is recognized when the customer has control of the product. Each transaction occurs independent of any other sale, and once sold, there are no future obligations on the part of the Company to provide post-sale support or promises to deliver future goods or services.</w:t>
      </w:r>
    </w:p>
    <w:p>
      <w:pPr>
        <w:spacing w:after="0" w:line="149"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i w:val="1"/>
          <w:iCs w:val="1"/>
          <w:color w:val="auto"/>
        </w:rPr>
        <w:t xml:space="preserve">Grant and other revenues. </w:t>
      </w:r>
      <w:r>
        <w:rPr>
          <w:rFonts w:ascii="Arial" w:cs="Arial" w:eastAsia="Arial" w:hAnsi="Arial"/>
          <w:sz w:val="16"/>
          <w:szCs w:val="16"/>
          <w:color w:val="auto"/>
        </w:rPr>
        <w:t>Grant revenues have historically consisted of governmental and cooperative research grants. Other revenues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included occasional short-term (less than one-year) consulting services and leases of certain storage facilities located at the Luverne Facility.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The following table sets forth the components of the Company’s revenues between those generated from contracts with customers and those generated from arrangements that do not constitute a contract with a customer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rPr>
              <w:t>Three Months Ended March 31, 2021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Contracts with</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Pr>
          <w:p>
            <w:pPr>
              <w:jc w:val="center"/>
              <w:ind w:left="1190"/>
              <w:spacing w:after="0"/>
              <w:rPr>
                <w:sz w:val="20"/>
                <w:szCs w:val="20"/>
                <w:color w:val="auto"/>
              </w:rPr>
            </w:pPr>
            <w:r>
              <w:rPr>
                <w:rFonts w:ascii="Arial" w:cs="Arial" w:eastAsia="Arial" w:hAnsi="Arial"/>
                <w:sz w:val="18"/>
                <w:szCs w:val="18"/>
                <w:b w:val="1"/>
                <w:bCs w:val="1"/>
                <w:color w:val="auto"/>
                <w:w w:val="92"/>
              </w:rPr>
              <w:t>Major Goods/Service Line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Customers</w:t>
            </w:r>
          </w:p>
        </w:tc>
        <w:tc>
          <w:tcPr>
            <w:tcW w:w="10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Revenues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9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Hydrocarbon revenue</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80</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7"/>
        </w:trPr>
        <w:tc>
          <w:tcPr>
            <w:tcW w:w="4920" w:type="dxa"/>
            <w:vAlign w:val="bottom"/>
            <w:tcBorders>
              <w:top w:val="single" w:sz="8" w:color="CCEEFF"/>
              <w:bottom w:val="single" w:sz="8" w:color="auto"/>
            </w:tcBorders>
          </w:tcPr>
          <w:p>
            <w:pPr>
              <w:jc w:val="center"/>
              <w:ind w:left="117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28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80</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rPr>
              <w:t>Three Months Ended March 31, 2020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Contracts with</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b w:val="1"/>
                <w:bCs w:val="1"/>
                <w:color w:val="auto"/>
                <w:w w:val="92"/>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Customers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Ethanol sales and related products, net</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3,700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197"/>
        </w:trPr>
        <w:tc>
          <w:tcPr>
            <w:tcW w:w="4920" w:type="dxa"/>
            <w:vAlign w:val="bottom"/>
            <w:tcBorders>
              <w:top w:val="single" w:sz="8" w:color="CCEEFF"/>
              <w:bottom w:val="single" w:sz="8" w:color="auto"/>
            </w:tcBorders>
          </w:tcPr>
          <w:p>
            <w:pPr>
              <w:jc w:val="center"/>
              <w:ind w:left="117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28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3,825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vMerge w:val="restart"/>
          </w:tcPr>
          <w:p>
            <w:pPr>
              <w:jc w:val="right"/>
              <w:ind w:right="3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i w:val="1"/>
          <w:iCs w:val="1"/>
          <w:color w:val="auto"/>
        </w:rPr>
        <w:t xml:space="preserve">Goods transferred at a point-in-time. </w:t>
      </w:r>
      <w:r>
        <w:rPr>
          <w:rFonts w:ascii="Arial" w:cs="Arial" w:eastAsia="Arial" w:hAnsi="Arial"/>
          <w:sz w:val="18"/>
          <w:szCs w:val="18"/>
          <w:color w:val="auto"/>
        </w:rPr>
        <w:t>For the three months ended March 31, 2021 and 2020, there were no contracts with customers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was variable or for which there were multiple performance obligations for any given contract. Accordingly, the entire transaction price is allocated to the goods transferred. As of March 31, 2021 and December 31, 2020, there were no remaining unfulfilled or partially fulfilled performance obligations.</w:t>
      </w:r>
    </w:p>
    <w:p>
      <w:pPr>
        <w:spacing w:after="0" w:line="187"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All goods transferred are tested to ensure product sold satisfies contractual product specifications prior to transfer. The customer obtains control of the goods when title and risk of loss for the goods has transferred, which in most cases is “</w:t>
      </w:r>
      <w:r>
        <w:rPr>
          <w:rFonts w:ascii="Arial" w:cs="Arial" w:eastAsia="Arial" w:hAnsi="Arial"/>
          <w:sz w:val="18"/>
          <w:szCs w:val="18"/>
          <w:i w:val="1"/>
          <w:iCs w:val="1"/>
          <w:color w:val="auto"/>
        </w:rPr>
        <w:t>free-on-board, shipping point</w:t>
      </w:r>
      <w:r>
        <w:rPr>
          <w:rFonts w:ascii="Arial" w:cs="Arial" w:eastAsia="Arial" w:hAnsi="Arial"/>
          <w:sz w:val="18"/>
          <w:szCs w:val="18"/>
          <w:color w:val="auto"/>
        </w:rPr>
        <w:t>”. All material contracts have payment terms of between one to three months and there are no return or refund rights.</w:t>
      </w:r>
    </w:p>
    <w:p>
      <w:pPr>
        <w:spacing w:after="0" w:line="18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i w:val="1"/>
          <w:iCs w:val="1"/>
          <w:color w:val="auto"/>
        </w:rPr>
        <w:t xml:space="preserve">Services transferred over time. </w:t>
      </w:r>
      <w:r>
        <w:rPr>
          <w:rFonts w:ascii="Arial" w:cs="Arial" w:eastAsia="Arial" w:hAnsi="Arial"/>
          <w:sz w:val="18"/>
          <w:szCs w:val="18"/>
          <w:color w:val="auto"/>
        </w:rPr>
        <w:t>For the three months ended March 31, 2021 and 2020, there were no contracts for which consideration was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or for which there were multiple performance obligation for any given contract. Accordingly, the entire transaction price is allocated to the individual service performance obligation. As of March 31, 2021 and December 31, 2020, respectively, there were no material unfulfilled or partially fulfilled performance obligations.</w:t>
      </w:r>
    </w:p>
    <w:p>
      <w:pPr>
        <w:spacing w:after="0" w:line="18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i w:val="1"/>
          <w:iCs w:val="1"/>
          <w:color w:val="auto"/>
        </w:rPr>
        <w:t xml:space="preserve">Contract Assets and Trade Receivables. </w:t>
      </w:r>
      <w:r>
        <w:rPr>
          <w:rFonts w:ascii="Arial" w:cs="Arial" w:eastAsia="Arial" w:hAnsi="Arial"/>
          <w:sz w:val="18"/>
          <w:szCs w:val="18"/>
          <w:color w:val="auto"/>
        </w:rPr>
        <w:t>As of March 31, 2021 and December 31, 2020, there were no contract assets or liabilities as all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owed to the Company are unconditional and the Company does not receive payment in advance for its products. Accordingly, amounts owed by customers are classified as account receivables on the Company’s Consolidated Balance Sheets. In addition, due to the nature of the Company’s contracts, there are no costs incurred or to be paid in the future that qualify for asset recognition as a cost to fulfill or obtain a contract as of March 31, 2021 and December 31, 2020. The Company did not incur any impairment losses on any receivables as all amounts owed were paid or current as of March 31, 2021 or December 31, 2020.</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 Right-to-Use Assets and Related Liabilities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contracts for the Company are comprised of facility and equipment leases necessary to conduct the Company's day-to-day operations for which the Company maintains control of right-to-use assets and incurs the related liabilities. Right-of-use assets totaling $1.7 million are included in "Deposits and other assets," and $1.9 million of lease liabilities are included in "Other long-term liabilities" in the Consolidated Balance Sheets, respectively, as of March 31, 2021.</w:t>
      </w:r>
    </w:p>
    <w:p>
      <w:pPr>
        <w:spacing w:after="0" w:line="187"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The Company has two lease agreements that qualify as “operating” based on the terms and conditions at the commencement date for each lease. The first lease is for the Company's office and research facility in Englewood, Colorado, which expires in January 2029, and includes monthly charges for common area and maintenance charges. The second lease is for equipment. All other leases qualified for the short-term scope exemption.</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recognizes rent expense on its operating leases on a straight-line basis.</w:t>
      </w:r>
    </w:p>
    <w:p>
      <w:pPr>
        <w:spacing w:after="0" w:line="22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Company began leasing its grain bins in Luverne, Minnesota in October 2020 through a short-term operating lease agreement which expires in July 2021. Rental income for the three months ended March 31, 2021 totaled $0.1 million.</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the (a) costs by lease category and (b) other quantitative information relating to the Company’s leases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9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Financing lease cost</w:t>
            </w:r>
          </w:p>
        </w:tc>
        <w:tc>
          <w:tcPr>
            <w:tcW w:w="18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jc w:val="right"/>
              <w:ind w:right="108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cost</w:t>
            </w: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471</w:t>
            </w: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Short-Term lease cost</w:t>
            </w: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Variable lease cost (1)</w:t>
            </w: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r>
      <w:tr>
        <w:trPr>
          <w:trHeight w:val="209"/>
        </w:trPr>
        <w:tc>
          <w:tcPr>
            <w:tcW w:w="6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5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8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w:t>
            </w:r>
          </w:p>
        </w:tc>
        <w:tc>
          <w:tcPr>
            <w:tcW w:w="11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584</w:t>
            </w:r>
          </w:p>
        </w:tc>
      </w:tr>
      <w:tr>
        <w:trPr>
          <w:trHeight w:val="197"/>
        </w:trPr>
        <w:tc>
          <w:tcPr>
            <w:tcW w:w="7320" w:type="dxa"/>
            <w:vAlign w:val="bottom"/>
            <w:tcBorders>
              <w:top w:val="single" w:sz="8" w:color="CCEEFF"/>
            </w:tcBorders>
            <w:gridSpan w:val="2"/>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90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89"/>
              </w:rPr>
              <w:t>(1) Represents amounts incurred in excess of minimum payments for common area maintenance and present value discounts</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209"/>
        </w:trPr>
        <w:tc>
          <w:tcPr>
            <w:tcW w:w="64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9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Cash paid for the measurement of lease liabilities:</w:t>
            </w: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cash flows from finance lease</w:t>
            </w:r>
          </w:p>
        </w:tc>
        <w:tc>
          <w:tcPr>
            <w:tcW w:w="18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6420" w:type="dxa"/>
            <w:vAlign w:val="bottom"/>
          </w:tcPr>
          <w:p>
            <w:pPr>
              <w:ind w:left="660"/>
              <w:spacing w:after="0"/>
              <w:rPr>
                <w:sz w:val="20"/>
                <w:szCs w:val="20"/>
                <w:color w:val="auto"/>
              </w:rPr>
            </w:pPr>
            <w:r>
              <w:rPr>
                <w:rFonts w:ascii="Arial" w:cs="Arial" w:eastAsia="Arial" w:hAnsi="Arial"/>
                <w:sz w:val="18"/>
                <w:szCs w:val="18"/>
                <w:color w:val="auto"/>
              </w:rPr>
              <w:t>Operating cash flows from operating leases</w:t>
            </w: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471</w:t>
            </w:r>
          </w:p>
        </w:tc>
      </w:tr>
      <w:tr>
        <w:trPr>
          <w:trHeight w:val="216"/>
        </w:trPr>
        <w:tc>
          <w:tcPr>
            <w:tcW w:w="6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Finance cash flows from finance lease</w:t>
            </w: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Right-to-use asset obtained in exchange for new financing lease liability</w:t>
            </w: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Right-to-use asset obtained in exchange for new operating lease liability</w:t>
            </w: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1,562</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Weighted-average remaining lease term, financing lease (months)</w:t>
            </w: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remaining lease term, operating leases (months)</w:t>
            </w: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Weighted-average discount rate - financing lease (2)</w:t>
            </w: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discount rate - operating leases (3)</w:t>
            </w: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discount rate used for the finance lease was based on the rate implicit in the lease.</w:t>
      </w:r>
    </w:p>
    <w:p>
      <w:pPr>
        <w:spacing w:after="0" w:line="23" w:lineRule="exact"/>
        <w:rPr>
          <w:rFonts w:ascii="Arial" w:cs="Arial" w:eastAsia="Arial" w:hAnsi="Arial"/>
          <w:sz w:val="18"/>
          <w:szCs w:val="18"/>
          <w:color w:val="auto"/>
        </w:rPr>
      </w:pPr>
    </w:p>
    <w:p>
      <w:pPr>
        <w:ind w:right="2300" w:firstLine="8"/>
        <w:spacing w:after="0" w:line="26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discount rate used for operating leases is based on our implicit borrowing rate at the date the Company entered into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67722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table below shows the future minimum payments under non-cancelable financing and operating leases at March 31,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Operating Leases</w:t>
            </w:r>
          </w:p>
        </w:tc>
        <w:tc>
          <w:tcPr>
            <w:tcW w:w="80" w:type="dxa"/>
            <w:vAlign w:val="bottom"/>
          </w:tcPr>
          <w:p>
            <w:pPr>
              <w:spacing w:after="0"/>
              <w:rPr>
                <w:sz w:val="20"/>
                <w:szCs w:val="20"/>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Financing Leases</w:t>
            </w:r>
          </w:p>
        </w:tc>
      </w:tr>
      <w:tr>
        <w:trPr>
          <w:trHeight w:val="210"/>
        </w:trPr>
        <w:tc>
          <w:tcPr>
            <w:tcW w:w="7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2021 (remaining)</w:t>
            </w:r>
          </w:p>
        </w:tc>
        <w:tc>
          <w:tcPr>
            <w:tcW w:w="6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1,042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2,801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present value discounts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r>
      <w:tr>
        <w:trPr>
          <w:trHeight w:val="209"/>
        </w:trPr>
        <w:tc>
          <w:tcPr>
            <w:tcW w:w="7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6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w:t>
            </w:r>
          </w:p>
        </w:tc>
        <w:tc>
          <w:tcPr>
            <w:tcW w:w="70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On March 29, 2021, Gevo signed a first amendment to a land lease agreement in northwest Iowa dated January 7, 2020. The lease term is for 10 years after the digester facility becomes operational, estimated to occur in December 2021.</w:t>
      </w:r>
    </w:p>
    <w:p>
      <w:pPr>
        <w:spacing w:after="0" w:line="3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25" w:right="7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5. Inventories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80"/>
              <w:spacing w:after="0"/>
              <w:rPr>
                <w:sz w:val="20"/>
                <w:szCs w:val="20"/>
                <w:color w:val="auto"/>
              </w:rPr>
            </w:pPr>
            <w:r>
              <w:rPr>
                <w:rFonts w:ascii="Arial" w:cs="Arial" w:eastAsia="Arial" w:hAnsi="Arial"/>
                <w:sz w:val="18"/>
                <w:szCs w:val="18"/>
                <w:color w:val="auto"/>
                <w:w w:val="95"/>
              </w:rPr>
              <w:t>The following table sets forth the components of the Company’s inventory balances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Enzymes and other inputs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Nutrients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SAF, Isooctane and Isooctene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Gevo</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Palladium</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Spare parts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r>
      <w:tr>
        <w:trPr>
          <w:trHeight w:val="250"/>
        </w:trPr>
        <w:tc>
          <w:tcPr>
            <w:tcW w:w="80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w:t>
            </w:r>
          </w:p>
        </w:tc>
      </w:tr>
      <w:tr>
        <w:trPr>
          <w:trHeight w:val="413"/>
        </w:trPr>
        <w:tc>
          <w:tcPr>
            <w:tcW w:w="80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Work in process inventory includes unfinished SAF, isooctane and isooctene inventory.</w:t>
            </w: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00" w:type="dxa"/>
            <w:vAlign w:val="bottom"/>
          </w:tcPr>
          <w:p>
            <w:pPr>
              <w:ind w:left="554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Company’s property, plant and equipment by classification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6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Luverne retrofit asset</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70,820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70,820</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Plant machinery and equipment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17,374</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Site improvements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7,157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7,157</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Lab equipment, furniture and fixtures and vehicles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6,396</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Demonstration plant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3,597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Leasehold improvements, pilot plant, land and support equipment</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2 to 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2,523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2,523</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Computer, office equipment and software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 to 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18,525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13,132</w:t>
            </w:r>
          </w:p>
        </w:tc>
      </w:tr>
      <w:tr>
        <w:trPr>
          <w:trHeight w:val="210"/>
        </w:trPr>
        <w:tc>
          <w:tcPr>
            <w:tcW w:w="6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130,956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125,525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(59,117)</w:t>
            </w:r>
          </w:p>
        </w:tc>
      </w:tr>
      <w:tr>
        <w:trPr>
          <w:trHeight w:val="250"/>
        </w:trPr>
        <w:tc>
          <w:tcPr>
            <w:tcW w:w="6380" w:type="dxa"/>
            <w:vAlign w:val="bottom"/>
            <w:tcBorders>
              <w:top w:val="single" w:sz="8" w:color="CCEEFF"/>
            </w:tcBorders>
          </w:tcPr>
          <w:p>
            <w:pPr>
              <w:spacing w:after="0"/>
              <w:rPr>
                <w:sz w:val="21"/>
                <w:szCs w:val="21"/>
                <w:color w:val="auto"/>
              </w:rPr>
            </w:pPr>
          </w:p>
        </w:tc>
        <w:tc>
          <w:tcPr>
            <w:tcW w:w="14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Company recorded depreciation and amortization expense related to property, plant and equipment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40" w:type="dxa"/>
            <w:vAlign w:val="bottom"/>
            <w:gridSpan w:val="7"/>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40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40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goods sold</w:t>
            </w:r>
          </w:p>
        </w:tc>
        <w:tc>
          <w:tcPr>
            <w:tcW w:w="49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1,587</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0"/>
        </w:trPr>
        <w:tc>
          <w:tcPr>
            <w:tcW w:w="406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49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r>
      <w:tr>
        <w:trPr>
          <w:trHeight w:val="845"/>
        </w:trPr>
        <w:tc>
          <w:tcPr>
            <w:tcW w:w="406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15</w:t>
            </w:r>
          </w:p>
        </w:tc>
        <w:tc>
          <w:tcPr>
            <w:tcW w:w="10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6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Embedded Derivatives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warrants sold by the Company during the three months ended March 31, 2021.</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information pertaining to shares issued upon the exercise of warrants as of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Issued</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upon</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Underlying</w:t>
            </w:r>
          </w:p>
        </w:tc>
      </w:tr>
      <w:tr>
        <w:trPr>
          <w:trHeight w:val="216"/>
        </w:trPr>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Warrant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Warrants</w:t>
            </w:r>
          </w:p>
        </w:tc>
      </w:tr>
      <w:tr>
        <w:trPr>
          <w:trHeight w:val="216"/>
        </w:trPr>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Underlying</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Exercises as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Price as of</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Warrants on</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of</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as of</w:t>
            </w:r>
          </w:p>
        </w:tc>
      </w:tr>
      <w:tr>
        <w:trPr>
          <w:trHeight w:val="216"/>
        </w:trPr>
        <w:tc>
          <w:tcPr>
            <w:tcW w:w="40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c>
          <w:tcPr>
            <w:tcW w:w="10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Arial" w:cs="Arial" w:eastAsia="Arial" w:hAnsi="Arial"/>
                <w:sz w:val="18"/>
                <w:szCs w:val="18"/>
                <w:b w:val="1"/>
                <w:bCs w:val="1"/>
                <w:color w:val="auto"/>
              </w:rPr>
              <w:t>Expiration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March 31,</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Issuance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March 31,</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40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0"/>
        </w:trPr>
        <w:tc>
          <w:tcPr>
            <w:tcW w:w="40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Series F 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04/01/2016</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04/01/2021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25,733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11,692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14,041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Series I Warrants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09/13/2016</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09/13/2021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35,368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35,368</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Series K 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02/17/2017</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2/17/2022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315,986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308,660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7,326</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Series 2020-A Warrants (1)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7/6/2020</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7/6/2025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29,905,892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94,108</w:t>
            </w:r>
          </w:p>
        </w:tc>
      </w:tr>
      <w:tr>
        <w:trPr>
          <w:trHeight w:val="250"/>
        </w:trPr>
        <w:tc>
          <w:tcPr>
            <w:tcW w:w="408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40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30,377,087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30,226,244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150,843</w:t>
            </w:r>
          </w:p>
        </w:tc>
      </w:tr>
      <w:tr>
        <w:trPr>
          <w:trHeight w:val="211"/>
        </w:trPr>
        <w:tc>
          <w:tcPr>
            <w:tcW w:w="52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(1)  The Series 2020-A Warrants are equity-classified warrants.</w:t>
            </w:r>
          </w:p>
        </w:tc>
        <w:tc>
          <w:tcPr>
            <w:tcW w:w="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418"/>
        </w:trPr>
        <w:tc>
          <w:tcPr>
            <w:tcW w:w="4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0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agreements governing the above warrants include the following terms:</w:t>
      </w:r>
    </w:p>
    <w:p>
      <w:pPr>
        <w:spacing w:after="0" w:line="225" w:lineRule="exact"/>
        <w:rPr>
          <w:sz w:val="20"/>
          <w:szCs w:val="20"/>
          <w:color w:val="auto"/>
        </w:rPr>
      </w:pPr>
    </w:p>
    <w:p>
      <w:pPr>
        <w:jc w:val="both"/>
        <w:ind w:left="380" w:right="100" w:hanging="129"/>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warrants have exercise prices which are subject to adjustment for certain events, including the issuance of stock dividends on the Company’s common stock and, in certain instances, the issuance of the Company’s common stock or instruments convertible into the Company’s common stock at a price per share less than the exercise price of the respective warrants;</w:t>
      </w:r>
    </w:p>
    <w:p>
      <w:pPr>
        <w:spacing w:after="0" w:line="183" w:lineRule="exact"/>
        <w:rPr>
          <w:rFonts w:ascii="Arial" w:cs="Arial" w:eastAsia="Arial" w:hAnsi="Arial"/>
          <w:sz w:val="18"/>
          <w:szCs w:val="18"/>
          <w:color w:val="auto"/>
        </w:rPr>
      </w:pPr>
    </w:p>
    <w:p>
      <w:pPr>
        <w:ind w:left="380" w:right="160" w:hanging="116"/>
        <w:spacing w:after="0" w:line="263" w:lineRule="auto"/>
        <w:tabs>
          <w:tab w:leader="none" w:pos="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warrant holders may exercise the warrants through a cashless exercise if, and only if, the Company does not have an effective registration statement then available for the issuance of the shares of its common stock. If an effective registration statement is available for the issuance of its common stock a holder may only exercise the warrants through a cash exercise;</w:t>
      </w:r>
    </w:p>
    <w:p>
      <w:pPr>
        <w:spacing w:after="0" w:line="183" w:lineRule="exact"/>
        <w:rPr>
          <w:rFonts w:ascii="Arial" w:cs="Arial" w:eastAsia="Arial" w:hAnsi="Arial"/>
          <w:sz w:val="18"/>
          <w:szCs w:val="18"/>
          <w:color w:val="auto"/>
        </w:rPr>
      </w:pPr>
    </w:p>
    <w:p>
      <w:pPr>
        <w:ind w:left="380" w:right="60" w:hanging="129"/>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price and the number and type of securities purchasable upon exercise of the warrants are subject to adjustment upon certain corporate events, including certain combinations, consolidations, liquidations, mergers, recapitalizations, reclassifications, reorganizations, stock dividends and stock splits, a sale of all or substantially all of the Company’s assets and certain other events; and</w:t>
      </w:r>
    </w:p>
    <w:p>
      <w:pPr>
        <w:spacing w:after="0" w:line="183" w:lineRule="exact"/>
        <w:rPr>
          <w:rFonts w:ascii="Arial" w:cs="Arial" w:eastAsia="Arial" w:hAnsi="Arial"/>
          <w:sz w:val="18"/>
          <w:szCs w:val="18"/>
          <w:color w:val="auto"/>
        </w:rPr>
      </w:pPr>
    </w:p>
    <w:p>
      <w:pPr>
        <w:ind w:left="400" w:right="20" w:hanging="149"/>
        <w:spacing w:after="0" w:line="271" w:lineRule="auto"/>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event of an “extraordinary transaction” or a “fundamental transaction” (as such terms are defined in the respective warrant agreements), generally including any merger with or into another entity, sale of all or substantially all of the Company’s assets, tender offer or exchange offer, or reclassification of its common stock, in which the successor entity (as defined in the respective warrant agreements) that assumes the successor entity is not a publicly traded company, the Company or any successor entity will pay the warrant holder, at such holder’s option, exercisable at any time concurrently with or within 30 days after the consummation of the extraordinary transaction or fundamental transaction, an amount of cash equal to the value of such holder’s warrants as determined in accordance with the Black-Scholes option pricing model and the terms of the respective warrant agreement. In some circumstances, the Company or successor entity may be obligated to make such payments regardless of whether the successor entity that assumes the warrants is a publicly traded company.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three months ended March 31, 2021, common stock was issued as a result of exercise of warrants as shown below (dollars in thousands):</w:t>
      </w:r>
    </w:p>
    <w:p>
      <w:pPr>
        <w:spacing w:after="0" w:line="244"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ind w:left="8500"/>
        <w:spacing w:after="0"/>
        <w:tabs>
          <w:tab w:leader="none" w:pos="10040" w:val="left"/>
        </w:tabs>
        <w:rPr>
          <w:sz w:val="20"/>
          <w:szCs w:val="20"/>
          <w:color w:val="auto"/>
        </w:rPr>
      </w:pPr>
      <w:r>
        <w:rPr>
          <w:rFonts w:ascii="Arial" w:cs="Arial" w:eastAsia="Arial" w:hAnsi="Arial"/>
          <w:sz w:val="18"/>
          <w:szCs w:val="18"/>
          <w:b w:val="1"/>
          <w:bCs w:val="1"/>
          <w:color w:val="auto"/>
        </w:rPr>
        <w:t>Issued</w:t>
      </w:r>
      <w:r>
        <w:rPr>
          <w:sz w:val="20"/>
          <w:szCs w:val="20"/>
          <w:color w:val="auto"/>
        </w:rPr>
        <w:tab/>
      </w:r>
      <w:r>
        <w:rPr>
          <w:rFonts w:ascii="Arial" w:cs="Arial" w:eastAsia="Arial" w:hAnsi="Arial"/>
          <w:sz w:val="18"/>
          <w:szCs w:val="18"/>
          <w:b w:val="1"/>
          <w:bCs w:val="1"/>
          <w:color w:val="auto"/>
        </w:rPr>
        <w:t>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4" w:lineRule="exact"/>
        <w:rPr>
          <w:sz w:val="20"/>
          <w:szCs w:val="20"/>
          <w:color w:val="auto"/>
        </w:rPr>
      </w:pPr>
    </w:p>
    <w:p>
      <w:pPr>
        <w:ind w:left="500"/>
        <w:spacing w:after="0"/>
        <w:tabs>
          <w:tab w:leader="none" w:pos="8740" w:val="left"/>
          <w:tab w:leader="none" w:pos="9660" w:val="left"/>
          <w:tab w:leader="none" w:pos="10720" w:val="left"/>
        </w:tabs>
        <w:rPr>
          <w:sz w:val="20"/>
          <w:szCs w:val="20"/>
          <w:color w:val="auto"/>
        </w:rPr>
      </w:pPr>
      <w:r>
        <w:rPr>
          <w:rFonts w:ascii="Arial" w:cs="Arial" w:eastAsia="Arial" w:hAnsi="Arial"/>
          <w:sz w:val="18"/>
          <w:szCs w:val="18"/>
          <w:color w:val="auto"/>
        </w:rPr>
        <w:t>Series 2020-A Warrants</w:t>
      </w:r>
      <w:r>
        <w:rPr>
          <w:sz w:val="20"/>
          <w:szCs w:val="20"/>
          <w:color w:val="auto"/>
        </w:rPr>
        <w:tab/>
      </w:r>
      <w:r>
        <w:rPr>
          <w:rFonts w:ascii="Arial" w:cs="Arial" w:eastAsia="Arial" w:hAnsi="Arial"/>
          <w:sz w:val="34"/>
          <w:szCs w:val="34"/>
          <w:color w:val="auto"/>
          <w:vertAlign w:val="superscript"/>
        </w:rPr>
        <w:t>1,863,058</w:t>
      </w:r>
      <w:r>
        <w:rPr>
          <w:sz w:val="20"/>
          <w:szCs w:val="20"/>
          <w:color w:val="auto"/>
        </w:rPr>
        <w:tab/>
      </w:r>
      <w:r>
        <w:rPr>
          <w:rFonts w:ascii="Arial" w:cs="Arial" w:eastAsia="Arial" w:hAnsi="Arial"/>
          <w:sz w:val="36"/>
          <w:szCs w:val="36"/>
          <w:color w:val="auto"/>
          <w:vertAlign w:val="superscript"/>
        </w:rPr>
        <w:t>$</w:t>
      </w:r>
      <w:r>
        <w:rPr>
          <w:sz w:val="20"/>
          <w:szCs w:val="20"/>
          <w:color w:val="auto"/>
        </w:rPr>
        <w:tab/>
      </w:r>
      <w:r>
        <w:rPr>
          <w:rFonts w:ascii="Arial" w:cs="Arial" w:eastAsia="Arial" w:hAnsi="Arial"/>
          <w:sz w:val="23"/>
          <w:szCs w:val="23"/>
          <w:color w:val="auto"/>
          <w:vertAlign w:val="superscript"/>
        </w:rPr>
        <w:t>1,117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-116205</wp:posOffset>
            </wp:positionV>
            <wp:extent cx="19888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8820" cy="25400"/>
                    </a:xfrm>
                    <a:prstGeom prst="rect">
                      <a:avLst/>
                    </a:prstGeom>
                    <a:noFill/>
                  </pic:spPr>
                </pic:pic>
              </a:graphicData>
            </a:graphic>
          </wp:anchor>
        </w:drawing>
      </w:r>
    </w:p>
    <w:p>
      <w:pPr>
        <w:spacing w:after="0" w:line="37" w:lineRule="exact"/>
        <w:rPr>
          <w:sz w:val="20"/>
          <w:szCs w:val="20"/>
          <w:color w:val="auto"/>
        </w:rPr>
      </w:pPr>
    </w:p>
    <w:p>
      <w:pPr>
        <w:jc w:val="center"/>
        <w:ind w:left="48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Liabilities</w:t>
      </w:r>
    </w:p>
    <w:p>
      <w:pPr>
        <w:spacing w:after="0" w:line="229" w:lineRule="exact"/>
        <w:rPr>
          <w:sz w:val="20"/>
          <w:szCs w:val="20"/>
          <w:color w:val="auto"/>
        </w:rPr>
      </w:pPr>
    </w:p>
    <w:p>
      <w:pPr>
        <w:ind w:right="500" w:firstLine="475"/>
        <w:spacing w:after="0" w:line="277" w:lineRule="auto"/>
        <w:rPr>
          <w:sz w:val="20"/>
          <w:szCs w:val="20"/>
          <w:color w:val="auto"/>
        </w:rPr>
      </w:pPr>
      <w:r>
        <w:rPr>
          <w:rFonts w:ascii="Arial" w:cs="Arial" w:eastAsia="Arial" w:hAnsi="Arial"/>
          <w:sz w:val="18"/>
          <w:szCs w:val="18"/>
          <w:color w:val="auto"/>
        </w:rPr>
        <w:t>The following table sets forth the components of the Company’s accounts payable and accrued liabilities in the consolidated balance sheets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440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3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1,677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 trade</w:t>
            </w:r>
          </w:p>
        </w:tc>
        <w:tc>
          <w:tcPr>
            <w:tcW w:w="3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Accrued utilities and supplies</w:t>
            </w: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3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w:t>
            </w:r>
          </w:p>
        </w:tc>
      </w:tr>
      <w:tr>
        <w:trPr>
          <w:trHeight w:val="250"/>
        </w:trPr>
        <w:tc>
          <w:tcPr>
            <w:tcW w:w="4400" w:type="dxa"/>
            <w:vAlign w:val="bottom"/>
            <w:tcBorders>
              <w:top w:val="single" w:sz="8" w:color="CCEEFF"/>
            </w:tcBorders>
          </w:tcPr>
          <w:p>
            <w:pPr>
              <w:spacing w:after="0"/>
              <w:rPr>
                <w:sz w:val="21"/>
                <w:szCs w:val="21"/>
                <w:color w:val="auto"/>
              </w:rPr>
            </w:pPr>
          </w:p>
        </w:tc>
        <w:tc>
          <w:tcPr>
            <w:tcW w:w="374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payable and accrued liabilities</w:t>
            </w:r>
          </w:p>
        </w:tc>
        <w:tc>
          <w:tcPr>
            <w:tcW w:w="3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w:t>
            </w:r>
          </w:p>
        </w:tc>
      </w:tr>
      <w:tr>
        <w:trPr>
          <w:trHeight w:val="413"/>
        </w:trPr>
        <w:tc>
          <w:tcPr>
            <w:tcW w:w="4400" w:type="dxa"/>
            <w:vAlign w:val="bottom"/>
            <w:tcBorders>
              <w:top w:val="single" w:sz="8" w:color="CCEEFF"/>
            </w:tcBorders>
          </w:tcPr>
          <w:p>
            <w:pPr>
              <w:spacing w:after="0"/>
              <w:rPr>
                <w:sz w:val="24"/>
                <w:szCs w:val="24"/>
                <w:color w:val="auto"/>
              </w:rPr>
            </w:pPr>
          </w:p>
        </w:tc>
        <w:tc>
          <w:tcPr>
            <w:tcW w:w="3740" w:type="dxa"/>
            <w:vAlign w:val="bottom"/>
            <w:tcBorders>
              <w:top w:val="single" w:sz="8" w:color="CCEEFF"/>
            </w:tcBorders>
          </w:tcPr>
          <w:p>
            <w:pPr>
              <w:jc w:val="right"/>
              <w:ind w:right="233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40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Payable - Other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equipment loans are secured by the related equipment.</w:t>
      </w:r>
    </w:p>
    <w:p>
      <w:pPr>
        <w:spacing w:after="0" w:line="22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 The SBA Loans are subject to the potential for partial or full loan forgiveness as dictated by U.S. federal law. Principal and interest are deferred until August 2021 and interest continues to accrue during the deferral period. The SBA Loans are payable monthly beginning August 5, 2021, with aggregate payments totaling $0.06 million per month, including interest and principal. The SBA Loans are subject to partial or full forgiveness for the initial 24-week period following the loan disbursement if all proceeds are used for eligible purposes and within certain thresholds, the Company maintains certain employment levels and the Company maintains certain compensation levels.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balance of these loans at March 31, 2021 and December 31, 2020 are as follows (in thousands):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5"/>
              </w:rPr>
              <w:t>Interest Rate</w:t>
            </w:r>
          </w:p>
        </w:tc>
        <w:tc>
          <w:tcPr>
            <w:tcW w:w="180" w:type="dxa"/>
            <w:vAlign w:val="bottom"/>
          </w:tcPr>
          <w:p>
            <w:pPr>
              <w:spacing w:after="0"/>
              <w:rPr>
                <w:sz w:val="20"/>
                <w:szCs w:val="20"/>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Maturity Date</w:t>
            </w:r>
          </w:p>
        </w:tc>
      </w:tr>
      <w:tr>
        <w:trPr>
          <w:trHeight w:val="425"/>
        </w:trPr>
        <w:tc>
          <w:tcPr>
            <w:tcW w:w="4140" w:type="dxa"/>
            <w:vAlign w:val="bottom"/>
          </w:tcPr>
          <w:p>
            <w:pPr>
              <w:spacing w:after="0"/>
              <w:rPr>
                <w:sz w:val="20"/>
                <w:szCs w:val="20"/>
                <w:color w:val="auto"/>
              </w:rPr>
            </w:pPr>
            <w:r>
              <w:rPr>
                <w:rFonts w:ascii="Arial" w:cs="Arial" w:eastAsia="Arial" w:hAnsi="Arial"/>
                <w:sz w:val="18"/>
                <w:szCs w:val="18"/>
                <w:color w:val="auto"/>
              </w:rPr>
              <w:t>SBA Loans</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6"/>
              </w:rPr>
              <w:t>April 2025</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Equipment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 - 5%</w:t>
            </w:r>
          </w:p>
        </w:tc>
        <w:tc>
          <w:tcPr>
            <w:tcW w:w="18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October 2021 - December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Total notes payable -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Long-term portion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payments for Loans Payable - Other are as follows (in thousands):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2021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411"/>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1,006</w:t>
            </w:r>
          </w:p>
        </w:tc>
      </w:tr>
      <w:tr>
        <w:trPr>
          <w:trHeight w:val="230"/>
        </w:trPr>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20"/>
                <w:szCs w:val="20"/>
                <w:color w:val="auto"/>
              </w:rPr>
            </w:pPr>
          </w:p>
        </w:tc>
      </w:tr>
      <w:tr>
        <w:trPr>
          <w:trHeight w:val="411"/>
        </w:trPr>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1,254</w:t>
            </w:r>
          </w:p>
        </w:tc>
      </w:tr>
      <w:tr>
        <w:trPr>
          <w:trHeight w:val="230"/>
        </w:trPr>
        <w:tc>
          <w:tcPr>
            <w:tcW w:w="12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(807)</w:t>
            </w:r>
          </w:p>
        </w:tc>
      </w:tr>
      <w:tr>
        <w:trPr>
          <w:trHeight w:val="425"/>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24"/>
                <w:szCs w:val="24"/>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16"/>
        </w:trPr>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16"/>
        </w:trPr>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425"/>
        </w:trPr>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60" w:space="260"/>
            <w:col w:w="3200"/>
          </w:cols>
          <w:pgMar w:left="320" w:top="125" w:right="359" w:bottom="1440" w:gutter="0" w:footer="0" w:header="0"/>
          <w:type w:val="continuous"/>
        </w:sectPr>
      </w:pPr>
    </w:p>
    <w:p>
      <w:pPr>
        <w:spacing w:after="0" w:line="2"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On April 15, 2021, the Small Business Administration forgave the entire balance of $0.5 million of the Company's and $0.1 million of Agri-Energy's loans and accrued interest obtained through the SBA PPP. The remaining SBA PPP loan for Agri-Energy totals $0.4 million, bears interest at 1.0% and matures in April 2025. Monthly payments of $8 thousand begin on June 5, 2021 and are payable through April 2025.</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1" w:name="page22"/>
    <w:bookmarkEnd w:id="21"/>
    <w:p>
      <w:pPr>
        <w:ind w:left="160"/>
        <w:spacing w:after="0"/>
        <w:rPr>
          <w:sz w:val="20"/>
          <w:szCs w:val="20"/>
          <w:color w:val="auto"/>
        </w:rPr>
      </w:pPr>
      <w:r>
        <w:rPr>
          <w:rFonts w:ascii="Arial" w:cs="Arial" w:eastAsia="Arial" w:hAnsi="Arial"/>
          <w:sz w:val="18"/>
          <w:szCs w:val="18"/>
          <w:u w:val="single" w:color="auto"/>
          <w:color w:val="auto"/>
        </w:rPr>
        <w:t>Table of Content</w:t>
      </w: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Plans</w:t>
      </w:r>
    </w:p>
    <w:p>
      <w:pPr>
        <w:spacing w:after="0" w:line="229"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i w:val="1"/>
          <w:iCs w:val="1"/>
          <w:color w:val="auto"/>
        </w:rPr>
        <w:t>2010 Stock Incentive Plan</w:t>
      </w:r>
      <w:r>
        <w:rPr>
          <w:rFonts w:ascii="Arial" w:cs="Arial" w:eastAsia="Arial" w:hAnsi="Arial"/>
          <w:sz w:val="16"/>
          <w:szCs w:val="16"/>
          <w:color w:val="auto"/>
        </w:rPr>
        <w:t>. In February 2011, the Company’s stockholders approved the Gevo, Inc. 2010 Stock Incentive Plan (as amended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to date, the "2010 Plan"). The 2010 Plan provided for the grant of non-qualified stock options, incentive stock options, stock appreciation rights, restricted stock awards, restricted stock units and other equity awards to employees and directors of the Company. On June 3, 2020, the 2010 Plan was amended and restated, which increased the number of shares of common stock reserved for issuance to a total of 6,980,074 shares.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Restricted common stock activity during the three months ended March 31, 2021 consisted of the following:</w:t>
      </w:r>
    </w:p>
    <w:p>
      <w:pPr>
        <w:spacing w:after="0" w:line="225" w:lineRule="exact"/>
        <w:rPr>
          <w:sz w:val="20"/>
          <w:szCs w:val="20"/>
          <w:color w:val="auto"/>
        </w:rPr>
      </w:pPr>
    </w:p>
    <w:p>
      <w:pPr>
        <w:ind w:left="340" w:hanging="130"/>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months ended March 31, 2021, the Company cancelled 121,466 shares of common stock related to the vested restricted stock awards due to the resignation of a director.</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2021, 1,351,858 shares remain available for awards under the 2010 Plan.</w:t>
      </w:r>
    </w:p>
    <w:p>
      <w:pPr>
        <w:spacing w:after="0" w:line="225"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i w:val="1"/>
          <w:iCs w:val="1"/>
          <w:color w:val="auto"/>
        </w:rPr>
        <w:t>Employee Stock Purchase Plan</w:t>
      </w:r>
      <w:r>
        <w:rPr>
          <w:rFonts w:ascii="Arial" w:cs="Arial" w:eastAsia="Arial" w:hAnsi="Arial"/>
          <w:sz w:val="17"/>
          <w:szCs w:val="17"/>
          <w:color w:val="auto"/>
        </w:rPr>
        <w:t>. In February 2011, the Company’s stockholders approved the Employee Stock Purchase Plan (the "ESPP").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periods for the ESPP are from January 1 to June 30 and from July 1 to December 31 of each calendar year. The Company has reserved 190 shares of common stock for issuance under the ESPP, of which 190 shares as of March 31, 2021 are available for future issuance. The purchase price of the common stock under the ESPP is 85% of the lower of the fair market value of a share of common stock on the first or last day of the purchase period. There were no purchases of common stock under the ESPP during the three months ended March 31, 2021 or 2020.</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i w:val="1"/>
          <w:iCs w:val="1"/>
          <w:color w:val="auto"/>
        </w:rPr>
        <w:t>Stock-Based Compensation Expense</w:t>
      </w:r>
      <w:r>
        <w:rPr>
          <w:rFonts w:ascii="Arial" w:cs="Arial" w:eastAsia="Arial" w:hAnsi="Arial"/>
          <w:sz w:val="18"/>
          <w:szCs w:val="18"/>
          <w:color w:val="auto"/>
        </w:rPr>
        <w:t>. The Company records stock-based compensation expense during the requisite service period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awards granted to employees and non-employees.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Company’s stock-based compensation expense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260</w:t>
            </w:r>
          </w:p>
        </w:tc>
      </w:tr>
      <w:tr>
        <w:trPr>
          <w:trHeight w:val="216"/>
        </w:trPr>
        <w:tc>
          <w:tcPr>
            <w:tcW w:w="8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 appreciation rights</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r>
      <w:tr>
        <w:trPr>
          <w:trHeight w:val="209"/>
        </w:trPr>
        <w:tc>
          <w:tcPr>
            <w:tcW w:w="800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i w:val="1"/>
          <w:iCs w:val="1"/>
          <w:color w:val="auto"/>
        </w:rPr>
        <w:t>Stock Option Award Activity</w:t>
      </w:r>
      <w:r>
        <w:rPr>
          <w:rFonts w:ascii="Arial" w:cs="Arial" w:eastAsia="Arial" w:hAnsi="Arial"/>
          <w:sz w:val="18"/>
          <w:szCs w:val="18"/>
          <w:color w:val="auto"/>
        </w:rPr>
        <w:t>. Stock option activity under the Company’s stock incentive plans at March 31, 2021 and changes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Remaining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Contractual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60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Term</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608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 (1)</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(years)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60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Options outstanding at December 31, 2020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1,552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556.13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Canceled or forfeited</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876.00</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60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5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March 31, 2021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548.75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197"/>
        </w:trPr>
        <w:tc>
          <w:tcPr>
            <w:tcW w:w="608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5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2021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548.75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196"/>
        </w:trPr>
        <w:tc>
          <w:tcPr>
            <w:tcW w:w="608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56"/>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expected to vest at March 31, 2021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548.75</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540" w:right="4540" w:hanging="5402"/>
        <w:spacing w:after="0" w:line="778" w:lineRule="auto"/>
        <w:tabs>
          <w:tab w:leader="none" w:pos="443"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Exercise price of options outstanding range from $20 to $99,300 as of March 31, 2021.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Non-vested restricted stock awards at March 31, 2021 and changes during the three months ended March 31, 2021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00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Grant-Date</w:t>
            </w:r>
          </w:p>
        </w:tc>
      </w:tr>
      <w:tr>
        <w:trPr>
          <w:trHeight w:val="234"/>
        </w:trPr>
        <w:tc>
          <w:tcPr>
            <w:tcW w:w="8000" w:type="dxa"/>
            <w:vAlign w:val="bottom"/>
          </w:tcPr>
          <w:p>
            <w:pPr>
              <w:spacing w:after="0"/>
              <w:rPr>
                <w:sz w:val="20"/>
                <w:szCs w:val="20"/>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r>
      <w:tr>
        <w:trPr>
          <w:trHeight w:val="209"/>
        </w:trPr>
        <w:tc>
          <w:tcPr>
            <w:tcW w:w="80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4,701,556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(120,808)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0.81</w:t>
            </w:r>
          </w:p>
        </w:tc>
      </w:tr>
      <w:tr>
        <w:trPr>
          <w:trHeight w:val="209"/>
        </w:trPr>
        <w:tc>
          <w:tcPr>
            <w:tcW w:w="80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Non-vested at March 31,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4,580,748</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0.79</w:t>
            </w:r>
          </w:p>
        </w:tc>
      </w:tr>
      <w:tr>
        <w:trPr>
          <w:trHeight w:val="20"/>
        </w:trPr>
        <w:tc>
          <w:tcPr>
            <w:tcW w:w="8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total fair value of restricted stock that vested during the three months ended March 31, 2021 was nil. As of March 31, 2021, the total unrecognized compensation expense, net of estimated forfeitures, relating to restricted stock awards was $1.9 million, which is expected to be recognized over the remaining weighted-average period of approximately 1.1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right="320" w:firstLine="475"/>
        <w:spacing w:after="0" w:line="286" w:lineRule="auto"/>
        <w:rPr>
          <w:sz w:val="20"/>
          <w:szCs w:val="20"/>
          <w:color w:val="auto"/>
        </w:rPr>
      </w:pPr>
      <w:r>
        <w:rPr>
          <w:rFonts w:ascii="Arial" w:cs="Arial" w:eastAsia="Arial" w:hAnsi="Arial"/>
          <w:sz w:val="17"/>
          <w:szCs w:val="17"/>
          <w:i w:val="1"/>
          <w:iCs w:val="1"/>
          <w:color w:val="auto"/>
        </w:rPr>
        <w:t>Legal Matters</w:t>
      </w:r>
      <w:r>
        <w:rPr>
          <w:rFonts w:ascii="Arial" w:cs="Arial" w:eastAsia="Arial" w:hAnsi="Arial"/>
          <w:sz w:val="17"/>
          <w:szCs w:val="17"/>
          <w:color w:val="auto"/>
        </w:rPr>
        <w:t>. From time to time, the Company has been, and may again become, involved in legal proceedings arising in the ordinary course of</w:t>
      </w:r>
      <w:r>
        <w:rPr>
          <w:rFonts w:ascii="Arial" w:cs="Arial" w:eastAsia="Arial" w:hAnsi="Arial"/>
          <w:sz w:val="17"/>
          <w:szCs w:val="17"/>
          <w:i w:val="1"/>
          <w:iCs w:val="1"/>
          <w:color w:val="auto"/>
        </w:rPr>
        <w:t xml:space="preserve"> </w:t>
      </w:r>
      <w:r>
        <w:rPr>
          <w:rFonts w:ascii="Arial" w:cs="Arial" w:eastAsia="Arial" w:hAnsi="Arial"/>
          <w:sz w:val="17"/>
          <w:szCs w:val="17"/>
          <w:color w:val="auto"/>
        </w:rPr>
        <w:t>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spacing w:after="0" w:line="165"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i w:val="1"/>
          <w:iCs w:val="1"/>
          <w:color w:val="auto"/>
        </w:rPr>
        <w:t>Indemnifications</w:t>
      </w:r>
      <w:r>
        <w:rPr>
          <w:rFonts w:ascii="Arial" w:cs="Arial" w:eastAsia="Arial" w:hAnsi="Arial"/>
          <w:sz w:val="17"/>
          <w:szCs w:val="17"/>
          <w:color w:val="auto"/>
        </w:rPr>
        <w:t>. In the ordinary course of its business, the Company makes certain indemnities under which it may be required to make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in relation to certain transactions. As of March 31, 2021, the Company did not have any liabilities associated with indemnities.</w:t>
      </w:r>
    </w:p>
    <w:p>
      <w:pPr>
        <w:spacing w:after="0" w:line="14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addition, the Company, as permitted under Delaware law and in accordance with its amended and restated certificate of incorporation and amended and restated bylaws, in each case, as amended to date,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for losses for any known contingent liability, including those that may arise from indemnification provisions, when future payment is probable. No such losses have been recorded to date.</w:t>
      </w:r>
    </w:p>
    <w:p>
      <w:pPr>
        <w:spacing w:after="0" w:line="195"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i w:val="1"/>
          <w:iCs w:val="1"/>
          <w:color w:val="auto"/>
        </w:rPr>
        <w:t>Environmental Liabilities</w:t>
      </w:r>
      <w:r>
        <w:rPr>
          <w:rFonts w:ascii="Arial" w:cs="Arial" w:eastAsia="Arial" w:hAnsi="Arial"/>
          <w:sz w:val="17"/>
          <w:szCs w:val="17"/>
          <w:color w:val="auto"/>
        </w:rPr>
        <w:t>. The Company’s operations are subject to environmental laws and regulations adopted by various governmental authorities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March 31,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right="140" w:firstLine="475"/>
        <w:spacing w:after="0" w:line="257" w:lineRule="auto"/>
        <w:rPr>
          <w:sz w:val="20"/>
          <w:szCs w:val="20"/>
          <w:color w:val="auto"/>
        </w:rPr>
      </w:pPr>
      <w:r>
        <w:rPr>
          <w:rFonts w:ascii="Arial" w:cs="Arial" w:eastAsia="Arial" w:hAnsi="Arial"/>
          <w:sz w:val="18"/>
          <w:szCs w:val="18"/>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1 – inputs include quoted market prices in an active market for identical assets or liabilities.</w:t>
      </w:r>
    </w:p>
    <w:p>
      <w:pPr>
        <w:spacing w:after="0" w:line="225" w:lineRule="exact"/>
        <w:rPr>
          <w:sz w:val="20"/>
          <w:szCs w:val="20"/>
          <w:color w:val="auto"/>
        </w:rPr>
      </w:pPr>
    </w:p>
    <w:p>
      <w:pPr>
        <w:ind w:right="20" w:firstLine="475"/>
        <w:spacing w:after="0" w:line="342" w:lineRule="auto"/>
        <w:rPr>
          <w:sz w:val="20"/>
          <w:szCs w:val="20"/>
          <w:color w:val="auto"/>
        </w:rPr>
      </w:pPr>
      <w:r>
        <w:rPr>
          <w:rFonts w:ascii="Arial" w:cs="Arial" w:eastAsia="Arial" w:hAnsi="Arial"/>
          <w:sz w:val="16"/>
          <w:szCs w:val="16"/>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3 – inputs are unobservable and corroborated by little or no market data.</w:t>
      </w:r>
    </w:p>
    <w:p>
      <w:pPr>
        <w:spacing w:after="0" w:line="225"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These tables present the carrying value and fair value, by fair value hierarchy, of the Company's financial instruments at March 31, 2021 and December 31, 2020, respectively (in thousands). The Company believes that the fair value of its Loans Payable - Other approximated book value, which totaled $1.2 million and $1.3 million at March 31, 2021 and December 31, 2020, respectively.</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Derivative Warrant Liability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Palladium and finished goods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Derivative Warrant Liability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Corn, palladium and finished goods inventory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8"/>
          </w:tcPr>
          <w:p>
            <w:pPr>
              <w:jc w:val="center"/>
              <w:ind w:right="10"/>
              <w:spacing w:after="0"/>
              <w:rPr>
                <w:sz w:val="20"/>
                <w:szCs w:val="20"/>
                <w:color w:val="auto"/>
              </w:rPr>
            </w:pPr>
            <w:r>
              <w:rPr>
                <w:rFonts w:ascii="Arial" w:cs="Arial" w:eastAsia="Arial" w:hAnsi="Arial"/>
                <w:sz w:val="18"/>
                <w:szCs w:val="18"/>
                <w:b w:val="1"/>
                <w:bCs w:val="1"/>
                <w:color w:val="auto"/>
                <w:w w:val="91"/>
              </w:rPr>
              <w:t>Fair Value Measurements at March 31, 2021</w:t>
            </w:r>
          </w:p>
        </w:tc>
      </w:tr>
      <w:tr>
        <w:trPr>
          <w:trHeight w:val="234"/>
        </w:trPr>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6"/>
              </w:rPr>
              <w:t>Quoted Prices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Fair Value at</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(Level 3)</w:t>
            </w:r>
          </w:p>
        </w:tc>
      </w:tr>
      <w:tr>
        <w:trPr>
          <w:trHeight w:val="42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880</w:t>
            </w:r>
          </w:p>
        </w:tc>
        <w:tc>
          <w:tcPr>
            <w:tcW w:w="2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r>
      <w:tr>
        <w:trPr>
          <w:trHeight w:val="637"/>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Fair Value Measurements at December 31, 2020</w:t>
            </w:r>
          </w:p>
        </w:tc>
      </w:tr>
      <w:tr>
        <w:trPr>
          <w:trHeight w:val="234"/>
        </w:trPr>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6"/>
              </w:rPr>
              <w:t>Quoted Prices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Fair Value at</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(Level 3)</w:t>
            </w:r>
          </w:p>
        </w:tc>
      </w:tr>
      <w:tr>
        <w:trPr>
          <w:trHeight w:val="425"/>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845"/>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866</w:t>
            </w:r>
          </w:p>
        </w:tc>
        <w:tc>
          <w:tcPr>
            <w:tcW w:w="2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-3154045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-2853690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-2579370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-873760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-573405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-299720</wp:posOffset>
            </wp:positionV>
            <wp:extent cx="706374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160"/>
          </w:cols>
          <w:pgMar w:left="320" w:top="125" w:right="439" w:bottom="1440" w:gutter="0" w:footer="0" w:header="0"/>
          <w:type w:val="continuous"/>
        </w:sect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720" w:firstLine="475"/>
        <w:spacing w:after="0" w:line="277" w:lineRule="auto"/>
        <w:rPr>
          <w:sz w:val="20"/>
          <w:szCs w:val="20"/>
          <w:color w:val="auto"/>
        </w:rPr>
      </w:pPr>
      <w:r>
        <w:rPr>
          <w:rFonts w:ascii="Arial" w:cs="Arial" w:eastAsia="Arial" w:hAnsi="Arial"/>
          <w:sz w:val="18"/>
          <w:szCs w:val="18"/>
          <w:color w:val="auto"/>
        </w:rPr>
        <w:t>The following table provides changes to those fair value measurements using Level 3 inputs for the three months ended March 31, 2021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loss 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Balance, March 31, 2021</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transfers to or from Level 3 in the three months ended March 31, 2021.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Fair Value</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Measurements Using</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Significant</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Unobservable Inputs</w:t>
      </w:r>
    </w:p>
    <w:p>
      <w:pPr>
        <w:spacing w:after="0" w:line="2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10890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Derivative Warrant</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10890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04"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w:t>
      </w:r>
    </w:p>
    <w:p>
      <w:pPr>
        <w:spacing w:after="0" w:line="248"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0890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59"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10890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890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46355</wp:posOffset>
            </wp:positionV>
            <wp:extent cx="10890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8680" w:space="720"/>
            <w:col w:w="1840"/>
          </w:cols>
          <w:pgMar w:left="320" w:top="125" w:right="339" w:bottom="1440" w:gutter="0" w:footer="0" w:header="0"/>
          <w:type w:val="continuous"/>
        </w:sectPr>
      </w:pPr>
    </w:p>
    <w:p>
      <w:pPr>
        <w:spacing w:after="0" w:line="48" w:lineRule="exact"/>
        <w:rPr>
          <w:sz w:val="20"/>
          <w:szCs w:val="20"/>
          <w:color w:val="auto"/>
        </w:rPr>
      </w:pPr>
    </w:p>
    <w:p>
      <w:pPr>
        <w:ind w:firstLine="475"/>
        <w:spacing w:after="0" w:line="263"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The Company records its corn and palladium inventory at fair value only when the Company’s cost of corn and palladium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exceeds the market value for corn. The Company determines the market value of corn and palladium based upon Level 1 inputs using quoted market prices. The Company records its hydrocarbon, isobutanol and ethanol inventory at market using Level 2 inputs.</w:t>
      </w:r>
    </w:p>
    <w:p>
      <w:pPr>
        <w:spacing w:after="0" w:line="184" w:lineRule="exact"/>
        <w:rPr>
          <w:sz w:val="20"/>
          <w:szCs w:val="20"/>
          <w:color w:val="auto"/>
        </w:rPr>
      </w:pPr>
    </w:p>
    <w:p>
      <w:pPr>
        <w:ind w:right="360" w:firstLine="475"/>
        <w:spacing w:after="0" w:line="277" w:lineRule="auto"/>
        <w:rPr>
          <w:sz w:val="20"/>
          <w:szCs w:val="20"/>
          <w:color w:val="auto"/>
        </w:rPr>
      </w:pPr>
      <w:r>
        <w:rPr>
          <w:rFonts w:ascii="Arial" w:cs="Arial" w:eastAsia="Arial" w:hAnsi="Arial"/>
          <w:sz w:val="18"/>
          <w:szCs w:val="18"/>
          <w:i w:val="1"/>
          <w:iCs w:val="1"/>
          <w:color w:val="auto"/>
        </w:rPr>
        <w:t>Derivative Warrant Liability</w:t>
      </w:r>
      <w:r>
        <w:rPr>
          <w:rFonts w:ascii="Arial" w:cs="Arial" w:eastAsia="Arial" w:hAnsi="Arial"/>
          <w:sz w:val="18"/>
          <w:szCs w:val="18"/>
          <w:color w:val="auto"/>
        </w:rPr>
        <w:t>. The Company valued the Series F Warrants and Series K Warrants using a Monte-Carlo model (Level 3)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using Black-Scholes models comprised of some inputs requiring the use of Monte-Carlo models (Level 3).</w:t>
      </w:r>
    </w:p>
    <w:p>
      <w:pPr>
        <w:spacing w:after="0" w:line="170" w:lineRule="exact"/>
        <w:rPr>
          <w:sz w:val="20"/>
          <w:szCs w:val="20"/>
          <w:color w:val="auto"/>
        </w:rPr>
      </w:pPr>
    </w:p>
    <w:p>
      <w:pPr>
        <w:jc w:val="both"/>
        <w:ind w:right="280" w:firstLine="475"/>
        <w:spacing w:after="0" w:line="263" w:lineRule="auto"/>
        <w:rPr>
          <w:sz w:val="20"/>
          <w:szCs w:val="20"/>
          <w:color w:val="auto"/>
        </w:rPr>
      </w:pPr>
      <w:r>
        <w:rPr>
          <w:rFonts w:ascii="Arial" w:cs="Arial" w:eastAsia="Arial" w:hAnsi="Arial"/>
          <w:sz w:val="18"/>
          <w:szCs w:val="18"/>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Segments</w:t>
      </w:r>
    </w:p>
    <w:p>
      <w:pPr>
        <w:spacing w:after="0" w:line="229" w:lineRule="exact"/>
        <w:rPr>
          <w:sz w:val="20"/>
          <w:szCs w:val="20"/>
          <w:color w:val="auto"/>
        </w:rPr>
      </w:pPr>
    </w:p>
    <w:p>
      <w:pPr>
        <w:ind w:right="40" w:firstLine="475"/>
        <w:spacing w:after="0" w:line="257" w:lineRule="auto"/>
        <w:rPr>
          <w:sz w:val="20"/>
          <w:szCs w:val="20"/>
          <w:color w:val="auto"/>
        </w:rPr>
      </w:pPr>
      <w:r>
        <w:rPr>
          <w:rFonts w:ascii="Arial" w:cs="Arial" w:eastAsia="Arial" w:hAnsi="Arial"/>
          <w:sz w:val="18"/>
          <w:szCs w:val="18"/>
          <w:color w:val="auto"/>
        </w:rPr>
        <w:t>The Company's chief operating decision maker is provided with and reviews a monthly executive package which separately identifies its business segments based on the nature of the products and services offered through each of its consolidated legal entities. In January 2021, the Company began to separately identify the Renewal Natural Gas Segment and Net-Zero Segment in the monthly executive package. As such, the Company has determined that it has four operating segments: (i) Gevo segment; (ii) Agri-Energy segment; (iii) Renewable Natural Gas segment; and (iv) Net-Zero segment. Transactions between segments are eliminated in consolidation.</w:t>
      </w:r>
    </w:p>
    <w:p>
      <w:pPr>
        <w:spacing w:after="0" w:line="188" w:lineRule="exact"/>
        <w:rPr>
          <w:sz w:val="20"/>
          <w:szCs w:val="20"/>
          <w:color w:val="auto"/>
        </w:rPr>
      </w:pPr>
    </w:p>
    <w:p>
      <w:pPr>
        <w:ind w:right="40" w:firstLine="475"/>
        <w:spacing w:after="0" w:line="279" w:lineRule="auto"/>
        <w:rPr>
          <w:sz w:val="20"/>
          <w:szCs w:val="20"/>
          <w:color w:val="auto"/>
        </w:rPr>
      </w:pPr>
      <w:r>
        <w:rPr>
          <w:rFonts w:ascii="Arial" w:cs="Arial" w:eastAsia="Arial" w:hAnsi="Arial"/>
          <w:sz w:val="17"/>
          <w:szCs w:val="17"/>
          <w:b w:val="1"/>
          <w:bCs w:val="1"/>
          <w:i w:val="1"/>
          <w:iCs w:val="1"/>
          <w:color w:val="auto"/>
        </w:rPr>
        <w:t>Gevo Segment</w:t>
      </w:r>
      <w:r>
        <w:rPr>
          <w:rFonts w:ascii="Arial" w:cs="Arial" w:eastAsia="Arial" w:hAnsi="Arial"/>
          <w:sz w:val="17"/>
          <w:szCs w:val="17"/>
          <w:color w:val="auto"/>
        </w:rPr>
        <w:t>. The Gevo segment is responsible for all research and development activities related to the future production of isobutanol,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development of our proprietary biocatalysts, the production and sale of bio jet fuel, the Company’s retrofit process and the next generation of chemicals and biofuels that will be based on the Company’s isobutanol technology. The Gevo segment also develops, maintains and protects its intellectual property portfolio, develops future markets for its isobutanol and provides corporate oversight services.</w:t>
      </w:r>
    </w:p>
    <w:p>
      <w:pPr>
        <w:spacing w:after="0" w:line="171" w:lineRule="exact"/>
        <w:rPr>
          <w:sz w:val="20"/>
          <w:szCs w:val="20"/>
          <w:color w:val="auto"/>
        </w:rPr>
      </w:pPr>
    </w:p>
    <w:p>
      <w:pPr>
        <w:ind w:right="60" w:firstLine="475"/>
        <w:spacing w:after="0" w:line="277" w:lineRule="auto"/>
        <w:rPr>
          <w:sz w:val="20"/>
          <w:szCs w:val="20"/>
          <w:color w:val="auto"/>
        </w:rPr>
      </w:pPr>
      <w:r>
        <w:rPr>
          <w:rFonts w:ascii="Arial" w:cs="Arial" w:eastAsia="Arial" w:hAnsi="Arial"/>
          <w:sz w:val="18"/>
          <w:szCs w:val="18"/>
          <w:b w:val="1"/>
          <w:bCs w:val="1"/>
          <w:i w:val="1"/>
          <w:iCs w:val="1"/>
          <w:color w:val="auto"/>
        </w:rPr>
        <w:t>Agri-Energy Segment</w:t>
      </w:r>
      <w:r>
        <w:rPr>
          <w:rFonts w:ascii="Arial" w:cs="Arial" w:eastAsia="Arial" w:hAnsi="Arial"/>
          <w:sz w:val="18"/>
          <w:szCs w:val="18"/>
          <w:color w:val="auto"/>
        </w:rPr>
        <w:t>. The Agri-Energy segment is currently responsible for the operation of the Company’s Luverne Facility and the production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isobutanol, ethanol and related products.</w:t>
      </w:r>
    </w:p>
    <w:p>
      <w:pPr>
        <w:spacing w:after="0" w:line="170" w:lineRule="exact"/>
        <w:rPr>
          <w:sz w:val="20"/>
          <w:szCs w:val="20"/>
          <w:color w:val="auto"/>
        </w:rPr>
      </w:pPr>
    </w:p>
    <w:p>
      <w:pPr>
        <w:ind w:right="300" w:firstLine="475"/>
        <w:spacing w:after="0" w:line="277" w:lineRule="auto"/>
        <w:rPr>
          <w:sz w:val="20"/>
          <w:szCs w:val="20"/>
          <w:color w:val="auto"/>
        </w:rPr>
      </w:pPr>
      <w:r>
        <w:rPr>
          <w:rFonts w:ascii="Arial" w:cs="Arial" w:eastAsia="Arial" w:hAnsi="Arial"/>
          <w:sz w:val="18"/>
          <w:szCs w:val="18"/>
          <w:b w:val="1"/>
          <w:bCs w:val="1"/>
          <w:i w:val="1"/>
          <w:iCs w:val="1"/>
          <w:color w:val="auto"/>
        </w:rPr>
        <w:t xml:space="preserve">Renewable Natural Gas Segment. </w:t>
      </w:r>
      <w:r>
        <w:rPr>
          <w:rFonts w:ascii="Arial" w:cs="Arial" w:eastAsia="Arial" w:hAnsi="Arial"/>
          <w:sz w:val="18"/>
          <w:szCs w:val="18"/>
          <w:color w:val="auto"/>
        </w:rPr>
        <w:t>The Renewable Natural Gas segment produces low-carbon methane from the manure of cows and pigs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of energy.</w:t>
      </w:r>
    </w:p>
    <w:p>
      <w:pPr>
        <w:spacing w:after="0" w:line="170" w:lineRule="exact"/>
        <w:rPr>
          <w:sz w:val="20"/>
          <w:szCs w:val="20"/>
          <w:color w:val="auto"/>
        </w:rPr>
      </w:pPr>
    </w:p>
    <w:p>
      <w:pPr>
        <w:ind w:right="300" w:firstLine="475"/>
        <w:spacing w:after="0" w:line="342" w:lineRule="auto"/>
        <w:rPr>
          <w:sz w:val="20"/>
          <w:szCs w:val="20"/>
          <w:color w:val="auto"/>
        </w:rPr>
      </w:pPr>
      <w:r>
        <w:rPr>
          <w:rFonts w:ascii="Arial" w:cs="Arial" w:eastAsia="Arial" w:hAnsi="Arial"/>
          <w:sz w:val="16"/>
          <w:szCs w:val="16"/>
          <w:b w:val="1"/>
          <w:bCs w:val="1"/>
          <w:i w:val="1"/>
          <w:iCs w:val="1"/>
          <w:color w:val="auto"/>
        </w:rPr>
        <w:t xml:space="preserve">Net-Zero Segment. </w:t>
      </w:r>
      <w:r>
        <w:rPr>
          <w:rFonts w:ascii="Arial" w:cs="Arial" w:eastAsia="Arial" w:hAnsi="Arial"/>
          <w:sz w:val="16"/>
          <w:szCs w:val="16"/>
          <w:color w:val="auto"/>
        </w:rPr>
        <w:t>The Net-Zero segment is responsible for the production of energy dense liquid hydrocarbons using renewable energy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proprietary technology. The concept of a Net-Zero Project is to convert renewable energy (photosynthetic, wind, renewable natural gas, biogas).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00" w:firstLine="475"/>
        <w:spacing w:after="0" w:line="259" w:lineRule="auto"/>
        <w:rPr>
          <w:sz w:val="20"/>
          <w:szCs w:val="20"/>
          <w:color w:val="auto"/>
        </w:rPr>
      </w:pPr>
      <w:r>
        <w:rPr>
          <w:rFonts w:ascii="Arial" w:cs="Arial" w:eastAsia="Arial" w:hAnsi="Arial"/>
          <w:sz w:val="18"/>
          <w:szCs w:val="18"/>
          <w:color w:val="auto"/>
        </w:rPr>
        <w:t>The Company’s chief operating decision maker is provided with and reviews the financial results of each of the Company’s consolidated legal entities, Gevo, Inc. and Agri-Energy, LLC, as well as its Renewable Natural Gas and Net-Zero projects. The Company organizes its business segments based on the nature of the products and services offered through each of its consolidated legal entities. Substantially all revenue is earned and all assets are held in the 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Gevo</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w:t>
            </w:r>
          </w:p>
        </w:tc>
      </w:tr>
      <w:tr>
        <w:trPr>
          <w:trHeight w:val="197"/>
        </w:trPr>
        <w:tc>
          <w:tcPr>
            <w:tcW w:w="80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Gevo</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(5,104)</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(2,881)</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(4,939)</w:t>
            </w:r>
          </w:p>
        </w:tc>
      </w:tr>
      <w:tr>
        <w:trPr>
          <w:trHeight w:val="229"/>
        </w:trPr>
        <w:tc>
          <w:tcPr>
            <w:tcW w:w="800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9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(9,878)</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(7,976)</w:t>
            </w:r>
          </w:p>
        </w:tc>
      </w:tr>
      <w:tr>
        <w:trPr>
          <w:trHeight w:val="196"/>
        </w:trPr>
        <w:tc>
          <w:tcPr>
            <w:tcW w:w="80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Gevo</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9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r>
      <w:tr>
        <w:trPr>
          <w:trHeight w:val="197"/>
        </w:trPr>
        <w:tc>
          <w:tcPr>
            <w:tcW w:w="80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Gevo</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9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w:t>
            </w:r>
          </w:p>
        </w:tc>
      </w:tr>
      <w:tr>
        <w:trPr>
          <w:trHeight w:val="197"/>
        </w:trPr>
        <w:tc>
          <w:tcPr>
            <w:tcW w:w="80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plant, property and equipment: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Gevo</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2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9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5,169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5,432</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r>
      <w:tr>
        <w:trPr>
          <w:trHeight w:val="196"/>
        </w:trPr>
        <w:tc>
          <w:tcPr>
            <w:tcW w:w="80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 by geographic area</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r>
      <w:tr>
        <w:trPr>
          <w:trHeight w:val="209"/>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Gevo</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595,834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152,177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Agri-Energy</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129,523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131,893</w:t>
            </w:r>
          </w:p>
        </w:tc>
      </w:tr>
      <w:tr>
        <w:trPr>
          <w:trHeight w:val="22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Renewable Natural Gas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Net-Zero</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Intercompany eliminations (1)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(129,487)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(131,971)</w:t>
            </w:r>
          </w:p>
        </w:tc>
      </w:tr>
      <w:tr>
        <w:trPr>
          <w:trHeight w:val="250"/>
        </w:trPr>
        <w:tc>
          <w:tcPr>
            <w:tcW w:w="80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608,728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400" w:right="860" w:hanging="257"/>
        <w:spacing w:after="0" w:line="258" w:lineRule="auto"/>
        <w:tabs>
          <w:tab w:leader="none" w:pos="4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no intercompany sales during the three months ended March 31, 2021 and $0.1 million for the year ended December 31, 2020 for hydrocarbon sales.</w:t>
      </w:r>
    </w:p>
    <w:p>
      <w:pPr>
        <w:spacing w:after="0" w:line="1" w:lineRule="exact"/>
        <w:rPr>
          <w:rFonts w:ascii="Arial" w:cs="Arial" w:eastAsia="Arial" w:hAnsi="Arial"/>
          <w:sz w:val="18"/>
          <w:szCs w:val="18"/>
          <w:color w:val="auto"/>
        </w:rPr>
      </w:pPr>
    </w:p>
    <w:p>
      <w:pPr>
        <w:ind w:left="400" w:hanging="257"/>
        <w:spacing w:after="0"/>
        <w:tabs>
          <w:tab w:leader="none" w:pos="4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other significant non-cash items relate to the activities of Gevo.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Issuance</w:t>
      </w:r>
    </w:p>
    <w:p>
      <w:pPr>
        <w:spacing w:after="0" w:line="229"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On April 15, 2021, the Iowa Finance Authority (the “Authority”) issued an aggregate principal amount of $68,155,000 of its Solid Waste Facility Revenue Bonds (Gevo NW Iowa RNG, LLC Renewable Natural Gas Project), Series 2021 (Green Bonds) (the “2021 Bonds”) in a public offering for the benefit of Gevo RNG, a subsidiary of Gevo. The Bonds initially bear interest at the rate of 1.50% per annum during the Initial Term Rate Period (as defined in the hereinafter defined Indenture), payable semi-annually on January 1 and July 1 of each year, commencing on July 1, 2021, mature on January 1, 2042, and are subject to mandatory tender for purchase and optional redemption pursuant to the terms of the Indenture (as defined below).</w:t>
      </w:r>
    </w:p>
    <w:p>
      <w:pPr>
        <w:spacing w:after="0" w:line="161"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The 2021 Bonds were issued under a Trust Indenture, dated as of April 1, 2021 (the “Indenture”), between the Authority and Citibank, N.A., as trustee (the “Trustee”). The principal of and the interest on the 2021 Bonds is payable solely from (i) payments to be made by Gevo RNG to the Trustee pursuant to a separate financing agreement, dated as of April 1, 2021 (the “Bond Financing Agreement”), between Gevo RNG and the Authority, (ii) all moneys received by the Authority or the Trustee in respect of payment of the loan of the proceeds of the 2021 Bonds from the Authority to Gevo RNG pursuant to the Bond Financing Agreement, (iii) all moneys and investments in the “Bond Fund” established and maintained by the Trustee pursuant to the Indenture, including without limitation moneys received by the Trustee pursuant to the Letter of Credit (as defined below), (iv) all moneys and investments in the “Project Fund” established and maintained by the Trustee pursuant to the Indenture from proceeds of the sale of the 2021 Bonds, and (v) all income and profit from the investment of the foregoing moneys, excluding any payments received by the Authority pursuant to rights of the Authority to receive certain additional payments and reimbursements of expenses as set forth in the Bond Financing Agreement. Pursuant to the Bond Financing Agreement, the proceeds of the 2021 Bonds will be loaned to Gevo RNG (1) to finance in part the construction of the biogas facility to be developed, designed, constructed, owned and operated by or on behalf of Gevo RNG, which is comprised of (A) three anaerobic digesters and related equipment situated on dairy farms located in Northwest Iowa that will produce partially conditioned raw biogas from cow manure, (B) gathering pipelines to transport biogas to a centrally located gas upgrade system, (C) a centrally located gas upgrade system located in Doon, Iowa that will upgrade biogas to pipeline quality natural gas and interconnect to Northern Natural Gas’ interstate pipeline and (D) other related improvements, (2) to capitalize a portion of the interest due on the 2021 Bonds during the Initial Term Rate Period to be used to reimburse the Credit Facility Provider (as defined below) for interest draws on the Letter of Credit during such period, and (3) to pay a portion of the costs of issuing the 2021 Bonds.</w:t>
      </w:r>
    </w:p>
    <w:p>
      <w:pPr>
        <w:spacing w:after="0" w:line="176"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On April 15, 2021, Gevo obtained a letter of credit for $71.2 million (the “Letter of Credit”) from Citibank, N.A., in its capacity as credit facility provider (the “Credit Facility Provider”), pursuant to the terms of a letter of credit reimbursement agreement dated as of April 1, 2021 (the “Reimbursement Agreement”), between Gevo and the Credit Facility Provider. The Letter of Credit will permit the Trustee to draw thereon in accordance with its terms in amounts sufficient to pay the principal and purchase price of the 2021 Bonds and up to 203 days’ interest on the 2021 Bonds. Pursuant to the terms of the Reimbursement Agreement, Gevo is obligated to reimburse the Credit Facility Provider for amounts drawn under the Letter of Credit. It is expected that payments of the principal of and interest on the 2021 Bonds, and the purchase price of 2021 Bonds that are tendered for mandatory purchase and not remarketed, will be made by draws on the Letter of Credit. Gevo has pledged and assigned cash to the Credit Facility Provider as security for the reimbursement obligations of Gevo pursuant to the Reimbursement Agreement in an amount equal to the principal amount of the 2021 Bonds plus three years of interest payments on the 2021 Bonds.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 w:firstLine="486"/>
        <w:spacing w:after="0" w:line="284" w:lineRule="auto"/>
        <w:rPr>
          <w:sz w:val="20"/>
          <w:szCs w:val="20"/>
          <w:color w:val="auto"/>
        </w:rPr>
      </w:pPr>
      <w:r>
        <w:rPr>
          <w:rFonts w:ascii="Arial" w:cs="Arial" w:eastAsia="Arial" w:hAnsi="Arial"/>
          <w:sz w:val="16"/>
          <w:szCs w:val="16"/>
          <w:color w:val="auto"/>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the impact of the novel coronavirus ("COVID-19") pandemic on our business, our financial condition, our results of operation and liquidity, risks and uncertainties related to our ability to sell our products, our ability to expand or continue production of our products at our Net-Zero 1 Project (as defined below), our production facility in Luverne, Minnesota (the “Luverne Facility”) or elsewhere, our ability to meet production, financial and operational guidance, our strategy to pursue low-carbon or "net-zero" carbon renewable fuels for sale into California and elsewhere, our ability to replace our fossil-based energy sources with renewable energy sources at our Net-Zero 1 Project, our Luverne Facility and elsewhere, our ability and plans to construct a greenfield commercial hydrocarbon facility to produce sustainable aviation fuel ("SAF") and renewable premium gasoline/isooctane, our ability to raise additional funds to finance our business, our ability to perform under our existing offtake agreements and other supply agreements we may enter into in the future, our ability to develop our renewable natural gas ("RNG") projects, our ability to produce isobutanol and renewable hydrocarbon products at a commercial level and at a profit, achievement of advances in our technology platform, the availability of suitable and cost-competitive feedstocks, our ability to gain market acceptance for our products, the expected cost-competitiveness and relative performance attributes of our products,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including this Report in Item 7. “Management’s Discussion and Analysis of Financial Condition and Results of Operations,” our Annual Report on Form 10-K for the year ended December 31, 2020 (our “Annual Report”), including Item 1A. "Risk Factors" of our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the context requires otherwise, in this Report the terms “we,” “us,” “our” and the “Company” refer to Gevo, Inc. and its subsidiaries.</w:t>
      </w:r>
    </w:p>
    <w:p>
      <w:pPr>
        <w:spacing w:after="0" w:line="237" w:lineRule="exact"/>
        <w:rPr>
          <w:sz w:val="20"/>
          <w:szCs w:val="20"/>
          <w:color w:val="auto"/>
        </w:rPr>
      </w:pPr>
    </w:p>
    <w:p>
      <w:pPr>
        <w:jc w:val="both"/>
        <w:ind w:left="20" w:right="140" w:firstLine="313"/>
        <w:spacing w:after="0" w:line="311" w:lineRule="auto"/>
        <w:rPr>
          <w:sz w:val="20"/>
          <w:szCs w:val="20"/>
          <w:color w:val="auto"/>
        </w:rPr>
      </w:pPr>
      <w:r>
        <w:rPr>
          <w:rFonts w:ascii="Arial" w:cs="Arial" w:eastAsia="Arial" w:hAnsi="Arial"/>
          <w:sz w:val="16"/>
          <w:szCs w:val="16"/>
          <w:color w:val="auto"/>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20" w:right="40" w:firstLine="486"/>
        <w:spacing w:after="0" w:line="257" w:lineRule="auto"/>
        <w:rPr>
          <w:sz w:val="20"/>
          <w:szCs w:val="20"/>
          <w:color w:val="auto"/>
        </w:rPr>
      </w:pPr>
      <w:r>
        <w:rPr>
          <w:rFonts w:ascii="Arial" w:cs="Arial" w:eastAsia="Arial" w:hAnsi="Arial"/>
          <w:sz w:val="18"/>
          <w:szCs w:val="18"/>
          <w:color w:val="auto"/>
        </w:rPr>
        <w:t>We are a growth-oriented renewable fuels technology and development company that is commercializing the next generation of renewable low-carbon liquid transportation fuels, such as sustainable aviation fuel and renewable isooctane (which we refer to as “renewable premium gasoline”), with the potential to achieve a “net zero” greenhouse gas ("GHG") footprint and address global needs of reducing GHG emissions with sustainable alternatives to petroleum fuels. Our technology transforms carbon from the atmosphere using photosynthetic energy, wind energy and biogas energy into liquid hydrocarbons with a low or potentially “net-zero” GHG footprint.</w:t>
      </w:r>
    </w:p>
    <w:p>
      <w:pPr>
        <w:spacing w:after="0" w:line="188" w:lineRule="exact"/>
        <w:rPr>
          <w:sz w:val="20"/>
          <w:szCs w:val="20"/>
          <w:color w:val="auto"/>
        </w:rPr>
      </w:pPr>
    </w:p>
    <w:p>
      <w:pPr>
        <w:ind w:left="20" w:right="40" w:firstLine="486"/>
        <w:spacing w:after="0" w:line="272" w:lineRule="auto"/>
        <w:rPr>
          <w:sz w:val="20"/>
          <w:szCs w:val="20"/>
          <w:color w:val="auto"/>
        </w:rPr>
      </w:pPr>
      <w:r>
        <w:rPr>
          <w:rFonts w:ascii="Arial" w:cs="Arial" w:eastAsia="Arial" w:hAnsi="Arial"/>
          <w:sz w:val="17"/>
          <w:szCs w:val="17"/>
          <w:color w:val="auto"/>
        </w:rPr>
        <w:t>As next generation renewable fuels, our hydrocarbon transportation fuels have the advantage of being “drop-in” substitutes for conventional fuels that are derived from crude oil, working seamlessly and without modification in existing fossil-fuel based engines, supply chains and storage infrastructure. In addition, with sustainable aviation fuel ("SAF"), the carbon footprint of air travel can be reduced, or in the long run, eliminated on a net carbon basis, without change to planes or fuel systems. In addition to the potential of net-zero carbon emissions across the whole fuel life-cycle, our renewable fuels eliminate other pollutants associated with the burning of traditional fossil fuels such as particulates and sulfur, while delivering superior performance. We believe that the world is substantially under-supplied with low-carbon, drop-in renewable fuels that can be immediately used in existing transportation engines and infrastructure, and we are uniquely positioned to grow in serving that demand.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use low-carbon, renewable resource-based raw materials as feedstocks. In the near-term, our feedstocks will primarily consist of non-food corn residuals. As our technology is applied globally, feedstocks can consist of sugar cane, molasses or cellulosic sugars derived from wood, agricultural residues and waste. Our patented fermentation yeast biocatalyst produces isobutanol, a four-carbon alcohol, via the fermentation of renewable plant biomass carbohydrates. The resulting renewable isobutanol has a variety of direct applications but, more importantly to our fundamental strategy, serves as a building block to make renewable isooctane (which we refer to as renewable premium gasoline), SAF, and other fuels and chemicals using simple and common chemical conversion processes. We also plan to reduce or eliminate fossil-based process energy inputs by replacing them with renewable energy such as wind-powered electricity and RNG.</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technology represents a new generation of renewable fuel technology that overcomes the limitations of first-generation renewable fuels.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Natural Gas Projects</w:t>
      </w:r>
    </w:p>
    <w:p>
      <w:pPr>
        <w:spacing w:after="0" w:line="229"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In 2019, we began developing RNG projects. Animal manure can be digested anaerobically to produce RNG. RNG has value in markets such as California as well as in Gevo’s hydrocarbon production process by helping us achieve carbon negative GHG emissions on our renewable hydrocarbon products. The end products resulting from such a decarbonization process have lower carbon intensity scores and increased market value, in addition to having a more positive impact on the environment. We expect that Gevo NW Iowa RNG, LLC (“Gevo RNG”) will generate RNG captured from dairy cow manure, which will be supplied by three dairies located in Northwest Iowa totaling over 20,000 milking cows. When fully operational, the Gevo RNG project is expected to generate approximately 355,000 MMBtu of RNG per year. Gevo is working with a major RNG dispenser to finalize an agreement to sell the RNG into the California market. We expect RNG sale revenues will benefit from California’s Low Carbon Fuel Standard program and the U.S. Environmental Protection Agency’s Renewable Identification Number program. We financed the construction of the Gevo RNG project in April 2021 with the $68,155,000 of Solid Waste Facility Revenue Bonds (Gevo NW Iowa RNG, LLC Renewable Natural Gas Project), Series 2021 (Green Bonds) (the “2021 Bonds”) issued by the Iowa Finance Authority in a public offering for the benefit of Gevo RNG and we expect to construct the project in 2021. See “Recent Developments – 2021 Bonds” below for additional information. The Gevo RNG project is expected to begin producing RNG in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Net-Zero Projects</w:t>
      </w:r>
    </w:p>
    <w:p>
      <w:pPr>
        <w:spacing w:after="0" w:line="229"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In early 2021, we announced the concept of “Net-Zero Projects” as a series of facilities for the production of energy dense liquid hydrocarbons using renewable energy and our proprietary technology. The concept of a Net-Zero Project is to convert renewable energy (photosynthetic, wind, renewable natural gas, biogas) from a variety of sources into energy dense liquid hydrocarbons, that when burned in traditional engines, have the potential to achieve net-zero GHG emissions across the whole lifecycle of the liquid fuel: from the way carbon is captured from the atmosphere, processed to make liquid fuel products, and including the end use (burning as a fuel for cars, planes, trucks, and ships). We announced that our initial Net-Zero project (“Net-Zero 1” Project) is currently planned to be constructed at Lake Preston, South Dakota. We expect that the Net-Zero 1 Project will have the capability to produce liquid hydrocarbons that when burned have a “net-zero” greenhouse gas footprint. We currently expect the Net-Zero 1 Project to have a capacity of approximately 45 MGPY of hydrocarbons (for renewable premium gasoline and SAF, backed by our current portfolio of take-or-pay contracts), to produce more than 300,000,000 pounds per year of high protein feed products for use in the food chain, to produce enough renewable natural gas to be self-sufficient for the production process needs, and also to generate renewable electricity with a combined heat and power system. We also expect that the Net-Zero 1 Project will utilize wind energy. Based on current engineering work completed to date, the unleveraged capital cost for the Net-Zero 1 Project is projected to be approximately $650 million including: (i) hydrocarbon production facility engineering, procurement and construction costs under a lump-sum turnkey format, (ii) related renewable energy infrastructure comprised of thin-stillage anaerobic digestion to produce internally-consumed biogas and a combined heat and power facility, (iii) pre-construction engineering costs, (iv) technology licensing costs, (v) development, land, permitting and environmental costs, (vi) outside-the-battery-limit capital expenditures, (vii) full plant staffing and training costs, and (viii) startup and commissioning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i w:val="1"/>
          <w:iCs w:val="1"/>
          <w:color w:val="auto"/>
        </w:rPr>
        <w:t xml:space="preserve">Lake Preston Site. </w:t>
      </w:r>
      <w:r>
        <w:rPr>
          <w:rFonts w:ascii="Arial" w:cs="Arial" w:eastAsia="Arial" w:hAnsi="Arial"/>
          <w:sz w:val="18"/>
          <w:szCs w:val="18"/>
          <w:color w:val="auto"/>
        </w:rPr>
        <w:t>On December 21, 2020, we announced that we optioned the right to purchase approximately 240 acres of land near Lake Preston,</w:t>
      </w:r>
      <w:r>
        <w:rPr>
          <w:rFonts w:ascii="Arial" w:cs="Arial" w:eastAsia="Arial" w:hAnsi="Arial"/>
          <w:sz w:val="18"/>
          <w:szCs w:val="18"/>
          <w:i w:val="1"/>
          <w:iCs w:val="1"/>
          <w:color w:val="auto"/>
        </w:rPr>
        <w:t xml:space="preserve"> </w:t>
      </w:r>
      <w:r>
        <w:rPr>
          <w:rFonts w:ascii="Arial" w:cs="Arial" w:eastAsia="Arial" w:hAnsi="Arial"/>
          <w:sz w:val="18"/>
          <w:szCs w:val="18"/>
          <w:color w:val="auto"/>
        </w:rPr>
        <w:t>South Dakota (the “Lake Preston Site”). The Lake Preston Site is expected to be the location of the Net-Zero 1 Project. On March 24, 2021, we exercised our right to extend the option on the Lake Preston site until December 2022. We intend to make a decision on whether to exercise the purchase option on the Lake Preston Site in the future as part of the Net-Zero 1 financial close.</w:t>
      </w:r>
    </w:p>
    <w:p>
      <w:pPr>
        <w:spacing w:after="0" w:line="18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i w:val="1"/>
          <w:iCs w:val="1"/>
          <w:color w:val="auto"/>
        </w:rPr>
        <w:t xml:space="preserve">January 2021 Offering. </w:t>
      </w:r>
      <w:r>
        <w:rPr>
          <w:rFonts w:ascii="Arial" w:cs="Arial" w:eastAsia="Arial" w:hAnsi="Arial"/>
          <w:sz w:val="18"/>
          <w:szCs w:val="18"/>
          <w:color w:val="auto"/>
        </w:rPr>
        <w:t>On January 19, 2021, we completed a registered direct offering of common stock priced at-the-market under Nasdaq rules of</w:t>
      </w:r>
      <w:r>
        <w:rPr>
          <w:rFonts w:ascii="Arial" w:cs="Arial" w:eastAsia="Arial" w:hAnsi="Arial"/>
          <w:sz w:val="18"/>
          <w:szCs w:val="18"/>
          <w:i w:val="1"/>
          <w:iCs w:val="1"/>
          <w:color w:val="auto"/>
        </w:rPr>
        <w:t xml:space="preserve"> </w:t>
      </w:r>
      <w:r>
        <w:rPr>
          <w:rFonts w:ascii="Arial" w:cs="Arial" w:eastAsia="Arial" w:hAnsi="Arial"/>
          <w:sz w:val="18"/>
          <w:szCs w:val="18"/>
          <w:color w:val="auto"/>
        </w:rPr>
        <w:t>an aggregate of 43,750,000 shares of common stock at a purchase price of $8.00 per share. After deducting placement agent’s fees, advisory fees and other offering expenses payable by us, we received net proceeds of approximately $321.9 million.</w:t>
      </w:r>
    </w:p>
    <w:p>
      <w:pPr>
        <w:spacing w:after="0" w:line="18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During the three months ended March 31, 2021, we issued 24,420,579 shares of common stock under the at-the-market offering program for total proceeds of $135.8 million, net of commissions and other offering related expenses.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2021 Bonds. </w:t>
      </w:r>
      <w:r>
        <w:rPr>
          <w:rFonts w:ascii="Arial" w:cs="Arial" w:eastAsia="Arial" w:hAnsi="Arial"/>
          <w:sz w:val="18"/>
          <w:szCs w:val="18"/>
          <w:color w:val="auto"/>
        </w:rPr>
        <w:t>On April 15, 2021, Gevo closed the 2021 Bonds offering to finance the construction the Gevo RNG project.</w:t>
      </w:r>
    </w:p>
    <w:p>
      <w:pPr>
        <w:spacing w:after="0" w:line="225" w:lineRule="exact"/>
        <w:rPr>
          <w:sz w:val="20"/>
          <w:szCs w:val="20"/>
          <w:color w:val="auto"/>
        </w:rPr>
      </w:pPr>
    </w:p>
    <w:p>
      <w:pPr>
        <w:jc w:val="both"/>
        <w:ind w:left="160" w:firstLine="486"/>
        <w:spacing w:after="0" w:line="255" w:lineRule="auto"/>
        <w:rPr>
          <w:sz w:val="20"/>
          <w:szCs w:val="20"/>
          <w:color w:val="auto"/>
        </w:rPr>
      </w:pPr>
      <w:r>
        <w:rPr>
          <w:rFonts w:ascii="Arial" w:cs="Arial" w:eastAsia="Arial" w:hAnsi="Arial"/>
          <w:sz w:val="18"/>
          <w:szCs w:val="18"/>
          <w:color w:val="auto"/>
        </w:rPr>
        <w:t>The proceeds of the 2021 Bonds offering, combined with Gevo equity, will be used to finance (1) the construction of the Gevo RNG project which is comprised of (A) three anaerobic digesters and related equipment situated on dairy farms located Northwest Iowa that will produce partially conditioned raw biogas from cow manure, (B) gathering pipelines to transport biogas to a centrally located gas upgrade system, (C) a centrally located gas upgrade system located in Doon, Iowa that will upgrade biogas to pipeline quality RNG and interconnect to Northern Natural Gas’ interstate pipeline, and (D) other related improvements; (2) to capitalize a portion of the interest due on the bonds during the construction period; and (3) to pay a portion of the costs of issuing the bonds.</w:t>
      </w:r>
    </w:p>
    <w:p>
      <w:pPr>
        <w:spacing w:after="0" w:line="192" w:lineRule="exact"/>
        <w:rPr>
          <w:sz w:val="20"/>
          <w:szCs w:val="20"/>
          <w:color w:val="auto"/>
        </w:rPr>
      </w:pPr>
    </w:p>
    <w:p>
      <w:pPr>
        <w:jc w:val="both"/>
        <w:ind w:right="80" w:firstLine="494"/>
        <w:spacing w:after="0" w:line="286" w:lineRule="auto"/>
        <w:tabs>
          <w:tab w:leader="none" w:pos="861"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Loan Forgiveness. </w:t>
      </w:r>
      <w:r>
        <w:rPr>
          <w:rFonts w:ascii="Arial" w:cs="Arial" w:eastAsia="Arial" w:hAnsi="Arial"/>
          <w:sz w:val="17"/>
          <w:szCs w:val="17"/>
          <w:color w:val="auto"/>
        </w:rPr>
        <w:t>On April 15, 2021, the Small Business Administration forgave the entire balance of $0.5 million of the Company's and $0.1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Agri-Energy's loans and accrued interest obtained through the Small Business Administration's Paycheck Protection Program ("SBA PPP"). The remaining SBA PPP loan for Agri-Energy totals $0.4 million bears interest at 1.0% and matures in April 2025.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The COVID-19 pandemic has had an adverse impact on global commercial activity, including the global transportation industry and its supply chain, and has contributed to significant volatility in financial markets. It has also resulted in increased travel restrictions and extended shutdowns of businesses in</w:t>
      </w:r>
    </w:p>
    <w:p>
      <w:pPr>
        <w:sectPr>
          <w:pgSz w:w="11900" w:h="16838" w:orient="portrait"/>
          <w:cols w:equalWidth="0" w:num="1">
            <w:col w:w="11240"/>
          </w:cols>
          <w:pgMar w:left="320" w:top="125" w:right="339" w:bottom="0" w:gutter="0" w:footer="0" w:header="0"/>
        </w:sectPr>
      </w:pPr>
    </w:p>
    <w:bookmarkStart w:id="30" w:name="page31"/>
    <w:bookmarkEnd w:id="30"/>
    <w:p>
      <w:pPr>
        <w:jc w:val="both"/>
        <w:ind w:right="120"/>
        <w:spacing w:after="0" w:line="287" w:lineRule="auto"/>
        <w:rPr>
          <w:sz w:val="20"/>
          <w:szCs w:val="20"/>
          <w:color w:val="auto"/>
        </w:rPr>
      </w:pPr>
      <w:r>
        <w:rPr>
          <w:rFonts w:ascii="Arial" w:cs="Arial" w:eastAsia="Arial" w:hAnsi="Arial"/>
          <w:sz w:val="16"/>
          <w:szCs w:val="16"/>
          <w:color w:val="auto"/>
        </w:rPr>
        <w:t>various industries including, among others, the airline industry, and significantly reduced overall economic output. It is possible that that the impact of the COVID-19 pandemic on general economic activity could continue to negatively impact our revenue and operating results for 2021 and beyond. In light of the current and potential future disruption to our business operations and those of its customers, suppliers and other third parties with whom we</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do business, we considered the impact of the COVID-19 pandemic on our business. The impact of the COVID-19 pandemic on the global transportation industry could continue to result in less demand for our transportation fuel products, which could have a material adverse effect on our business, financial condition and our prospects for the foreseeable future.</w:t>
      </w:r>
    </w:p>
    <w:p>
      <w:pPr>
        <w:spacing w:after="0" w:line="19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During the first quarter of 2020, we suspended our ethanol production at the Luverne Facility due to COVID-19 and an unfavorable commodity environment, largely the result of greater corn costs as compared to national markets than the region has historically produced. The suspension of ethanol production and reduction in our workforce that occurred during the first quarter of 2020 due to the impact of COVID-19 had an adverse impact on our financial results for the three months ended March 31, 2021 reducing revenue by 98% compared to the three months ended March 31, 2020. There is also a risk that COVID-19 could have a material adverse impact on the development of our Net-Zero 1 Project, customer demand and cash flow, depending on the extent of our future production activities.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25" w:lineRule="exact"/>
        <w:rPr>
          <w:sz w:val="20"/>
          <w:szCs w:val="20"/>
          <w:color w:val="auto"/>
        </w:rPr>
      </w:pPr>
    </w:p>
    <w:p>
      <w:pPr>
        <w:ind w:right="140" w:firstLine="486"/>
        <w:spacing w:after="0" w:line="296" w:lineRule="auto"/>
        <w:rPr>
          <w:sz w:val="20"/>
          <w:szCs w:val="20"/>
          <w:color w:val="auto"/>
        </w:rPr>
      </w:pPr>
      <w:r>
        <w:rPr>
          <w:rFonts w:ascii="Arial" w:cs="Arial" w:eastAsia="Arial" w:hAnsi="Arial"/>
          <w:sz w:val="16"/>
          <w:szCs w:val="16"/>
          <w:color w:val="auto"/>
        </w:rPr>
        <w:t>We have incurred consolidated net losses since inception and we had a significant accumulated deficit as of March 31, 2021. Our cash and cash equivalents at March 31, 2021 totaled $525.3 million, which is primarily being used for the following: (i) development of the Luverne Facility expansion plan; (ii) identification of new production facilities and to plan for expanded production to fulfill existing off-take agreements; (iii) operating activities at the Company’s corporate headquarters in Colorado, including research and development work; (iv) development expenses associated with our RNG projects; (v) exploration of strategic alternatives and additional financings, including project financing; and (vi) future debt service obligations.</w:t>
      </w:r>
    </w:p>
    <w:p>
      <w:pPr>
        <w:spacing w:after="0" w:line="161"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facility,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6"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7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expansion of the Luverne Facility or a facility at another suitable location.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and we will continue to address our cost structure. Notwithstanding, there can be no assurance that we will be able to raise additional funds or achieve or sustain profitability or positive cash flows from operations, especially in light of the impact of the COVID-19 pandemic on us and the volatility in the financial markets in general.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6"/>
              </w:rPr>
              <w:t>Three Months Ended 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Ethanol sales and related products, net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3,700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Hydrocarbon revenue</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w:t>
            </w: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1,378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9"/>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Preliminary stage project costs</w:t>
            </w:r>
          </w:p>
        </w:tc>
        <w:tc>
          <w:tcPr>
            <w:tcW w:w="22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2,727</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from modification of 2020 Notes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(Loss) gain from change in fair value of derivative warrant liability</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63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Loss from change in fair value of 2020/21 Notes and 2020 Notes embedded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derivative liability</w:t>
            </w:r>
          </w:p>
        </w:tc>
        <w:tc>
          <w:tcPr>
            <w:tcW w:w="2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50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(10,057)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(9,253)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from the sale of ethanol, isobutanol and related products for the three months ended March 31, 2021 was $0.1 million, a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$3.7 million compared to the three months ended March 31, 2020. This decrease was the result of terminating ethanol and distiller's grains production at the Luverne Facility in March 2020 as a result of COVID-19 and in response to an unfavorable commodity environment. During the three months ended March 31, 2021, we did not sell any ethanol compared to 2.4 million gallons of ethanol sold in the three months ended March 31, 2020. Our Luverne Facility is not currently producing ethanol but is performing maintenance in preparation for isobutanol production expected to begin in June 2021. Currently, our demonstration plant located at the South Hampton Resources, Inc. facility near Houston, Texas (the “South Hampton Facility”) is not producing renewable premium gasoline or jet fuel. We expect to produce isobutanol in intermittent campaigns during 2021 to supply the South Hampton Facility so that renewable premium gasoline or jet fuel can be produced in 2021.</w:t>
      </w:r>
    </w:p>
    <w:p>
      <w:pPr>
        <w:spacing w:after="0" w:line="178" w:lineRule="exact"/>
        <w:rPr>
          <w:sz w:val="20"/>
          <w:szCs w:val="20"/>
          <w:color w:val="auto"/>
        </w:rPr>
      </w:pPr>
    </w:p>
    <w:p>
      <w:pPr>
        <w:ind w:right="220" w:firstLine="475"/>
        <w:spacing w:after="0" w:line="277" w:lineRule="auto"/>
        <w:rPr>
          <w:sz w:val="20"/>
          <w:szCs w:val="20"/>
          <w:color w:val="auto"/>
        </w:rPr>
      </w:pPr>
      <w:r>
        <w:rPr>
          <w:rFonts w:ascii="Arial" w:cs="Arial" w:eastAsia="Arial" w:hAnsi="Arial"/>
          <w:sz w:val="18"/>
          <w:szCs w:val="18"/>
          <w:color w:val="auto"/>
        </w:rPr>
        <w:t>Hydrocarbon revenues are comprised of SAF, isooctane and isooctene sales. Hydrocarbon sales decreased by $0.1 million during the three months ended March 31, 2021 as a result of decreased shipments of finished products from the South Hampton Facility.</w:t>
      </w:r>
    </w:p>
    <w:p>
      <w:pPr>
        <w:spacing w:after="0" w:line="170" w:lineRule="exact"/>
        <w:rPr>
          <w:sz w:val="20"/>
          <w:szCs w:val="20"/>
          <w:color w:val="auto"/>
        </w:rPr>
      </w:pPr>
    </w:p>
    <w:p>
      <w:pPr>
        <w:ind w:right="40" w:firstLine="475"/>
        <w:spacing w:after="0" w:line="301"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was $2.0 million during the three months ended March 31, 2021, compared with $8.1 million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2020, a decrease of approximately $6.1 million, primarily the result of terminating ethanol production in March 2020 as a result of COVID-19 and in response to an unfavorable commodity environment. Cost of goods sold included approximately $0.9 million associated with the maintenance of the Luverne Facility and approximately $1.1 million in depreciation expense during the three months ended March 31, 2021.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Until the Luverne Facility restarts production, cost of goods sold will primarily be comprised of costs to process SAF, isooctane and isooctene at our South Hampton Facility as well as costs to maintain the Luverne Facility.</w:t>
      </w:r>
    </w:p>
    <w:p>
      <w:pPr>
        <w:spacing w:after="0" w:line="170" w:lineRule="exact"/>
        <w:rPr>
          <w:sz w:val="20"/>
          <w:szCs w:val="20"/>
          <w:color w:val="auto"/>
        </w:rPr>
      </w:pPr>
    </w:p>
    <w:p>
      <w:pPr>
        <w:ind w:right="340" w:firstLine="475"/>
        <w:spacing w:after="0" w:line="342"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increased by approximately $0.8 million during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2021, compared with the three months ended March 31, 2020, due primarily to an increase in personnel and consulting expenses.</w:t>
      </w:r>
    </w:p>
    <w:p>
      <w:pPr>
        <w:spacing w:after="0" w:line="124"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increased by approximately $1.2 million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2021, compared with the three months ended March 31, 2020, due primarily to an increase in consulting and personnel expenses.</w:t>
      </w:r>
    </w:p>
    <w:p>
      <w:pPr>
        <w:spacing w:after="0" w:line="124"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i w:val="1"/>
          <w:iCs w:val="1"/>
          <w:color w:val="auto"/>
        </w:rPr>
        <w:t>Preliminary stage project costs</w:t>
      </w:r>
      <w:r>
        <w:rPr>
          <w:rFonts w:ascii="Arial" w:cs="Arial" w:eastAsia="Arial" w:hAnsi="Arial"/>
          <w:sz w:val="18"/>
          <w:szCs w:val="18"/>
          <w:color w:val="auto"/>
        </w:rPr>
        <w:t>. Preliminary stage project costs increased by approximately $2.6 million during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with the three months ended March 31, 2020, due primarily to increased consulting and research and development expenses related to our RNG and Net-Zero projects.</w:t>
      </w:r>
    </w:p>
    <w:p>
      <w:pPr>
        <w:spacing w:after="0" w:line="184"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during the three months ended March 31, 2021 decreased by $0.5 million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due to the conversion of all of our then-outstanding 12% convertible senior secured notes due 2020/2021 (the "2020/21 Notes") to common stock during 2020.</w:t>
      </w:r>
    </w:p>
    <w:p>
      <w:pPr>
        <w:spacing w:after="0" w:line="184" w:lineRule="exact"/>
        <w:rPr>
          <w:sz w:val="20"/>
          <w:szCs w:val="20"/>
          <w:color w:val="auto"/>
        </w:rPr>
      </w:pPr>
    </w:p>
    <w:p>
      <w:pPr>
        <w:ind w:right="100" w:firstLine="475"/>
        <w:spacing w:after="0" w:line="277" w:lineRule="auto"/>
        <w:rPr>
          <w:sz w:val="20"/>
          <w:szCs w:val="20"/>
          <w:color w:val="auto"/>
        </w:rPr>
      </w:pPr>
      <w:r>
        <w:rPr>
          <w:rFonts w:ascii="Arial" w:cs="Arial" w:eastAsia="Arial" w:hAnsi="Arial"/>
          <w:sz w:val="18"/>
          <w:szCs w:val="18"/>
          <w:i w:val="1"/>
          <w:iCs w:val="1"/>
          <w:color w:val="auto"/>
        </w:rPr>
        <w:t xml:space="preserve">(Loss) from modification of 2020 notes. </w:t>
      </w:r>
      <w:r>
        <w:rPr>
          <w:rFonts w:ascii="Arial" w:cs="Arial" w:eastAsia="Arial" w:hAnsi="Arial"/>
          <w:sz w:val="18"/>
          <w:szCs w:val="18"/>
          <w:color w:val="auto"/>
        </w:rPr>
        <w:t>During the three months ended March 31, 2020, we incurred a $0.7 million of legal and professional fees to</w:t>
      </w:r>
      <w:r>
        <w:rPr>
          <w:rFonts w:ascii="Arial" w:cs="Arial" w:eastAsia="Arial" w:hAnsi="Arial"/>
          <w:sz w:val="18"/>
          <w:szCs w:val="18"/>
          <w:i w:val="1"/>
          <w:iCs w:val="1"/>
          <w:color w:val="auto"/>
        </w:rPr>
        <w:t xml:space="preserve"> </w:t>
      </w:r>
      <w:r>
        <w:rPr>
          <w:rFonts w:ascii="Arial" w:cs="Arial" w:eastAsia="Arial" w:hAnsi="Arial"/>
          <w:sz w:val="18"/>
          <w:szCs w:val="18"/>
          <w:color w:val="auto"/>
        </w:rPr>
        <w:t>modify the 12% Convertible Senior Notes due 2020 (the " 2020 Notes") into the 2020/21 Notes.</w:t>
      </w:r>
    </w:p>
    <w:p>
      <w:pPr>
        <w:spacing w:after="0" w:line="170" w:lineRule="exact"/>
        <w:rPr>
          <w:sz w:val="20"/>
          <w:szCs w:val="20"/>
          <w:color w:val="auto"/>
        </w:rPr>
      </w:pPr>
    </w:p>
    <w:p>
      <w:pPr>
        <w:ind w:firstLine="475"/>
        <w:spacing w:after="0" w:line="277" w:lineRule="auto"/>
        <w:rPr>
          <w:sz w:val="20"/>
          <w:szCs w:val="20"/>
          <w:color w:val="auto"/>
        </w:rPr>
      </w:pPr>
      <w:r>
        <w:rPr>
          <w:rFonts w:ascii="Arial" w:cs="Arial" w:eastAsia="Arial" w:hAnsi="Arial"/>
          <w:sz w:val="18"/>
          <w:szCs w:val="18"/>
          <w:i w:val="1"/>
          <w:iCs w:val="1"/>
          <w:color w:val="auto"/>
        </w:rPr>
        <w:t xml:space="preserve">(Loss) gain from change in fair value of the 2020/21 Notes and 2020 Notes embedded derivative liability. </w:t>
      </w:r>
      <w:r>
        <w:rPr>
          <w:rFonts w:ascii="Arial" w:cs="Arial" w:eastAsia="Arial" w:hAnsi="Arial"/>
          <w:sz w:val="18"/>
          <w:szCs w:val="18"/>
          <w:color w:val="auto"/>
        </w:rPr>
        <w:t>We incurred no gain (loss) from the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fair value of the 2020/21 Notes since the 2020/21 Notes were converted to common stock in 2020.</w:t>
      </w:r>
    </w:p>
    <w:p>
      <w:pPr>
        <w:spacing w:after="0" w:line="170" w:lineRule="exact"/>
        <w:rPr>
          <w:sz w:val="20"/>
          <w:szCs w:val="20"/>
          <w:color w:val="auto"/>
        </w:rPr>
      </w:pPr>
    </w:p>
    <w:p>
      <w:pPr>
        <w:jc w:val="both"/>
        <w:ind w:right="620" w:firstLine="475"/>
        <w:spacing w:after="0" w:line="263" w:lineRule="auto"/>
        <w:rPr>
          <w:sz w:val="20"/>
          <w:szCs w:val="20"/>
          <w:color w:val="auto"/>
        </w:rPr>
      </w:pPr>
      <w:r>
        <w:rPr>
          <w:rFonts w:ascii="Arial" w:cs="Arial" w:eastAsia="Arial" w:hAnsi="Arial"/>
          <w:sz w:val="18"/>
          <w:szCs w:val="18"/>
          <w:i w:val="1"/>
          <w:iCs w:val="1"/>
          <w:color w:val="auto"/>
        </w:rPr>
        <w:t>Other (expense) income</w:t>
      </w:r>
      <w:r>
        <w:rPr>
          <w:rFonts w:ascii="Arial" w:cs="Arial" w:eastAsia="Arial" w:hAnsi="Arial"/>
          <w:sz w:val="18"/>
          <w:szCs w:val="18"/>
          <w:color w:val="auto"/>
        </w:rPr>
        <w:t>. Other expense during the three months ended March 31, 2021 was $0.1 million, which is a decrease of $0.2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2020, primarily due to the write-off of prepaid finance costs not associated with the final financing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Revenues</w:t>
      </w:r>
    </w:p>
    <w:p>
      <w:pPr>
        <w:spacing w:after="0" w:line="229"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Our revenues are primarily derived from: (i) the sale of isobutanol and related products; (ii) hydrocarbon sales consisting primarily of the sale of SAF and isooctane derived from our isobutanol for purposes of certification and testing; and (iii) government grants and research and development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Our Cost Structure</w:t>
      </w:r>
    </w:p>
    <w:p>
      <w:pPr>
        <w:spacing w:after="0" w:line="229"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b w:val="1"/>
          <w:bCs w:val="1"/>
          <w:i w:val="1"/>
          <w:iCs w:val="1"/>
          <w:color w:val="auto"/>
        </w:rPr>
        <w:t xml:space="preserve">Cost of Goods Sold. </w:t>
      </w:r>
      <w:r>
        <w:rPr>
          <w:rFonts w:ascii="Arial" w:cs="Arial" w:eastAsia="Arial" w:hAnsi="Arial"/>
          <w:sz w:val="16"/>
          <w:szCs w:val="16"/>
          <w:color w:val="auto"/>
        </w:rPr>
        <w:t>Our cost of goods sold consists primarily of costs directly associated with the production of isobutanol at the Luverne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production of biojet fuel and isooctane at the South Hampton Facility. Such costs include direct materials, direct labor, depreciation, other operating costs and certain plant overhead costs. Direct materials include corn feedstock, denaturant and process chemicals. Direct labor includes compensation of personnel directly involved in production operations at the Luverne Facility. Other operating costs include utilities and natural gas usage.</w:t>
      </w:r>
    </w:p>
    <w:p>
      <w:pPr>
        <w:spacing w:after="0" w:line="15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Our research and development costs consist of expenses incurred to identify, develop and test our technologies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of isobutanol and the development of downstream applications thereof. Research and development expenses include personnel costs (including stock-based compensation), consultants and related contract research, facility costs, supplies, depreciation and amortization expense on property, plant and equipment used in product development, license fees paid to third parties for use of their intellectual property and patent rights and other overhead expenses incurred to support our research and development programs.</w:t>
      </w:r>
    </w:p>
    <w:p>
      <w:pPr>
        <w:spacing w:after="0" w:line="18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expenses consist of personnel costs (including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and service provider expenses (including patent counsel-related costs), legal fees, marketing costs, insurance costs, occupancy-related costs, depreciation and amortization expenses on property, plant and equipment not used in our product development programs or recorded in cost of goods sold, travel and relocation expenses and hiring expenses.</w:t>
      </w:r>
    </w:p>
    <w:p>
      <w:pPr>
        <w:spacing w:after="0" w:line="18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Preliminary Stage Project Costs. </w:t>
      </w:r>
      <w:r>
        <w:rPr>
          <w:rFonts w:ascii="Arial" w:cs="Arial" w:eastAsia="Arial" w:hAnsi="Arial"/>
          <w:sz w:val="18"/>
          <w:szCs w:val="18"/>
          <w:color w:val="auto"/>
        </w:rPr>
        <w:t>Preliminary stage project costs consist of research and development expense in addition to selling, general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expenses related to our RNG and Net-Zero projects.</w:t>
      </w:r>
    </w:p>
    <w:p>
      <w:pPr>
        <w:spacing w:after="0" w:line="17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SBA loans had a fixed interest rate of 1%. Our equipment loans had rates between 4% and 5%. Our finance leases had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12% and 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we had cash and cash equivalents totaling $525.3 million.</w:t>
      </w:r>
    </w:p>
    <w:p>
      <w:pPr>
        <w:spacing w:after="0" w:line="225"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Since our inception in 2005, we have devoted most of our cash resources to manufacturing ethanol, isobutanol and related products, research and development and selling, general and administrative activities related to the commercialization of isobutanol, as well as related products from renewable feedstocks. We have incurred losses since inception and expect to incur losses through at least 2022. We have financed our operations primarily with proceeds from multiple sales of equity and debt securities, borrowings under debt facilities and product sales.</w:t>
      </w:r>
    </w:p>
    <w:p>
      <w:pPr>
        <w:spacing w:after="0" w:line="171"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capabilities,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7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expansion of the Luverne Facility or a Retrofit facility at other suitable locations.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and we will continue to address our cost structure. Notwithstanding, there can be no assurance that we will be able to raise additional funds or achieve or sustain profitability or positive cash flows from operations.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incurred consolidated net losses since inception and has a significant accumulated deficit as of March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9600" w:type="dxa"/>
            <w:vAlign w:val="bottom"/>
            <w:gridSpan w:val="5"/>
          </w:tcPr>
          <w:p>
            <w:pPr>
              <w:ind w:left="500"/>
              <w:spacing w:after="0"/>
              <w:rPr>
                <w:sz w:val="20"/>
                <w:szCs w:val="20"/>
                <w:color w:val="auto"/>
              </w:rPr>
            </w:pPr>
            <w:r>
              <w:rPr>
                <w:rFonts w:ascii="Arial" w:cs="Arial" w:eastAsia="Arial" w:hAnsi="Arial"/>
                <w:sz w:val="18"/>
                <w:szCs w:val="18"/>
                <w:color w:val="auto"/>
                <w:w w:val="95"/>
              </w:rPr>
              <w:t>The following table sets forth the major sources and uses of cash for each of the periods set forth below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(7,165)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(6,975)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458,780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280" w:firstLine="486"/>
        <w:spacing w:after="0" w:line="311" w:lineRule="auto"/>
        <w:rPr>
          <w:sz w:val="20"/>
          <w:szCs w:val="20"/>
          <w:color w:val="auto"/>
        </w:rPr>
      </w:pPr>
      <w:r>
        <w:rPr>
          <w:rFonts w:ascii="Arial" w:cs="Arial" w:eastAsia="Arial" w:hAnsi="Arial"/>
          <w:sz w:val="16"/>
          <w:szCs w:val="16"/>
          <w:color w:val="auto"/>
        </w:rPr>
        <w:t>Our primary uses of cash from operating activities are personnel related expenses and research and development-related expenses including costs incurred under development agreements, costs of licensing of technology, legal-related costs, expenses for production of isobutanol, ethanol and related products, logistics and further processing of isobutanol and ethanol at the Luverne Facility and for the operation of our South Hampton Facility.</w:t>
      </w:r>
    </w:p>
    <w:p>
      <w:pPr>
        <w:spacing w:after="0" w:line="149"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During the three months ended March 31, 2021, net cash used for operating activities was $7.2 million compared to $7.0 million for the three months ended March 31, 2020. The $0.2 million increase in operating cash flows was primarily due to increased engineering and development fees on our RNG projects.</w:t>
      </w:r>
    </w:p>
    <w:p>
      <w:pPr>
        <w:spacing w:after="0" w:line="184" w:lineRule="exact"/>
        <w:rPr>
          <w:sz w:val="20"/>
          <w:szCs w:val="20"/>
          <w:color w:val="auto"/>
        </w:rPr>
      </w:pPr>
    </w:p>
    <w:p>
      <w:pPr>
        <w:ind w:right="400" w:firstLine="486"/>
        <w:spacing w:after="0" w:line="286" w:lineRule="auto"/>
        <w:rPr>
          <w:sz w:val="20"/>
          <w:szCs w:val="20"/>
          <w:color w:val="auto"/>
        </w:rPr>
      </w:pPr>
      <w:r>
        <w:rPr>
          <w:rFonts w:ascii="Arial" w:cs="Arial" w:eastAsia="Arial" w:hAnsi="Arial"/>
          <w:sz w:val="17"/>
          <w:szCs w:val="17"/>
          <w:color w:val="auto"/>
        </w:rPr>
        <w:t>During the first quarter of 2020, we suspended our ethanol production at the Luverne Facility due to COVID-19 and an unfavorable commodity environment, largely the result of greater corn costs as compared to national markets than the region has historically produced. We are currently maintaining the Luverne Facility in preparation for isobutanol production expected to begin in June 2021.</w:t>
      </w:r>
    </w:p>
    <w:p>
      <w:pPr>
        <w:spacing w:after="0" w:line="16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currently plan to spend approximately $45 million for engineering, development, long-lead equipment deposits, and debt financing costs over the next 12 months for the Net-Zero 1 Project.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During the three months ended March 31, 2021, we used $4.6 million in cash for investing activities, substantially all of which related to construction in process attributable to the Gevo RNG project. We are constructing the Gevo RNG project in 2021 and expect to invest approximately $5 million of construction equity alongside debt proceeds from the 2021 Bonds to complete the project.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During the three months ended March 31, 2021, we generated $458.8 million in cash from financing activities, which primarily consisted of $135.8 million of net proceeds under our "at-the-market" offering program and receiving $321.9 million from the sale of common stock and warrants in the January 2021 Offering.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During the three months ended March 31, 2021, we received notices of exercise from holders of our Series 2020-A Warrants to issue an aggregate of 1,863,058 shares of common stock for total gross proceeds of approximately $1.1 million. Following these exercises, Series 2020-A Warrants to purchase 94,108 shares of our common stock remain outstanding at an exercise price of $0.60 per share.</w:t>
      </w:r>
    </w:p>
    <w:p>
      <w:pPr>
        <w:spacing w:after="0" w:line="184" w:lineRule="exact"/>
        <w:rPr>
          <w:sz w:val="20"/>
          <w:szCs w:val="20"/>
          <w:color w:val="auto"/>
        </w:rPr>
      </w:pPr>
    </w:p>
    <w:p>
      <w:pPr>
        <w:ind w:right="1020" w:firstLine="486"/>
        <w:spacing w:after="0" w:line="277"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December 2020, the at-the-market offering program was amended to provide available capacity of</w:t>
      </w:r>
      <w:r>
        <w:rPr>
          <w:rFonts w:ascii="Arial" w:cs="Arial" w:eastAsia="Arial" w:hAnsi="Arial"/>
          <w:sz w:val="18"/>
          <w:szCs w:val="18"/>
          <w:i w:val="1"/>
          <w:iCs w:val="1"/>
          <w:color w:val="auto"/>
        </w:rPr>
        <w:t xml:space="preserve"> </w:t>
      </w:r>
      <w:r>
        <w:rPr>
          <w:rFonts w:ascii="Arial" w:cs="Arial" w:eastAsia="Arial" w:hAnsi="Arial"/>
          <w:sz w:val="18"/>
          <w:szCs w:val="18"/>
          <w:color w:val="auto"/>
        </w:rPr>
        <w:t>$150.0 million.</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March 31, 2021, we issued 24,420,579 shares of common stock under the at-the-market offering program for total proceeds of $135.8 million, net of commissions and other offering related expenses. As of March 31, 2021, we have remaining capacity to issue up to approximately $10.6 million of common stock under the at-the-market offering program.</w:t>
      </w:r>
    </w:p>
    <w:p>
      <w:pPr>
        <w:spacing w:after="0" w:line="184"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i w:val="1"/>
          <w:iCs w:val="1"/>
          <w:color w:val="auto"/>
        </w:rPr>
        <w:t xml:space="preserve">Finance Leases. </w:t>
      </w:r>
      <w:r>
        <w:rPr>
          <w:rFonts w:ascii="Arial" w:cs="Arial" w:eastAsia="Arial" w:hAnsi="Arial"/>
          <w:sz w:val="18"/>
          <w:szCs w:val="18"/>
          <w:color w:val="auto"/>
        </w:rPr>
        <w:t>The financing leases pay interest between 12% and 21%, have total annual payments of $0.03 million with minimal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and mature at various dates through December 2040.</w:t>
      </w:r>
    </w:p>
    <w:p>
      <w:pPr>
        <w:spacing w:after="0" w:line="170"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i w:val="1"/>
          <w:iCs w:val="1"/>
          <w:color w:val="auto"/>
        </w:rPr>
        <w:t xml:space="preserve">Loans Payable - Other. </w:t>
      </w:r>
      <w:r>
        <w:rPr>
          <w:rFonts w:ascii="Arial" w:cs="Arial" w:eastAsia="Arial" w:hAnsi="Arial"/>
          <w:sz w:val="18"/>
          <w:szCs w:val="18"/>
          <w:color w:val="auto"/>
        </w:rPr>
        <w:t>The equipment notes pay interest between 4% and 5%, have total monthly payments of $0.01 million and mature at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dates through December 2024. The equipment loans are secured by the related equipment.</w:t>
      </w:r>
    </w:p>
    <w:p>
      <w:pPr>
        <w:spacing w:after="0" w:line="170"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 The SBA Loans are subject to the potential for partial or full loan forgiveness as dictated by U.S. federal law. Principal and interest are deferred until August 2021 and interest continues to accrue during the deferral period. The SBA Loans are payable monthly beginning August 5, 2021, with aggregate payments totaling $0.06 million per month, including interest and principal. The SBA Loans are subject to partial or full forgiveness for the initial 24-week period following the loan disbursement if all proceeds are used for eligible purposes and within certain thresholds, the Company maintains certain employment levels and the Company maintains certain compensation levels.</w:t>
      </w:r>
    </w:p>
    <w:p>
      <w:pPr>
        <w:spacing w:after="0" w:line="177"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On April 15, 2021, the Small Business Administration forgave the entire balance of $0.5 million of the Company's and $0.1 million of Agri-Energy's loans and accrued interest obtained through the SBA PPP. The remaining SBA PPP loan for Agri-Energy totals $0.4 million, bears interest at 1.0% and matures in April 2025. Monthly payments of $8 thousand begin on June 5, 2021 and are payable through April 2025.</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Debt</w:t>
      </w:r>
      <w:r>
        <w:rPr>
          <w:rFonts w:ascii="Arial" w:cs="Arial" w:eastAsia="Arial" w:hAnsi="Arial"/>
          <w:sz w:val="18"/>
          <w:szCs w:val="18"/>
          <w:color w:val="auto"/>
        </w:rPr>
        <w:t>, to our consolidated financial statements included herein for further discussion.</w:t>
      </w:r>
    </w:p>
    <w:p>
      <w:pPr>
        <w:spacing w:after="0" w:line="22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i w:val="1"/>
          <w:iCs w:val="1"/>
          <w:color w:val="auto"/>
        </w:rPr>
        <w:t xml:space="preserve">2021 Bonds. </w:t>
      </w:r>
      <w:r>
        <w:rPr>
          <w:rFonts w:ascii="Arial" w:cs="Arial" w:eastAsia="Arial" w:hAnsi="Arial"/>
          <w:sz w:val="18"/>
          <w:szCs w:val="18"/>
          <w:color w:val="auto"/>
        </w:rPr>
        <w:t>On April 15, 2021, the Company closed the 2021 Bonds offering totaling $68,155,000 to finance the construction of the Gevo RNG</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The proceeds of the 2021 Bonds, combined with Gevo equity, will be used to finance (1) the construction of the Gevo RNG project which is comprised of (A) three anaerobic digesters and related equipment situated on dairy farms located Northwest Iowa that will produce partially conditioned raw biogas from cow manure, (B) gathering pipelines to transport biogas to a centrally located gas upgrade system, (C) a centrally located gas upgrade system located in Doon, Iowa that will upgrade biogas to pipeline quality RNG and interconnect to Northern Natural Gas’ interstate pipeline, and (D) other related improvements; (2) to capitalize a portion of the interest due on the 2021 Bonds during the construction period; and (3) to pay a portion of the costs of issuing the 2021 Bonds.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Subsequent Events</w:t>
      </w:r>
      <w:r>
        <w:rPr>
          <w:rFonts w:ascii="Arial" w:cs="Arial" w:eastAsia="Arial" w:hAnsi="Arial"/>
          <w:sz w:val="18"/>
          <w:szCs w:val="18"/>
          <w:color w:val="auto"/>
        </w:rPr>
        <w:t>, to our consolidated financial statements included herein for further discussion.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475"/>
        <w:spacing w:after="0" w:line="342" w:lineRule="auto"/>
        <w:rPr>
          <w:sz w:val="20"/>
          <w:szCs w:val="20"/>
          <w:color w:val="auto"/>
        </w:rPr>
      </w:pPr>
      <w:r>
        <w:rPr>
          <w:rFonts w:ascii="Arial" w:cs="Arial" w:eastAsia="Arial" w:hAnsi="Arial"/>
          <w:sz w:val="16"/>
          <w:szCs w:val="16"/>
          <w:color w:val="auto"/>
        </w:rPr>
        <w:t>There have been no significant changes to our critical accounting policies since December 31, 2020. For a description of critical accounting policies that affect our significant judgments and estimates used in the preparation of our consolidated financial statements, refer to our Annual Report.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March 31, 2021, we did not have any material off-balance sheet arrangements.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information under this item.</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475"/>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188" w:lineRule="exact"/>
        <w:rPr>
          <w:sz w:val="20"/>
          <w:szCs w:val="20"/>
          <w:color w:val="auto"/>
        </w:rPr>
      </w:pPr>
    </w:p>
    <w:p>
      <w:pPr>
        <w:ind w:right="100" w:firstLine="475"/>
        <w:spacing w:after="0" w:line="291" w:lineRule="auto"/>
        <w:rPr>
          <w:sz w:val="20"/>
          <w:szCs w:val="20"/>
          <w:color w:val="auto"/>
        </w:rPr>
      </w:pPr>
      <w:r>
        <w:rPr>
          <w:rFonts w:ascii="Arial" w:cs="Arial" w:eastAsia="Arial" w:hAnsi="Arial"/>
          <w:sz w:val="16"/>
          <w:szCs w:val="16"/>
          <w:color w:val="auto"/>
        </w:rPr>
        <w:t>Management, including the participation of our Chief Executive Officer and our Chief Financial Officer, conducted an evaluation (pursuant to Rule 13a-15(b) of the Exchange Act) of the effectiveness of our disclosure controls and procedures as of the end of the period covered by this Report. Based on this evaluation, our Chief Executive Officer and Chief Financial Officer concluded that our disclosure controls and procedures were effective as of March 31, 2021. In designing and evaluating our disclosure controls and procedures, management recognized that disclosure controls and procedures, no matter how well conceived and operated, can provide only reasonable but not absolute assurance that the objectives of the disclosure controls and procedures are met. The design of any disclosure control and procedure also is based in part upon certain assumptions about the likelihood of future events, and there can be no assurance that any design will succeed in achieving its stated goals under all potential future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47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2021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360" w:firstLine="475"/>
        <w:spacing w:after="0" w:line="263"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and we are not aware of any pending or threatened litigation against us that we believe could have a material adverse effect on our business, operating results, financial condition or cash flows.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You should carefully consider the risk factors discussed in Part I, Item 1A. “Risk Factors” in our Annual Report, which could materially affect our business, financial condition, cash flows or future results. There have been no material changes in our risk factors included in our Annual Report. The risk factors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Purchased as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5"/>
              </w:rPr>
              <w:t>of Shares</w:t>
            </w: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Average Price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Paid per Share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or Programs</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January 1, 2021 - January 31, 2021 (1)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February 1, 2021 - February 28, 2021</w:t>
            </w: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March 1, 2021 - March 31, 2021</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342"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shares withheld from employees to cover tax withholding obligations upon the vesting of restricted stock awards. The average prices listed in the above table are averages of the fair market prices at which we valued shares withheld for purposes of calculating the number of shares to be withheld.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exhibits listed below are filed or furnished as part of this report.</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6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Included</w:t>
            </w:r>
          </w:p>
        </w:tc>
      </w:tr>
      <w:tr>
        <w:trPr>
          <w:trHeight w:val="251"/>
        </w:trPr>
        <w:tc>
          <w:tcPr>
            <w:tcW w:w="11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Herewith</w:t>
            </w:r>
          </w:p>
        </w:tc>
      </w:tr>
      <w:tr>
        <w:trPr>
          <w:trHeight w:val="189"/>
        </w:trPr>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Form</w:t>
            </w:r>
          </w:p>
        </w:tc>
        <w:tc>
          <w:tcPr>
            <w:tcW w:w="1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ind w:left="140"/>
              <w:spacing w:after="0" w:line="189" w:lineRule="exact"/>
              <w:rPr>
                <w:sz w:val="20"/>
                <w:szCs w:val="20"/>
                <w:color w:val="auto"/>
              </w:rPr>
            </w:pPr>
            <w:r>
              <w:rPr>
                <w:rFonts w:ascii="Arial" w:cs="Arial" w:eastAsia="Arial" w:hAnsi="Arial"/>
                <w:sz w:val="18"/>
                <w:szCs w:val="18"/>
                <w:b w:val="1"/>
                <w:bCs w:val="1"/>
                <w:color w:val="auto"/>
              </w:rPr>
              <w:t>File No.</w:t>
            </w:r>
          </w:p>
        </w:tc>
        <w:tc>
          <w:tcPr>
            <w:tcW w:w="6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6"/>
              </w:rPr>
              <w:t>Exhibit</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r>
      <w:tr>
        <w:trPr>
          <w:trHeight w:val="172"/>
        </w:trPr>
        <w:tc>
          <w:tcPr>
            <w:tcW w:w="34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360" w:type="dxa"/>
            <w:vAlign w:val="bottom"/>
            <w:tcBorders>
              <w:bottom w:val="single" w:sz="8" w:color="0000EE"/>
            </w:tcBorders>
            <w:gridSpan w:val="9"/>
          </w:tcPr>
          <w:p>
            <w:pPr>
              <w:spacing w:after="0" w:line="172"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Amended and Restated Certificate of Incorporation of Gevo,</w:t>
              </w:r>
            </w:hyperlink>
          </w:p>
        </w:tc>
        <w:tc>
          <w:tcPr>
            <w:tcW w:w="2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3.1</w:t>
            </w: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March 29, 2011</w:t>
            </w: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3.2</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780" w:type="dxa"/>
            <w:vAlign w:val="bottom"/>
            <w:tcBorders>
              <w:bottom w:val="single" w:sz="8" w:color="0000EE"/>
            </w:tcBorders>
            <w:gridSpan w:val="6"/>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Certificate of Amendment to Amended and Restated</w:t>
              </w:r>
            </w:hyperlink>
          </w:p>
        </w:tc>
        <w:tc>
          <w:tcPr>
            <w:tcW w:w="800" w:type="dxa"/>
            <w:vAlign w:val="bottom"/>
            <w:tcBorders>
              <w:right w:val="single" w:sz="8" w:color="auto"/>
            </w:tcBorders>
            <w:gridSpan w:val="4"/>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June 10, 2013</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780" w:type="dxa"/>
            <w:vAlign w:val="bottom"/>
            <w:tcBorders>
              <w:bottom w:val="single" w:sz="8" w:color="0000EE"/>
            </w:tcBorders>
            <w:gridSpan w:val="6"/>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Certificate of Amendment to Amended and Restated</w:t>
              </w:r>
            </w:hyperlink>
          </w:p>
        </w:tc>
        <w:tc>
          <w:tcPr>
            <w:tcW w:w="800" w:type="dxa"/>
            <w:vAlign w:val="bottom"/>
            <w:tcBorders>
              <w:right w:val="single" w:sz="8" w:color="auto"/>
            </w:tcBorders>
            <w:gridSpan w:val="4"/>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July 9, 2014</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3.4</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780" w:type="dxa"/>
            <w:vAlign w:val="bottom"/>
            <w:tcBorders>
              <w:bottom w:val="single" w:sz="8" w:color="0000EE"/>
            </w:tcBorders>
            <w:gridSpan w:val="6"/>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Certificate of Amendment to Amended and Restated</w:t>
              </w:r>
            </w:hyperlink>
          </w:p>
        </w:tc>
        <w:tc>
          <w:tcPr>
            <w:tcW w:w="800" w:type="dxa"/>
            <w:vAlign w:val="bottom"/>
            <w:tcBorders>
              <w:right w:val="single" w:sz="8" w:color="auto"/>
            </w:tcBorders>
            <w:gridSpan w:val="4"/>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April 22, 2015</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3.5</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780" w:type="dxa"/>
            <w:vAlign w:val="bottom"/>
            <w:tcBorders>
              <w:bottom w:val="single" w:sz="8" w:color="0000EE"/>
            </w:tcBorders>
            <w:gridSpan w:val="6"/>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Certificate of Amendment to Amended and Restated</w:t>
              </w:r>
            </w:hyperlink>
          </w:p>
        </w:tc>
        <w:tc>
          <w:tcPr>
            <w:tcW w:w="800" w:type="dxa"/>
            <w:vAlign w:val="bottom"/>
            <w:tcBorders>
              <w:right w:val="single" w:sz="8" w:color="auto"/>
            </w:tcBorders>
            <w:gridSpan w:val="4"/>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6, 2017</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40"/>
        </w:trPr>
        <w:tc>
          <w:tcPr>
            <w:tcW w:w="34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60" w:type="dxa"/>
            <w:vAlign w:val="bottom"/>
            <w:tcBorders>
              <w:top w:val="single" w:sz="8" w:color="0000EE"/>
              <w:bottom w:val="single" w:sz="8" w:color="auto"/>
            </w:tcBorders>
          </w:tcPr>
          <w:p>
            <w:pPr>
              <w:spacing w:after="0"/>
              <w:rPr>
                <w:sz w:val="3"/>
                <w:szCs w:val="3"/>
                <w:color w:val="auto"/>
              </w:rPr>
            </w:pPr>
          </w:p>
        </w:tc>
        <w:tc>
          <w:tcPr>
            <w:tcW w:w="1440" w:type="dxa"/>
            <w:vAlign w:val="bottom"/>
            <w:tcBorders>
              <w:top w:val="single" w:sz="8" w:color="0000EE"/>
              <w:bottom w:val="single" w:sz="8" w:color="auto"/>
            </w:tcBorders>
          </w:tcPr>
          <w:p>
            <w:pPr>
              <w:spacing w:after="0"/>
              <w:rPr>
                <w:sz w:val="3"/>
                <w:szCs w:val="3"/>
                <w:color w:val="auto"/>
              </w:rPr>
            </w:pPr>
          </w:p>
        </w:tc>
        <w:tc>
          <w:tcPr>
            <w:tcW w:w="1260" w:type="dxa"/>
            <w:vAlign w:val="bottom"/>
            <w:tcBorders>
              <w:top w:val="single" w:sz="8" w:color="0000EE"/>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r>
        <w:trPr>
          <w:trHeight w:val="150"/>
        </w:trPr>
        <w:tc>
          <w:tcPr>
            <w:tcW w:w="3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3780" w:type="dxa"/>
            <w:vAlign w:val="bottom"/>
            <w:tcBorders>
              <w:bottom w:val="single" w:sz="8" w:color="0000EE"/>
            </w:tcBorders>
            <w:gridSpan w:val="6"/>
          </w:tcPr>
          <w:p>
            <w:pPr>
              <w:spacing w:after="0" w:line="150" w:lineRule="exact"/>
              <w:rPr>
                <w:rFonts w:ascii="Arial" w:cs="Arial" w:eastAsia="Arial" w:hAnsi="Arial"/>
                <w:sz w:val="17"/>
                <w:szCs w:val="17"/>
                <w:color w:val="0000EE"/>
                <w:w w:val="95"/>
              </w:rPr>
            </w:pPr>
            <w:hyperlink r:id="rId71">
              <w:r>
                <w:rPr>
                  <w:rFonts w:ascii="Arial" w:cs="Arial" w:eastAsia="Arial" w:hAnsi="Arial"/>
                  <w:sz w:val="17"/>
                  <w:szCs w:val="17"/>
                  <w:color w:val="0000EE"/>
                  <w:w w:val="95"/>
                </w:rPr>
                <w:t>Certificate of Amendment to Amended and Restated</w:t>
              </w:r>
            </w:hyperlink>
          </w:p>
        </w:tc>
        <w:tc>
          <w:tcPr>
            <w:tcW w:w="800" w:type="dxa"/>
            <w:vAlign w:val="bottom"/>
            <w:tcBorders>
              <w:right w:val="single" w:sz="8" w:color="auto"/>
            </w:tcBorders>
            <w:gridSpan w:val="4"/>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rPr>
              <w:t>8-K</w:t>
            </w:r>
          </w:p>
        </w:tc>
        <w:tc>
          <w:tcPr>
            <w:tcW w:w="1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5"/>
              </w:rPr>
              <w:t>001-35073</w:t>
            </w:r>
          </w:p>
        </w:tc>
        <w:tc>
          <w:tcPr>
            <w:tcW w:w="6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3"/>
              </w:rPr>
              <w:t>June 4, 2018</w:t>
            </w:r>
          </w:p>
        </w:tc>
        <w:tc>
          <w:tcPr>
            <w:tcW w:w="1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2"/>
              </w:rPr>
              <w:t>3.1</w:t>
            </w:r>
          </w:p>
        </w:tc>
        <w:tc>
          <w:tcPr>
            <w:tcW w:w="1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3.6</w:t>
            </w: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3.7</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80" w:type="dxa"/>
            <w:vAlign w:val="bottom"/>
            <w:tcBorders>
              <w:right w:val="single" w:sz="8" w:color="auto"/>
            </w:tcBorders>
            <w:gridSpan w:val="10"/>
          </w:tcPr>
          <w:p>
            <w:pPr>
              <w:spacing w:after="0"/>
              <w:rPr>
                <w:rFonts w:ascii="Arial" w:cs="Arial" w:eastAsia="Arial" w:hAnsi="Arial"/>
                <w:sz w:val="18"/>
                <w:szCs w:val="18"/>
                <w:color w:val="0000EE"/>
              </w:rPr>
            </w:pPr>
            <w:hyperlink r:id="rId72">
              <w:r>
                <w:rPr>
                  <w:rFonts w:ascii="Arial" w:cs="Arial" w:eastAsia="Arial" w:hAnsi="Arial"/>
                  <w:sz w:val="18"/>
                  <w:szCs w:val="18"/>
                  <w:color w:val="0000EE"/>
                </w:rPr>
                <w:t>Amended and Restated Bylaws of Gevo, Inc.</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March 29, 2011</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80" w:type="dxa"/>
            <w:vAlign w:val="bottom"/>
            <w:tcBorders>
              <w:right w:val="single" w:sz="8" w:color="auto"/>
            </w:tcBorders>
            <w:gridSpan w:val="10"/>
          </w:tcPr>
          <w:p>
            <w:pPr>
              <w:spacing w:after="0"/>
              <w:rPr>
                <w:rFonts w:ascii="Arial" w:cs="Arial" w:eastAsia="Arial" w:hAnsi="Arial"/>
                <w:sz w:val="18"/>
                <w:szCs w:val="18"/>
                <w:color w:val="0000EE"/>
              </w:rPr>
            </w:pPr>
            <w:hyperlink r:id="rId73">
              <w:r>
                <w:rPr>
                  <w:rFonts w:ascii="Arial" w:cs="Arial" w:eastAsia="Arial" w:hAnsi="Arial"/>
                  <w:sz w:val="18"/>
                  <w:szCs w:val="18"/>
                  <w:color w:val="0000EE"/>
                </w:rPr>
                <w:t>Form of Gevo, Inc. Common Stock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ind w:right="11"/>
              <w:spacing w:after="0"/>
              <w:rPr>
                <w:sz w:val="20"/>
                <w:szCs w:val="20"/>
                <w:color w:val="auto"/>
              </w:rPr>
            </w:pPr>
            <w:r>
              <w:rPr>
                <w:rFonts w:ascii="Arial" w:cs="Arial" w:eastAsia="Arial" w:hAnsi="Arial"/>
                <w:sz w:val="18"/>
                <w:szCs w:val="18"/>
                <w:color w:val="auto"/>
                <w:w w:val="91"/>
              </w:rPr>
              <w:t>333-168792</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January 19, 2011</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31"/>
        </w:trPr>
        <w:tc>
          <w:tcPr>
            <w:tcW w:w="34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440" w:type="dxa"/>
            <w:vAlign w:val="bottom"/>
            <w:tcBorders>
              <w:top w:val="single" w:sz="8" w:color="0000EE"/>
              <w:bottom w:val="single" w:sz="8" w:color="auto"/>
            </w:tcBorders>
          </w:tcPr>
          <w:p>
            <w:pPr>
              <w:spacing w:after="0"/>
              <w:rPr>
                <w:sz w:val="2"/>
                <w:szCs w:val="2"/>
                <w:color w:val="auto"/>
              </w:rPr>
            </w:pPr>
          </w:p>
        </w:tc>
        <w:tc>
          <w:tcPr>
            <w:tcW w:w="12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388"/>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4.2†</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80" w:type="dxa"/>
            <w:vAlign w:val="bottom"/>
            <w:tcBorders>
              <w:right w:val="single" w:sz="8" w:color="auto"/>
            </w:tcBorders>
            <w:gridSpan w:val="10"/>
          </w:tcPr>
          <w:p>
            <w:pPr>
              <w:spacing w:after="0"/>
              <w:rPr>
                <w:rFonts w:ascii="Arial" w:cs="Arial" w:eastAsia="Arial" w:hAnsi="Arial"/>
                <w:sz w:val="18"/>
                <w:szCs w:val="18"/>
                <w:color w:val="0000EE"/>
                <w:w w:val="95"/>
              </w:rPr>
            </w:pPr>
            <w:hyperlink r:id="rId74">
              <w:r>
                <w:rPr>
                  <w:rFonts w:ascii="Arial" w:cs="Arial" w:eastAsia="Arial" w:hAnsi="Arial"/>
                  <w:sz w:val="18"/>
                  <w:szCs w:val="18"/>
                  <w:color w:val="0000EE"/>
                  <w:w w:val="95"/>
                </w:rPr>
                <w:t>Stock Issuance and Stockholder’s Rights Agreement, dated</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ind w:right="11"/>
              <w:spacing w:after="0"/>
              <w:rPr>
                <w:sz w:val="20"/>
                <w:szCs w:val="20"/>
                <w:color w:val="auto"/>
              </w:rPr>
            </w:pPr>
            <w:r>
              <w:rPr>
                <w:rFonts w:ascii="Arial" w:cs="Arial" w:eastAsia="Arial" w:hAnsi="Arial"/>
                <w:sz w:val="18"/>
                <w:szCs w:val="18"/>
                <w:color w:val="auto"/>
                <w:w w:val="91"/>
              </w:rPr>
              <w:t>333-168792</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12, 2010</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July 12, 2005, by and between Gevo, Inc. and California</w:t>
              </w:r>
            </w:hyperlink>
          </w:p>
        </w:tc>
        <w:tc>
          <w:tcPr>
            <w:tcW w:w="180" w:type="dxa"/>
            <w:vAlign w:val="bottom"/>
            <w:tcBorders>
              <w:top w:val="single" w:sz="8" w:color="0000EE"/>
            </w:tcBorders>
          </w:tcPr>
          <w:p>
            <w:pPr>
              <w:spacing w:after="0"/>
              <w:rPr>
                <w:sz w:val="17"/>
                <w:szCs w:val="17"/>
                <w:color w:val="auto"/>
              </w:rPr>
            </w:pPr>
          </w:p>
        </w:tc>
        <w:tc>
          <w:tcPr>
            <w:tcW w:w="340" w:type="dxa"/>
            <w:vAlign w:val="bottom"/>
            <w:tcBorders>
              <w:right w:val="single" w:sz="8" w:color="auto"/>
            </w:tcBorders>
            <w:gridSpan w:val="2"/>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Institute of Technology.</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642"/>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40" w:type="dxa"/>
            <w:vAlign w:val="bottom"/>
            <w:gridSpan w:val="12"/>
          </w:tcPr>
          <w:p>
            <w:pPr>
              <w:jc w:val="right"/>
              <w:ind w:right="1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40" w:name="page41"/>
    <w:bookmarkEnd w:id="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340" w:type="dxa"/>
            <w:vAlign w:val="bottom"/>
            <w:gridSpan w:val="5"/>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Table of Contents</w:t>
              </w:r>
            </w:hyperlink>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73"/>
        </w:trPr>
        <w:tc>
          <w:tcPr>
            <w:tcW w:w="340" w:type="dxa"/>
            <w:vAlign w:val="bottom"/>
            <w:tcBorders>
              <w:top w:val="single" w:sz="8" w:color="0000EE"/>
              <w:bottom w:val="single" w:sz="8" w:color="auto"/>
            </w:tcBorders>
          </w:tcPr>
          <w:p>
            <w:pPr>
              <w:spacing w:after="0"/>
              <w:rPr>
                <w:sz w:val="23"/>
                <w:szCs w:val="23"/>
                <w:color w:val="auto"/>
              </w:rPr>
            </w:pPr>
          </w:p>
        </w:tc>
        <w:tc>
          <w:tcPr>
            <w:tcW w:w="780" w:type="dxa"/>
            <w:vAlign w:val="bottom"/>
            <w:tcBorders>
              <w:top w:val="single" w:sz="8" w:color="0000EE"/>
              <w:bottom w:val="single" w:sz="8" w:color="auto"/>
            </w:tcBorders>
          </w:tcPr>
          <w:p>
            <w:pPr>
              <w:spacing w:after="0"/>
              <w:rPr>
                <w:sz w:val="23"/>
                <w:szCs w:val="23"/>
                <w:color w:val="auto"/>
              </w:rPr>
            </w:pPr>
          </w:p>
        </w:tc>
        <w:tc>
          <w:tcPr>
            <w:tcW w:w="100" w:type="dxa"/>
            <w:vAlign w:val="bottom"/>
            <w:tcBorders>
              <w:top w:val="single" w:sz="8" w:color="0000EE"/>
              <w:bottom w:val="single" w:sz="8" w:color="0000EE"/>
            </w:tcBorders>
          </w:tcPr>
          <w:p>
            <w:pPr>
              <w:spacing w:after="0"/>
              <w:rPr>
                <w:sz w:val="23"/>
                <w:szCs w:val="23"/>
                <w:color w:val="auto"/>
              </w:rPr>
            </w:pPr>
          </w:p>
        </w:tc>
        <w:tc>
          <w:tcPr>
            <w:tcW w:w="60" w:type="dxa"/>
            <w:vAlign w:val="bottom"/>
            <w:tcBorders>
              <w:top w:val="single" w:sz="8" w:color="0000EE"/>
              <w:bottom w:val="single" w:sz="8" w:color="0000EE"/>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154"/>
        </w:trPr>
        <w:tc>
          <w:tcPr>
            <w:tcW w:w="1120" w:type="dxa"/>
            <w:vAlign w:val="bottom"/>
            <w:tcBorders>
              <w:top w:val="single" w:sz="8" w:color="auto"/>
              <w:left w:val="single" w:sz="8" w:color="auto"/>
              <w:right w:val="single" w:sz="8" w:color="auto"/>
            </w:tcBorders>
            <w:gridSpan w:val="2"/>
          </w:tcPr>
          <w:p>
            <w:pPr>
              <w:ind w:left="20"/>
              <w:spacing w:after="0" w:line="154" w:lineRule="exact"/>
              <w:rPr>
                <w:sz w:val="20"/>
                <w:szCs w:val="20"/>
                <w:color w:val="auto"/>
              </w:rPr>
            </w:pPr>
            <w:r>
              <w:rPr>
                <w:rFonts w:ascii="Arial" w:cs="Arial" w:eastAsia="Arial" w:hAnsi="Arial"/>
                <w:sz w:val="17"/>
                <w:szCs w:val="17"/>
                <w:b w:val="1"/>
                <w:bCs w:val="1"/>
                <w:color w:val="auto"/>
              </w:rPr>
              <w:t>Exhibit</w:t>
            </w:r>
          </w:p>
        </w:tc>
        <w:tc>
          <w:tcPr>
            <w:tcW w:w="100" w:type="dxa"/>
            <w:vAlign w:val="bottom"/>
            <w:tcBorders>
              <w:top w:val="single" w:sz="8" w:color="auto"/>
              <w:right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right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right w:val="single" w:sz="8" w:color="auto"/>
            </w:tcBorders>
          </w:tcPr>
          <w:p>
            <w:pPr>
              <w:spacing w:after="0"/>
              <w:rPr>
                <w:sz w:val="13"/>
                <w:szCs w:val="13"/>
                <w:color w:val="auto"/>
              </w:rPr>
            </w:pPr>
          </w:p>
        </w:tc>
        <w:tc>
          <w:tcPr>
            <w:tcW w:w="80" w:type="dxa"/>
            <w:vAlign w:val="bottom"/>
            <w:tcBorders>
              <w:top w:val="single" w:sz="8" w:color="auto"/>
              <w:right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b w:val="1"/>
                <w:bCs w:val="1"/>
                <w:color w:val="auto"/>
              </w:rPr>
              <w:t>Filed</w:t>
            </w:r>
          </w:p>
        </w:tc>
      </w:tr>
      <w:tr>
        <w:trPr>
          <w:trHeight w:val="251"/>
        </w:trPr>
        <w:tc>
          <w:tcPr>
            <w:tcW w:w="11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gridSpan w:val="18"/>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93"/>
        </w:trPr>
        <w:tc>
          <w:tcPr>
            <w:tcW w:w="3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7"/>
              </w:rPr>
              <w:t>Form</w:t>
            </w:r>
          </w:p>
        </w:tc>
        <w:tc>
          <w:tcPr>
            <w:tcW w:w="10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2"/>
              </w:rPr>
              <w:t>File No.</w:t>
            </w: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1"/>
              </w:rPr>
              <w:t>Filing Date</w:t>
            </w:r>
          </w:p>
        </w:tc>
        <w:tc>
          <w:tcPr>
            <w:tcW w:w="1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ind w:left="60"/>
              <w:spacing w:after="0" w:line="193" w:lineRule="exact"/>
              <w:rPr>
                <w:sz w:val="20"/>
                <w:szCs w:val="20"/>
                <w:color w:val="auto"/>
              </w:rPr>
            </w:pPr>
            <w:r>
              <w:rPr>
                <w:rFonts w:ascii="Arial" w:cs="Arial" w:eastAsia="Arial" w:hAnsi="Arial"/>
                <w:sz w:val="18"/>
                <w:szCs w:val="18"/>
                <w:b w:val="1"/>
                <w:bCs w:val="1"/>
                <w:color w:val="auto"/>
              </w:rPr>
              <w:t>Exhibit</w:t>
            </w:r>
          </w:p>
        </w:tc>
        <w:tc>
          <w:tcPr>
            <w:tcW w:w="1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391"/>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4.3</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rPr>
            </w:pPr>
            <w:hyperlink r:id="rId75">
              <w:r>
                <w:rPr>
                  <w:rFonts w:ascii="Arial" w:cs="Arial" w:eastAsia="Arial" w:hAnsi="Arial"/>
                  <w:sz w:val="18"/>
                  <w:szCs w:val="18"/>
                  <w:color w:val="0000EE"/>
                </w:rPr>
                <w:t>Form of Series I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ind w:right="11"/>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September 15, 2016</w:t>
            </w: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4.4</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rPr>
            </w:pPr>
            <w:hyperlink r:id="rId76">
              <w:r>
                <w:rPr>
                  <w:rFonts w:ascii="Arial" w:cs="Arial" w:eastAsia="Arial" w:hAnsi="Arial"/>
                  <w:sz w:val="18"/>
                  <w:szCs w:val="18"/>
                  <w:color w:val="0000EE"/>
                </w:rPr>
                <w:t>Form of Series K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ind w:right="11"/>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February 22, 2017</w:t>
            </w: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40"/>
        </w:trPr>
        <w:tc>
          <w:tcPr>
            <w:tcW w:w="3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56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780" w:type="dxa"/>
            <w:vAlign w:val="bottom"/>
            <w:tcBorders>
              <w:top w:val="single" w:sz="8" w:color="0000EE"/>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78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46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r>
        <w:trPr>
          <w:trHeight w:val="149"/>
        </w:trPr>
        <w:tc>
          <w:tcPr>
            <w:tcW w:w="3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line="150" w:lineRule="exact"/>
              <w:rPr>
                <w:sz w:val="20"/>
                <w:szCs w:val="20"/>
                <w:color w:val="auto"/>
              </w:rPr>
            </w:pPr>
            <w:r>
              <w:rPr>
                <w:rFonts w:ascii="Arial" w:cs="Arial" w:eastAsia="Arial" w:hAnsi="Arial"/>
                <w:sz w:val="17"/>
                <w:szCs w:val="17"/>
                <w:color w:val="auto"/>
              </w:rPr>
              <w:t>4.5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gridSpan w:val="18"/>
          </w:tcPr>
          <w:p>
            <w:pPr>
              <w:spacing w:after="0" w:line="150" w:lineRule="exact"/>
              <w:rPr>
                <w:rFonts w:ascii="Arial" w:cs="Arial" w:eastAsia="Arial" w:hAnsi="Arial"/>
                <w:sz w:val="17"/>
                <w:szCs w:val="17"/>
                <w:color w:val="0000EE"/>
              </w:rPr>
            </w:pPr>
            <w:hyperlink r:id="rId77">
              <w:r>
                <w:rPr>
                  <w:rFonts w:ascii="Arial" w:cs="Arial" w:eastAsia="Arial" w:hAnsi="Arial"/>
                  <w:sz w:val="17"/>
                  <w:szCs w:val="17"/>
                  <w:color w:val="0000EE"/>
                </w:rPr>
                <w:t>Form of Series 2020-A Warrant to Purchase Common Stock.</w:t>
              </w:r>
            </w:hyperlink>
          </w:p>
        </w:tc>
        <w:tc>
          <w:tcPr>
            <w:tcW w:w="8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rPr>
              <w:t>8-K</w:t>
            </w:r>
          </w:p>
        </w:tc>
        <w:tc>
          <w:tcPr>
            <w:tcW w:w="1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ind w:right="11"/>
              <w:spacing w:after="0" w:line="150" w:lineRule="exact"/>
              <w:rPr>
                <w:sz w:val="20"/>
                <w:szCs w:val="20"/>
                <w:color w:val="auto"/>
              </w:rPr>
            </w:pPr>
            <w:r>
              <w:rPr>
                <w:rFonts w:ascii="Arial" w:cs="Arial" w:eastAsia="Arial" w:hAnsi="Arial"/>
                <w:sz w:val="17"/>
                <w:szCs w:val="17"/>
                <w:color w:val="auto"/>
                <w:w w:val="95"/>
              </w:rPr>
              <w:t>001-35073</w:t>
            </w:r>
          </w:p>
        </w:tc>
        <w:tc>
          <w:tcPr>
            <w:tcW w:w="8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5"/>
              </w:rPr>
              <w:t>July 8, 2020</w:t>
            </w:r>
          </w:p>
        </w:tc>
        <w:tc>
          <w:tcPr>
            <w:tcW w:w="1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rPr>
              <w:t>4.1</w:t>
            </w:r>
          </w:p>
        </w:tc>
        <w:tc>
          <w:tcPr>
            <w:tcW w:w="1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18"/>
          </w:tcPr>
          <w:p>
            <w:pPr>
              <w:spacing w:after="0" w:line="169" w:lineRule="exact"/>
              <w:rPr>
                <w:rFonts w:ascii="Arial" w:cs="Arial" w:eastAsia="Arial" w:hAnsi="Arial"/>
                <w:sz w:val="18"/>
                <w:szCs w:val="18"/>
                <w:color w:val="0000EE"/>
              </w:rPr>
            </w:pPr>
            <w:hyperlink r:id="rId78">
              <w:r>
                <w:rPr>
                  <w:rFonts w:ascii="Arial" w:cs="Arial" w:eastAsia="Arial" w:hAnsi="Arial"/>
                  <w:sz w:val="18"/>
                  <w:szCs w:val="18"/>
                  <w:color w:val="0000EE"/>
                </w:rPr>
                <w:t>Form of Securities Purchase Agreement.</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11"/>
              <w:spacing w:after="0" w:line="169"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January 21, 2021</w:t>
            </w: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18"/>
          </w:tcPr>
          <w:p>
            <w:pPr>
              <w:spacing w:after="0" w:line="169"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Fuel Sales Agreement, dated October 28, 2019, by and between</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10.2+</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Gevo, Inc. and Scandinavian Airlines System.</w:t>
              </w:r>
            </w:hyperlink>
          </w:p>
        </w:tc>
        <w:tc>
          <w:tcPr>
            <w:tcW w:w="80" w:type="dxa"/>
            <w:vAlign w:val="bottom"/>
            <w:tcBorders>
              <w:right w:val="single" w:sz="8" w:color="auto"/>
            </w:tcBorders>
            <w:gridSpan w:val="2"/>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ind w:right="11"/>
              <w:spacing w:after="0" w:line="196"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February 22, 2021</w:t>
            </w: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640" w:type="dxa"/>
            <w:vAlign w:val="bottom"/>
            <w:tcBorders>
              <w:bottom w:val="single" w:sz="8" w:color="0000EE"/>
              <w:right w:val="single" w:sz="8" w:color="auto"/>
            </w:tcBorders>
            <w:gridSpan w:val="18"/>
          </w:tcPr>
          <w:p>
            <w:pPr>
              <w:spacing w:after="0" w:line="169"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Amendment No. 1 to Fuel Sales Agreement, dated February 16,</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3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80">
              <w:r>
                <w:rPr>
                  <w:rFonts w:ascii="Arial" w:cs="Arial" w:eastAsia="Arial" w:hAnsi="Arial"/>
                  <w:sz w:val="18"/>
                  <w:szCs w:val="18"/>
                  <w:color w:val="0000EE"/>
                  <w:w w:val="89"/>
                </w:rPr>
                <w:t>2021, by and between Gevo, Inc. and Scandinavian Airlines</w:t>
              </w:r>
            </w:hyperlink>
          </w:p>
        </w:tc>
        <w:tc>
          <w:tcPr>
            <w:tcW w:w="340" w:type="dxa"/>
            <w:vAlign w:val="bottom"/>
            <w:tcBorders>
              <w:right w:val="single" w:sz="8" w:color="auto"/>
            </w:tcBorders>
            <w:gridSpan w:val="6"/>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8"/>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System.</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ind w:right="11"/>
              <w:spacing w:after="0" w:line="196"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February 22, 2021</w:t>
            </w: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10.4</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18"/>
          </w:tcPr>
          <w:p>
            <w:pPr>
              <w:spacing w:after="0" w:line="169" w:lineRule="exact"/>
              <w:rPr>
                <w:rFonts w:ascii="Arial" w:cs="Arial" w:eastAsia="Arial" w:hAnsi="Arial"/>
                <w:sz w:val="18"/>
                <w:szCs w:val="18"/>
                <w:color w:val="0000EE"/>
                <w:w w:val="94"/>
              </w:rPr>
            </w:pPr>
            <w:hyperlink r:id="rId81">
              <w:r>
                <w:rPr>
                  <w:rFonts w:ascii="Arial" w:cs="Arial" w:eastAsia="Arial" w:hAnsi="Arial"/>
                  <w:sz w:val="18"/>
                  <w:szCs w:val="18"/>
                  <w:color w:val="0000EE"/>
                  <w:w w:val="94"/>
                </w:rPr>
                <w:t>Bond Financing Agreement, dated as of April 1, 2021, by and</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11"/>
              <w:spacing w:after="0" w:line="169"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April 15, 2021</w:t>
            </w: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420" w:type="dxa"/>
            <w:vAlign w:val="bottom"/>
            <w:tcBorders>
              <w:top w:val="single" w:sz="8" w:color="0000EE"/>
            </w:tcBorders>
            <w:gridSpan w:val="15"/>
          </w:tcPr>
          <w:p>
            <w:pPr>
              <w:spacing w:after="0" w:line="196" w:lineRule="exact"/>
              <w:rPr>
                <w:rFonts w:ascii="Arial" w:cs="Arial" w:eastAsia="Arial" w:hAnsi="Arial"/>
                <w:sz w:val="18"/>
                <w:szCs w:val="18"/>
                <w:color w:val="0000EE"/>
                <w:w w:val="95"/>
              </w:rPr>
            </w:pPr>
            <w:hyperlink r:id="rId81">
              <w:r>
                <w:rPr>
                  <w:rFonts w:ascii="Arial" w:cs="Arial" w:eastAsia="Arial" w:hAnsi="Arial"/>
                  <w:sz w:val="18"/>
                  <w:szCs w:val="18"/>
                  <w:color w:val="0000EE"/>
                  <w:w w:val="95"/>
                </w:rPr>
                <w:t>between Gevo NW Iowa RNG, LLC and the Iowa Finance</w:t>
              </w:r>
            </w:hyperlink>
          </w:p>
        </w:tc>
        <w:tc>
          <w:tcPr>
            <w:tcW w:w="220" w:type="dxa"/>
            <w:vAlign w:val="bottom"/>
            <w:tcBorders>
              <w:right w:val="single" w:sz="8" w:color="auto"/>
            </w:tcBorders>
            <w:gridSpan w:val="3"/>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2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Authority.</w:t>
              </w:r>
            </w:hyperlink>
          </w:p>
        </w:tc>
        <w:tc>
          <w:tcPr>
            <w:tcW w:w="440" w:type="dxa"/>
            <w:vAlign w:val="bottom"/>
            <w:tcBorders>
              <w:right w:val="single" w:sz="8" w:color="auto"/>
            </w:tcBorders>
            <w:gridSpan w:val="8"/>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10.5++</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640" w:type="dxa"/>
            <w:vAlign w:val="bottom"/>
            <w:tcBorders>
              <w:bottom w:val="single" w:sz="8" w:color="0000EE"/>
              <w:right w:val="single" w:sz="8" w:color="auto"/>
            </w:tcBorders>
            <w:gridSpan w:val="18"/>
          </w:tcPr>
          <w:p>
            <w:pPr>
              <w:spacing w:after="0" w:line="169"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Letter of Credit Reimbursement Agreement, dated as of April 1,</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11"/>
              <w:spacing w:after="0" w:line="169"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April 15, 2021</w:t>
            </w: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10.2</w:t>
            </w: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8"/>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2021, by and between Gevo, Inc. and Citibank, N.A.</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10.6#</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380" w:type="dxa"/>
            <w:vAlign w:val="bottom"/>
            <w:tcBorders>
              <w:bottom w:val="single" w:sz="8" w:color="0000EE"/>
            </w:tcBorders>
            <w:gridSpan w:val="14"/>
          </w:tcPr>
          <w:p>
            <w:pPr>
              <w:spacing w:after="0" w:line="169"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Offer Letter, Dated February 16, 2021, by and between Gevo</w:t>
              </w:r>
            </w:hyperlink>
          </w:p>
        </w:tc>
        <w:tc>
          <w:tcPr>
            <w:tcW w:w="260" w:type="dxa"/>
            <w:vAlign w:val="bottom"/>
            <w:tcBorders>
              <w:right w:val="single" w:sz="8" w:color="auto"/>
            </w:tcBorders>
            <w:gridSpan w:val="4"/>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X</w:t>
            </w: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Inc. and Paul Bloom.</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Section 302 Certification of the Principal Executive Officer.</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31.2</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Section 302 Certification of the Principal Financial Officer.</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580" w:type="dxa"/>
            <w:vAlign w:val="bottom"/>
            <w:tcBorders>
              <w:bottom w:val="single" w:sz="8" w:color="0000EE"/>
            </w:tcBorders>
            <w:gridSpan w:val="17"/>
          </w:tcPr>
          <w:p>
            <w:pPr>
              <w:spacing w:after="0" w:line="170"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Section 906 Certification of the Principal Executive Officer and</w:t>
              </w:r>
            </w:hyperlink>
          </w:p>
        </w:tc>
        <w:tc>
          <w:tcPr>
            <w:tcW w:w="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32.1</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Principal Financial Officer.**</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X**</w:t>
            </w: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412"/>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sz w:val="20"/>
                <w:szCs w:val="20"/>
                <w:color w:val="auto"/>
              </w:rPr>
            </w:pPr>
            <w:r>
              <w:rPr>
                <w:rFonts w:ascii="Arial" w:cs="Arial" w:eastAsia="Arial" w:hAnsi="Arial"/>
                <w:sz w:val="18"/>
                <w:szCs w:val="18"/>
                <w:color w:val="auto"/>
                <w:w w:val="93"/>
              </w:rPr>
              <w:t>Financial statements from the Quarterly Report on Form 10-Q</w:t>
            </w: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8"/>
          </w:tcPr>
          <w:p>
            <w:pPr>
              <w:spacing w:after="0"/>
              <w:rPr>
                <w:sz w:val="20"/>
                <w:szCs w:val="20"/>
                <w:color w:val="auto"/>
              </w:rPr>
            </w:pPr>
            <w:r>
              <w:rPr>
                <w:rFonts w:ascii="Arial" w:cs="Arial" w:eastAsia="Arial" w:hAnsi="Arial"/>
                <w:sz w:val="18"/>
                <w:szCs w:val="18"/>
                <w:color w:val="auto"/>
                <w:w w:val="96"/>
              </w:rPr>
              <w:t>of Gevo, Inc. for the quarterly period ended March 31, 2021,</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8"/>
          </w:tcPr>
          <w:p>
            <w:pPr>
              <w:spacing w:after="0"/>
              <w:rPr>
                <w:sz w:val="20"/>
                <w:szCs w:val="20"/>
                <w:color w:val="auto"/>
              </w:rPr>
            </w:pPr>
            <w:r>
              <w:rPr>
                <w:rFonts w:ascii="Arial" w:cs="Arial" w:eastAsia="Arial" w:hAnsi="Arial"/>
                <w:sz w:val="18"/>
                <w:szCs w:val="18"/>
                <w:color w:val="auto"/>
                <w:w w:val="96"/>
              </w:rPr>
              <w:t>formatted in XBRL: (i) the Consolidated Balance Sheets, (ii)</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8"/>
          </w:tcPr>
          <w:p>
            <w:pPr>
              <w:spacing w:after="0"/>
              <w:rPr>
                <w:sz w:val="20"/>
                <w:szCs w:val="20"/>
                <w:color w:val="auto"/>
              </w:rPr>
            </w:pPr>
            <w:r>
              <w:rPr>
                <w:rFonts w:ascii="Arial" w:cs="Arial" w:eastAsia="Arial" w:hAnsi="Arial"/>
                <w:sz w:val="18"/>
                <w:szCs w:val="18"/>
                <w:color w:val="auto"/>
              </w:rPr>
              <w:t>the Consolidated Statements of Operations, (iii)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8"/>
          </w:tcPr>
          <w:p>
            <w:pPr>
              <w:spacing w:after="0"/>
              <w:rPr>
                <w:sz w:val="20"/>
                <w:szCs w:val="20"/>
                <w:color w:val="auto"/>
              </w:rPr>
            </w:pPr>
            <w:r>
              <w:rPr>
                <w:rFonts w:ascii="Arial" w:cs="Arial" w:eastAsia="Arial" w:hAnsi="Arial"/>
                <w:sz w:val="18"/>
                <w:szCs w:val="18"/>
                <w:color w:val="auto"/>
                <w:w w:val="93"/>
              </w:rPr>
              <w:t>Consolidated Statements of Cash Flows, and (iv) Notes to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27"/>
        </w:trPr>
        <w:tc>
          <w:tcPr>
            <w:tcW w:w="3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4640" w:type="dxa"/>
            <w:vAlign w:val="bottom"/>
            <w:tcBorders>
              <w:bottom w:val="single" w:sz="8" w:color="auto"/>
              <w:right w:val="single" w:sz="8" w:color="auto"/>
            </w:tcBorders>
            <w:gridSpan w:val="18"/>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35" w:lineRule="exact"/>
        <w:rPr>
          <w:sz w:val="20"/>
          <w:szCs w:val="20"/>
          <w:color w:val="auto"/>
        </w:rPr>
      </w:pPr>
    </w:p>
    <w:p>
      <w:pPr>
        <w:ind w:left="660" w:right="180" w:hanging="652"/>
        <w:spacing w:after="0" w:line="186" w:lineRule="auto"/>
        <w:tabs>
          <w:tab w:leader="none" w:pos="660" w:val="left"/>
        </w:tabs>
        <w:numPr>
          <w:ilvl w:val="0"/>
          <w:numId w:val="12"/>
        </w:numPr>
        <w:rPr>
          <w:rFonts w:ascii="Arial" w:cs="Arial" w:eastAsia="Arial" w:hAnsi="Arial"/>
          <w:sz w:val="33"/>
          <w:szCs w:val="33"/>
          <w:color w:val="auto"/>
          <w:vertAlign w:val="subscript"/>
        </w:rPr>
      </w:pPr>
      <w:r>
        <w:rPr>
          <w:rFonts w:ascii="Arial" w:cs="Arial" w:eastAsia="Arial" w:hAnsi="Arial"/>
          <w:sz w:val="15"/>
          <w:szCs w:val="15"/>
          <w:color w:val="auto"/>
        </w:rPr>
        <w:t>Certain portions of the exhibit have been omitted pursuant to Rule 601(b)(10) of Regulation S-K. The omitted information is (i) not material and (ii) would likely cause competitive harm to the Company if publicly disclosed.</w:t>
      </w:r>
    </w:p>
    <w:p>
      <w:pPr>
        <w:ind w:left="660" w:hanging="652"/>
        <w:spacing w:after="0" w:line="221"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Confidential portions of the exhibit have been redacted from the filed version of the exhibit and are marked with a [***].</w:t>
      </w:r>
    </w:p>
    <w:p>
      <w:pPr>
        <w:spacing w:after="0" w:line="2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6"/>
          <w:szCs w:val="16"/>
          <w:color w:val="auto"/>
        </w:rPr>
        <w:t>Indicates a management contract or compensatory plan or arrangement.</w:t>
      </w:r>
    </w:p>
    <w:p>
      <w:pPr>
        <w:spacing w:after="0" w:line="19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7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Carolyn M.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031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7" w:lineRule="exact"/>
        <w:rPr>
          <w:sz w:val="20"/>
          <w:szCs w:val="20"/>
          <w:color w:val="auto"/>
        </w:rPr>
      </w:pPr>
    </w:p>
    <w:p>
      <w:pPr>
        <w:jc w:val="center"/>
        <w:ind w:right="5720"/>
        <w:spacing w:after="0"/>
        <w:rPr>
          <w:sz w:val="20"/>
          <w:szCs w:val="20"/>
          <w:color w:val="auto"/>
        </w:rPr>
      </w:pPr>
      <w:r>
        <w:rPr>
          <w:rFonts w:ascii="Arial" w:cs="Arial" w:eastAsia="Arial" w:hAnsi="Arial"/>
          <w:sz w:val="18"/>
          <w:szCs w:val="18"/>
          <w:b w:val="1"/>
          <w:bCs w:val="1"/>
          <w:color w:val="auto"/>
        </w:rPr>
        <w:t>Carolyn M. Romero, CPA</w:t>
      </w:r>
    </w:p>
    <w:p>
      <w:pPr>
        <w:spacing w:after="0" w:line="9" w:lineRule="exact"/>
        <w:rPr>
          <w:sz w:val="20"/>
          <w:szCs w:val="20"/>
          <w:color w:val="auto"/>
        </w:rPr>
      </w:pPr>
    </w:p>
    <w:p>
      <w:pPr>
        <w:jc w:val="center"/>
        <w:ind w:right="572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jc w:val="center"/>
        <w:ind w:right="5720"/>
        <w:spacing w:after="0"/>
        <w:rPr>
          <w:sz w:val="20"/>
          <w:szCs w:val="20"/>
          <w:color w:val="auto"/>
        </w:rPr>
      </w:pPr>
      <w:r>
        <w:rPr>
          <w:rFonts w:ascii="Arial" w:cs="Arial" w:eastAsia="Arial" w:hAnsi="Arial"/>
          <w:sz w:val="18"/>
          <w:szCs w:val="18"/>
          <w:b w:val="1"/>
          <w:bCs w:val="1"/>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2020</w:t>
      </w:r>
    </w:p>
    <w:p>
      <w:pPr>
        <w:spacing w:after="0" w:line="200" w:lineRule="exact"/>
        <w:rPr>
          <w:sz w:val="20"/>
          <w:szCs w:val="20"/>
          <w:color w:val="auto"/>
        </w:rPr>
      </w:pPr>
    </w:p>
    <w:p>
      <w:pPr>
        <w:spacing w:after="0" w:line="234"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760"/>
          </w:cols>
          <w:pgMar w:left="320" w:top="125" w:right="8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1388745" cy="411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13887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Paul Bloom,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Offer of Employment with Gevo. Incorporated</w:t>
      </w:r>
      <w:r>
        <w:rPr>
          <w:rFonts w:ascii="Arial" w:cs="Arial" w:eastAsia="Arial" w:hAnsi="Arial"/>
          <w:sz w:val="18"/>
          <w:szCs w:val="18"/>
          <w:color w:val="auto"/>
        </w:rPr>
        <w:t xml:space="preserve"> Dear Paul:</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are very pleased to extend to you an offer of employment with Gevo, Inc., which is estimated to begin in March of 2021, on day upon which you and I mutually agree. The terms of our offer are as follows:</w:t>
      </w:r>
    </w:p>
    <w:p>
      <w:pPr>
        <w:spacing w:after="0" w:line="185" w:lineRule="exact"/>
        <w:rPr>
          <w:sz w:val="20"/>
          <w:szCs w:val="20"/>
          <w:color w:val="auto"/>
        </w:rPr>
      </w:pPr>
    </w:p>
    <w:p>
      <w:pPr>
        <w:ind w:left="1160" w:hanging="329"/>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Position.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You will be employed by the Company in a regular, full-time position as Chief Technology and Innovation Officer. Beginning on the date you join Gevo, you will be expected to devote your full working time and attention to the business of the Company, and not to work for any other business without Gevo's approval. During the period that you render services to the Company, you agree to not engage in any employment, business or activity that is in any way competitive with the business or proposed business of Gevo. You will also be expected to comply with and be bound by the Company's operating policies, procedures and practices that are from time to time in effect during the term of your employment.</w:t>
      </w:r>
    </w:p>
    <w:p>
      <w:pPr>
        <w:spacing w:after="0" w:line="178" w:lineRule="exact"/>
        <w:rPr>
          <w:sz w:val="20"/>
          <w:szCs w:val="20"/>
          <w:color w:val="auto"/>
        </w:rPr>
      </w:pPr>
    </w:p>
    <w:p>
      <w:pPr>
        <w:ind w:left="1160" w:hanging="32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Salary. Annual Cash Bonus. Annual Equity. and Benefits.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Your annual salary shall be $360,000, payable in accordance with the Company's normal payroll practices, with such payroll deductions and withholdings as are required by law. You will be eligible for an annual incentive payout in cash of targeted to 40% of your base salary, with a range of payout from 0 to 150% of your target cash bonus depending how the BOD judges we did in achieving goals. In addition, you will be eligible for an annual incentive payout in equity (stock options, RSUs etc.) targeted to 70% of your annual base salary which may or may not be granted at the sole discretion of the Board of Directors, and could be increased or decreased depending on the circumstances of the company (size of pool available for grants, or increased allocation for a reason that the BOD determines). To the extent that the Company provides life, health, dental, disability or other insurance programs; pension, profit-sharing, 401(k) or other retirement programs; paid time off periods, or other fringe benefits, and subject to the satisfaction of any general eligibility criteria, you will receive such benefits to the same extent as other similarly situated Company employees. You will receive 200 (two hundred) hours of vacation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1388745"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388745" cy="411480"/>
                    </a:xfrm>
                    <a:prstGeom prst="rect">
                      <a:avLst/>
                    </a:prstGeom>
                    <a:noFill/>
                  </pic:spPr>
                </pic:pic>
              </a:graphicData>
            </a:graphic>
          </wp:anchor>
        </w:drawing>
      </w: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Initial Equity Awards.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Subject to formal approval by the Board of Directors, the Company will grant to you equity awards of the Company's Common Stock, pursuant to the terms and subject to the conditions of the Company's 2010 Stock Incentive Plan, and the Company's standard equity documents. The initial equity award as CTO/CIO would be $360,000 and would be granted as soon as practical in the normal course of business for the compensation committee. Your initial equity award would be restricted stock and vest 1/3 upon your first day of employment, 1/3 on your first anniversary, and 1/3 upon your second anniversary of employment with the company. All of the equity award terms will be defined more precisely in the definitive equity award agreements.</w:t>
      </w:r>
    </w:p>
    <w:p>
      <w:pPr>
        <w:spacing w:after="0" w:line="162" w:lineRule="exact"/>
        <w:rPr>
          <w:sz w:val="20"/>
          <w:szCs w:val="20"/>
          <w:color w:val="auto"/>
        </w:rPr>
      </w:pPr>
    </w:p>
    <w:p>
      <w:pPr>
        <w:ind w:left="1160" w:hanging="329"/>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At Will Employment.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we look forward to a long and productive relationship, should you decide to accept our offer, you will be an at-will employee of the Company, which means the employment relationship can be terminated by either of us for any reason, at any time, with or without notice and with or without cause. Any statements or representations to the contrary (including any statements contradicting any provision in this offer letter) should be regarded by you as ineffective.</w:t>
      </w:r>
    </w:p>
    <w:p>
      <w:pPr>
        <w:spacing w:after="0" w:line="193" w:lineRule="exact"/>
        <w:rPr>
          <w:sz w:val="20"/>
          <w:szCs w:val="20"/>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Separation Benefits.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Upon termination of your employment with Gevo, Inc. for any reason, you will receive payment for all unpaid salary and paid time off leave bank accrued</w:t>
      </w:r>
    </w:p>
    <w:p>
      <w:pPr>
        <w:spacing w:after="0" w:line="32" w:lineRule="exact"/>
        <w:rPr>
          <w:sz w:val="20"/>
          <w:szCs w:val="20"/>
          <w:color w:val="auto"/>
        </w:rPr>
      </w:pPr>
    </w:p>
    <w:p>
      <w:pPr>
        <w:jc w:val="both"/>
        <w:ind w:firstLine="8"/>
        <w:spacing w:after="0" w:line="253" w:lineRule="auto"/>
        <w:tabs>
          <w:tab w:leader="none" w:pos="2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earned as of the date of your termination of employment, and your benefits will be continued under the Company's then existing benefit plans and policies for so long as provided under the terms of such plans and policies and as required by applicable law. You additionally will receive a payment of 6 months of your salary and up to 50% of your target bonus (if bonus targets have already been achieved as determined by the BOD) and either paid out in a lump sum, or over a period of three months at choice of the Company. You will not be entitled to any other compensation, award or damages with respect to your employment or termination.</w:t>
      </w:r>
    </w:p>
    <w:p>
      <w:pPr>
        <w:spacing w:after="0" w:line="191" w:lineRule="exact"/>
        <w:rPr>
          <w:sz w:val="20"/>
          <w:szCs w:val="20"/>
          <w:color w:val="auto"/>
        </w:rPr>
      </w:pPr>
    </w:p>
    <w:p>
      <w:pPr>
        <w:ind w:left="1160" w:hanging="32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3" w:lineRule="exact"/>
        <w:rPr>
          <w:sz w:val="20"/>
          <w:szCs w:val="20"/>
          <w:color w:val="auto"/>
        </w:rPr>
      </w:pPr>
    </w:p>
    <w:p>
      <w:pPr>
        <w:jc w:val="both"/>
        <w:ind w:firstLine="18"/>
        <w:spacing w:after="0" w:line="252" w:lineRule="auto"/>
        <w:rPr>
          <w:sz w:val="20"/>
          <w:szCs w:val="20"/>
          <w:color w:val="auto"/>
        </w:rPr>
      </w:pPr>
      <w:r>
        <w:rPr>
          <w:rFonts w:ascii="Arial" w:cs="Arial" w:eastAsia="Arial" w:hAnsi="Arial"/>
          <w:sz w:val="18"/>
          <w:szCs w:val="18"/>
          <w:color w:val="auto"/>
        </w:rPr>
        <w:t>As an employee of the Company, you will have access to certain confidential information of the Company and you may, during the course of your employment, develop certain information or inventions that will be the property of the Company. To protect the interests of the Company, you will need to sign the Company's standard "Employee Proprietary Information and Inventions Agreement" as a condition of your employment. We wish to impress upon you that we do not want you to, and we hereby direct you not to bring with you any confidential or proprietary material of any former employer, or to violate any other obligations you may have to any former employer. You represent by your signature on this offer letter and the Company's Employee Proprietary Information and Inventions Agreement and your employment with the Company will not violate any agreement in place between yourself and current or past employers.</w:t>
      </w: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 xml:space="preserve">Gevo, Inc., 345 Inverness Drive South, Bldg C, Ste 310, Englewood, CO 80112 Tel: (303) 858-8358 • Fax: (303) 379-6630 • </w:t>
      </w:r>
      <w:r>
        <w:rPr>
          <w:rFonts w:ascii="Arial" w:cs="Arial" w:eastAsia="Arial" w:hAnsi="Arial"/>
          <w:sz w:val="17"/>
          <w:szCs w:val="17"/>
          <w:u w:val="single" w:color="auto"/>
          <w:color w:val="auto"/>
        </w:rPr>
        <w:t>www.gevo.com</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1388745"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388745" cy="411480"/>
                    </a:xfrm>
                    <a:prstGeom prst="rect">
                      <a:avLst/>
                    </a:prstGeom>
                    <a:noFill/>
                  </pic:spPr>
                </pic:pic>
              </a:graphicData>
            </a:graphic>
          </wp:anchor>
        </w:drawing>
      </w:r>
    </w:p>
    <w:p>
      <w:pPr>
        <w:ind w:left="1160" w:hanging="32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Relocation Expenses</w:t>
      </w:r>
    </w:p>
    <w:p>
      <w:pPr>
        <w:spacing w:after="0" w:line="23" w:lineRule="exact"/>
        <w:rPr>
          <w:sz w:val="20"/>
          <w:szCs w:val="20"/>
          <w:color w:val="auto"/>
        </w:rPr>
      </w:pPr>
    </w:p>
    <w:p>
      <w:pPr>
        <w:ind w:firstLine="18"/>
        <w:spacing w:after="0" w:line="260" w:lineRule="auto"/>
        <w:rPr>
          <w:sz w:val="20"/>
          <w:szCs w:val="20"/>
          <w:color w:val="auto"/>
        </w:rPr>
      </w:pPr>
      <w:r>
        <w:rPr>
          <w:rFonts w:ascii="Arial" w:cs="Arial" w:eastAsia="Arial" w:hAnsi="Arial"/>
          <w:sz w:val="18"/>
          <w:szCs w:val="18"/>
          <w:color w:val="auto"/>
        </w:rPr>
        <w:t>We will pay for your relocation expenses for your move to the Denver area. You will work with me on setting a budget for the relocation, and I'll need to approve the budget before the costs are incurred. We also will pay for closing costs on a home in Colorado.</w:t>
      </w:r>
    </w:p>
    <w:p>
      <w:pPr>
        <w:spacing w:after="0" w:line="185" w:lineRule="exact"/>
        <w:rPr>
          <w:sz w:val="20"/>
          <w:szCs w:val="20"/>
          <w:color w:val="auto"/>
        </w:rPr>
      </w:pPr>
    </w:p>
    <w:p>
      <w:pPr>
        <w:ind w:left="1160" w:hanging="32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Authorization to Work.</w:t>
      </w:r>
    </w:p>
    <w:p>
      <w:pPr>
        <w:spacing w:after="0" w:line="23"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 xml:space="preserve">Please note that because of employer regulations adopted in the Immigration Reform and Control Act of 1986, within three (3) business days of starting your new position you will need to present documentation demonstrating that you have authorization to work in the United States. For additional information, please go to this website: </w:t>
      </w:r>
      <w:r>
        <w:rPr>
          <w:rFonts w:ascii="Arial" w:cs="Arial" w:eastAsia="Arial" w:hAnsi="Arial"/>
          <w:sz w:val="16"/>
          <w:szCs w:val="16"/>
          <w:u w:val="single" w:color="auto"/>
          <w:color w:val="auto"/>
        </w:rPr>
        <w:t>https://www.uscis.gov/qreen-card/qreen-card-processes-and-procedures/employment authorization-document</w:t>
      </w:r>
    </w:p>
    <w:p>
      <w:pPr>
        <w:spacing w:after="0" w:line="155" w:lineRule="exact"/>
        <w:rPr>
          <w:sz w:val="20"/>
          <w:szCs w:val="20"/>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Arbitration.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You and Gevo, Inc. agree to submit to mandatory and exclusive binding arbitration any controversy or claim arising out of, or relating to, this offer letter or any breach hereof or your employment relationship, provided, however. that the parties retain their right to, and shall not be prohibited, limited or in any other way restricted from, seeking or obtaining equitable relief from a court having jurisdiction over the parties. Any such arbitration shall be conducted through the American Arbitration Association in the State of Colorado, Denver County, before a single arbitrator, in accordance with the National Rules for the Resolution of Employment Disputes of the American Arbitration Association in effect at that time, and judgment upon the determination or award rendered by the arbitrator may be entered in any court having jurisdiction thereof.</w:t>
      </w:r>
    </w:p>
    <w:p>
      <w:pPr>
        <w:spacing w:after="0" w:line="178" w:lineRule="exact"/>
        <w:rPr>
          <w:sz w:val="20"/>
          <w:szCs w:val="20"/>
          <w:color w:val="auto"/>
        </w:rPr>
      </w:pPr>
    </w:p>
    <w:p>
      <w:pPr>
        <w:ind w:left="1160" w:hanging="329"/>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offer letter, together with the Employee Proprietary Information and Inventions Agreement represents the entire agreement between the parties concerning the subject matter of your employment by the Company. This offer letter will be governed by the laws of the State of Colorado without reference to conflict of legal provisions. This offer will remain open until seven days from the date of this letter. If you decide to accept our offer, and we hope you will, please sign the enclosed copy of this letter in the space Indicated and return it to Human Resources at Gevo, Inc. Your signature will acknowledge that you have read and understood and agreed to the terms and conditions of this offer letter and the attached documents, if any. Should you have anything else that you wish to discuss, please do not hesitate to call 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the opportunity to work with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Patrick R. Gruber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R. Gruber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Paul Bloom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Bloom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 xml:space="preserve">Gevo, Inc., 345 Inverness Drive South, Bldg C, Ste 310, Englewood, CO 80112 Tel: (303) 858-8358 • Fax: (303) 379-6630 • </w:t>
      </w:r>
      <w:r>
        <w:rPr>
          <w:rFonts w:ascii="Arial" w:cs="Arial" w:eastAsia="Arial" w:hAnsi="Arial"/>
          <w:sz w:val="17"/>
          <w:szCs w:val="17"/>
          <w:u w:val="single" w:color="auto"/>
          <w:color w:val="auto"/>
        </w:rPr>
        <w:t>www.gevo.com</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Patrick R. Gruber, certify that:</w:t>
      </w:r>
    </w:p>
    <w:p>
      <w:pPr>
        <w:spacing w:after="0" w:line="225"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25" w:lineRule="exact"/>
        <w:rPr>
          <w:rFonts w:ascii="Arial" w:cs="Arial" w:eastAsia="Arial" w:hAnsi="Arial"/>
          <w:sz w:val="18"/>
          <w:szCs w:val="18"/>
          <w:color w:val="auto"/>
        </w:rPr>
      </w:pPr>
    </w:p>
    <w:p>
      <w:pPr>
        <w:ind w:left="420" w:right="680" w:hanging="412"/>
        <w:spacing w:after="0" w:line="263"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900" w:hanging="412"/>
        <w:spacing w:after="0" w:line="342"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20" w:right="840" w:hanging="412"/>
        <w:spacing w:after="0" w:line="291"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840" w:right="820" w:hanging="414"/>
        <w:spacing w:after="0" w:line="286" w:lineRule="auto"/>
        <w:tabs>
          <w:tab w:leader="none" w:pos="8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40" w:right="720" w:hanging="414"/>
        <w:spacing w:after="0" w:line="263" w:lineRule="auto"/>
        <w:tabs>
          <w:tab w:leader="none" w:pos="8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40" w:right="780" w:hanging="414"/>
        <w:spacing w:after="0" w:line="263" w:lineRule="auto"/>
        <w:tabs>
          <w:tab w:leader="none" w:pos="8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840" w:right="840" w:hanging="414"/>
        <w:spacing w:after="0" w:line="286" w:lineRule="auto"/>
        <w:tabs>
          <w:tab w:leader="none" w:pos="8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20" w:right="800" w:hanging="412"/>
        <w:spacing w:after="0" w:line="263"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840" w:right="780" w:hanging="414"/>
        <w:spacing w:after="0" w:line="342" w:lineRule="auto"/>
        <w:tabs>
          <w:tab w:leader="none" w:pos="8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40" w:right="1020" w:hanging="414"/>
        <w:spacing w:after="0" w:line="277" w:lineRule="auto"/>
        <w:tabs>
          <w:tab w:leader="none" w:pos="8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6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Patrick R. Gruber</w:t>
      </w:r>
    </w:p>
    <w:p>
      <w:pPr>
        <w:spacing w:after="0" w:line="23" w:lineRule="exact"/>
        <w:rPr>
          <w:sz w:val="20"/>
          <w:szCs w:val="20"/>
          <w:color w:val="auto"/>
        </w:rPr>
      </w:pPr>
    </w:p>
    <w:p>
      <w:pPr>
        <w:jc w:val="center"/>
        <w:ind w:right="52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5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L. Lynn Smull, certify that:</w:t>
      </w:r>
    </w:p>
    <w:p>
      <w:pPr>
        <w:spacing w:after="0" w:line="225"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25" w:lineRule="exact"/>
        <w:rPr>
          <w:rFonts w:ascii="Arial" w:cs="Arial" w:eastAsia="Arial" w:hAnsi="Arial"/>
          <w:sz w:val="18"/>
          <w:szCs w:val="18"/>
          <w:color w:val="auto"/>
        </w:rPr>
      </w:pPr>
    </w:p>
    <w:p>
      <w:pPr>
        <w:ind w:left="420" w:right="1040" w:hanging="412"/>
        <w:spacing w:after="0" w:line="263"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1040" w:hanging="412"/>
        <w:spacing w:after="0" w:line="342"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20" w:right="980" w:hanging="412"/>
        <w:spacing w:after="0" w:line="291"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840" w:right="960" w:hanging="414"/>
        <w:spacing w:after="0" w:line="286" w:lineRule="auto"/>
        <w:tabs>
          <w:tab w:leader="none" w:pos="8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40" w:right="1340" w:hanging="414"/>
        <w:spacing w:after="0" w:line="286" w:lineRule="auto"/>
        <w:tabs>
          <w:tab w:leader="none" w:pos="8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840" w:right="1120" w:hanging="414"/>
        <w:spacing w:after="0" w:line="263" w:lineRule="auto"/>
        <w:tabs>
          <w:tab w:leader="none" w:pos="8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840" w:right="980" w:hanging="414"/>
        <w:spacing w:after="0" w:line="286" w:lineRule="auto"/>
        <w:tabs>
          <w:tab w:leader="none" w:pos="8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20" w:right="1400" w:hanging="412"/>
        <w:spacing w:after="0" w:line="263"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840" w:right="980" w:hanging="414"/>
        <w:spacing w:after="0" w:line="342" w:lineRule="auto"/>
        <w:tabs>
          <w:tab w:leader="none" w:pos="8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40" w:right="1160" w:hanging="414"/>
        <w:spacing w:after="0" w:line="277" w:lineRule="auto"/>
        <w:tabs>
          <w:tab w:leader="none" w:pos="8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00" w:lineRule="exact"/>
        <w:rPr>
          <w:sz w:val="20"/>
          <w:szCs w:val="20"/>
          <w:color w:val="auto"/>
        </w:rPr>
      </w:pPr>
    </w:p>
    <w:p>
      <w:pPr>
        <w:spacing w:after="0" w:line="24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772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3677285" cy="8890"/>
                    </a:xfrm>
                    <a:prstGeom prst="rect">
                      <a:avLst/>
                    </a:prstGeom>
                    <a:noFill/>
                  </pic:spPr>
                </pic:pic>
              </a:graphicData>
            </a:graphic>
          </wp:anchor>
        </w:drawing>
      </w:r>
    </w:p>
    <w:p>
      <w:pPr>
        <w:spacing w:after="0" w:line="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L. Lynn Smull</w:t>
      </w:r>
    </w:p>
    <w:p>
      <w:pPr>
        <w:spacing w:after="0" w:line="23" w:lineRule="exact"/>
        <w:rPr>
          <w:sz w:val="20"/>
          <w:szCs w:val="20"/>
          <w:color w:val="auto"/>
        </w:rPr>
      </w:pPr>
    </w:p>
    <w:p>
      <w:pPr>
        <w:jc w:val="center"/>
        <w:ind w:right="54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54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101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SECTION 906 OF THE SARBANES-OXLEY ACT OF 2002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 Patrick R. Gruber, Chief Executive Officer of Gevo, Inc. (the “Registrant”), and I, L. Lynn Smull, Chief Financial Officer of the Registrant, certify, pursuant to 18 U.S.C. Section 1350, as adopted pursuant to Section 906 of the Sarbanes-Oxley Act of 2002, that:</w:t>
      </w:r>
    </w:p>
    <w:p>
      <w:pPr>
        <w:spacing w:after="0" w:line="170" w:lineRule="exact"/>
        <w:rPr>
          <w:sz w:val="20"/>
          <w:szCs w:val="20"/>
          <w:color w:val="auto"/>
        </w:rPr>
      </w:pPr>
    </w:p>
    <w:p>
      <w:pPr>
        <w:ind w:right="360" w:firstLine="8"/>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firstLine="8"/>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for the period covered by the Report.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Patrick R. Gruber</w:t>
      </w:r>
    </w:p>
    <w:p>
      <w:pPr>
        <w:spacing w:after="0" w:line="23" w:lineRule="exact"/>
        <w:rPr>
          <w:sz w:val="20"/>
          <w:szCs w:val="20"/>
          <w:color w:val="auto"/>
        </w:rPr>
      </w:pPr>
    </w:p>
    <w:p>
      <w:pPr>
        <w:jc w:val="center"/>
        <w:ind w:right="62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624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L. Lynn Smull</w:t>
      </w:r>
    </w:p>
    <w:p>
      <w:pPr>
        <w:spacing w:after="0" w:line="23" w:lineRule="exact"/>
        <w:rPr>
          <w:sz w:val="20"/>
          <w:szCs w:val="20"/>
          <w:color w:val="auto"/>
        </w:rPr>
      </w:pPr>
    </w:p>
    <w:p>
      <w:pPr>
        <w:jc w:val="center"/>
        <w:ind w:right="62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62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
      <w:numFmt w:val="bullet"/>
      <w:start w:val="1"/>
    </w:lvl>
    <w:lvl w:ilvl="1">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lvl w:ilvl="1">
      <w:lvlJc w:val="left"/>
      <w:lvlText w:val="(%2)"/>
      <w:numFmt w:val="decimal"/>
      <w:start w:val="1"/>
    </w:lvl>
  </w:abstractNum>
  <w:abstractNum w:abstractNumId="7">
    <w:nsid w:val="431BD7B7"/>
    <w:multiLevelType w:val="hybridMultilevel"/>
    <w:lvl w:ilvl="0">
      <w:lvlJc w:val="left"/>
      <w:lvlText w:val="%1."/>
      <w:numFmt w:val="decimal"/>
      <w:start w:val="15"/>
    </w:lvl>
    <w:lvl w:ilvl="1">
      <w:lvlJc w:val="left"/>
      <w:lvlText w:val="%2"/>
      <w:numFmt w:val="decimal"/>
      <w:start w:val="1"/>
    </w:lvl>
  </w:abstractNum>
  <w:abstractNum w:abstractNumId="8">
    <w:nsid w:val="3F2DBA31"/>
    <w:multiLevelType w:val="hybridMultilevel"/>
    <w:lvl w:ilvl="0">
      <w:lvlJc w:val="left"/>
      <w:lvlText w:val="%1"/>
      <w:numFmt w:val="upperLetter"/>
      <w:start w:val="68"/>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2"/>
    </w:lvl>
  </w:abstractNum>
  <w:abstractNum w:abstractNumId="16">
    <w:nsid w:val="2443A858"/>
    <w:multiLevelType w:val="hybridMultilevel"/>
    <w:lvl w:ilvl="0">
      <w:lvlJc w:val="left"/>
      <w:lvlText w:val="%1."/>
      <w:numFmt w:val="decimal"/>
      <w:start w:val="3"/>
    </w:lvl>
  </w:abstractNum>
  <w:abstractNum w:abstractNumId="17">
    <w:nsid w:val="2D1D5AE9"/>
    <w:multiLevelType w:val="hybridMultilevel"/>
    <w:lvl w:ilvl="0">
      <w:lvlJc w:val="left"/>
      <w:lvlText w:val="%1."/>
      <w:numFmt w:val="decimal"/>
      <w:start w:val="4"/>
    </w:lvl>
  </w:abstractNum>
  <w:abstractNum w:abstractNumId="18">
    <w:nsid w:val="6763845E"/>
    <w:multiLevelType w:val="hybridMultilevel"/>
    <w:lvl w:ilvl="0">
      <w:lvlJc w:val="left"/>
      <w:lvlText w:val="%1."/>
      <w:numFmt w:val="decimal"/>
      <w:start w:val="5"/>
    </w:lvl>
  </w:abstractNum>
  <w:abstractNum w:abstractNumId="19">
    <w:nsid w:val="75A2A8D4"/>
    <w:multiLevelType w:val="hybridMultilevel"/>
    <w:lvl w:ilvl="0">
      <w:lvlJc w:val="left"/>
      <w:lvlText w:val="&amp;"/>
      <w:numFmt w:val="bullet"/>
      <w:start w:val="1"/>
    </w:lvl>
  </w:abstractNum>
  <w:abstractNum w:abstractNumId="20">
    <w:nsid w:val="8EDBDAB"/>
    <w:multiLevelType w:val="hybridMultilevel"/>
    <w:lvl w:ilvl="0">
      <w:lvlJc w:val="left"/>
      <w:lvlText w:val="%1."/>
      <w:numFmt w:val="decimal"/>
      <w:start w:val="6"/>
    </w:lvl>
  </w:abstractNum>
  <w:abstractNum w:abstractNumId="21">
    <w:nsid w:val="79838CB2"/>
    <w:multiLevelType w:val="hybridMultilevel"/>
    <w:lvl w:ilvl="0">
      <w:lvlJc w:val="left"/>
      <w:lvlText w:val="%1."/>
      <w:numFmt w:val="decimal"/>
      <w:start w:val="7"/>
    </w:lvl>
  </w:abstractNum>
  <w:abstractNum w:abstractNumId="22">
    <w:nsid w:val="4353D0CD"/>
    <w:multiLevelType w:val="hybridMultilevel"/>
    <w:lvl w:ilvl="0">
      <w:lvlJc w:val="left"/>
      <w:lvlText w:val="%1."/>
      <w:numFmt w:val="decimal"/>
      <w:start w:val="8"/>
    </w:lvl>
  </w:abstractNum>
  <w:abstractNum w:abstractNumId="23">
    <w:nsid w:val="B03E0C6"/>
    <w:multiLevelType w:val="hybridMultilevel"/>
    <w:lvl w:ilvl="0">
      <w:lvlJc w:val="left"/>
      <w:lvlText w:val="%1."/>
      <w:numFmt w:val="decimal"/>
      <w:start w:val="9"/>
    </w:lvl>
  </w:abstractNum>
  <w:abstractNum w:abstractNumId="24">
    <w:nsid w:val="189A769B"/>
    <w:multiLevelType w:val="hybridMultilevel"/>
    <w:lvl w:ilvl="0">
      <w:lvlJc w:val="left"/>
      <w:lvlText w:val="%1."/>
      <w:numFmt w:val="decimal"/>
      <w:start w:val="10"/>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jpe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jpe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jpe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66" Type="http://schemas.openxmlformats.org/officeDocument/2006/relationships/hyperlink" Target="http://www.sec.gov/Archives/edgar/data/1392380/000119312511080096/dex31.htm" TargetMode="External"/><Relationship Id="rId67" Type="http://schemas.openxmlformats.org/officeDocument/2006/relationships/hyperlink" Target="http://www.sec.gov/Archives/edgar/data/1392380/000119312513253079/d551467dex31.htm" TargetMode="External"/><Relationship Id="rId68" Type="http://schemas.openxmlformats.org/officeDocument/2006/relationships/hyperlink" Target="http://www.sec.gov/Archives/edgar/data/1392380/000119312514264256/d755894dex31.htm" TargetMode="External"/><Relationship Id="rId69" Type="http://schemas.openxmlformats.org/officeDocument/2006/relationships/hyperlink" Target="http://www.sec.gov/Archives/edgar/data/1392380/000119312515141952/d913731dex31.htm" TargetMode="External"/><Relationship Id="rId70" Type="http://schemas.openxmlformats.org/officeDocument/2006/relationships/hyperlink" Target="http://www.sec.gov/Archives/edgar/data/1392380/000119312517004580/d318985dex31.htm" TargetMode="External"/><Relationship Id="rId71" Type="http://schemas.openxmlformats.org/officeDocument/2006/relationships/hyperlink" Target="http://www.sec.gov/Archives/edgar/data/1392380/000143774918011163/ex_115837.htm" TargetMode="External"/><Relationship Id="rId72" Type="http://schemas.openxmlformats.org/officeDocument/2006/relationships/hyperlink" Target="http://www.sec.gov/Archives/edgar/data/1392380/000119312511080096/dex32.htm" TargetMode="External"/><Relationship Id="rId73" Type="http://schemas.openxmlformats.org/officeDocument/2006/relationships/hyperlink" Target="http://www.sec.gov/Archives/edgar/data/1392380/000119312511009935/dex41.htm" TargetMode="External"/><Relationship Id="rId74" Type="http://schemas.openxmlformats.org/officeDocument/2006/relationships/hyperlink" Target="http://www.sec.gov/Archives/edgar/data/1392380/000119312510187275/dex43.htm" TargetMode="External"/><Relationship Id="rId75" Type="http://schemas.openxmlformats.org/officeDocument/2006/relationships/hyperlink" Target="http://www.sec.gov/Archives/edgar/data/1392380/000119312516711029/d256125dex41.htm" TargetMode="External"/><Relationship Id="rId76" Type="http://schemas.openxmlformats.org/officeDocument/2006/relationships/hyperlink" Target="http://www.sec.gov/Archives/edgar/data/1392380/000119312517052235/d350599dex41.htm" TargetMode="External"/><Relationship Id="rId77" Type="http://schemas.openxmlformats.org/officeDocument/2006/relationships/hyperlink" Target="http://www.sec.gov/Archives/edgar/data/1392380/000143774920014844/ex_193415.htm" TargetMode="External"/><Relationship Id="rId78" Type="http://schemas.openxmlformats.org/officeDocument/2006/relationships/hyperlink" Target="http://www.sec.gov/Archives/edgar/data/1392380/000143774921001030/gevo20210121d_8k.htm" TargetMode="External"/><Relationship Id="rId79" Type="http://schemas.openxmlformats.org/officeDocument/2006/relationships/hyperlink" Target="http://www.sec.gov/Archives/edgar/data/1392380/000143774920005495/ex_177221.htm" TargetMode="External"/><Relationship Id="rId80" Type="http://schemas.openxmlformats.org/officeDocument/2006/relationships/hyperlink" Target="http://www.sec.gov/Archives/edgar/data/1392380/000143774921003544/ex_227959.htm" TargetMode="External"/><Relationship Id="rId81" Type="http://schemas.openxmlformats.org/officeDocument/2006/relationships/hyperlink" Target="http://www.sec.gov/Archives/edgar/data/1392380/000143774921009027/ex_240957.htm" TargetMode="External"/><Relationship Id="rId82" Type="http://schemas.openxmlformats.org/officeDocument/2006/relationships/hyperlink" Target="http://www.sec.gov/Archives/edgar/data/1392380/000143774921009027/ex_24095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2021-05-14T10:57:44Z</dcterms:created>
  <dcterms:modified xsi:type="dcterms:W3CDTF">2021-05-14T10:57:44Z</dcterms:modified>
</cp:coreProperties>
</file>