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Ellet Mary Kathryn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GEVO, INC., 345 INVERNESS DRIVE S BUILDING C, SUITE 310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ENGLEWOOD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80112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Gevo,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GEVO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224,639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224,639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224,639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stock options that vest on the first anniversary of the grant date, provided that the reporting person remains in continuous service with the issuer as of the vesting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E. Cabell Massey,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05/28/2024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in-Fact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2006415" TargetMode="External"/><Relationship Id="rId13" Type="http://schemas.openxmlformats.org/officeDocument/2006/relationships/hyperlink" Target="http://www.sec.gov/cgi-bin/browse-edgar?action=getcompany&amp;CIK=00013923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2024-05-28T17:35:11Z</dcterms:created>
  <dcterms:modified xsi:type="dcterms:W3CDTF">2024-05-28T17:35:11Z</dcterms:modified>
</cp:coreProperties>
</file>